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982C7">
      <w:pPr>
        <w:pStyle w:val="5"/>
        <w:rPr>
          <w:rFonts w:hint="eastAsia" w:ascii="宋体" w:hAnsi="宋体" w:eastAsia="宋体" w:cs="宋体"/>
          <w:color w:val="auto"/>
          <w:highlight w:val="none"/>
        </w:rPr>
      </w:pPr>
    </w:p>
    <w:p w14:paraId="59960E01">
      <w:pPr>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44"/>
          <w:szCs w:val="44"/>
          <w:highlight w:val="none"/>
          <w:lang w:eastAsia="zh-CN"/>
        </w:rPr>
        <w:t>2024年绍兴市上虞区商务局小微企业出口信用保险政府联保服务</w:t>
      </w:r>
    </w:p>
    <w:p w14:paraId="79BE46FD">
      <w:pPr>
        <w:pStyle w:val="6"/>
        <w:rPr>
          <w:rFonts w:hint="eastAsia" w:ascii="宋体" w:hAnsi="宋体" w:eastAsia="宋体" w:cs="宋体"/>
          <w:b/>
          <w:bCs/>
          <w:color w:val="auto"/>
          <w:sz w:val="44"/>
          <w:szCs w:val="44"/>
          <w:highlight w:val="none"/>
        </w:rPr>
      </w:pPr>
    </w:p>
    <w:p w14:paraId="2081B4CA">
      <w:pPr>
        <w:pStyle w:val="6"/>
        <w:rPr>
          <w:rFonts w:hint="eastAsia" w:ascii="宋体" w:hAnsi="宋体" w:eastAsia="宋体" w:cs="宋体"/>
          <w:b/>
          <w:bCs/>
          <w:color w:val="auto"/>
          <w:sz w:val="44"/>
          <w:szCs w:val="44"/>
          <w:highlight w:val="none"/>
        </w:rPr>
      </w:pPr>
    </w:p>
    <w:p w14:paraId="2B81F439">
      <w:pPr>
        <w:pStyle w:val="12"/>
        <w:rPr>
          <w:rFonts w:hint="eastAsia"/>
          <w:color w:val="auto"/>
          <w:highlight w:val="none"/>
        </w:rPr>
      </w:pPr>
    </w:p>
    <w:p w14:paraId="06EE9CAA">
      <w:pPr>
        <w:pStyle w:val="27"/>
        <w:rPr>
          <w:rFonts w:hint="eastAsia"/>
          <w:color w:val="auto"/>
          <w:highlight w:val="none"/>
        </w:rPr>
      </w:pPr>
    </w:p>
    <w:p w14:paraId="31828C9B">
      <w:pPr>
        <w:pStyle w:val="6"/>
        <w:rPr>
          <w:rFonts w:hint="eastAsia" w:ascii="宋体" w:hAnsi="宋体" w:eastAsia="宋体" w:cs="宋体"/>
          <w:b/>
          <w:bCs/>
          <w:color w:val="auto"/>
          <w:sz w:val="44"/>
          <w:szCs w:val="44"/>
          <w:highlight w:val="none"/>
        </w:rPr>
      </w:pPr>
    </w:p>
    <w:p w14:paraId="68F38E8A">
      <w:pPr>
        <w:pStyle w:val="6"/>
        <w:rPr>
          <w:rFonts w:hint="eastAsia" w:ascii="宋体" w:hAnsi="宋体" w:eastAsia="宋体" w:cs="宋体"/>
          <w:b/>
          <w:bCs/>
          <w:color w:val="auto"/>
          <w:sz w:val="44"/>
          <w:szCs w:val="44"/>
          <w:highlight w:val="none"/>
        </w:rPr>
      </w:pPr>
    </w:p>
    <w:p w14:paraId="46A933CE">
      <w:pPr>
        <w:pStyle w:val="6"/>
        <w:rPr>
          <w:rFonts w:hint="eastAsia" w:ascii="宋体" w:hAnsi="宋体" w:eastAsia="宋体" w:cs="宋体"/>
          <w:color w:val="auto"/>
          <w:highlight w:val="none"/>
        </w:rPr>
      </w:pPr>
    </w:p>
    <w:p w14:paraId="4B4BEB6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72"/>
          <w:szCs w:val="72"/>
          <w:highlight w:val="none"/>
        </w:rPr>
        <w:t>竞争性磋商文件</w:t>
      </w:r>
    </w:p>
    <w:p w14:paraId="2C5E8A34">
      <w:pPr>
        <w:spacing w:line="360" w:lineRule="auto"/>
        <w:jc w:val="center"/>
        <w:rPr>
          <w:rFonts w:hint="eastAsia" w:ascii="宋体" w:hAnsi="宋体" w:eastAsia="宋体" w:cs="宋体"/>
          <w:b/>
          <w:bCs/>
          <w:color w:val="auto"/>
          <w:sz w:val="24"/>
          <w:szCs w:val="24"/>
          <w:highlight w:val="none"/>
        </w:rPr>
      </w:pPr>
    </w:p>
    <w:p w14:paraId="62590B31">
      <w:pPr>
        <w:snapToGrid w:val="0"/>
        <w:spacing w:line="360" w:lineRule="auto"/>
        <w:ind w:firstLine="2301" w:firstLineChars="767"/>
        <w:jc w:val="left"/>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val="en-US" w:eastAsia="zh-CN"/>
        </w:rPr>
        <w:t xml:space="preserve">FSJZCS2024034 </w:t>
      </w:r>
    </w:p>
    <w:p w14:paraId="35BD5D50">
      <w:pPr>
        <w:snapToGrid w:val="0"/>
        <w:spacing w:line="360" w:lineRule="auto"/>
        <w:ind w:firstLine="2301" w:firstLineChars="767"/>
        <w:jc w:val="left"/>
        <w:rPr>
          <w:rFonts w:hint="eastAsia" w:ascii="宋体" w:hAnsi="宋体" w:eastAsia="宋体" w:cs="宋体"/>
          <w:color w:val="auto"/>
          <w:sz w:val="30"/>
          <w:szCs w:val="30"/>
          <w:highlight w:val="none"/>
        </w:rPr>
      </w:pPr>
    </w:p>
    <w:p w14:paraId="4B98A1C9">
      <w:pPr>
        <w:spacing w:line="360" w:lineRule="auto"/>
        <w:rPr>
          <w:rFonts w:hint="eastAsia" w:ascii="宋体" w:hAnsi="宋体" w:eastAsia="宋体" w:cs="宋体"/>
          <w:color w:val="auto"/>
          <w:sz w:val="28"/>
          <w:szCs w:val="28"/>
          <w:highlight w:val="none"/>
        </w:rPr>
      </w:pPr>
    </w:p>
    <w:p w14:paraId="5E71874F">
      <w:pPr>
        <w:spacing w:line="360" w:lineRule="auto"/>
        <w:jc w:val="center"/>
        <w:rPr>
          <w:rFonts w:hint="eastAsia" w:ascii="宋体" w:hAnsi="宋体" w:eastAsia="宋体" w:cs="宋体"/>
          <w:color w:val="auto"/>
          <w:sz w:val="24"/>
          <w:szCs w:val="24"/>
          <w:highlight w:val="none"/>
        </w:rPr>
      </w:pPr>
    </w:p>
    <w:p w14:paraId="4754A0A8">
      <w:pPr>
        <w:pStyle w:val="5"/>
        <w:rPr>
          <w:rFonts w:hint="eastAsia"/>
          <w:color w:val="auto"/>
          <w:highlight w:val="none"/>
        </w:rPr>
      </w:pPr>
    </w:p>
    <w:p w14:paraId="4564D7F6">
      <w:pPr>
        <w:spacing w:line="360" w:lineRule="auto"/>
        <w:jc w:val="center"/>
        <w:rPr>
          <w:rFonts w:hint="eastAsia" w:ascii="宋体" w:hAnsi="宋体" w:eastAsia="宋体" w:cs="宋体"/>
          <w:color w:val="auto"/>
          <w:sz w:val="24"/>
          <w:szCs w:val="24"/>
          <w:highlight w:val="none"/>
        </w:rPr>
      </w:pPr>
    </w:p>
    <w:p w14:paraId="61922A10">
      <w:pPr>
        <w:spacing w:line="360" w:lineRule="auto"/>
        <w:jc w:val="center"/>
        <w:rPr>
          <w:rFonts w:hint="eastAsia" w:ascii="宋体" w:hAnsi="宋体" w:eastAsia="宋体" w:cs="宋体"/>
          <w:color w:val="auto"/>
          <w:sz w:val="24"/>
          <w:szCs w:val="24"/>
          <w:highlight w:val="none"/>
        </w:rPr>
      </w:pPr>
    </w:p>
    <w:p w14:paraId="239C4131">
      <w:pPr>
        <w:spacing w:line="360" w:lineRule="auto"/>
        <w:jc w:val="center"/>
        <w:rPr>
          <w:rFonts w:hint="eastAsia" w:ascii="宋体" w:hAnsi="宋体" w:eastAsia="宋体" w:cs="宋体"/>
          <w:color w:val="auto"/>
          <w:sz w:val="24"/>
          <w:szCs w:val="24"/>
          <w:highlight w:val="none"/>
        </w:rPr>
      </w:pPr>
    </w:p>
    <w:p w14:paraId="3995DFC5">
      <w:pPr>
        <w:spacing w:line="360" w:lineRule="auto"/>
        <w:jc w:val="center"/>
        <w:rPr>
          <w:rFonts w:hint="eastAsia" w:ascii="宋体" w:hAnsi="宋体" w:eastAsia="宋体" w:cs="宋体"/>
          <w:color w:val="auto"/>
          <w:sz w:val="24"/>
          <w:szCs w:val="24"/>
          <w:highlight w:val="none"/>
        </w:rPr>
      </w:pPr>
    </w:p>
    <w:p w14:paraId="1C2ECD12">
      <w:pP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采 购 人：</w:t>
      </w:r>
      <w:r>
        <w:rPr>
          <w:rFonts w:hint="eastAsia" w:ascii="宋体" w:hAnsi="宋体" w:cs="宋体"/>
          <w:color w:val="auto"/>
          <w:sz w:val="30"/>
          <w:szCs w:val="30"/>
          <w:highlight w:val="none"/>
          <w:lang w:eastAsia="zh-CN"/>
        </w:rPr>
        <w:t>绍兴市上虞区商务局</w:t>
      </w:r>
    </w:p>
    <w:p w14:paraId="511A198D">
      <w:pPr>
        <w:snapToGrid w:val="0"/>
        <w:spacing w:line="360" w:lineRule="auto"/>
        <w:ind w:firstLine="1500" w:firstLineChars="5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采购代理机构：</w:t>
      </w:r>
      <w:r>
        <w:rPr>
          <w:rFonts w:hint="eastAsia" w:ascii="宋体" w:hAnsi="宋体" w:cs="宋体"/>
          <w:color w:val="auto"/>
          <w:sz w:val="30"/>
          <w:szCs w:val="30"/>
          <w:highlight w:val="none"/>
          <w:lang w:val="en-US" w:eastAsia="zh-CN"/>
        </w:rPr>
        <w:t>浙江省成套工程有限公司</w:t>
      </w:r>
    </w:p>
    <w:p w14:paraId="22366443">
      <w:pPr>
        <w:jc w:val="center"/>
        <w:rPr>
          <w:rFonts w:hint="eastAsia" w:ascii="宋体" w:hAnsi="宋体" w:eastAsia="宋体" w:cs="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30"/>
          <w:szCs w:val="30"/>
          <w:highlight w:val="none"/>
        </w:rPr>
        <w:t>二</w:t>
      </w:r>
      <w:r>
        <w:rPr>
          <w:rFonts w:hint="eastAsia" w:ascii="宋体" w:hAnsi="宋体" w:cs="宋体"/>
          <w:color w:val="auto"/>
          <w:sz w:val="30"/>
          <w:szCs w:val="30"/>
          <w:highlight w:val="none"/>
          <w:lang w:val="en-US" w:eastAsia="zh-CN"/>
        </w:rPr>
        <w:t>〇二四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九</w:t>
      </w:r>
      <w:r>
        <w:rPr>
          <w:rFonts w:hint="eastAsia" w:ascii="宋体" w:hAnsi="宋体" w:eastAsia="宋体" w:cs="宋体"/>
          <w:color w:val="auto"/>
          <w:sz w:val="30"/>
          <w:szCs w:val="30"/>
          <w:highlight w:val="none"/>
        </w:rPr>
        <w:t>月</w:t>
      </w:r>
    </w:p>
    <w:p w14:paraId="0145B9AF">
      <w:pPr>
        <w:spacing w:line="360" w:lineRule="auto"/>
        <w:jc w:val="center"/>
        <w:rPr>
          <w:rFonts w:hint="eastAsia" w:ascii="宋体" w:hAnsi="宋体" w:eastAsia="宋体" w:cs="宋体"/>
          <w:b/>
          <w:bCs/>
          <w:color w:val="auto"/>
          <w:sz w:val="32"/>
          <w:szCs w:val="32"/>
          <w:highlight w:val="none"/>
        </w:rPr>
      </w:pPr>
    </w:p>
    <w:p w14:paraId="1F32AAE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61404E8E">
      <w:pPr>
        <w:pStyle w:val="20"/>
        <w:tabs>
          <w:tab w:val="right" w:leader="dot" w:pos="8306"/>
        </w:tabs>
        <w:spacing w:line="360" w:lineRule="auto"/>
        <w:rPr>
          <w:rFonts w:hint="eastAsia" w:ascii="宋体" w:hAnsi="宋体" w:eastAsia="宋体" w:cs="宋体"/>
          <w:color w:val="auto"/>
          <w:sz w:val="28"/>
          <w:szCs w:val="28"/>
          <w:highlight w:val="none"/>
        </w:rPr>
      </w:pPr>
    </w:p>
    <w:p w14:paraId="4FE7A47F">
      <w:pPr>
        <w:pStyle w:val="20"/>
        <w:tabs>
          <w:tab w:val="right" w:leader="dot" w:pos="8306"/>
        </w:tabs>
        <w:rPr>
          <w:color w:val="auto"/>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_Toc10746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第一部分 磋商公告</w:t>
      </w:r>
      <w:r>
        <w:rPr>
          <w:color w:val="auto"/>
        </w:rPr>
        <w:tab/>
      </w:r>
      <w:r>
        <w:rPr>
          <w:color w:val="auto"/>
        </w:rPr>
        <w:fldChar w:fldCharType="begin"/>
      </w:r>
      <w:r>
        <w:rPr>
          <w:color w:val="auto"/>
        </w:rPr>
        <w:instrText xml:space="preserve"> PAGEREF _Toc10746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32"/>
          <w:highlight w:val="none"/>
        </w:rPr>
        <w:fldChar w:fldCharType="end"/>
      </w:r>
    </w:p>
    <w:p w14:paraId="772B6405">
      <w:pPr>
        <w:pStyle w:val="20"/>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_Toc990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第二部分 供应商须知</w:t>
      </w:r>
      <w:r>
        <w:rPr>
          <w:color w:val="auto"/>
        </w:rPr>
        <w:tab/>
      </w:r>
      <w:r>
        <w:rPr>
          <w:color w:val="auto"/>
        </w:rPr>
        <w:fldChar w:fldCharType="begin"/>
      </w:r>
      <w:r>
        <w:rPr>
          <w:color w:val="auto"/>
        </w:rPr>
        <w:instrText xml:space="preserve"> PAGEREF _Toc990 \h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32"/>
          <w:highlight w:val="none"/>
        </w:rPr>
        <w:fldChar w:fldCharType="end"/>
      </w:r>
    </w:p>
    <w:p w14:paraId="7D0417A5">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_Toc16457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一、 </w:t>
      </w:r>
      <w:r>
        <w:rPr>
          <w:rFonts w:hint="eastAsia" w:ascii="宋体" w:hAnsi="宋体" w:eastAsia="宋体" w:cs="宋体"/>
          <w:color w:val="auto"/>
          <w:highlight w:val="none"/>
        </w:rPr>
        <w:t>总则</w:t>
      </w:r>
      <w:r>
        <w:rPr>
          <w:color w:val="auto"/>
        </w:rPr>
        <w:tab/>
      </w:r>
      <w:r>
        <w:rPr>
          <w:color w:val="auto"/>
        </w:rPr>
        <w:fldChar w:fldCharType="begin"/>
      </w:r>
      <w:r>
        <w:rPr>
          <w:color w:val="auto"/>
        </w:rPr>
        <w:instrText xml:space="preserve"> PAGEREF _Toc16457 \h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32"/>
          <w:highlight w:val="none"/>
        </w:rPr>
        <w:fldChar w:fldCharType="end"/>
      </w:r>
    </w:p>
    <w:p w14:paraId="4D9DD1BF">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_Toc19955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二、 </w:t>
      </w:r>
      <w:r>
        <w:rPr>
          <w:rFonts w:hint="eastAsia" w:ascii="宋体" w:hAnsi="宋体" w:eastAsia="宋体" w:cs="宋体"/>
          <w:color w:val="auto"/>
          <w:highlight w:val="none"/>
        </w:rPr>
        <w:t>竞争性磋商文件</w:t>
      </w:r>
      <w:r>
        <w:rPr>
          <w:color w:val="auto"/>
        </w:rPr>
        <w:tab/>
      </w:r>
      <w:r>
        <w:rPr>
          <w:color w:val="auto"/>
        </w:rPr>
        <w:fldChar w:fldCharType="begin"/>
      </w:r>
      <w:r>
        <w:rPr>
          <w:color w:val="auto"/>
        </w:rPr>
        <w:instrText xml:space="preserve"> PAGEREF _Toc19955 \h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32"/>
          <w:highlight w:val="none"/>
        </w:rPr>
        <w:fldChar w:fldCharType="end"/>
      </w:r>
    </w:p>
    <w:p w14:paraId="5484B01A">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_Toc14498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三、 </w:t>
      </w:r>
      <w:r>
        <w:rPr>
          <w:rFonts w:hint="eastAsia" w:ascii="宋体" w:hAnsi="宋体" w:eastAsia="宋体" w:cs="宋体"/>
          <w:color w:val="auto"/>
          <w:highlight w:val="none"/>
        </w:rPr>
        <w:t>竞争性磋商响应文件的编写</w:t>
      </w:r>
      <w:r>
        <w:rPr>
          <w:color w:val="auto"/>
        </w:rPr>
        <w:tab/>
      </w:r>
      <w:r>
        <w:rPr>
          <w:color w:val="auto"/>
        </w:rPr>
        <w:fldChar w:fldCharType="begin"/>
      </w:r>
      <w:r>
        <w:rPr>
          <w:color w:val="auto"/>
        </w:rPr>
        <w:instrText xml:space="preserve"> PAGEREF _Toc14498 \h </w:instrText>
      </w:r>
      <w:r>
        <w:rPr>
          <w:color w:val="auto"/>
        </w:rPr>
        <w:fldChar w:fldCharType="separate"/>
      </w:r>
      <w:r>
        <w:rPr>
          <w:color w:val="auto"/>
        </w:rPr>
        <w:t>11</w:t>
      </w:r>
      <w:r>
        <w:rPr>
          <w:color w:val="auto"/>
        </w:rPr>
        <w:fldChar w:fldCharType="end"/>
      </w:r>
      <w:r>
        <w:rPr>
          <w:rFonts w:hint="eastAsia" w:ascii="宋体" w:hAnsi="宋体" w:eastAsia="宋体" w:cs="宋体"/>
          <w:color w:val="auto"/>
          <w:szCs w:val="32"/>
          <w:highlight w:val="none"/>
        </w:rPr>
        <w:fldChar w:fldCharType="end"/>
      </w:r>
    </w:p>
    <w:p w14:paraId="37ED4047">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_Toc26691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四、 </w:t>
      </w:r>
      <w:r>
        <w:rPr>
          <w:rFonts w:hint="eastAsia" w:ascii="宋体" w:hAnsi="宋体" w:eastAsia="宋体" w:cs="宋体"/>
          <w:color w:val="auto"/>
          <w:highlight w:val="none"/>
        </w:rPr>
        <w:t>响应文件的递交</w:t>
      </w:r>
      <w:r>
        <w:rPr>
          <w:color w:val="auto"/>
        </w:rPr>
        <w:tab/>
      </w:r>
      <w:r>
        <w:rPr>
          <w:color w:val="auto"/>
        </w:rPr>
        <w:fldChar w:fldCharType="begin"/>
      </w:r>
      <w:r>
        <w:rPr>
          <w:color w:val="auto"/>
        </w:rPr>
        <w:instrText xml:space="preserve"> PAGEREF _Toc26691 \h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32"/>
          <w:highlight w:val="none"/>
        </w:rPr>
        <w:fldChar w:fldCharType="end"/>
      </w:r>
    </w:p>
    <w:p w14:paraId="38EC45D6">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_Toc19010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五、 </w:t>
      </w:r>
      <w:r>
        <w:rPr>
          <w:rFonts w:hint="eastAsia" w:ascii="宋体" w:hAnsi="宋体" w:eastAsia="宋体" w:cs="宋体"/>
          <w:color w:val="auto"/>
          <w:highlight w:val="none"/>
        </w:rPr>
        <w:t>磋商无效的情形</w:t>
      </w:r>
      <w:r>
        <w:rPr>
          <w:color w:val="auto"/>
        </w:rPr>
        <w:tab/>
      </w:r>
      <w:r>
        <w:rPr>
          <w:color w:val="auto"/>
        </w:rPr>
        <w:fldChar w:fldCharType="begin"/>
      </w:r>
      <w:r>
        <w:rPr>
          <w:color w:val="auto"/>
        </w:rPr>
        <w:instrText xml:space="preserve"> PAGEREF _Toc19010 \h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32"/>
          <w:highlight w:val="none"/>
        </w:rPr>
        <w:fldChar w:fldCharType="end"/>
      </w:r>
    </w:p>
    <w:p w14:paraId="348138A7">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_Toc20944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六、 </w:t>
      </w:r>
      <w:r>
        <w:rPr>
          <w:rFonts w:hint="eastAsia" w:ascii="宋体" w:hAnsi="宋体" w:eastAsia="宋体" w:cs="宋体"/>
          <w:color w:val="auto"/>
          <w:highlight w:val="none"/>
        </w:rPr>
        <w:t>采购中止的情形</w:t>
      </w:r>
      <w:r>
        <w:rPr>
          <w:color w:val="auto"/>
        </w:rPr>
        <w:tab/>
      </w:r>
      <w:r>
        <w:rPr>
          <w:color w:val="auto"/>
        </w:rPr>
        <w:fldChar w:fldCharType="begin"/>
      </w:r>
      <w:r>
        <w:rPr>
          <w:color w:val="auto"/>
        </w:rPr>
        <w:instrText xml:space="preserve"> PAGEREF _Toc20944 \h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32"/>
          <w:highlight w:val="none"/>
        </w:rPr>
        <w:fldChar w:fldCharType="end"/>
      </w:r>
    </w:p>
    <w:p w14:paraId="423A813B">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_Toc29177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七、 </w:t>
      </w:r>
      <w:r>
        <w:rPr>
          <w:rFonts w:hint="eastAsia" w:ascii="宋体" w:hAnsi="宋体" w:eastAsia="宋体" w:cs="宋体"/>
          <w:color w:val="auto"/>
          <w:highlight w:val="none"/>
        </w:rPr>
        <w:t>确定成交供应商与签订合同</w:t>
      </w:r>
      <w:r>
        <w:rPr>
          <w:color w:val="auto"/>
        </w:rPr>
        <w:tab/>
      </w:r>
      <w:r>
        <w:rPr>
          <w:color w:val="auto"/>
        </w:rPr>
        <w:fldChar w:fldCharType="begin"/>
      </w:r>
      <w:r>
        <w:rPr>
          <w:color w:val="auto"/>
        </w:rPr>
        <w:instrText xml:space="preserve"> PAGEREF _Toc29177 \h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32"/>
          <w:highlight w:val="none"/>
        </w:rPr>
        <w:fldChar w:fldCharType="end"/>
      </w:r>
    </w:p>
    <w:p w14:paraId="3DD7A602">
      <w:pPr>
        <w:pStyle w:val="20"/>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_Toc28335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第三部分 采购内容及要求</w:t>
      </w:r>
      <w:r>
        <w:rPr>
          <w:color w:val="auto"/>
        </w:rPr>
        <w:tab/>
      </w:r>
      <w:r>
        <w:rPr>
          <w:color w:val="auto"/>
        </w:rPr>
        <w:fldChar w:fldCharType="begin"/>
      </w:r>
      <w:r>
        <w:rPr>
          <w:color w:val="auto"/>
        </w:rPr>
        <w:instrText xml:space="preserve"> PAGEREF _Toc28335 \h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32"/>
          <w:highlight w:val="none"/>
        </w:rPr>
        <w:fldChar w:fldCharType="end"/>
      </w:r>
    </w:p>
    <w:p w14:paraId="3B3409BB">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_Toc7143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第一章 采购内容及要求</w:t>
      </w:r>
      <w:r>
        <w:rPr>
          <w:color w:val="auto"/>
        </w:rPr>
        <w:tab/>
      </w:r>
      <w:r>
        <w:rPr>
          <w:color w:val="auto"/>
        </w:rPr>
        <w:fldChar w:fldCharType="begin"/>
      </w:r>
      <w:r>
        <w:rPr>
          <w:color w:val="auto"/>
        </w:rPr>
        <w:instrText xml:space="preserve"> PAGEREF _Toc7143 \h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32"/>
          <w:highlight w:val="none"/>
        </w:rPr>
        <w:fldChar w:fldCharType="end"/>
      </w:r>
    </w:p>
    <w:p w14:paraId="01438074">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_Toc14690 </w:instrText>
      </w:r>
      <w:r>
        <w:rPr>
          <w:rFonts w:hint="eastAsia" w:ascii="宋体" w:hAnsi="宋体" w:eastAsia="宋体" w:cs="宋体"/>
          <w:color w:val="auto"/>
          <w:szCs w:val="32"/>
          <w:highlight w:val="none"/>
        </w:rPr>
        <w:fldChar w:fldCharType="separate"/>
      </w:r>
      <w:r>
        <w:rPr>
          <w:rFonts w:hint="eastAsia"/>
          <w:color w:val="auto"/>
          <w:szCs w:val="28"/>
          <w:lang w:eastAsia="zh-CN"/>
        </w:rPr>
        <w:t>第二章</w:t>
      </w:r>
      <w:r>
        <w:rPr>
          <w:rFonts w:hint="eastAsia"/>
          <w:color w:val="auto"/>
          <w:szCs w:val="28"/>
          <w:lang w:val="en-US" w:eastAsia="zh-CN"/>
        </w:rPr>
        <w:t xml:space="preserve"> </w:t>
      </w:r>
      <w:r>
        <w:rPr>
          <w:rFonts w:hint="eastAsia"/>
          <w:color w:val="auto"/>
          <w:szCs w:val="28"/>
        </w:rPr>
        <w:t>付款方式及要求</w:t>
      </w:r>
      <w:r>
        <w:rPr>
          <w:color w:val="auto"/>
        </w:rPr>
        <w:tab/>
      </w:r>
      <w:r>
        <w:rPr>
          <w:color w:val="auto"/>
        </w:rPr>
        <w:fldChar w:fldCharType="begin"/>
      </w:r>
      <w:r>
        <w:rPr>
          <w:color w:val="auto"/>
        </w:rPr>
        <w:instrText xml:space="preserve"> PAGEREF _Toc14690 \h </w:instrText>
      </w:r>
      <w:r>
        <w:rPr>
          <w:color w:val="auto"/>
        </w:rPr>
        <w:fldChar w:fldCharType="separate"/>
      </w:r>
      <w:r>
        <w:rPr>
          <w:color w:val="auto"/>
        </w:rPr>
        <w:t>20</w:t>
      </w:r>
      <w:r>
        <w:rPr>
          <w:color w:val="auto"/>
        </w:rPr>
        <w:fldChar w:fldCharType="end"/>
      </w:r>
      <w:r>
        <w:rPr>
          <w:rFonts w:hint="eastAsia" w:ascii="宋体" w:hAnsi="宋体" w:eastAsia="宋体" w:cs="宋体"/>
          <w:color w:val="auto"/>
          <w:szCs w:val="32"/>
          <w:highlight w:val="none"/>
        </w:rPr>
        <w:fldChar w:fldCharType="end"/>
      </w:r>
    </w:p>
    <w:p w14:paraId="3F1A8B3B">
      <w:pPr>
        <w:pStyle w:val="20"/>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_Toc1021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第四部分 磋商原则及磋商方法</w:t>
      </w:r>
      <w:r>
        <w:rPr>
          <w:color w:val="auto"/>
        </w:rPr>
        <w:tab/>
      </w:r>
      <w:r>
        <w:rPr>
          <w:color w:val="auto"/>
        </w:rPr>
        <w:fldChar w:fldCharType="begin"/>
      </w:r>
      <w:r>
        <w:rPr>
          <w:color w:val="auto"/>
        </w:rPr>
        <w:instrText xml:space="preserve"> PAGEREF _Toc1021 \h </w:instrText>
      </w:r>
      <w:r>
        <w:rPr>
          <w:color w:val="auto"/>
        </w:rPr>
        <w:fldChar w:fldCharType="separate"/>
      </w:r>
      <w:r>
        <w:rPr>
          <w:color w:val="auto"/>
        </w:rPr>
        <w:t>21</w:t>
      </w:r>
      <w:r>
        <w:rPr>
          <w:color w:val="auto"/>
        </w:rPr>
        <w:fldChar w:fldCharType="end"/>
      </w:r>
      <w:r>
        <w:rPr>
          <w:rFonts w:hint="eastAsia" w:ascii="宋体" w:hAnsi="宋体" w:eastAsia="宋体" w:cs="宋体"/>
          <w:color w:val="auto"/>
          <w:szCs w:val="32"/>
          <w:highlight w:val="none"/>
        </w:rPr>
        <w:fldChar w:fldCharType="end"/>
      </w:r>
    </w:p>
    <w:p w14:paraId="4E73CADB">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_Toc17341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一、 </w:t>
      </w:r>
      <w:r>
        <w:rPr>
          <w:rFonts w:hint="eastAsia" w:ascii="宋体" w:hAnsi="宋体" w:eastAsia="宋体" w:cs="宋体"/>
          <w:color w:val="auto"/>
          <w:highlight w:val="none"/>
        </w:rPr>
        <w:t>磋商原则</w:t>
      </w:r>
      <w:r>
        <w:rPr>
          <w:color w:val="auto"/>
        </w:rPr>
        <w:tab/>
      </w:r>
      <w:r>
        <w:rPr>
          <w:color w:val="auto"/>
        </w:rPr>
        <w:fldChar w:fldCharType="begin"/>
      </w:r>
      <w:r>
        <w:rPr>
          <w:color w:val="auto"/>
        </w:rPr>
        <w:instrText xml:space="preserve"> PAGEREF _Toc17341 \h </w:instrText>
      </w:r>
      <w:r>
        <w:rPr>
          <w:color w:val="auto"/>
        </w:rPr>
        <w:fldChar w:fldCharType="separate"/>
      </w:r>
      <w:r>
        <w:rPr>
          <w:color w:val="auto"/>
        </w:rPr>
        <w:t>21</w:t>
      </w:r>
      <w:r>
        <w:rPr>
          <w:color w:val="auto"/>
        </w:rPr>
        <w:fldChar w:fldCharType="end"/>
      </w:r>
      <w:r>
        <w:rPr>
          <w:rFonts w:hint="eastAsia" w:ascii="宋体" w:hAnsi="宋体" w:eastAsia="宋体" w:cs="宋体"/>
          <w:color w:val="auto"/>
          <w:szCs w:val="32"/>
          <w:highlight w:val="none"/>
        </w:rPr>
        <w:fldChar w:fldCharType="end"/>
      </w:r>
    </w:p>
    <w:p w14:paraId="1FFC1EC1">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_Toc19386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二、 </w:t>
      </w:r>
      <w:r>
        <w:rPr>
          <w:rFonts w:hint="eastAsia" w:ascii="宋体" w:hAnsi="宋体" w:eastAsia="宋体" w:cs="宋体"/>
          <w:color w:val="auto"/>
          <w:highlight w:val="none"/>
        </w:rPr>
        <w:t>磋商程序</w:t>
      </w:r>
      <w:r>
        <w:rPr>
          <w:color w:val="auto"/>
        </w:rPr>
        <w:tab/>
      </w:r>
      <w:r>
        <w:rPr>
          <w:color w:val="auto"/>
        </w:rPr>
        <w:fldChar w:fldCharType="begin"/>
      </w:r>
      <w:r>
        <w:rPr>
          <w:color w:val="auto"/>
        </w:rPr>
        <w:instrText xml:space="preserve"> PAGEREF _Toc19386 \h </w:instrText>
      </w:r>
      <w:r>
        <w:rPr>
          <w:color w:val="auto"/>
        </w:rPr>
        <w:fldChar w:fldCharType="separate"/>
      </w:r>
      <w:r>
        <w:rPr>
          <w:color w:val="auto"/>
        </w:rPr>
        <w:t>22</w:t>
      </w:r>
      <w:r>
        <w:rPr>
          <w:color w:val="auto"/>
        </w:rPr>
        <w:fldChar w:fldCharType="end"/>
      </w:r>
      <w:r>
        <w:rPr>
          <w:rFonts w:hint="eastAsia" w:ascii="宋体" w:hAnsi="宋体" w:eastAsia="宋体" w:cs="宋体"/>
          <w:color w:val="auto"/>
          <w:szCs w:val="32"/>
          <w:highlight w:val="none"/>
        </w:rPr>
        <w:fldChar w:fldCharType="end"/>
      </w:r>
    </w:p>
    <w:p w14:paraId="533EA703">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_Toc11321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三、 </w:t>
      </w:r>
      <w:r>
        <w:rPr>
          <w:rFonts w:hint="eastAsia" w:ascii="宋体" w:hAnsi="宋体" w:eastAsia="宋体" w:cs="宋体"/>
          <w:color w:val="auto"/>
          <w:highlight w:val="none"/>
        </w:rPr>
        <w:t>注意事项</w:t>
      </w:r>
      <w:r>
        <w:rPr>
          <w:color w:val="auto"/>
        </w:rPr>
        <w:tab/>
      </w:r>
      <w:r>
        <w:rPr>
          <w:color w:val="auto"/>
        </w:rPr>
        <w:fldChar w:fldCharType="begin"/>
      </w:r>
      <w:r>
        <w:rPr>
          <w:color w:val="auto"/>
        </w:rPr>
        <w:instrText xml:space="preserve"> PAGEREF _Toc11321 \h </w:instrText>
      </w:r>
      <w:r>
        <w:rPr>
          <w:color w:val="auto"/>
        </w:rPr>
        <w:fldChar w:fldCharType="separate"/>
      </w:r>
      <w:r>
        <w:rPr>
          <w:color w:val="auto"/>
        </w:rPr>
        <w:t>25</w:t>
      </w:r>
      <w:r>
        <w:rPr>
          <w:color w:val="auto"/>
        </w:rPr>
        <w:fldChar w:fldCharType="end"/>
      </w:r>
      <w:r>
        <w:rPr>
          <w:rFonts w:hint="eastAsia" w:ascii="宋体" w:hAnsi="宋体" w:eastAsia="宋体" w:cs="宋体"/>
          <w:color w:val="auto"/>
          <w:szCs w:val="32"/>
          <w:highlight w:val="none"/>
        </w:rPr>
        <w:fldChar w:fldCharType="end"/>
      </w:r>
    </w:p>
    <w:p w14:paraId="7915E9D5">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_Toc30407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rPr>
        <w:t xml:space="preserve">四、 </w:t>
      </w:r>
      <w:r>
        <w:rPr>
          <w:rFonts w:hint="eastAsia" w:ascii="宋体" w:hAnsi="宋体" w:eastAsia="宋体" w:cs="宋体"/>
          <w:color w:val="auto"/>
          <w:highlight w:val="none"/>
        </w:rPr>
        <w:t>评分细则</w:t>
      </w:r>
      <w:r>
        <w:rPr>
          <w:color w:val="auto"/>
        </w:rPr>
        <w:tab/>
      </w:r>
      <w:r>
        <w:rPr>
          <w:color w:val="auto"/>
        </w:rPr>
        <w:fldChar w:fldCharType="begin"/>
      </w:r>
      <w:r>
        <w:rPr>
          <w:color w:val="auto"/>
        </w:rPr>
        <w:instrText xml:space="preserve"> PAGEREF _Toc30407 \h </w:instrText>
      </w:r>
      <w:r>
        <w:rPr>
          <w:color w:val="auto"/>
        </w:rPr>
        <w:fldChar w:fldCharType="separate"/>
      </w:r>
      <w:r>
        <w:rPr>
          <w:color w:val="auto"/>
        </w:rPr>
        <w:t>26</w:t>
      </w:r>
      <w:r>
        <w:rPr>
          <w:color w:val="auto"/>
        </w:rPr>
        <w:fldChar w:fldCharType="end"/>
      </w:r>
      <w:r>
        <w:rPr>
          <w:rFonts w:hint="eastAsia" w:ascii="宋体" w:hAnsi="宋体" w:eastAsia="宋体" w:cs="宋体"/>
          <w:color w:val="auto"/>
          <w:szCs w:val="32"/>
          <w:highlight w:val="none"/>
        </w:rPr>
        <w:fldChar w:fldCharType="end"/>
      </w:r>
    </w:p>
    <w:p w14:paraId="24152E98">
      <w:pPr>
        <w:pStyle w:val="20"/>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_Toc4777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第五部分 采购合同</w:t>
      </w:r>
      <w:r>
        <w:rPr>
          <w:color w:val="auto"/>
        </w:rPr>
        <w:tab/>
      </w:r>
      <w:r>
        <w:rPr>
          <w:color w:val="auto"/>
        </w:rPr>
        <w:fldChar w:fldCharType="begin"/>
      </w:r>
      <w:r>
        <w:rPr>
          <w:color w:val="auto"/>
        </w:rPr>
        <w:instrText xml:space="preserve"> PAGEREF _Toc4777 \h </w:instrText>
      </w:r>
      <w:r>
        <w:rPr>
          <w:color w:val="auto"/>
        </w:rPr>
        <w:fldChar w:fldCharType="separate"/>
      </w:r>
      <w:r>
        <w:rPr>
          <w:color w:val="auto"/>
        </w:rPr>
        <w:t>30</w:t>
      </w:r>
      <w:r>
        <w:rPr>
          <w:color w:val="auto"/>
        </w:rPr>
        <w:fldChar w:fldCharType="end"/>
      </w:r>
      <w:r>
        <w:rPr>
          <w:rFonts w:hint="eastAsia" w:ascii="宋体" w:hAnsi="宋体" w:eastAsia="宋体" w:cs="宋体"/>
          <w:color w:val="auto"/>
          <w:szCs w:val="32"/>
          <w:highlight w:val="none"/>
        </w:rPr>
        <w:fldChar w:fldCharType="end"/>
      </w:r>
    </w:p>
    <w:p w14:paraId="57E7E81F">
      <w:pPr>
        <w:pStyle w:val="20"/>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_Toc19794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第六部分 应提交的有关格式范例</w:t>
      </w:r>
      <w:r>
        <w:rPr>
          <w:color w:val="auto"/>
        </w:rPr>
        <w:tab/>
      </w:r>
      <w:r>
        <w:rPr>
          <w:color w:val="auto"/>
        </w:rPr>
        <w:fldChar w:fldCharType="begin"/>
      </w:r>
      <w:r>
        <w:rPr>
          <w:color w:val="auto"/>
        </w:rPr>
        <w:instrText xml:space="preserve"> PAGEREF _Toc19794 \h </w:instrText>
      </w:r>
      <w:r>
        <w:rPr>
          <w:color w:val="auto"/>
        </w:rPr>
        <w:fldChar w:fldCharType="separate"/>
      </w:r>
      <w:r>
        <w:rPr>
          <w:color w:val="auto"/>
        </w:rPr>
        <w:t>35</w:t>
      </w:r>
      <w:r>
        <w:rPr>
          <w:color w:val="auto"/>
        </w:rPr>
        <w:fldChar w:fldCharType="end"/>
      </w:r>
      <w:r>
        <w:rPr>
          <w:rFonts w:hint="eastAsia" w:ascii="宋体" w:hAnsi="宋体" w:eastAsia="宋体" w:cs="宋体"/>
          <w:color w:val="auto"/>
          <w:szCs w:val="32"/>
          <w:highlight w:val="none"/>
        </w:rPr>
        <w:fldChar w:fldCharType="end"/>
      </w:r>
    </w:p>
    <w:p w14:paraId="0321807E">
      <w:pPr>
        <w:pStyle w:val="23"/>
        <w:tabs>
          <w:tab w:val="right" w:leader="dot" w:pos="830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_Toc12188 </w:instrText>
      </w:r>
      <w:r>
        <w:rPr>
          <w:rFonts w:hint="eastAsia" w:ascii="宋体" w:hAnsi="宋体" w:eastAsia="宋体" w:cs="宋体"/>
          <w:color w:val="auto"/>
          <w:szCs w:val="32"/>
          <w:highlight w:val="none"/>
        </w:rPr>
        <w:fldChar w:fldCharType="separate"/>
      </w:r>
      <w:r>
        <w:rPr>
          <w:rFonts w:hint="eastAsia" w:ascii="宋体" w:hAnsi="宋体" w:cs="宋体"/>
          <w:bCs/>
          <w:color w:val="auto"/>
          <w:szCs w:val="36"/>
        </w:rPr>
        <w:t>资格文件部分</w:t>
      </w:r>
      <w:r>
        <w:rPr>
          <w:color w:val="auto"/>
        </w:rPr>
        <w:tab/>
      </w:r>
      <w:r>
        <w:rPr>
          <w:color w:val="auto"/>
        </w:rPr>
        <w:fldChar w:fldCharType="begin"/>
      </w:r>
      <w:r>
        <w:rPr>
          <w:color w:val="auto"/>
        </w:rPr>
        <w:instrText xml:space="preserve"> PAGEREF _Toc12188 \h </w:instrText>
      </w:r>
      <w:r>
        <w:rPr>
          <w:color w:val="auto"/>
        </w:rPr>
        <w:fldChar w:fldCharType="separate"/>
      </w:r>
      <w:r>
        <w:rPr>
          <w:color w:val="auto"/>
        </w:rPr>
        <w:t>36</w:t>
      </w:r>
      <w:r>
        <w:rPr>
          <w:color w:val="auto"/>
        </w:rPr>
        <w:fldChar w:fldCharType="end"/>
      </w:r>
      <w:r>
        <w:rPr>
          <w:rFonts w:hint="eastAsia" w:ascii="宋体" w:hAnsi="宋体" w:eastAsia="宋体" w:cs="宋体"/>
          <w:color w:val="auto"/>
          <w:szCs w:val="32"/>
          <w:highlight w:val="none"/>
        </w:rPr>
        <w:fldChar w:fldCharType="end"/>
      </w:r>
    </w:p>
    <w:p w14:paraId="36990377">
      <w:pPr>
        <w:pStyle w:val="5"/>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Cs w:val="32"/>
          <w:highlight w:val="none"/>
        </w:rPr>
        <w:fldChar w:fldCharType="end"/>
      </w:r>
    </w:p>
    <w:p w14:paraId="37B3E088">
      <w:pPr>
        <w:rPr>
          <w:rFonts w:hint="eastAsia" w:ascii="宋体" w:hAnsi="宋体" w:eastAsia="宋体" w:cs="宋体"/>
          <w:color w:val="auto"/>
          <w:highlight w:val="none"/>
        </w:rPr>
      </w:pPr>
    </w:p>
    <w:p w14:paraId="71DF6D61">
      <w:pPr>
        <w:rPr>
          <w:rFonts w:hint="eastAsia" w:ascii="宋体" w:hAnsi="宋体" w:eastAsia="宋体" w:cs="宋体"/>
          <w:color w:val="auto"/>
          <w:highlight w:val="none"/>
        </w:rPr>
      </w:pPr>
    </w:p>
    <w:p w14:paraId="5F9F6CB1">
      <w:pPr>
        <w:rPr>
          <w:rFonts w:hint="eastAsia" w:ascii="宋体" w:hAnsi="宋体" w:eastAsia="宋体" w:cs="宋体"/>
          <w:color w:val="auto"/>
          <w:highlight w:val="none"/>
        </w:rPr>
      </w:pPr>
    </w:p>
    <w:p w14:paraId="7297D530">
      <w:pPr>
        <w:rPr>
          <w:rFonts w:hint="eastAsia" w:ascii="宋体" w:hAnsi="宋体" w:eastAsia="宋体" w:cs="宋体"/>
          <w:color w:val="auto"/>
          <w:highlight w:val="none"/>
        </w:rPr>
      </w:pPr>
    </w:p>
    <w:p w14:paraId="30425BC5">
      <w:pPr>
        <w:tabs>
          <w:tab w:val="left" w:pos="3148"/>
        </w:tabs>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3C908186">
      <w:pPr>
        <w:pStyle w:val="4"/>
        <w:jc w:val="center"/>
        <w:rPr>
          <w:rFonts w:hint="eastAsia" w:ascii="宋体" w:hAnsi="宋体" w:eastAsia="宋体" w:cs="宋体"/>
          <w:color w:val="auto"/>
          <w:highlight w:val="none"/>
        </w:rPr>
      </w:pPr>
      <w:bookmarkStart w:id="0" w:name="_Toc10746"/>
      <w:bookmarkStart w:id="1" w:name="_Toc31034"/>
      <w:bookmarkStart w:id="2" w:name="_Toc32199"/>
      <w:bookmarkStart w:id="3" w:name="第二部分"/>
      <w:bookmarkStart w:id="4" w:name="_Toc91899870"/>
      <w:r>
        <w:rPr>
          <w:rFonts w:hint="eastAsia" w:ascii="宋体" w:hAnsi="宋体" w:eastAsia="宋体" w:cs="宋体"/>
          <w:color w:val="auto"/>
          <w:sz w:val="36"/>
          <w:szCs w:val="36"/>
          <w:highlight w:val="none"/>
        </w:rPr>
        <w:t>第一部分 磋商公告</w:t>
      </w:r>
      <w:bookmarkEnd w:id="0"/>
      <w:bookmarkEnd w:id="1"/>
      <w:bookmarkEnd w:id="2"/>
    </w:p>
    <w:p w14:paraId="09DB888C">
      <w:pPr>
        <w:adjustRightInd w:val="0"/>
        <w:spacing w:line="360" w:lineRule="auto"/>
        <w:ind w:right="-313" w:rightChars="-149"/>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浙江省成套工程有限公司</w:t>
      </w:r>
      <w:r>
        <w:rPr>
          <w:rFonts w:hint="eastAsia" w:ascii="宋体" w:hAnsi="宋体" w:eastAsia="宋体" w:cs="宋体"/>
          <w:color w:val="auto"/>
          <w:sz w:val="28"/>
          <w:szCs w:val="28"/>
          <w:highlight w:val="none"/>
        </w:rPr>
        <w:t>关于</w:t>
      </w:r>
      <w:r>
        <w:rPr>
          <w:rFonts w:hint="eastAsia" w:ascii="宋体" w:hAnsi="宋体" w:cs="宋体"/>
          <w:color w:val="auto"/>
          <w:sz w:val="28"/>
          <w:szCs w:val="28"/>
          <w:highlight w:val="none"/>
          <w:lang w:eastAsia="zh-CN"/>
        </w:rPr>
        <w:t>绍兴市上虞区商务局2024年绍兴市上虞区商务局小微企业出口信用保险政府联保服务</w:t>
      </w:r>
      <w:r>
        <w:rPr>
          <w:rFonts w:hint="eastAsia" w:ascii="宋体" w:hAnsi="宋体" w:eastAsia="宋体" w:cs="宋体"/>
          <w:color w:val="auto"/>
          <w:sz w:val="28"/>
          <w:szCs w:val="28"/>
          <w:highlight w:val="none"/>
        </w:rPr>
        <w:t>的竞争性磋商公告</w:t>
      </w:r>
    </w:p>
    <w:p w14:paraId="2D5A34BC">
      <w:pP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公告日期：202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12</w:t>
      </w:r>
      <w:bookmarkStart w:id="100" w:name="_GoBack"/>
      <w:bookmarkEnd w:id="100"/>
      <w:r>
        <w:rPr>
          <w:rFonts w:hint="eastAsia" w:ascii="宋体" w:hAnsi="宋体" w:eastAsia="宋体" w:cs="宋体"/>
          <w:color w:val="auto"/>
          <w:sz w:val="28"/>
          <w:szCs w:val="28"/>
          <w:highlight w:val="none"/>
        </w:rPr>
        <w:t>日</w:t>
      </w:r>
    </w:p>
    <w:p w14:paraId="27AB063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val="en-US" w:eastAsia="zh-CN"/>
        </w:rPr>
        <w:t>浙江省成套工程有限公司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eastAsia="zh-CN"/>
        </w:rPr>
        <w:t>绍兴市上虞区商务局</w:t>
      </w:r>
      <w:r>
        <w:rPr>
          <w:rFonts w:hint="eastAsia" w:ascii="宋体" w:hAnsi="宋体" w:eastAsia="宋体" w:cs="宋体"/>
          <w:color w:val="auto"/>
          <w:sz w:val="24"/>
          <w:szCs w:val="24"/>
          <w:highlight w:val="none"/>
        </w:rPr>
        <w:t>委托，现就</w:t>
      </w:r>
      <w:r>
        <w:rPr>
          <w:rFonts w:hint="eastAsia" w:ascii="宋体" w:hAnsi="宋体" w:cs="宋体"/>
          <w:color w:val="auto"/>
          <w:sz w:val="24"/>
          <w:szCs w:val="24"/>
          <w:highlight w:val="none"/>
          <w:u w:val="single"/>
          <w:lang w:eastAsia="zh-CN"/>
        </w:rPr>
        <w:t>2024年绍兴市上虞区商务局小微企业出口信用保险政府联保服务</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rPr>
        <w:t>竞争性磋商采购进行</w:t>
      </w:r>
      <w:r>
        <w:rPr>
          <w:rFonts w:hint="eastAsia" w:ascii="宋体" w:hAnsi="宋体" w:eastAsia="宋体" w:cs="宋体"/>
          <w:color w:val="auto"/>
          <w:sz w:val="24"/>
          <w:szCs w:val="24"/>
          <w:highlight w:val="none"/>
          <w:u w:val="single"/>
        </w:rPr>
        <w:t>竞争性磋商公告</w:t>
      </w:r>
      <w:r>
        <w:rPr>
          <w:rFonts w:hint="eastAsia" w:ascii="宋体" w:hAnsi="宋体" w:eastAsia="宋体" w:cs="宋体"/>
          <w:color w:val="auto"/>
          <w:sz w:val="24"/>
          <w:szCs w:val="24"/>
          <w:highlight w:val="none"/>
        </w:rPr>
        <w:t>，欢迎国内合格的供应商参加本次采购活动。</w:t>
      </w:r>
    </w:p>
    <w:p w14:paraId="46CE37AF">
      <w:pPr>
        <w:adjustRightIn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一． 磋商项目编号：</w:t>
      </w:r>
      <w:r>
        <w:rPr>
          <w:rFonts w:hint="eastAsia" w:ascii="宋体" w:hAnsi="宋体" w:cs="宋体"/>
          <w:color w:val="auto"/>
          <w:sz w:val="24"/>
          <w:szCs w:val="24"/>
          <w:highlight w:val="none"/>
          <w:lang w:val="en-US" w:eastAsia="zh-CN"/>
        </w:rPr>
        <w:t xml:space="preserve">FSJZCS2024034  </w:t>
      </w:r>
    </w:p>
    <w:p w14:paraId="3DCF0C7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采购组织类型：</w:t>
      </w:r>
      <w:r>
        <w:rPr>
          <w:rFonts w:hint="eastAsia" w:ascii="宋体" w:hAnsi="宋体" w:eastAsia="宋体" w:cs="宋体"/>
          <w:color w:val="auto"/>
          <w:sz w:val="24"/>
          <w:szCs w:val="24"/>
          <w:highlight w:val="none"/>
          <w:u w:val="single"/>
        </w:rPr>
        <w:t xml:space="preserve"> 分散采购（中介代理）</w:t>
      </w:r>
      <w:r>
        <w:rPr>
          <w:rFonts w:hint="eastAsia" w:ascii="宋体" w:hAnsi="宋体" w:eastAsia="宋体" w:cs="宋体"/>
          <w:color w:val="auto"/>
          <w:sz w:val="24"/>
          <w:szCs w:val="24"/>
          <w:highlight w:val="none"/>
        </w:rPr>
        <w:t xml:space="preserve"> </w:t>
      </w:r>
    </w:p>
    <w:p w14:paraId="66E7B79A">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磋商项目概况:</w:t>
      </w:r>
    </w:p>
    <w:tbl>
      <w:tblPr>
        <w:tblStyle w:val="28"/>
        <w:tblW w:w="897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007"/>
        <w:gridCol w:w="2781"/>
        <w:gridCol w:w="941"/>
        <w:gridCol w:w="648"/>
      </w:tblGrid>
      <w:tr w14:paraId="51FDA7D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7AE8FDC1">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07" w:type="dxa"/>
            <w:tcBorders>
              <w:top w:val="single" w:color="000000" w:sz="4" w:space="0"/>
            </w:tcBorders>
            <w:vAlign w:val="center"/>
          </w:tcPr>
          <w:p w14:paraId="38DCE817">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5" w:type="dxa"/>
            <w:tcBorders>
              <w:top w:val="single" w:color="000000" w:sz="4" w:space="0"/>
            </w:tcBorders>
            <w:vAlign w:val="center"/>
          </w:tcPr>
          <w:p w14:paraId="17D499C0">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75" w:type="dxa"/>
            <w:tcBorders>
              <w:top w:val="single" w:color="000000" w:sz="4" w:space="0"/>
            </w:tcBorders>
            <w:vAlign w:val="center"/>
          </w:tcPr>
          <w:p w14:paraId="7790A152">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07" w:type="dxa"/>
            <w:tcBorders>
              <w:top w:val="single" w:color="000000" w:sz="4" w:space="0"/>
            </w:tcBorders>
            <w:vAlign w:val="center"/>
          </w:tcPr>
          <w:p w14:paraId="6124EFA9">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预算金额(万元)</w:t>
            </w:r>
          </w:p>
        </w:tc>
        <w:tc>
          <w:tcPr>
            <w:tcW w:w="2781" w:type="dxa"/>
            <w:tcBorders>
              <w:top w:val="single" w:color="000000" w:sz="4" w:space="0"/>
            </w:tcBorders>
            <w:vAlign w:val="center"/>
          </w:tcPr>
          <w:p w14:paraId="313360F0">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941" w:type="dxa"/>
            <w:tcBorders>
              <w:top w:val="single" w:color="000000" w:sz="4" w:space="0"/>
            </w:tcBorders>
            <w:vAlign w:val="center"/>
          </w:tcPr>
          <w:p w14:paraId="71365429">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最高限价(万元)</w:t>
            </w:r>
          </w:p>
        </w:tc>
        <w:tc>
          <w:tcPr>
            <w:tcW w:w="648" w:type="dxa"/>
            <w:tcBorders>
              <w:top w:val="single" w:color="000000" w:sz="4" w:space="0"/>
            </w:tcBorders>
            <w:vAlign w:val="center"/>
          </w:tcPr>
          <w:p w14:paraId="6806FF7B">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1FD765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9" w:type="dxa"/>
            <w:tcBorders>
              <w:bottom w:val="single" w:color="000000" w:sz="4" w:space="0"/>
            </w:tcBorders>
            <w:vAlign w:val="center"/>
          </w:tcPr>
          <w:p w14:paraId="562F8C30">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7" w:type="dxa"/>
            <w:tcBorders>
              <w:bottom w:val="single" w:color="000000" w:sz="4" w:space="0"/>
            </w:tcBorders>
            <w:vAlign w:val="center"/>
          </w:tcPr>
          <w:p w14:paraId="2E485547">
            <w:pPr>
              <w:pStyle w:val="15"/>
              <w:snapToGrid w:val="0"/>
              <w:spacing w:before="120" w:after="12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2024年绍兴市上虞区商务局小微企业出口信用保险政府联保服务</w:t>
            </w:r>
          </w:p>
        </w:tc>
        <w:tc>
          <w:tcPr>
            <w:tcW w:w="645" w:type="dxa"/>
            <w:tcBorders>
              <w:bottom w:val="single" w:color="000000" w:sz="4" w:space="0"/>
            </w:tcBorders>
            <w:vAlign w:val="center"/>
          </w:tcPr>
          <w:p w14:paraId="42A9720F">
            <w:pP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675" w:type="dxa"/>
            <w:tcBorders>
              <w:bottom w:val="single" w:color="000000" w:sz="4" w:space="0"/>
            </w:tcBorders>
            <w:vAlign w:val="center"/>
          </w:tcPr>
          <w:p w14:paraId="350F4929">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007" w:type="dxa"/>
            <w:tcBorders>
              <w:bottom w:val="single" w:color="000000" w:sz="4" w:space="0"/>
            </w:tcBorders>
            <w:vAlign w:val="center"/>
          </w:tcPr>
          <w:p w14:paraId="06E045FD">
            <w:pPr>
              <w:widowControl/>
              <w:spacing w:before="100" w:after="100"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200</w:t>
            </w:r>
          </w:p>
        </w:tc>
        <w:tc>
          <w:tcPr>
            <w:tcW w:w="2781" w:type="dxa"/>
            <w:tcBorders>
              <w:bottom w:val="single" w:color="000000" w:sz="4" w:space="0"/>
            </w:tcBorders>
            <w:vAlign w:val="center"/>
          </w:tcPr>
          <w:p w14:paraId="50ADD906">
            <w:pPr>
              <w:pStyle w:val="15"/>
              <w:snapToGrid w:val="0"/>
              <w:spacing w:before="120" w:after="120"/>
              <w:jc w:val="center"/>
              <w:rPr>
                <w:rFonts w:hint="eastAsia" w:ascii="宋体" w:hAnsi="宋体" w:eastAsia="宋体" w:cs="宋体"/>
                <w:color w:val="auto"/>
                <w:sz w:val="24"/>
                <w:szCs w:val="24"/>
                <w:highlight w:val="none"/>
              </w:rPr>
            </w:pPr>
            <w:r>
              <w:rPr>
                <w:rFonts w:hint="eastAsia" w:hAnsi="宋体" w:cs="Times New Roman"/>
                <w:color w:val="auto"/>
                <w:sz w:val="24"/>
                <w:szCs w:val="24"/>
              </w:rPr>
              <w:t>详见采购需求</w:t>
            </w:r>
          </w:p>
        </w:tc>
        <w:tc>
          <w:tcPr>
            <w:tcW w:w="941" w:type="dxa"/>
            <w:tcBorders>
              <w:bottom w:val="single" w:color="000000" w:sz="4" w:space="0"/>
            </w:tcBorders>
            <w:vAlign w:val="center"/>
          </w:tcPr>
          <w:p w14:paraId="76842BB6">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w:t>
            </w:r>
          </w:p>
        </w:tc>
        <w:tc>
          <w:tcPr>
            <w:tcW w:w="648" w:type="dxa"/>
            <w:tcBorders>
              <w:bottom w:val="single" w:color="000000" w:sz="4" w:space="0"/>
            </w:tcBorders>
            <w:vAlign w:val="center"/>
          </w:tcPr>
          <w:p w14:paraId="5D586AD5">
            <w:pP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53874F6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合格供应商资格要求:</w:t>
      </w:r>
    </w:p>
    <w:p w14:paraId="502093EF">
      <w:pPr>
        <w:numPr>
          <w:ilvl w:val="0"/>
          <w:numId w:val="2"/>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14:paraId="74619539">
      <w:pPr>
        <w:numPr>
          <w:ilvl w:val="0"/>
          <w:numId w:val="2"/>
        </w:numPr>
        <w:wordWrap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特定资格条件：具有中国保险监督管理委员会颁发的《经营保险业务许可证》、且具有</w:t>
      </w:r>
      <w:r>
        <w:rPr>
          <w:rFonts w:hint="eastAsia" w:ascii="宋体" w:hAnsi="宋体" w:cs="宋体"/>
          <w:color w:val="auto"/>
          <w:sz w:val="24"/>
          <w:szCs w:val="24"/>
          <w:lang w:val="en-US" w:eastAsia="zh-CN"/>
        </w:rPr>
        <w:t>财政部</w:t>
      </w:r>
      <w:r>
        <w:rPr>
          <w:rFonts w:hint="eastAsia" w:ascii="宋体" w:hAnsi="宋体" w:eastAsia="宋体" w:cs="宋体"/>
          <w:color w:val="auto"/>
          <w:sz w:val="24"/>
          <w:szCs w:val="24"/>
        </w:rPr>
        <w:t>开展出口信用保险业务的相关凭证。</w:t>
      </w:r>
    </w:p>
    <w:p w14:paraId="39D7CE54">
      <w:pPr>
        <w:numPr>
          <w:ilvl w:val="0"/>
          <w:numId w:val="0"/>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 xml:space="preserve">不接受 </w:t>
      </w:r>
      <w:r>
        <w:rPr>
          <w:rFonts w:hint="eastAsia" w:ascii="宋体" w:hAnsi="宋体" w:eastAsia="宋体" w:cs="宋体"/>
          <w:color w:val="auto"/>
          <w:sz w:val="24"/>
          <w:szCs w:val="24"/>
          <w:highlight w:val="none"/>
        </w:rPr>
        <w:t>联合体参加磋商。</w:t>
      </w:r>
    </w:p>
    <w:p w14:paraId="23C2FA13">
      <w:pPr>
        <w:numPr>
          <w:ilvl w:val="0"/>
          <w:numId w:val="0"/>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sz w:val="24"/>
          <w:szCs w:val="24"/>
          <w:highlight w:val="none"/>
        </w:rPr>
        <w:t>本项目采用资格后审的审查方式，由磋商小组负责审查。</w:t>
      </w:r>
    </w:p>
    <w:p w14:paraId="078677A0">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10962F27">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bookmarkEnd w:id="5"/>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09:30</w:t>
      </w:r>
      <w:r>
        <w:rPr>
          <w:rFonts w:hint="eastAsia" w:ascii="宋体" w:hAnsi="宋体" w:eastAsia="宋体" w:cs="宋体"/>
          <w:color w:val="auto"/>
          <w:sz w:val="24"/>
          <w:szCs w:val="24"/>
          <w:highlight w:val="none"/>
        </w:rPr>
        <w:t>之前获取。</w:t>
      </w:r>
    </w:p>
    <w:p w14:paraId="650D35AA">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获取磋商文件方式：供应商登陆政采云平台http://www.zcygov.cn/，在线申请获取磋商文件（进入“项目采购”应用，在获取采购文件菜单中选择项目，申请获取采购文件）。</w:t>
      </w:r>
    </w:p>
    <w:p w14:paraId="0BB03983">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2B366AA7">
      <w:pPr>
        <w:numPr>
          <w:ilvl w:val="0"/>
          <w:numId w:val="4"/>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335BE937">
      <w:pPr>
        <w:numPr>
          <w:ilvl w:val="0"/>
          <w:numId w:val="4"/>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70625FBA">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5911F736">
      <w:pPr>
        <w:numPr>
          <w:ilvl w:val="0"/>
          <w:numId w:val="5"/>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bCs/>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73125F59">
      <w:pPr>
        <w:numPr>
          <w:ilvl w:val="0"/>
          <w:numId w:val="5"/>
        </w:numP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63D06BA9">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67165E4C">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07934B1A">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《CA管理学习专题》：</w:t>
      </w:r>
    </w:p>
    <w:p w14:paraId="28FF7EED">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https://edu.zcygov.cn/luban/ca?utm=web-government-front.380aac0a.0.0.fc2b6aa0b6e211ebbdb0dd007730dd44</w:t>
      </w:r>
    </w:p>
    <w:p w14:paraId="1FE38DE1">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《CA驱动和申领流程》:</w:t>
      </w:r>
    </w:p>
    <w:p w14:paraId="5ACD7E48">
      <w:pP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http://zfcg.czt.zj.gov.cn/bidClientTemplate/2019-05-27/12945.html</w:t>
      </w:r>
    </w:p>
    <w:p w14:paraId="5FB2512B">
      <w:pPr>
        <w:numPr>
          <w:ilvl w:val="0"/>
          <w:numId w:val="5"/>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3DDC2AD9">
      <w:pPr>
        <w:keepNext w:val="0"/>
        <w:keepLines w:val="0"/>
        <w:pageBreakBefore w:val="0"/>
        <w:widowControl w:val="0"/>
        <w:numPr>
          <w:ilvl w:val="0"/>
          <w:numId w:val="6"/>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7A9E42DE">
      <w:pPr>
        <w:keepNext w:val="0"/>
        <w:keepLines w:val="0"/>
        <w:pageBreakBefore w:val="0"/>
        <w:widowControl w:val="0"/>
        <w:numPr>
          <w:ilvl w:val="0"/>
          <w:numId w:val="6"/>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23C450D9">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577AC18E">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http://zfcg.czt.zj.gov.cn/bidClientTemplate/2019-09-24/12975.html</w:t>
      </w:r>
    </w:p>
    <w:p w14:paraId="17608D37">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《供应商-政府采购项目电子交易操作指南》：(需登录账号后查看)</w:t>
      </w:r>
    </w:p>
    <w:p w14:paraId="63BAF68F">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https://service.zcygov.cn/#/knowledges/tree?tag=AG1DtGwBFdiHxlNdhY0r</w:t>
      </w:r>
    </w:p>
    <w:p w14:paraId="190B68CA">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4.供应商在法定质疑期内应一次性提出针对同一采购程序环节的质疑。</w:t>
      </w:r>
    </w:p>
    <w:p w14:paraId="0DA945CB">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5.投标人可指派授权代表递交备份文件，授权代表递交备份文件需携带法定代表人授权书原件，于投标截止时间前到达开标地点递交。</w:t>
      </w:r>
    </w:p>
    <w:p w14:paraId="1DC2AD3A">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0BC5CE3C">
      <w:pPr>
        <w:keepNext w:val="0"/>
        <w:keepLines w:val="0"/>
        <w:pageBreakBefore w:val="0"/>
        <w:widowControl w:val="0"/>
        <w:numPr>
          <w:ilvl w:val="0"/>
          <w:numId w:val="7"/>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7452D23D">
      <w:pPr>
        <w:keepNext w:val="0"/>
        <w:keepLines w:val="0"/>
        <w:pageBreakBefore w:val="0"/>
        <w:widowControl w:val="0"/>
        <w:numPr>
          <w:ilvl w:val="0"/>
          <w:numId w:val="7"/>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 w:val="24"/>
          <w:szCs w:val="24"/>
          <w:highlight w:val="none"/>
          <w:lang w:eastAsia="zh-CN"/>
        </w:rPr>
        <w:t>。</w:t>
      </w:r>
    </w:p>
    <w:p w14:paraId="3CBE1F51">
      <w:pP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23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hAnsi="宋体" w:eastAsia="宋体" w:cs="宋体"/>
          <w:color w:val="auto"/>
          <w:kern w:val="0"/>
          <w:sz w:val="24"/>
          <w:szCs w:val="24"/>
          <w:highlight w:val="none"/>
        </w:rPr>
        <w:t>之前将电子磋商响应文件上传到“政采云”平台。</w:t>
      </w:r>
    </w:p>
    <w:p w14:paraId="0AACCEAF">
      <w:pP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bookmarkStart w:id="6" w:name="B30_开标地点"/>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23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分整在上虞区公共资源交易中心</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357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开标室开标。</w:t>
      </w:r>
      <w:bookmarkEnd w:id="6"/>
    </w:p>
    <w:p w14:paraId="7291975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10 : 00 前）供应商可以登录“政采云”平台，用“项目采购-开标评标”功能进行解密响应文件。若供应商在规定时间内（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10 : 00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40577C19">
      <w:pPr>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043CF62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21301FA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十．公告期限：3个工作日</w:t>
      </w:r>
    </w:p>
    <w:p w14:paraId="25B55697">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2E61C68D">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1．采购代理机构名称：</w:t>
      </w:r>
      <w:r>
        <w:rPr>
          <w:rFonts w:hint="eastAsia" w:ascii="宋体" w:hAnsi="宋体" w:cs="宋体"/>
          <w:color w:val="auto"/>
          <w:sz w:val="30"/>
          <w:szCs w:val="30"/>
          <w:highlight w:val="none"/>
          <w:lang w:val="en-US" w:eastAsia="zh-CN"/>
        </w:rPr>
        <w:t>浙江省成套工程有限公司</w:t>
      </w:r>
    </w:p>
    <w:p w14:paraId="38AFA7D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项建海</w:t>
      </w:r>
      <w:r>
        <w:rPr>
          <w:rFonts w:hint="eastAsia" w:ascii="宋体" w:hAnsi="宋体" w:eastAsia="宋体" w:cs="宋体"/>
          <w:color w:val="auto"/>
          <w:sz w:val="24"/>
          <w:szCs w:val="24"/>
          <w:highlight w:val="none"/>
        </w:rPr>
        <w:t xml:space="preserve">             </w:t>
      </w:r>
    </w:p>
    <w:p w14:paraId="39BDD5CD">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13819570604</w:t>
      </w:r>
      <w:r>
        <w:rPr>
          <w:rFonts w:hint="eastAsia" w:ascii="宋体" w:hAnsi="宋体" w:eastAsia="宋体" w:cs="宋体"/>
          <w:color w:val="auto"/>
          <w:sz w:val="24"/>
          <w:szCs w:val="24"/>
          <w:highlight w:val="none"/>
        </w:rPr>
        <w:t xml:space="preserve">         </w:t>
      </w:r>
    </w:p>
    <w:p w14:paraId="11F2BE8A">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eastAsia="zh-CN"/>
        </w:rPr>
        <w:t>章建锋</w:t>
      </w:r>
      <w:r>
        <w:rPr>
          <w:rFonts w:hint="eastAsia" w:ascii="宋体" w:hAnsi="宋体" w:eastAsia="宋体" w:cs="宋体"/>
          <w:color w:val="auto"/>
          <w:sz w:val="24"/>
          <w:szCs w:val="24"/>
          <w:highlight w:val="none"/>
        </w:rPr>
        <w:t xml:space="preserve">            </w:t>
      </w:r>
    </w:p>
    <w:p w14:paraId="6ED7EA5C">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质疑联系方式：13372401551     </w:t>
      </w:r>
    </w:p>
    <w:p w14:paraId="6BB859F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w:t>
      </w:r>
      <w:r>
        <w:rPr>
          <w:rFonts w:hint="eastAsia" w:ascii="宋体" w:hAnsi="宋体" w:cs="宋体"/>
          <w:color w:val="auto"/>
          <w:sz w:val="24"/>
          <w:szCs w:val="24"/>
          <w:highlight w:val="none"/>
          <w:lang w:val="en-US" w:eastAsia="zh-CN"/>
        </w:rPr>
        <w:t>财富广场6号楼902</w:t>
      </w:r>
      <w:r>
        <w:rPr>
          <w:rFonts w:hint="eastAsia" w:ascii="宋体" w:hAnsi="宋体" w:eastAsia="宋体" w:cs="宋体"/>
          <w:color w:val="auto"/>
          <w:sz w:val="24"/>
          <w:szCs w:val="24"/>
          <w:highlight w:val="none"/>
        </w:rPr>
        <w:t xml:space="preserve">  </w:t>
      </w:r>
    </w:p>
    <w:p w14:paraId="192CBAF0">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2．采购人名称：</w:t>
      </w:r>
      <w:r>
        <w:rPr>
          <w:rFonts w:hint="eastAsia" w:ascii="宋体" w:hAnsi="宋体" w:cs="宋体"/>
          <w:color w:val="auto"/>
          <w:sz w:val="24"/>
          <w:szCs w:val="24"/>
          <w:highlight w:val="none"/>
          <w:lang w:eastAsia="zh-CN"/>
        </w:rPr>
        <w:t>绍兴市上虞区商务局</w:t>
      </w:r>
      <w:r>
        <w:rPr>
          <w:rFonts w:hint="eastAsia" w:ascii="宋体" w:hAnsi="宋体" w:eastAsia="宋体" w:cs="宋体"/>
          <w:color w:val="auto"/>
          <w:sz w:val="24"/>
          <w:szCs w:val="24"/>
          <w:highlight w:val="none"/>
        </w:rPr>
        <w:t xml:space="preserve">  </w:t>
      </w:r>
    </w:p>
    <w:p w14:paraId="2C746F4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eastAsia="zh-CN"/>
        </w:rPr>
        <w:t>戚女士</w:t>
      </w:r>
    </w:p>
    <w:p w14:paraId="452D77EB">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cs="宋体"/>
          <w:color w:val="auto"/>
          <w:kern w:val="0"/>
          <w:sz w:val="24"/>
          <w:szCs w:val="24"/>
          <w:highlight w:val="none"/>
          <w:lang w:val="en-US" w:eastAsia="zh-CN"/>
        </w:rPr>
        <w:t>0575-82125484</w:t>
      </w:r>
    </w:p>
    <w:p w14:paraId="634D91F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质疑联系人：</w:t>
      </w:r>
      <w:r>
        <w:rPr>
          <w:rFonts w:hint="eastAsia" w:ascii="宋体" w:hAnsi="宋体" w:cs="宋体"/>
          <w:color w:val="auto"/>
          <w:sz w:val="24"/>
          <w:szCs w:val="24"/>
          <w:highlight w:val="none"/>
          <w:lang w:val="en-US" w:eastAsia="zh-CN"/>
        </w:rPr>
        <w:t>郭女士</w:t>
      </w:r>
      <w:r>
        <w:rPr>
          <w:rFonts w:hint="eastAsia" w:ascii="宋体" w:hAnsi="宋体" w:eastAsia="宋体" w:cs="宋体"/>
          <w:color w:val="auto"/>
          <w:sz w:val="24"/>
          <w:szCs w:val="24"/>
          <w:highlight w:val="none"/>
          <w:lang w:val="en-US" w:eastAsia="zh-CN"/>
        </w:rPr>
        <w:t xml:space="preserve">                      </w:t>
      </w:r>
    </w:p>
    <w:p w14:paraId="5366E08A">
      <w:pPr>
        <w:adjustRightInd w:val="0"/>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质疑联系方式：</w:t>
      </w:r>
      <w:r>
        <w:rPr>
          <w:rFonts w:hint="eastAsia" w:ascii="宋体" w:hAnsi="宋体" w:cs="宋体"/>
          <w:color w:val="auto"/>
          <w:sz w:val="24"/>
          <w:szCs w:val="24"/>
          <w:highlight w:val="none"/>
          <w:lang w:val="en-US" w:eastAsia="zh-CN"/>
        </w:rPr>
        <w:t>0575-82506753</w:t>
      </w:r>
    </w:p>
    <w:p w14:paraId="2998C979">
      <w:pPr>
        <w:adjustRightInd w:val="0"/>
        <w:spacing w:line="360" w:lineRule="auto"/>
        <w:ind w:firstLine="480" w:firstLineChars="200"/>
        <w:rPr>
          <w:rFonts w:hint="default" w:ascii="宋体" w:eastAsia="宋体"/>
          <w:color w:val="auto"/>
          <w:sz w:val="24"/>
          <w:szCs w:val="24"/>
          <w:lang w:val="en-US" w:eastAsia="zh-CN"/>
        </w:rPr>
      </w:pPr>
      <w:r>
        <w:rPr>
          <w:rFonts w:hint="eastAsia" w:ascii="宋体" w:hAnsi="宋体" w:cs="宋体"/>
          <w:color w:val="auto"/>
          <w:sz w:val="24"/>
          <w:szCs w:val="24"/>
        </w:rPr>
        <w:t>地址</w:t>
      </w:r>
      <w:r>
        <w:rPr>
          <w:rFonts w:hint="eastAsia" w:ascii="宋体" w:hAnsi="宋体" w:eastAsia="宋体" w:cs="宋体"/>
          <w:color w:val="auto"/>
          <w:kern w:val="0"/>
          <w:sz w:val="24"/>
          <w:szCs w:val="24"/>
          <w:highlight w:val="none"/>
          <w:lang w:val="en-US" w:eastAsia="zh-CN"/>
        </w:rPr>
        <w:t>：浙江省绍兴市上虞区市民大道1011号海关大楼4楼</w:t>
      </w:r>
    </w:p>
    <w:p w14:paraId="47F2FAB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3．同级政府采购监督管理部门名称：上虞区财政局政府采购监管科</w:t>
      </w:r>
    </w:p>
    <w:p w14:paraId="71EB24A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联系人：谷先生</w:t>
      </w:r>
    </w:p>
    <w:p w14:paraId="5964E32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监督投诉电话：0575-82130212</w:t>
      </w:r>
    </w:p>
    <w:p w14:paraId="441E19E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传真：0575-821</w:t>
      </w:r>
      <w:r>
        <w:rPr>
          <w:rFonts w:hint="eastAsia" w:ascii="宋体" w:hAnsi="宋体" w:eastAsia="宋体" w:cs="宋体"/>
          <w:color w:val="auto"/>
          <w:sz w:val="24"/>
          <w:szCs w:val="24"/>
          <w:highlight w:val="none"/>
          <w:lang w:val="en-US" w:eastAsia="zh-CN"/>
        </w:rPr>
        <w:t>54859</w:t>
      </w:r>
    </w:p>
    <w:p w14:paraId="4E1D3C2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地址：绍兴市上虞区体育场路18号</w:t>
      </w:r>
    </w:p>
    <w:p w14:paraId="15636DA5">
      <w:pPr>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bookmarkStart w:id="7" w:name="_Toc29834"/>
      <w:bookmarkStart w:id="8" w:name="_Toc990"/>
      <w:bookmarkStart w:id="9" w:name="_Toc546"/>
      <w:r>
        <w:rPr>
          <w:rStyle w:val="42"/>
          <w:rFonts w:hint="eastAsia" w:ascii="宋体" w:hAnsi="宋体" w:eastAsia="宋体" w:cs="宋体"/>
          <w:color w:val="auto"/>
          <w:sz w:val="36"/>
          <w:szCs w:val="36"/>
          <w:highlight w:val="none"/>
        </w:rPr>
        <w:t>第二部分</w:t>
      </w:r>
      <w:bookmarkEnd w:id="3"/>
      <w:r>
        <w:rPr>
          <w:rStyle w:val="42"/>
          <w:rFonts w:hint="eastAsia" w:ascii="宋体" w:hAnsi="宋体" w:eastAsia="宋体" w:cs="宋体"/>
          <w:color w:val="auto"/>
          <w:sz w:val="36"/>
          <w:szCs w:val="36"/>
          <w:highlight w:val="none"/>
        </w:rPr>
        <w:t xml:space="preserve"> </w:t>
      </w:r>
      <w:bookmarkEnd w:id="4"/>
      <w:r>
        <w:rPr>
          <w:rStyle w:val="42"/>
          <w:rFonts w:hint="eastAsia" w:ascii="宋体" w:hAnsi="宋体" w:eastAsia="宋体" w:cs="宋体"/>
          <w:color w:val="auto"/>
          <w:sz w:val="36"/>
          <w:szCs w:val="36"/>
          <w:highlight w:val="none"/>
        </w:rPr>
        <w:t>供应商须知</w:t>
      </w:r>
      <w:bookmarkEnd w:id="7"/>
      <w:bookmarkEnd w:id="8"/>
      <w:bookmarkEnd w:id="9"/>
    </w:p>
    <w:p w14:paraId="1E2C58EF">
      <w:pPr>
        <w:widowControl/>
        <w:adjustRightInd w:val="0"/>
        <w:snapToGrid w:val="0"/>
        <w:spacing w:line="360" w:lineRule="auto"/>
        <w:jc w:val="cente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0"/>
          <w:szCs w:val="30"/>
          <w:highlight w:val="none"/>
        </w:rPr>
        <w:t>供应商须知前附表</w:t>
      </w:r>
    </w:p>
    <w:tbl>
      <w:tblPr>
        <w:tblStyle w:val="28"/>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07273C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0CA23499">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3E3BBF25">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项目</w:t>
            </w:r>
          </w:p>
        </w:tc>
        <w:tc>
          <w:tcPr>
            <w:tcW w:w="6682" w:type="dxa"/>
            <w:tcBorders>
              <w:top w:val="double" w:color="auto" w:sz="4" w:space="0"/>
            </w:tcBorders>
            <w:vAlign w:val="center"/>
          </w:tcPr>
          <w:p w14:paraId="7249EA11">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内容</w:t>
            </w:r>
          </w:p>
        </w:tc>
      </w:tr>
      <w:tr w14:paraId="21ED5A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D54276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1800" w:type="dxa"/>
            <w:vAlign w:val="center"/>
          </w:tcPr>
          <w:p w14:paraId="1236C68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项目名称</w:t>
            </w:r>
          </w:p>
        </w:tc>
        <w:tc>
          <w:tcPr>
            <w:tcW w:w="6682" w:type="dxa"/>
            <w:vAlign w:val="center"/>
          </w:tcPr>
          <w:p w14:paraId="64C53668">
            <w:pPr>
              <w:snapToGrid w:val="0"/>
              <w:ind w:firstLine="420" w:firstLineChars="200"/>
              <w:rPr>
                <w:rFonts w:hint="eastAsia" w:ascii="宋体" w:hAnsi="宋体" w:eastAsia="宋体" w:cs="宋体"/>
                <w:snapToGrid w:val="0"/>
                <w:color w:val="auto"/>
                <w:kern w:val="0"/>
                <w:highlight w:val="none"/>
                <w:lang w:eastAsia="zh-CN"/>
              </w:rPr>
            </w:pPr>
            <w:r>
              <w:rPr>
                <w:rFonts w:hint="eastAsia" w:ascii="宋体" w:hAnsi="宋体" w:cs="宋体"/>
                <w:snapToGrid w:val="0"/>
                <w:color w:val="auto"/>
                <w:kern w:val="0"/>
                <w:highlight w:val="none"/>
                <w:lang w:eastAsia="zh-CN"/>
              </w:rPr>
              <w:t>2024年绍兴市上虞区商务局小微企业出口信用保险政府联保服务</w:t>
            </w:r>
          </w:p>
        </w:tc>
      </w:tr>
      <w:tr w14:paraId="185079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4E135F2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1800" w:type="dxa"/>
            <w:vAlign w:val="center"/>
          </w:tcPr>
          <w:p w14:paraId="49A37491">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服务周期</w:t>
            </w:r>
          </w:p>
        </w:tc>
        <w:tc>
          <w:tcPr>
            <w:tcW w:w="6682" w:type="dxa"/>
            <w:vAlign w:val="center"/>
          </w:tcPr>
          <w:p w14:paraId="297287CD">
            <w:pPr>
              <w:ind w:firstLine="42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自合同签订之日起至合同履行完毕</w:t>
            </w:r>
          </w:p>
        </w:tc>
      </w:tr>
      <w:tr w14:paraId="04291E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7FAFC6FB">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1800" w:type="dxa"/>
            <w:vAlign w:val="center"/>
          </w:tcPr>
          <w:p w14:paraId="1A6A6083">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最高限价</w:t>
            </w:r>
          </w:p>
        </w:tc>
        <w:tc>
          <w:tcPr>
            <w:tcW w:w="6682" w:type="dxa"/>
            <w:vAlign w:val="center"/>
          </w:tcPr>
          <w:p w14:paraId="6E359DD6">
            <w:pPr>
              <w:snapToGrid w:val="0"/>
              <w:ind w:firstLine="420" w:firstLineChars="200"/>
              <w:rPr>
                <w:rFonts w:hint="eastAsia" w:ascii="宋体" w:hAnsi="宋体" w:eastAsia="宋体" w:cs="宋体"/>
                <w:b/>
                <w:bCs/>
                <w:snapToGrid w:val="0"/>
                <w:color w:val="auto"/>
                <w:kern w:val="0"/>
                <w:highlight w:val="none"/>
              </w:rPr>
            </w:pPr>
            <w:r>
              <w:rPr>
                <w:rFonts w:hint="eastAsia" w:ascii="宋体" w:hAnsi="宋体" w:eastAsia="宋体" w:cs="宋体"/>
                <w:color w:val="auto"/>
                <w:highlight w:val="none"/>
              </w:rPr>
              <w:t>本项目最高限价人民币</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200</w:t>
            </w:r>
            <w:r>
              <w:rPr>
                <w:rFonts w:hint="eastAsia" w:ascii="宋体" w:hAnsi="宋体" w:eastAsia="宋体" w:cs="宋体"/>
                <w:color w:val="auto"/>
                <w:highlight w:val="none"/>
              </w:rPr>
              <w:t>万元。</w:t>
            </w:r>
          </w:p>
        </w:tc>
      </w:tr>
      <w:tr w14:paraId="5B4FDF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DB6F27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4</w:t>
            </w:r>
          </w:p>
        </w:tc>
        <w:tc>
          <w:tcPr>
            <w:tcW w:w="1800" w:type="dxa"/>
            <w:vAlign w:val="center"/>
          </w:tcPr>
          <w:p w14:paraId="7806594B">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资格审查方式</w:t>
            </w:r>
          </w:p>
        </w:tc>
        <w:tc>
          <w:tcPr>
            <w:tcW w:w="6682" w:type="dxa"/>
            <w:vAlign w:val="center"/>
          </w:tcPr>
          <w:p w14:paraId="305597EA">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资格审查是指开标后，磋商小组将依据法律法规和磋商文件的规定对供应商的资格进行审查。</w:t>
            </w:r>
          </w:p>
        </w:tc>
      </w:tr>
      <w:tr w14:paraId="249D21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11F7FD3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w:t>
            </w:r>
          </w:p>
        </w:tc>
        <w:tc>
          <w:tcPr>
            <w:tcW w:w="1800" w:type="dxa"/>
            <w:vAlign w:val="center"/>
          </w:tcPr>
          <w:p w14:paraId="6CBC0945">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踏勘现场</w:t>
            </w:r>
          </w:p>
        </w:tc>
        <w:tc>
          <w:tcPr>
            <w:tcW w:w="6682" w:type="dxa"/>
            <w:vAlign w:val="center"/>
          </w:tcPr>
          <w:p w14:paraId="39A9A6FD">
            <w:pPr>
              <w:snapToGrid w:val="0"/>
              <w:ind w:firstLine="42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本项目不组织现场踏勘</w:t>
            </w:r>
          </w:p>
        </w:tc>
      </w:tr>
      <w:tr w14:paraId="7DA00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7821BF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p>
        </w:tc>
        <w:tc>
          <w:tcPr>
            <w:tcW w:w="1800" w:type="dxa"/>
            <w:vAlign w:val="center"/>
          </w:tcPr>
          <w:p w14:paraId="18546491">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询问</w:t>
            </w:r>
          </w:p>
        </w:tc>
        <w:tc>
          <w:tcPr>
            <w:tcW w:w="6682" w:type="dxa"/>
            <w:vAlign w:val="center"/>
          </w:tcPr>
          <w:p w14:paraId="2393F6F6">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6AADD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128CF2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w:t>
            </w:r>
          </w:p>
        </w:tc>
        <w:tc>
          <w:tcPr>
            <w:tcW w:w="1800" w:type="dxa"/>
            <w:vAlign w:val="center"/>
          </w:tcPr>
          <w:p w14:paraId="2AC79EB8">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磋商文件的澄清与修改</w:t>
            </w:r>
          </w:p>
        </w:tc>
        <w:tc>
          <w:tcPr>
            <w:tcW w:w="6682" w:type="dxa"/>
            <w:vAlign w:val="center"/>
          </w:tcPr>
          <w:p w14:paraId="7FEB60A6">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eastAsia="宋体" w:cs="宋体"/>
                <w:snapToGrid w:val="0"/>
                <w:color w:val="auto"/>
                <w:kern w:val="0"/>
                <w:highlight w:val="none"/>
                <w:lang w:val="en-US" w:eastAsia="zh-CN"/>
              </w:rPr>
              <w:t>止</w:t>
            </w:r>
            <w:r>
              <w:rPr>
                <w:rFonts w:hint="eastAsia" w:ascii="宋体" w:hAnsi="宋体" w:eastAsia="宋体" w:cs="宋体"/>
                <w:snapToGrid w:val="0"/>
                <w:color w:val="auto"/>
                <w:kern w:val="0"/>
                <w:highlight w:val="none"/>
              </w:rPr>
              <w:t>时间至少5日前，在磋商公告发布的媒体上发布更正公告。本项目磋商文件和补充（答疑、澄清）、修改文件等请自行登录浙江政府采购网或绍兴市上虞区公共资源交易中心网站查看。</w:t>
            </w:r>
          </w:p>
        </w:tc>
      </w:tr>
      <w:tr w14:paraId="287A3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0AC2E18">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w:t>
            </w:r>
          </w:p>
        </w:tc>
        <w:tc>
          <w:tcPr>
            <w:tcW w:w="1800" w:type="dxa"/>
            <w:vAlign w:val="center"/>
          </w:tcPr>
          <w:p w14:paraId="48FD1D7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磋商响应文件组成</w:t>
            </w:r>
          </w:p>
        </w:tc>
        <w:tc>
          <w:tcPr>
            <w:tcW w:w="6682" w:type="dxa"/>
            <w:vAlign w:val="center"/>
          </w:tcPr>
          <w:p w14:paraId="4A97B7EC">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供应商向采购人递交的响应文件由资格文件、商务技术文件、报价文件三部分组成。</w:t>
            </w:r>
          </w:p>
        </w:tc>
      </w:tr>
      <w:tr w14:paraId="3FC03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40C08365">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w:t>
            </w:r>
          </w:p>
        </w:tc>
        <w:tc>
          <w:tcPr>
            <w:tcW w:w="1800" w:type="dxa"/>
            <w:vAlign w:val="center"/>
          </w:tcPr>
          <w:p w14:paraId="2A7DFD51">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评标办法</w:t>
            </w:r>
          </w:p>
        </w:tc>
        <w:tc>
          <w:tcPr>
            <w:tcW w:w="6682" w:type="dxa"/>
            <w:vAlign w:val="center"/>
          </w:tcPr>
          <w:p w14:paraId="6ED5E771">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综合评分法</w:t>
            </w:r>
          </w:p>
        </w:tc>
      </w:tr>
      <w:tr w14:paraId="3B3101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C0B39F3">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w:t>
            </w:r>
          </w:p>
        </w:tc>
        <w:tc>
          <w:tcPr>
            <w:tcW w:w="1800" w:type="dxa"/>
            <w:vAlign w:val="center"/>
          </w:tcPr>
          <w:p w14:paraId="2FC6F8EB">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磋商响应文件递交地址及截止时间</w:t>
            </w:r>
          </w:p>
        </w:tc>
        <w:tc>
          <w:tcPr>
            <w:tcW w:w="6682" w:type="dxa"/>
            <w:vAlign w:val="center"/>
          </w:tcPr>
          <w:p w14:paraId="241A4A42">
            <w:pP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详见磋商公告</w:t>
            </w:r>
          </w:p>
        </w:tc>
      </w:tr>
      <w:tr w14:paraId="67C42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454B91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w:t>
            </w:r>
          </w:p>
        </w:tc>
        <w:tc>
          <w:tcPr>
            <w:tcW w:w="1800" w:type="dxa"/>
            <w:vAlign w:val="center"/>
          </w:tcPr>
          <w:p w14:paraId="1926DC91">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开标时间、地点</w:t>
            </w:r>
          </w:p>
        </w:tc>
        <w:tc>
          <w:tcPr>
            <w:tcW w:w="6682" w:type="dxa"/>
            <w:vAlign w:val="center"/>
          </w:tcPr>
          <w:p w14:paraId="39FB794C">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w:t>
            </w:r>
            <w:r>
              <w:rPr>
                <w:rFonts w:hint="eastAsia" w:ascii="宋体" w:hAnsi="宋体" w:eastAsia="宋体" w:cs="宋体"/>
                <w:color w:val="auto"/>
                <w:kern w:val="0"/>
                <w:highlight w:val="none"/>
              </w:rPr>
              <w:t>详见磋商公告</w:t>
            </w:r>
          </w:p>
          <w:p w14:paraId="243D906F">
            <w:pP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开标地点：</w:t>
            </w:r>
            <w:r>
              <w:rPr>
                <w:rFonts w:hint="eastAsia" w:ascii="宋体" w:hAnsi="宋体" w:eastAsia="宋体" w:cs="宋体"/>
                <w:color w:val="auto"/>
                <w:kern w:val="0"/>
                <w:highlight w:val="none"/>
              </w:rPr>
              <w:t>详见磋商公告</w:t>
            </w:r>
          </w:p>
        </w:tc>
      </w:tr>
      <w:tr w14:paraId="40BB71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EC06F7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w:t>
            </w:r>
          </w:p>
        </w:tc>
        <w:tc>
          <w:tcPr>
            <w:tcW w:w="1800" w:type="dxa"/>
            <w:vAlign w:val="center"/>
          </w:tcPr>
          <w:p w14:paraId="432F0635">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磋商响应文件有效期</w:t>
            </w:r>
          </w:p>
        </w:tc>
        <w:tc>
          <w:tcPr>
            <w:tcW w:w="6682" w:type="dxa"/>
            <w:vAlign w:val="center"/>
          </w:tcPr>
          <w:p w14:paraId="771C2D6C">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响应文件有效期为从提交响应文件的截止之日起90天。供应商的响应文件中承诺的响应文件有效期少于磋商文件中载明的响应文件有效期的，磋商无效。</w:t>
            </w:r>
          </w:p>
        </w:tc>
      </w:tr>
      <w:tr w14:paraId="3A09EC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48" w:type="dxa"/>
            <w:vAlign w:val="center"/>
          </w:tcPr>
          <w:p w14:paraId="02D7B01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13</w:t>
            </w:r>
          </w:p>
        </w:tc>
        <w:tc>
          <w:tcPr>
            <w:tcW w:w="1800" w:type="dxa"/>
            <w:vAlign w:val="center"/>
          </w:tcPr>
          <w:p w14:paraId="4F9CBEB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履约保证金</w:t>
            </w:r>
          </w:p>
        </w:tc>
        <w:tc>
          <w:tcPr>
            <w:tcW w:w="6682" w:type="dxa"/>
            <w:vAlign w:val="center"/>
          </w:tcPr>
          <w:p w14:paraId="6D24714D">
            <w:pPr>
              <w:widowControl/>
              <w:ind w:firstLine="420" w:firstLineChars="200"/>
              <w:jc w:val="left"/>
              <w:rPr>
                <w:rFonts w:hint="eastAsia" w:ascii="宋体" w:hAnsi="宋体" w:eastAsia="宋体" w:cs="宋体"/>
                <w:color w:val="auto"/>
                <w:kern w:val="0"/>
                <w:highlight w:val="none"/>
                <w:lang w:val="en-US" w:eastAsia="zh-CN"/>
              </w:rPr>
            </w:pPr>
            <w:r>
              <w:rPr>
                <w:rFonts w:hint="eastAsia" w:ascii="宋体" w:hAnsi="宋体" w:eastAsia="宋体" w:cs="宋体"/>
                <w:snapToGrid w:val="0"/>
                <w:color w:val="auto"/>
                <w:kern w:val="0"/>
                <w:highlight w:val="none"/>
                <w:lang w:val="en-US" w:eastAsia="zh-CN"/>
              </w:rPr>
              <w:t>中标单位</w:t>
            </w:r>
            <w:r>
              <w:rPr>
                <w:rFonts w:hint="eastAsia" w:ascii="宋体" w:hAnsi="宋体" w:eastAsia="宋体" w:cs="宋体"/>
                <w:snapToGrid w:val="0"/>
                <w:color w:val="auto"/>
                <w:kern w:val="0"/>
                <w:highlight w:val="none"/>
              </w:rPr>
              <w:t>在收到中标通知书后，需向</w:t>
            </w:r>
            <w:r>
              <w:rPr>
                <w:rFonts w:hint="eastAsia" w:ascii="宋体" w:hAnsi="宋体" w:eastAsia="宋体" w:cs="宋体"/>
                <w:snapToGrid w:val="0"/>
                <w:color w:val="auto"/>
                <w:kern w:val="0"/>
                <w:highlight w:val="none"/>
                <w:lang w:val="en-US" w:eastAsia="zh-CN"/>
              </w:rPr>
              <w:t>采购人</w:t>
            </w:r>
            <w:r>
              <w:rPr>
                <w:rFonts w:hint="eastAsia" w:ascii="宋体" w:hAnsi="宋体" w:eastAsia="宋体" w:cs="宋体"/>
                <w:snapToGrid w:val="0"/>
                <w:color w:val="auto"/>
                <w:kern w:val="0"/>
                <w:highlight w:val="none"/>
              </w:rPr>
              <w:t>提供</w:t>
            </w:r>
            <w:r>
              <w:rPr>
                <w:rFonts w:hint="eastAsia" w:ascii="宋体" w:hAnsi="宋体" w:eastAsia="宋体" w:cs="宋体"/>
                <w:snapToGrid w:val="0"/>
                <w:color w:val="auto"/>
                <w:kern w:val="0"/>
                <w:highlight w:val="none"/>
                <w:lang w:val="en-US" w:eastAsia="zh-CN"/>
              </w:rPr>
              <w:t xml:space="preserve">合同款  1%  </w:t>
            </w:r>
            <w:r>
              <w:rPr>
                <w:rFonts w:hint="eastAsia" w:ascii="宋体" w:hAnsi="宋体" w:eastAsia="宋体" w:cs="宋体"/>
                <w:snapToGrid w:val="0"/>
                <w:color w:val="auto"/>
                <w:kern w:val="0"/>
                <w:highlight w:val="none"/>
              </w:rPr>
              <w:t>的履约保证金，在乙方与甲方签订合同前递交，合同期满后或提前终止合同后一个月内向乙方无息退还全额履约保证金。（乙方应当以支票、汇票、本票或者金融机构、保险公司、担保机构出具的保函等非现金形式提交）。</w:t>
            </w:r>
          </w:p>
        </w:tc>
      </w:tr>
      <w:tr w14:paraId="5F55B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E3D412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14</w:t>
            </w:r>
          </w:p>
        </w:tc>
        <w:tc>
          <w:tcPr>
            <w:tcW w:w="1800" w:type="dxa"/>
            <w:vAlign w:val="center"/>
          </w:tcPr>
          <w:p w14:paraId="7C37E22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磋商公告及成交结果公告发布媒体</w:t>
            </w:r>
          </w:p>
        </w:tc>
        <w:tc>
          <w:tcPr>
            <w:tcW w:w="6682" w:type="dxa"/>
            <w:vAlign w:val="center"/>
          </w:tcPr>
          <w:p w14:paraId="38AECB91">
            <w:pPr>
              <w:pStyle w:val="15"/>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浙江省政府采购网、 绍兴市上虞区公共资源交易中心网站</w:t>
            </w:r>
          </w:p>
        </w:tc>
      </w:tr>
      <w:tr w14:paraId="27F470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55E771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800" w:type="dxa"/>
            <w:vAlign w:val="center"/>
          </w:tcPr>
          <w:p w14:paraId="65A9710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质疑</w:t>
            </w:r>
          </w:p>
        </w:tc>
        <w:tc>
          <w:tcPr>
            <w:tcW w:w="6682" w:type="dxa"/>
            <w:vAlign w:val="center"/>
          </w:tcPr>
          <w:p w14:paraId="4B57986B">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根据《中华人民共和国政府采购法》第五十二条、《中华人民共和国政府采购法实施条例》第五十三条、《浙江省政府采购供应商质疑处理办法》的规定：</w:t>
            </w:r>
          </w:p>
          <w:p w14:paraId="35B1BB2E">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认为磋商文件使自己的权益受到损害的，可以在磋商文件公告期限届满之日起7个工作日内，以书面形式向采购人和采购代理机构提出质疑。供应商在法定质疑期内应一次性提出针对同一采购程序环节的质疑。</w:t>
            </w:r>
          </w:p>
          <w:p w14:paraId="0113F0DB">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供应商如认为采购过程使自身的合法权益受到损害的，应于各采购程序环节结束之日起七个工作日内以书面形式向采购机构提出质疑；</w:t>
            </w:r>
          </w:p>
          <w:p w14:paraId="47260672">
            <w:pP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highlight w:val="none"/>
              </w:rPr>
              <w:t>。</w:t>
            </w:r>
          </w:p>
        </w:tc>
      </w:tr>
      <w:tr w14:paraId="7BBDCD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30557B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w:t>
            </w:r>
          </w:p>
        </w:tc>
        <w:tc>
          <w:tcPr>
            <w:tcW w:w="1800" w:type="dxa"/>
            <w:vAlign w:val="center"/>
          </w:tcPr>
          <w:p w14:paraId="14CC8A46">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投诉</w:t>
            </w:r>
          </w:p>
        </w:tc>
        <w:tc>
          <w:tcPr>
            <w:tcW w:w="6682" w:type="dxa"/>
            <w:vAlign w:val="center"/>
          </w:tcPr>
          <w:p w14:paraId="29F8F82B">
            <w:pP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092301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A6BA5E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w:t>
            </w:r>
          </w:p>
        </w:tc>
        <w:tc>
          <w:tcPr>
            <w:tcW w:w="1800" w:type="dxa"/>
            <w:vAlign w:val="center"/>
          </w:tcPr>
          <w:p w14:paraId="6FDA25D1">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特别说明</w:t>
            </w:r>
          </w:p>
        </w:tc>
        <w:tc>
          <w:tcPr>
            <w:tcW w:w="6682" w:type="dxa"/>
            <w:vAlign w:val="center"/>
          </w:tcPr>
          <w:p w14:paraId="46E3F11E">
            <w:pPr>
              <w:pStyle w:val="15"/>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105BA846">
            <w:pPr>
              <w:pStyle w:val="15"/>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2E019352">
            <w:pPr>
              <w:pStyle w:val="15"/>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质疑、投诉人未按前列进行质疑、投诉（申诉），均属于扰乱政府采购市场不良行为。</w:t>
            </w:r>
          </w:p>
          <w:p w14:paraId="4443A14A">
            <w:pPr>
              <w:pStyle w:val="15"/>
              <w:snapToGrid w:val="0"/>
              <w:ind w:firstLine="420" w:firstLineChars="200"/>
              <w:jc w:val="left"/>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磋商文件中凡标注“</w:t>
            </w:r>
            <w:r>
              <w:rPr>
                <w:rFonts w:hint="eastAsia" w:ascii="宋体" w:hAnsi="宋体" w:eastAsia="宋体" w:cs="宋体"/>
                <w:color w:val="auto"/>
                <w:highlight w:val="none"/>
              </w:rPr>
              <w:t>★</w:t>
            </w:r>
            <w:r>
              <w:rPr>
                <w:rFonts w:hint="eastAsia" w:ascii="宋体" w:hAnsi="宋体" w:eastAsia="宋体" w:cs="宋体"/>
                <w:color w:val="auto"/>
                <w:kern w:val="0"/>
                <w:highlight w:val="none"/>
              </w:rPr>
              <w:t>”的条款均为实质性要求，不响应的响应文件将作无效标处理。</w:t>
            </w:r>
          </w:p>
        </w:tc>
      </w:tr>
      <w:tr w14:paraId="6AACC5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2933A1E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w:t>
            </w:r>
          </w:p>
        </w:tc>
        <w:tc>
          <w:tcPr>
            <w:tcW w:w="1800" w:type="dxa"/>
            <w:vAlign w:val="center"/>
          </w:tcPr>
          <w:p w14:paraId="019CA03E">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支</w:t>
            </w:r>
          </w:p>
          <w:p w14:paraId="0836E4B1">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持</w:t>
            </w:r>
          </w:p>
          <w:p w14:paraId="716169A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中</w:t>
            </w:r>
          </w:p>
          <w:p w14:paraId="37EA820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小</w:t>
            </w:r>
          </w:p>
          <w:p w14:paraId="65FFC181">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企</w:t>
            </w:r>
          </w:p>
          <w:p w14:paraId="33F1FFF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业</w:t>
            </w:r>
          </w:p>
          <w:p w14:paraId="6514ABBA">
            <w:pPr>
              <w:snapToGrid w:val="0"/>
              <w:jc w:val="center"/>
              <w:rPr>
                <w:rFonts w:hint="eastAsia" w:ascii="宋体" w:hAnsi="宋体" w:eastAsia="宋体" w:cs="宋体"/>
                <w:color w:val="auto"/>
                <w:highlight w:val="none"/>
              </w:rPr>
            </w:pPr>
          </w:p>
        </w:tc>
        <w:tc>
          <w:tcPr>
            <w:tcW w:w="6682" w:type="dxa"/>
            <w:vAlign w:val="center"/>
          </w:tcPr>
          <w:p w14:paraId="7EE95E0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09C529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7AB698F3">
            <w:pPr>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08BE55C3">
            <w:pPr>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在服务采购项目中，服务由小微企业承接，即提供服务的人员为小微企业依照《中华人民共和国劳动合同法》订立劳动合同的从业人员。</w:t>
            </w:r>
          </w:p>
          <w:p w14:paraId="13434791">
            <w:pPr>
              <w:bidi w:val="0"/>
              <w:ind w:firstLine="420" w:firstLineChars="200"/>
              <w:rPr>
                <w:rFonts w:hint="eastAsia" w:ascii="宋体" w:hAnsi="宋体" w:eastAsia="宋体" w:cs="宋体"/>
                <w:color w:val="auto"/>
                <w:highlight w:val="none"/>
              </w:rPr>
            </w:pPr>
            <w:bookmarkStart w:id="10" w:name="_Toc16526"/>
            <w:r>
              <w:rPr>
                <w:rFonts w:hint="eastAsia" w:ascii="宋体" w:hAnsi="宋体" w:eastAsia="宋体" w:cs="宋体"/>
                <w:color w:val="auto"/>
                <w:highlight w:val="none"/>
              </w:rPr>
              <w:t>联合体各方均为小型、微型企业的，联合体视同为小型、微型企业。</w:t>
            </w:r>
            <w:bookmarkEnd w:id="10"/>
          </w:p>
          <w:p w14:paraId="52051A1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46077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给予扣除，用扣除后的价格参加评审。</w:t>
            </w:r>
          </w:p>
          <w:p w14:paraId="09D6322F">
            <w:pPr>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315CEF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8D1545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19</w:t>
            </w:r>
          </w:p>
        </w:tc>
        <w:tc>
          <w:tcPr>
            <w:tcW w:w="1800" w:type="dxa"/>
            <w:vAlign w:val="center"/>
          </w:tcPr>
          <w:p w14:paraId="0152C94E">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6682" w:type="dxa"/>
            <w:vAlign w:val="center"/>
          </w:tcPr>
          <w:p w14:paraId="441B079C">
            <w:pPr>
              <w:autoSpaceDN w:val="0"/>
              <w:spacing w:line="34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招标代理服务费由成交供应商支付，按下列服务招标计算方式</w:t>
            </w:r>
            <w:r>
              <w:rPr>
                <w:rFonts w:hint="eastAsia" w:ascii="宋体" w:hAnsi="宋体" w:cs="宋体"/>
                <w:snapToGrid w:val="0"/>
                <w:color w:val="auto"/>
                <w:kern w:val="0"/>
                <w:highlight w:val="none"/>
                <w:lang w:eastAsia="zh-CN"/>
              </w:rPr>
              <w:t>按累进制</w:t>
            </w:r>
            <w:r>
              <w:rPr>
                <w:rFonts w:hint="eastAsia" w:ascii="宋体" w:hAnsi="宋体" w:cs="宋体"/>
                <w:snapToGrid w:val="0"/>
                <w:color w:val="auto"/>
                <w:kern w:val="0"/>
                <w:highlight w:val="none"/>
                <w:lang w:val="en-US" w:eastAsia="zh-CN"/>
              </w:rPr>
              <w:t>6.8折</w:t>
            </w:r>
            <w:r>
              <w:rPr>
                <w:rFonts w:hint="eastAsia" w:ascii="宋体" w:hAnsi="宋体" w:eastAsia="宋体" w:cs="宋体"/>
                <w:snapToGrid w:val="0"/>
                <w:color w:val="auto"/>
                <w:kern w:val="0"/>
                <w:highlight w:val="none"/>
              </w:rPr>
              <w:t>计取。</w:t>
            </w:r>
          </w:p>
          <w:tbl>
            <w:tblPr>
              <w:tblStyle w:val="28"/>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24356F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6D7A04F1">
                  <w:pPr>
                    <w:jc w:val="center"/>
                    <w:rPr>
                      <w:rFonts w:hint="eastAsia" w:ascii="宋体" w:hAnsi="宋体" w:eastAsia="宋体" w:cs="宋体"/>
                      <w:color w:val="auto"/>
                      <w:highlight w:val="none"/>
                    </w:rPr>
                  </w:pPr>
                  <w:r>
                    <w:rPr>
                      <w:rFonts w:hint="eastAsia" w:ascii="宋体" w:hAnsi="宋体" w:eastAsia="宋体" w:cs="宋体"/>
                      <w:color w:val="auto"/>
                      <w:highlight w:val="none"/>
                    </w:rPr>
                    <w:t>服务类型 中标金额（万元）</w:t>
                  </w:r>
                </w:p>
              </w:tc>
              <w:tc>
                <w:tcPr>
                  <w:tcW w:w="1300" w:type="dxa"/>
                  <w:tcBorders>
                    <w:top w:val="outset" w:color="auto" w:sz="6" w:space="0"/>
                    <w:left w:val="outset" w:color="auto" w:sz="6" w:space="0"/>
                    <w:bottom w:val="outset" w:color="auto" w:sz="6" w:space="0"/>
                    <w:right w:val="outset" w:color="auto" w:sz="6" w:space="0"/>
                  </w:tcBorders>
                  <w:vAlign w:val="center"/>
                </w:tcPr>
                <w:p w14:paraId="09A6EDCA">
                  <w:pPr>
                    <w:pStyle w:val="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300" w:type="dxa"/>
                  <w:tcBorders>
                    <w:top w:val="outset" w:color="auto" w:sz="6" w:space="0"/>
                    <w:left w:val="outset" w:color="auto" w:sz="6" w:space="0"/>
                    <w:bottom w:val="outset" w:color="auto" w:sz="6" w:space="0"/>
                    <w:right w:val="outset" w:color="auto" w:sz="6" w:space="0"/>
                  </w:tcBorders>
                  <w:vAlign w:val="center"/>
                </w:tcPr>
                <w:p w14:paraId="598B4B15">
                  <w:pPr>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60" w:type="dxa"/>
                  <w:tcBorders>
                    <w:top w:val="outset" w:color="auto" w:sz="6" w:space="0"/>
                    <w:left w:val="outset" w:color="auto" w:sz="6" w:space="0"/>
                    <w:bottom w:val="outset" w:color="auto" w:sz="6" w:space="0"/>
                    <w:right w:val="outset" w:color="auto" w:sz="6" w:space="0"/>
                  </w:tcBorders>
                  <w:vAlign w:val="center"/>
                </w:tcPr>
                <w:p w14:paraId="5C7A7174">
                  <w:pPr>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4CC304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82D425D">
                  <w:pPr>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00" w:type="dxa"/>
                  <w:tcBorders>
                    <w:top w:val="outset" w:color="auto" w:sz="6" w:space="0"/>
                    <w:left w:val="outset" w:color="auto" w:sz="6" w:space="0"/>
                    <w:bottom w:val="outset" w:color="auto" w:sz="6" w:space="0"/>
                    <w:right w:val="outset" w:color="auto" w:sz="6" w:space="0"/>
                  </w:tcBorders>
                  <w:vAlign w:val="center"/>
                </w:tcPr>
                <w:p w14:paraId="175BCE36">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00" w:type="dxa"/>
                  <w:tcBorders>
                    <w:top w:val="outset" w:color="auto" w:sz="6" w:space="0"/>
                    <w:left w:val="outset" w:color="auto" w:sz="6" w:space="0"/>
                    <w:bottom w:val="outset" w:color="auto" w:sz="6" w:space="0"/>
                    <w:right w:val="outset" w:color="auto" w:sz="6" w:space="0"/>
                  </w:tcBorders>
                  <w:vAlign w:val="center"/>
                </w:tcPr>
                <w:p w14:paraId="2F8EE9D0">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60" w:type="dxa"/>
                  <w:tcBorders>
                    <w:top w:val="outset" w:color="auto" w:sz="6" w:space="0"/>
                    <w:left w:val="outset" w:color="auto" w:sz="6" w:space="0"/>
                    <w:bottom w:val="outset" w:color="auto" w:sz="6" w:space="0"/>
                    <w:right w:val="outset" w:color="auto" w:sz="6" w:space="0"/>
                  </w:tcBorders>
                  <w:vAlign w:val="center"/>
                </w:tcPr>
                <w:p w14:paraId="20853C4F">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4763E9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0B66DB2">
                  <w:pPr>
                    <w:jc w:val="center"/>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00" w:type="dxa"/>
                  <w:tcBorders>
                    <w:top w:val="outset" w:color="auto" w:sz="6" w:space="0"/>
                    <w:left w:val="outset" w:color="auto" w:sz="6" w:space="0"/>
                    <w:bottom w:val="outset" w:color="auto" w:sz="6" w:space="0"/>
                    <w:right w:val="outset" w:color="auto" w:sz="6" w:space="0"/>
                  </w:tcBorders>
                  <w:vAlign w:val="center"/>
                </w:tcPr>
                <w:p w14:paraId="36E1EF28">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00" w:type="dxa"/>
                  <w:tcBorders>
                    <w:top w:val="outset" w:color="auto" w:sz="6" w:space="0"/>
                    <w:left w:val="outset" w:color="auto" w:sz="6" w:space="0"/>
                    <w:bottom w:val="outset" w:color="auto" w:sz="6" w:space="0"/>
                    <w:right w:val="outset" w:color="auto" w:sz="6" w:space="0"/>
                  </w:tcBorders>
                  <w:vAlign w:val="center"/>
                </w:tcPr>
                <w:p w14:paraId="5827348F">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60" w:type="dxa"/>
                  <w:tcBorders>
                    <w:top w:val="outset" w:color="auto" w:sz="6" w:space="0"/>
                    <w:left w:val="outset" w:color="auto" w:sz="6" w:space="0"/>
                    <w:bottom w:val="outset" w:color="auto" w:sz="6" w:space="0"/>
                    <w:right w:val="outset" w:color="auto" w:sz="6" w:space="0"/>
                  </w:tcBorders>
                  <w:vAlign w:val="center"/>
                </w:tcPr>
                <w:p w14:paraId="46BDBAC4">
                  <w:pPr>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3F2E38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0B5DF177">
                  <w:pPr>
                    <w:jc w:val="center"/>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00" w:type="dxa"/>
                  <w:tcBorders>
                    <w:top w:val="outset" w:color="auto" w:sz="6" w:space="0"/>
                    <w:left w:val="outset" w:color="auto" w:sz="6" w:space="0"/>
                    <w:bottom w:val="outset" w:color="auto" w:sz="6" w:space="0"/>
                    <w:right w:val="outset" w:color="auto" w:sz="6" w:space="0"/>
                  </w:tcBorders>
                  <w:vAlign w:val="center"/>
                </w:tcPr>
                <w:p w14:paraId="7889D066">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00" w:type="dxa"/>
                  <w:tcBorders>
                    <w:top w:val="outset" w:color="auto" w:sz="6" w:space="0"/>
                    <w:left w:val="outset" w:color="auto" w:sz="6" w:space="0"/>
                    <w:bottom w:val="outset" w:color="auto" w:sz="6" w:space="0"/>
                    <w:right w:val="outset" w:color="auto" w:sz="6" w:space="0"/>
                  </w:tcBorders>
                  <w:vAlign w:val="center"/>
                </w:tcPr>
                <w:p w14:paraId="0DCFC683">
                  <w:pPr>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60" w:type="dxa"/>
                  <w:tcBorders>
                    <w:top w:val="outset" w:color="auto" w:sz="6" w:space="0"/>
                    <w:left w:val="outset" w:color="auto" w:sz="6" w:space="0"/>
                    <w:bottom w:val="outset" w:color="auto" w:sz="6" w:space="0"/>
                    <w:right w:val="outset" w:color="auto" w:sz="6" w:space="0"/>
                  </w:tcBorders>
                  <w:vAlign w:val="center"/>
                </w:tcPr>
                <w:p w14:paraId="4260331D">
                  <w:pPr>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2046B4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6FCB3D88">
                  <w:pPr>
                    <w:jc w:val="center"/>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00" w:type="dxa"/>
                  <w:tcBorders>
                    <w:top w:val="outset" w:color="auto" w:sz="6" w:space="0"/>
                    <w:left w:val="outset" w:color="auto" w:sz="6" w:space="0"/>
                    <w:bottom w:val="outset" w:color="auto" w:sz="6" w:space="0"/>
                    <w:right w:val="outset" w:color="auto" w:sz="6" w:space="0"/>
                  </w:tcBorders>
                  <w:vAlign w:val="center"/>
                </w:tcPr>
                <w:p w14:paraId="28F02266">
                  <w:pPr>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00" w:type="dxa"/>
                  <w:tcBorders>
                    <w:top w:val="outset" w:color="auto" w:sz="6" w:space="0"/>
                    <w:left w:val="outset" w:color="auto" w:sz="6" w:space="0"/>
                    <w:bottom w:val="outset" w:color="auto" w:sz="6" w:space="0"/>
                    <w:right w:val="outset" w:color="auto" w:sz="6" w:space="0"/>
                  </w:tcBorders>
                  <w:vAlign w:val="center"/>
                </w:tcPr>
                <w:p w14:paraId="6C89D23A">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60" w:type="dxa"/>
                  <w:tcBorders>
                    <w:top w:val="outset" w:color="auto" w:sz="6" w:space="0"/>
                    <w:left w:val="outset" w:color="auto" w:sz="6" w:space="0"/>
                    <w:bottom w:val="outset" w:color="auto" w:sz="6" w:space="0"/>
                    <w:right w:val="outset" w:color="auto" w:sz="6" w:space="0"/>
                  </w:tcBorders>
                  <w:vAlign w:val="center"/>
                </w:tcPr>
                <w:p w14:paraId="1DC5FE5E">
                  <w:pPr>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1DC20A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2B8BCB4D">
                  <w:pPr>
                    <w:jc w:val="center"/>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00" w:type="dxa"/>
                  <w:tcBorders>
                    <w:top w:val="outset" w:color="auto" w:sz="6" w:space="0"/>
                    <w:left w:val="outset" w:color="auto" w:sz="6" w:space="0"/>
                    <w:bottom w:val="outset" w:color="auto" w:sz="6" w:space="0"/>
                    <w:right w:val="outset" w:color="auto" w:sz="6" w:space="0"/>
                  </w:tcBorders>
                  <w:vAlign w:val="center"/>
                </w:tcPr>
                <w:p w14:paraId="48A7371E">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00" w:type="dxa"/>
                  <w:tcBorders>
                    <w:top w:val="outset" w:color="auto" w:sz="6" w:space="0"/>
                    <w:left w:val="outset" w:color="auto" w:sz="6" w:space="0"/>
                    <w:bottom w:val="outset" w:color="auto" w:sz="6" w:space="0"/>
                    <w:right w:val="outset" w:color="auto" w:sz="6" w:space="0"/>
                  </w:tcBorders>
                  <w:vAlign w:val="center"/>
                </w:tcPr>
                <w:p w14:paraId="6194A011">
                  <w:pP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60" w:type="dxa"/>
                  <w:tcBorders>
                    <w:top w:val="outset" w:color="auto" w:sz="6" w:space="0"/>
                    <w:left w:val="outset" w:color="auto" w:sz="6" w:space="0"/>
                    <w:bottom w:val="outset" w:color="auto" w:sz="6" w:space="0"/>
                    <w:right w:val="outset" w:color="auto" w:sz="6" w:space="0"/>
                  </w:tcBorders>
                  <w:vAlign w:val="center"/>
                </w:tcPr>
                <w:p w14:paraId="27146473">
                  <w:pP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0BF561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4DDBA13C">
                  <w:pPr>
                    <w:jc w:val="center"/>
                    <w:rPr>
                      <w:rFonts w:hint="eastAsia" w:ascii="宋体" w:hAnsi="宋体" w:eastAsia="宋体" w:cs="宋体"/>
                      <w:color w:val="auto"/>
                      <w:highlight w:val="none"/>
                    </w:rPr>
                  </w:pPr>
                  <w:r>
                    <w:rPr>
                      <w:rFonts w:hint="eastAsia" w:ascii="宋体" w:hAnsi="宋体" w:eastAsia="宋体" w:cs="宋体"/>
                      <w:color w:val="auto"/>
                      <w:highlight w:val="none"/>
                    </w:rPr>
                    <w:t>10000——100000</w:t>
                  </w:r>
                </w:p>
              </w:tc>
              <w:tc>
                <w:tcPr>
                  <w:tcW w:w="1300" w:type="dxa"/>
                  <w:tcBorders>
                    <w:top w:val="outset" w:color="auto" w:sz="6" w:space="0"/>
                    <w:left w:val="outset" w:color="auto" w:sz="6" w:space="0"/>
                    <w:bottom w:val="outset" w:color="auto" w:sz="6" w:space="0"/>
                    <w:right w:val="outset" w:color="auto" w:sz="6" w:space="0"/>
                  </w:tcBorders>
                  <w:vAlign w:val="center"/>
                </w:tcPr>
                <w:p w14:paraId="6E1CD1A0">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00" w:type="dxa"/>
                  <w:tcBorders>
                    <w:top w:val="outset" w:color="auto" w:sz="6" w:space="0"/>
                    <w:left w:val="outset" w:color="auto" w:sz="6" w:space="0"/>
                    <w:bottom w:val="outset" w:color="auto" w:sz="6" w:space="0"/>
                    <w:right w:val="outset" w:color="auto" w:sz="6" w:space="0"/>
                  </w:tcBorders>
                  <w:vAlign w:val="center"/>
                </w:tcPr>
                <w:p w14:paraId="76854B5B">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60" w:type="dxa"/>
                  <w:tcBorders>
                    <w:top w:val="outset" w:color="auto" w:sz="6" w:space="0"/>
                    <w:left w:val="outset" w:color="auto" w:sz="6" w:space="0"/>
                    <w:bottom w:val="outset" w:color="auto" w:sz="6" w:space="0"/>
                    <w:right w:val="outset" w:color="auto" w:sz="6" w:space="0"/>
                  </w:tcBorders>
                  <w:vAlign w:val="center"/>
                </w:tcPr>
                <w:p w14:paraId="75B784A7">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1546D9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0317506">
                  <w:pPr>
                    <w:jc w:val="center"/>
                    <w:rPr>
                      <w:rFonts w:hint="eastAsia" w:ascii="宋体" w:hAnsi="宋体" w:eastAsia="宋体" w:cs="宋体"/>
                      <w:color w:val="auto"/>
                      <w:highlight w:val="none"/>
                    </w:rPr>
                  </w:pPr>
                  <w:r>
                    <w:rPr>
                      <w:rFonts w:hint="eastAsia" w:ascii="宋体" w:hAnsi="宋体" w:eastAsia="宋体" w:cs="宋体"/>
                      <w:color w:val="auto"/>
                      <w:highlight w:val="none"/>
                    </w:rPr>
                    <w:t>1000000以上</w:t>
                  </w:r>
                </w:p>
              </w:tc>
              <w:tc>
                <w:tcPr>
                  <w:tcW w:w="1300" w:type="dxa"/>
                  <w:tcBorders>
                    <w:top w:val="outset" w:color="auto" w:sz="6" w:space="0"/>
                    <w:left w:val="outset" w:color="auto" w:sz="6" w:space="0"/>
                    <w:bottom w:val="outset" w:color="auto" w:sz="6" w:space="0"/>
                    <w:right w:val="outset" w:color="auto" w:sz="6" w:space="0"/>
                  </w:tcBorders>
                  <w:vAlign w:val="center"/>
                </w:tcPr>
                <w:p w14:paraId="0B0B1E5E">
                  <w:pP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300" w:type="dxa"/>
                  <w:tcBorders>
                    <w:top w:val="outset" w:color="auto" w:sz="6" w:space="0"/>
                    <w:left w:val="outset" w:color="auto" w:sz="6" w:space="0"/>
                    <w:bottom w:val="outset" w:color="auto" w:sz="6" w:space="0"/>
                    <w:right w:val="outset" w:color="auto" w:sz="6" w:space="0"/>
                  </w:tcBorders>
                  <w:vAlign w:val="center"/>
                </w:tcPr>
                <w:p w14:paraId="22944B61">
                  <w:pP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260" w:type="dxa"/>
                  <w:tcBorders>
                    <w:top w:val="outset" w:color="auto" w:sz="6" w:space="0"/>
                    <w:left w:val="outset" w:color="auto" w:sz="6" w:space="0"/>
                    <w:bottom w:val="outset" w:color="auto" w:sz="6" w:space="0"/>
                    <w:right w:val="outset" w:color="auto" w:sz="6" w:space="0"/>
                  </w:tcBorders>
                  <w:vAlign w:val="center"/>
                </w:tcPr>
                <w:p w14:paraId="473E5117">
                  <w:pP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51F75BCF">
            <w:pPr>
              <w:spacing w:line="340" w:lineRule="exact"/>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结算方式及时间为：在领取中标通知书前由成交供应商一次性向采购代理机构付清。</w:t>
            </w:r>
          </w:p>
        </w:tc>
      </w:tr>
      <w:tr w14:paraId="1025EE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5374AD0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20</w:t>
            </w:r>
          </w:p>
        </w:tc>
        <w:tc>
          <w:tcPr>
            <w:tcW w:w="1800" w:type="dxa"/>
            <w:vAlign w:val="center"/>
          </w:tcPr>
          <w:p w14:paraId="20C7B355">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682" w:type="dxa"/>
            <w:vAlign w:val="center"/>
          </w:tcPr>
          <w:p w14:paraId="6C03AA5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不允许</w:t>
            </w:r>
            <w:r>
              <w:rPr>
                <w:rFonts w:hint="eastAsia" w:ascii="宋体" w:hAnsi="宋体" w:eastAsia="宋体" w:cs="宋体"/>
                <w:color w:val="auto"/>
                <w:highlight w:val="none"/>
              </w:rPr>
              <w:t>分包</w:t>
            </w:r>
          </w:p>
        </w:tc>
      </w:tr>
      <w:tr w14:paraId="307D4E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1E77214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21</w:t>
            </w:r>
          </w:p>
        </w:tc>
        <w:tc>
          <w:tcPr>
            <w:tcW w:w="1800" w:type="dxa"/>
            <w:tcBorders>
              <w:top w:val="single" w:color="auto" w:sz="4" w:space="0"/>
            </w:tcBorders>
            <w:vAlign w:val="center"/>
          </w:tcPr>
          <w:p w14:paraId="25168719">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是否提供演示</w:t>
            </w:r>
          </w:p>
        </w:tc>
        <w:tc>
          <w:tcPr>
            <w:tcW w:w="6682" w:type="dxa"/>
            <w:tcBorders>
              <w:top w:val="single" w:color="auto" w:sz="4" w:space="0"/>
            </w:tcBorders>
            <w:vAlign w:val="center"/>
          </w:tcPr>
          <w:p w14:paraId="62712E3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不需要</w:t>
            </w:r>
            <w:r>
              <w:rPr>
                <w:rFonts w:hint="eastAsia" w:ascii="宋体" w:hAnsi="宋体" w:eastAsia="宋体" w:cs="宋体"/>
                <w:color w:val="auto"/>
                <w:highlight w:val="none"/>
              </w:rPr>
              <w:t>提供演示。</w:t>
            </w:r>
          </w:p>
        </w:tc>
      </w:tr>
      <w:tr w14:paraId="3B789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27422A5D">
            <w:pPr>
              <w:snapToGrid w:val="0"/>
              <w:jc w:val="center"/>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26F19076">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预付款</w:t>
            </w:r>
          </w:p>
          <w:p w14:paraId="7E0187F8">
            <w:pPr>
              <w:snapToGrid w:val="0"/>
              <w:jc w:val="center"/>
              <w:rPr>
                <w:rFonts w:hint="eastAsia" w:ascii="宋体" w:hAnsi="宋体" w:eastAsia="宋体" w:cs="宋体"/>
                <w:color w:val="auto"/>
                <w:highlight w:val="none"/>
              </w:rPr>
            </w:pPr>
          </w:p>
        </w:tc>
        <w:tc>
          <w:tcPr>
            <w:tcW w:w="6682" w:type="dxa"/>
            <w:tcBorders>
              <w:top w:val="single" w:color="auto" w:sz="4" w:space="0"/>
            </w:tcBorders>
            <w:vAlign w:val="center"/>
          </w:tcPr>
          <w:p w14:paraId="1BE4B193">
            <w:pPr>
              <w:tabs>
                <w:tab w:val="left" w:pos="256"/>
              </w:tabs>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本项目涉及预付款，预付款比例为</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50</w:t>
            </w:r>
            <w:r>
              <w:rPr>
                <w:rFonts w:hint="eastAsia" w:ascii="宋体" w:hAnsi="宋体" w:eastAsia="宋体" w:cs="宋体"/>
                <w:color w:val="auto"/>
                <w:highlight w:val="none"/>
                <w:u w:val="single"/>
                <w:lang w:val="en-US" w:eastAsia="zh-CN"/>
              </w:rPr>
              <w:t xml:space="preserve"> %</w:t>
            </w:r>
          </w:p>
        </w:tc>
      </w:tr>
      <w:tr w14:paraId="492785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1064E19C">
            <w:pPr>
              <w:snapToGrid w:val="0"/>
              <w:jc w:val="center"/>
              <w:rPr>
                <w:rFonts w:hint="eastAsia" w:ascii="宋体" w:hAnsi="宋体" w:eastAsia="宋体" w:cs="宋体"/>
                <w:snapToGrid w:val="0"/>
                <w:color w:val="auto"/>
                <w:kern w:val="0"/>
                <w:highlight w:val="none"/>
              </w:rPr>
            </w:pPr>
          </w:p>
        </w:tc>
        <w:tc>
          <w:tcPr>
            <w:tcW w:w="1800" w:type="dxa"/>
            <w:vMerge w:val="continue"/>
            <w:vAlign w:val="center"/>
          </w:tcPr>
          <w:p w14:paraId="01418F54">
            <w:pPr>
              <w:snapToGrid w:val="0"/>
              <w:jc w:val="center"/>
              <w:rPr>
                <w:rFonts w:hint="eastAsia" w:ascii="宋体" w:hAnsi="宋体" w:eastAsia="宋体" w:cs="宋体"/>
                <w:color w:val="auto"/>
                <w:highlight w:val="none"/>
              </w:rPr>
            </w:pPr>
          </w:p>
        </w:tc>
        <w:tc>
          <w:tcPr>
            <w:tcW w:w="6682" w:type="dxa"/>
            <w:tcBorders>
              <w:top w:val="single" w:color="auto" w:sz="4" w:space="0"/>
            </w:tcBorders>
            <w:vAlign w:val="center"/>
          </w:tcPr>
          <w:p w14:paraId="1D643FBA">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45715ADC">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6CDD679F">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7AFFB3AC">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7490CD3D">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080DE3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76C8583">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3</w:t>
            </w:r>
          </w:p>
        </w:tc>
        <w:tc>
          <w:tcPr>
            <w:tcW w:w="1800" w:type="dxa"/>
            <w:vAlign w:val="center"/>
          </w:tcPr>
          <w:p w14:paraId="09B570FF">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供应商信用信息查询渠道及截止时点、信用信息查询记录和证据留存的具体方式、信用信息的使用规则</w:t>
            </w:r>
          </w:p>
        </w:tc>
        <w:tc>
          <w:tcPr>
            <w:tcW w:w="6682" w:type="dxa"/>
            <w:vAlign w:val="center"/>
          </w:tcPr>
          <w:p w14:paraId="54D9996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1、查询渠道：信用中国（网址：http://www.creditchina.gov.cn）、中国政府采购网(网址：http://www.ccgp.gov.cn）。</w:t>
            </w:r>
          </w:p>
          <w:p w14:paraId="05A45BD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2、截止时点：开标后评标前。</w:t>
            </w:r>
          </w:p>
          <w:p w14:paraId="4D942C9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3、信用信息查询记录和证据留存的具体方式：由采购组织机构在规定查询时间内打印信用信息查询记录并归入项目档案。</w:t>
            </w:r>
          </w:p>
          <w:p w14:paraId="4CA10DC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1835AA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1DEF072">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4</w:t>
            </w:r>
          </w:p>
        </w:tc>
        <w:tc>
          <w:tcPr>
            <w:tcW w:w="1800" w:type="dxa"/>
            <w:vAlign w:val="center"/>
          </w:tcPr>
          <w:p w14:paraId="5ACB9B71">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金融支持</w:t>
            </w:r>
          </w:p>
        </w:tc>
        <w:tc>
          <w:tcPr>
            <w:tcW w:w="6682" w:type="dxa"/>
            <w:vAlign w:val="center"/>
          </w:tcPr>
          <w:p w14:paraId="4B44CA8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为支持和促进中小企业发展，进一步发挥政府采购政策功能，企业若有融资意向，可登陆政采云平台融资服务（https://jinrong.zcygov.cn/），查看相应融资政策文件及各相关银行服务方案。</w:t>
            </w:r>
          </w:p>
        </w:tc>
      </w:tr>
      <w:tr w14:paraId="5A5391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6131B30B">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5</w:t>
            </w:r>
          </w:p>
        </w:tc>
        <w:tc>
          <w:tcPr>
            <w:tcW w:w="1800" w:type="dxa"/>
            <w:tcBorders>
              <w:bottom w:val="double" w:color="auto" w:sz="4" w:space="0"/>
            </w:tcBorders>
            <w:vAlign w:val="center"/>
          </w:tcPr>
          <w:p w14:paraId="381FB2B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82" w:type="dxa"/>
            <w:tcBorders>
              <w:bottom w:val="double" w:color="auto" w:sz="4" w:space="0"/>
            </w:tcBorders>
            <w:vAlign w:val="center"/>
          </w:tcPr>
          <w:p w14:paraId="59D9F9D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本磋商文件要求提供的身份证复印件皆需提供正反面，否则按不提供处理。</w:t>
            </w:r>
          </w:p>
          <w:p w14:paraId="2CCE8D97">
            <w:pPr>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2、本项目货物如涉及柴油动力移动源，柴油动力移动源应当符合低排放要求。</w:t>
            </w:r>
          </w:p>
        </w:tc>
      </w:tr>
    </w:tbl>
    <w:p w14:paraId="751436EA">
      <w:pPr>
        <w:pStyle w:val="6"/>
        <w:spacing w:line="360" w:lineRule="auto"/>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77899A98">
      <w:pPr>
        <w:pStyle w:val="5"/>
        <w:numPr>
          <w:ilvl w:val="0"/>
          <w:numId w:val="8"/>
        </w:numP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1" w:name="_Toc16457"/>
      <w:bookmarkStart w:id="12" w:name="_Toc25187"/>
      <w:r>
        <w:rPr>
          <w:rFonts w:hint="eastAsia" w:ascii="宋体" w:hAnsi="宋体" w:eastAsia="宋体" w:cs="宋体"/>
          <w:color w:val="auto"/>
          <w:highlight w:val="none"/>
        </w:rPr>
        <w:t>总则</w:t>
      </w:r>
      <w:bookmarkEnd w:id="11"/>
      <w:bookmarkEnd w:id="12"/>
    </w:p>
    <w:p w14:paraId="400DA9E6">
      <w:pP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5BE1890E">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580D74A6">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u w:val="single"/>
          <w:lang w:eastAsia="zh-CN"/>
        </w:rPr>
        <w:t>2024年绍兴市上虞区商务局小微企业出口信用保险政府联保服务</w:t>
      </w:r>
      <w:r>
        <w:rPr>
          <w:rFonts w:hint="eastAsia" w:ascii="宋体" w:hAnsi="宋体" w:eastAsia="宋体" w:cs="宋体"/>
          <w:color w:val="auto"/>
          <w:sz w:val="24"/>
          <w:szCs w:val="24"/>
          <w:highlight w:val="none"/>
        </w:rPr>
        <w:t>。</w:t>
      </w:r>
    </w:p>
    <w:p w14:paraId="0CEFF56D">
      <w:pPr>
        <w:pStyle w:val="26"/>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1.2本项目采购方式采用竞争性磋商方式。</w:t>
      </w:r>
    </w:p>
    <w:p w14:paraId="46477606">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4398E2A1">
      <w:pPr>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绍兴市上虞区商务局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。采购人委托</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为本项目采购代理机构。</w:t>
      </w:r>
    </w:p>
    <w:p w14:paraId="00223070">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2.2“磋商供应商”系指响应本次采购，参加本次竞争性磋商的供应商。</w:t>
      </w:r>
    </w:p>
    <w:p w14:paraId="18744EBC">
      <w:pPr>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780556A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3、采购项目概况</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p>
    <w:p w14:paraId="0E626A8D">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部分。</w:t>
      </w:r>
    </w:p>
    <w:p w14:paraId="05EDC943">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4、合格的磋商供应商</w:t>
      </w:r>
    </w:p>
    <w:p w14:paraId="46DF2652">
      <w:pPr>
        <w:spacing w:line="336" w:lineRule="auto"/>
        <w:ind w:firstLine="480" w:firstLineChars="200"/>
        <w:rPr>
          <w:rFonts w:hint="eastAsia" w:ascii="宋体" w:hAnsi="宋体" w:eastAsia="宋体" w:cs="宋体"/>
          <w:color w:val="auto"/>
          <w:sz w:val="24"/>
          <w:szCs w:val="24"/>
          <w:highlight w:val="none"/>
        </w:rPr>
      </w:pPr>
      <w:bookmarkStart w:id="13" w:name="_Toc193538208"/>
      <w:bookmarkStart w:id="14" w:name="_Toc209504018"/>
      <w:bookmarkStart w:id="15" w:name="_Toc193523219"/>
      <w:bookmarkStart w:id="16" w:name="_Toc204683265"/>
      <w:bookmarkStart w:id="17" w:name="_Toc209435242"/>
      <w:bookmarkStart w:id="18" w:name="_Toc207946571"/>
      <w:bookmarkStart w:id="19" w:name="_Toc208913145"/>
      <w:bookmarkStart w:id="20" w:name="_Toc197053926"/>
      <w:bookmarkStart w:id="21" w:name="_Toc197156227"/>
      <w:bookmarkStart w:id="22" w:name="_Toc197163261"/>
      <w:bookmarkStart w:id="23" w:name="_Toc209520993"/>
      <w:bookmarkStart w:id="24" w:name="_Toc197657950"/>
      <w:bookmarkStart w:id="25" w:name="_Toc211412066"/>
      <w:bookmarkStart w:id="26" w:name="_Toc208287611"/>
      <w:r>
        <w:rPr>
          <w:rFonts w:hint="eastAsia" w:ascii="宋体" w:hAnsi="宋体" w:eastAsia="宋体" w:cs="宋体"/>
          <w:color w:val="auto"/>
          <w:sz w:val="24"/>
          <w:szCs w:val="24"/>
          <w:highlight w:val="none"/>
        </w:rPr>
        <w:t>详见竞争性磋商采购公告磋商供应商的资格要求规定。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16F5A87">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5、磋商费用</w:t>
      </w:r>
    </w:p>
    <w:p w14:paraId="6BDCEE36">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0483AC50">
      <w:pPr>
        <w:pStyle w:val="5"/>
        <w:numPr>
          <w:ilvl w:val="0"/>
          <w:numId w:val="8"/>
        </w:numPr>
        <w:spacing w:line="336" w:lineRule="auto"/>
        <w:jc w:val="center"/>
        <w:rPr>
          <w:rFonts w:hint="eastAsia" w:ascii="宋体" w:hAnsi="宋体" w:eastAsia="宋体" w:cs="宋体"/>
          <w:color w:val="auto"/>
          <w:highlight w:val="none"/>
        </w:rPr>
      </w:pPr>
      <w:bookmarkStart w:id="27" w:name="_Toc32689"/>
      <w:bookmarkStart w:id="28" w:name="_Toc416992151"/>
      <w:bookmarkStart w:id="29" w:name="_Toc25923"/>
      <w:r>
        <w:rPr>
          <w:rFonts w:hint="eastAsia" w:ascii="宋体" w:hAnsi="宋体" w:eastAsia="宋体" w:cs="宋体"/>
          <w:color w:val="auto"/>
          <w:highlight w:val="none"/>
        </w:rPr>
        <w:t xml:space="preserve"> </w:t>
      </w:r>
      <w:bookmarkStart w:id="30" w:name="_Toc11814"/>
      <w:bookmarkStart w:id="31" w:name="_Toc19955"/>
      <w:r>
        <w:rPr>
          <w:rFonts w:hint="eastAsia" w:ascii="宋体" w:hAnsi="宋体" w:eastAsia="宋体" w:cs="宋体"/>
          <w:color w:val="auto"/>
          <w:highlight w:val="none"/>
        </w:rPr>
        <w:t>竞争性磋商文件</w:t>
      </w:r>
      <w:bookmarkEnd w:id="27"/>
      <w:bookmarkEnd w:id="28"/>
      <w:bookmarkEnd w:id="29"/>
      <w:bookmarkEnd w:id="30"/>
      <w:bookmarkEnd w:id="31"/>
    </w:p>
    <w:p w14:paraId="55AC55F6">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6、磋商文件的组成</w:t>
      </w:r>
    </w:p>
    <w:p w14:paraId="484B7311">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6.1本磋商文件包括目录所示内容及所有按本须知发出的补充资料（如果有）。</w:t>
      </w:r>
    </w:p>
    <w:p w14:paraId="075A5844">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6419A008">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59FD8CE3">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3F45F625">
      <w:pPr>
        <w:adjustRightInd w:val="0"/>
        <w:spacing w:line="336"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7、磋商文件的澄清与修改</w:t>
      </w:r>
    </w:p>
    <w:p w14:paraId="4EC280A4">
      <w:pPr>
        <w:pStyle w:val="12"/>
        <w:keepNext w:val="0"/>
        <w:keepLines w:val="0"/>
        <w:pageBreakBefore w:val="0"/>
        <w:widowControl w:val="0"/>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77DBF8B4">
      <w:pPr>
        <w:pStyle w:val="12"/>
        <w:keepNext w:val="0"/>
        <w:keepLines w:val="0"/>
        <w:pageBreakBefore w:val="0"/>
        <w:widowControl w:val="0"/>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7.2磋商供应商要求解释或澄清的问题应以书面形式，并加盖公章、写明日期。</w:t>
      </w:r>
    </w:p>
    <w:p w14:paraId="67B3B3C2">
      <w:pPr>
        <w:keepNext w:val="0"/>
        <w:keepLines w:val="0"/>
        <w:pageBreakBefore w:val="0"/>
        <w:widowControl w:val="0"/>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7.3提交响应文件截止之日前，采购人、采购代理机构或者磋商小组可以对已发出的磋商文件进行必要的澄清或者修改，澄清或者修改的内容作为磋商文件的组成部分。</w:t>
      </w:r>
    </w:p>
    <w:p w14:paraId="535EED9B">
      <w:pPr>
        <w:keepNext w:val="0"/>
        <w:keepLines w:val="0"/>
        <w:pageBreakBefore w:val="0"/>
        <w:widowControl w:val="0"/>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7.4竞争性磋商文件的澄清修改文件及更正补充公告，请自行登录浙江政府采购网或绍兴市上虞区公共资源交易中心网站，在采购公告页面中下载。</w:t>
      </w:r>
    </w:p>
    <w:p w14:paraId="107E3E7D">
      <w:pPr>
        <w:keepNext w:val="0"/>
        <w:keepLines w:val="0"/>
        <w:pageBreakBefore w:val="0"/>
        <w:widowControl w:val="0"/>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5F2EEF0B">
      <w:pPr>
        <w:keepNext w:val="0"/>
        <w:keepLines w:val="0"/>
        <w:pageBreakBefore w:val="0"/>
        <w:widowControl w:val="0"/>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7.6竞争性磋商文件澄清、答复、修改、补充的内容为竞争性磋商文件的组成部分。</w:t>
      </w:r>
    </w:p>
    <w:p w14:paraId="5C0FE7D1">
      <w:pPr>
        <w:pStyle w:val="6"/>
        <w:keepNext w:val="0"/>
        <w:keepLines w:val="0"/>
        <w:pageBreakBefore w:val="0"/>
        <w:widowControl w:val="0"/>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7.7磋商文件发售截止日后，经采购人同意后购买磋商文件的磋商供应商不得对磋商文件和补充文件提出答疑或质疑。</w:t>
      </w:r>
    </w:p>
    <w:p w14:paraId="7C3AF935">
      <w:pPr>
        <w:pStyle w:val="5"/>
        <w:numPr>
          <w:ilvl w:val="0"/>
          <w:numId w:val="8"/>
        </w:numPr>
        <w:spacing w:line="336" w:lineRule="auto"/>
        <w:jc w:val="center"/>
        <w:rPr>
          <w:rFonts w:hint="eastAsia" w:ascii="宋体" w:hAnsi="宋体" w:eastAsia="宋体" w:cs="宋体"/>
          <w:color w:val="auto"/>
          <w:highlight w:val="none"/>
        </w:rPr>
      </w:pPr>
      <w:bookmarkStart w:id="32" w:name="_Toc8860"/>
      <w:bookmarkStart w:id="33" w:name="_Toc1828"/>
      <w:bookmarkStart w:id="34" w:name="_Toc10810"/>
      <w:bookmarkStart w:id="35" w:name="_Toc10669"/>
      <w:bookmarkStart w:id="36" w:name="_Toc391298957"/>
      <w:bookmarkStart w:id="37" w:name="_Toc31748"/>
      <w:bookmarkStart w:id="38" w:name="_Toc18702"/>
      <w:bookmarkStart w:id="39" w:name="_Toc6273"/>
      <w:bookmarkStart w:id="40" w:name="_Toc6457"/>
      <w:bookmarkStart w:id="41" w:name="_Toc24622"/>
      <w:bookmarkStart w:id="42" w:name="_Toc1202"/>
      <w:bookmarkStart w:id="43" w:name="_Toc14650"/>
      <w:bookmarkStart w:id="44" w:name="_Toc23975"/>
      <w:bookmarkStart w:id="45" w:name="_Toc26027"/>
      <w:bookmarkStart w:id="46" w:name="_Toc26603"/>
      <w:bookmarkStart w:id="47" w:name="_Toc11093"/>
      <w:bookmarkStart w:id="48" w:name="_Toc7126"/>
      <w:bookmarkStart w:id="49" w:name="_Toc6079"/>
      <w:bookmarkStart w:id="50" w:name="_Toc11669"/>
      <w:bookmarkStart w:id="51" w:name="_Toc1729"/>
      <w:bookmarkStart w:id="52" w:name="_Toc23135"/>
      <w:bookmarkStart w:id="53" w:name="_Toc11692"/>
      <w:r>
        <w:rPr>
          <w:rFonts w:hint="eastAsia" w:ascii="宋体" w:hAnsi="宋体" w:eastAsia="宋体" w:cs="宋体"/>
          <w:color w:val="auto"/>
          <w:highlight w:val="none"/>
        </w:rPr>
        <w:t xml:space="preserve"> </w:t>
      </w:r>
      <w:bookmarkStart w:id="54" w:name="_Toc14498"/>
      <w:bookmarkStart w:id="55" w:name="_Toc11515"/>
      <w:r>
        <w:rPr>
          <w:rFonts w:hint="eastAsia" w:ascii="宋体" w:hAnsi="宋体" w:eastAsia="宋体" w:cs="宋体"/>
          <w:color w:val="auto"/>
          <w:highlight w:val="none"/>
        </w:rPr>
        <w:t>竞争性磋商响应文件的编写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445077C">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w:t>
      </w:r>
    </w:p>
    <w:p w14:paraId="18617230">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7DD1D88B">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2878A044">
      <w:pPr>
        <w:spacing w:line="336" w:lineRule="auto"/>
        <w:ind w:firstLine="480" w:firstLineChars="200"/>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color w:val="auto"/>
          <w:sz w:val="24"/>
          <w:szCs w:val="24"/>
          <w:highlight w:val="none"/>
        </w:rPr>
        <w:t>8.2.1本次报价非一次性报价。在磋商后根据磋商情况（包括细化采购方案和要求，增补部分采购内容等），供应商须二次报价（最终报价），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217DA70C">
      <w:pPr>
        <w:pStyle w:val="58"/>
        <w:tabs>
          <w:tab w:val="left" w:pos="0"/>
        </w:tabs>
        <w:spacing w:line="336"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8.2.2投标报价应包含项目所需全部服务，不得缺漏，是履行合同的最终价格，包括</w:t>
      </w:r>
      <w:r>
        <w:rPr>
          <w:rFonts w:hint="eastAsia" w:ascii="宋体" w:hAnsi="宋体" w:cs="宋体"/>
          <w:color w:val="auto"/>
          <w:highlight w:val="none"/>
          <w:u w:val="single"/>
          <w:lang w:eastAsia="zh-CN"/>
        </w:rPr>
        <w:t>服务内容</w:t>
      </w:r>
      <w:r>
        <w:rPr>
          <w:rFonts w:hint="eastAsia" w:ascii="宋体" w:hAnsi="宋体" w:eastAsia="宋体" w:cs="宋体"/>
          <w:color w:val="auto"/>
          <w:highlight w:val="none"/>
          <w:u w:val="single"/>
        </w:rPr>
        <w:t>、税金、代理服务费及不可预见费用等一切费用。</w:t>
      </w:r>
      <w:r>
        <w:rPr>
          <w:rFonts w:hint="eastAsia" w:ascii="宋体" w:hAnsi="宋体" w:eastAsia="宋体" w:cs="宋体"/>
          <w:color w:val="auto"/>
          <w:highlight w:val="none"/>
        </w:rPr>
        <w:t>投标报价为供应商所能承受的最低、最终报价，供应商不得再要求追加任何费用。</w:t>
      </w:r>
    </w:p>
    <w:p w14:paraId="18EAB5E4">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01ADC406">
      <w:pP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6B935F37">
      <w:pPr>
        <w:pStyle w:val="15"/>
        <w:spacing w:line="336"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（供应商应根据采购文件的要求提供相应的内容且设置关联定位，供应商可查看《供应商-政府采购项目电子交易操作指南》进行操作：https://help.zcygov.cn/web/site_2/2018/12-28/2573.html）</w:t>
      </w:r>
    </w:p>
    <w:p w14:paraId="01AFD4C0">
      <w:pPr>
        <w:pStyle w:val="58"/>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0EACA844">
      <w:pPr>
        <w:pStyle w:val="58"/>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1B132189">
      <w:pPr>
        <w:pStyle w:val="58"/>
        <w:numPr>
          <w:ilvl w:val="0"/>
          <w:numId w:val="10"/>
        </w:numPr>
        <w:spacing w:before="0" w:line="336" w:lineRule="auto"/>
        <w:ind w:firstLine="480"/>
        <w:rPr>
          <w:rFonts w:hint="eastAsia" w:cs="宋体" w:asciiTheme="minorEastAsia" w:hAnsiTheme="minorEastAsia" w:eastAsiaTheme="minorEastAsia"/>
          <w:color w:val="auto"/>
          <w:lang w:val="en-US" w:eastAsia="zh-CN" w:bidi="ar-SA"/>
        </w:rPr>
      </w:pPr>
      <w:r>
        <w:rPr>
          <w:rFonts w:hint="eastAsia" w:cs="宋体" w:asciiTheme="minorEastAsia" w:hAnsiTheme="minorEastAsia" w:eastAsiaTheme="minorEastAsia"/>
          <w:color w:val="auto"/>
          <w:lang w:val="en-US" w:eastAsia="zh-CN" w:bidi="ar-SA"/>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73ABC972">
      <w:pPr>
        <w:pStyle w:val="58"/>
        <w:numPr>
          <w:ilvl w:val="0"/>
          <w:numId w:val="10"/>
        </w:numPr>
        <w:spacing w:before="0" w:line="336" w:lineRule="auto"/>
        <w:ind w:firstLine="480"/>
        <w:rPr>
          <w:rFonts w:hint="eastAsia" w:cs="宋体" w:asciiTheme="minorEastAsia" w:hAnsiTheme="minorEastAsia" w:eastAsiaTheme="minorEastAsia"/>
          <w:color w:val="auto"/>
          <w:lang w:val="en-US" w:eastAsia="zh-CN" w:bidi="ar-SA"/>
        </w:rPr>
      </w:pPr>
      <w:r>
        <w:rPr>
          <w:rFonts w:hint="eastAsia" w:cs="宋体" w:asciiTheme="minorEastAsia" w:hAnsiTheme="minorEastAsia" w:eastAsiaTheme="minorEastAsia"/>
          <w:color w:val="auto"/>
          <w:lang w:val="en-US" w:eastAsia="zh-CN" w:bidi="ar-SA"/>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537EE87A">
      <w:pPr>
        <w:pStyle w:val="58"/>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1B3AAB8">
      <w:pPr>
        <w:pStyle w:val="58"/>
        <w:numPr>
          <w:ilvl w:val="0"/>
          <w:numId w:val="10"/>
        </w:numPr>
        <w:spacing w:before="0" w:line="336" w:lineRule="auto"/>
        <w:ind w:firstLine="480"/>
        <w:rPr>
          <w:rFonts w:hint="eastAsia" w:cs="宋体" w:asciiTheme="minorEastAsia" w:hAnsiTheme="minorEastAsia" w:eastAsiaTheme="minorEastAsia"/>
          <w:color w:val="auto"/>
          <w:lang w:val="en-US" w:eastAsia="zh-CN" w:bidi="ar-SA"/>
        </w:rPr>
      </w:pPr>
      <w:r>
        <w:rPr>
          <w:rFonts w:hint="eastAsia" w:cs="宋体" w:asciiTheme="minorEastAsia" w:hAnsiTheme="minorEastAsia" w:eastAsiaTheme="minorEastAsia"/>
          <w:color w:val="auto"/>
          <w:lang w:val="en-US" w:eastAsia="zh-CN" w:bidi="ar-SA"/>
        </w:rPr>
        <w:t>具有履行合同所必需的产品和专业技术能力的承诺函；</w:t>
      </w:r>
    </w:p>
    <w:p w14:paraId="06BD2A41">
      <w:pPr>
        <w:pStyle w:val="58"/>
        <w:numPr>
          <w:ilvl w:val="0"/>
          <w:numId w:val="10"/>
        </w:numPr>
        <w:spacing w:before="0" w:line="336" w:lineRule="auto"/>
        <w:ind w:firstLine="480"/>
        <w:rPr>
          <w:rFonts w:hint="eastAsia" w:ascii="宋体" w:hAnsi="宋体" w:eastAsia="宋体" w:cs="宋体"/>
          <w:color w:val="auto"/>
          <w:sz w:val="24"/>
          <w:szCs w:val="24"/>
        </w:rPr>
      </w:pPr>
      <w:r>
        <w:rPr>
          <w:rFonts w:hint="eastAsia" w:cs="宋体" w:asciiTheme="minorEastAsia" w:hAnsiTheme="minorEastAsia" w:eastAsiaTheme="minorEastAsia"/>
          <w:color w:val="auto"/>
          <w:lang w:val="en-US" w:eastAsia="zh-CN" w:bidi="ar-SA"/>
        </w:rPr>
        <w:t>投标人承诺函（格式见附件）;</w:t>
      </w:r>
    </w:p>
    <w:p w14:paraId="77A6BD38">
      <w:pPr>
        <w:pStyle w:val="58"/>
        <w:numPr>
          <w:ilvl w:val="0"/>
          <w:numId w:val="10"/>
        </w:numPr>
        <w:spacing w:before="0"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特定资格条件：具有中国保险监督管理委员会颁发的《经营保险业务许可证》、且具有</w:t>
      </w:r>
      <w:r>
        <w:rPr>
          <w:rFonts w:hint="eastAsia" w:ascii="宋体" w:hAnsi="宋体" w:cs="宋体"/>
          <w:color w:val="auto"/>
          <w:sz w:val="24"/>
          <w:szCs w:val="24"/>
          <w:lang w:val="en-US" w:eastAsia="zh-CN"/>
        </w:rPr>
        <w:t>财政部</w:t>
      </w:r>
      <w:r>
        <w:rPr>
          <w:rFonts w:hint="eastAsia" w:ascii="宋体" w:hAnsi="宋体" w:eastAsia="宋体" w:cs="宋体"/>
          <w:color w:val="auto"/>
          <w:sz w:val="24"/>
          <w:szCs w:val="24"/>
        </w:rPr>
        <w:t>开展出口信用保险业务的相关凭证。</w:t>
      </w:r>
    </w:p>
    <w:p w14:paraId="76E7A9FB">
      <w:pPr>
        <w:pStyle w:val="58"/>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商务技术文件，本次磋商需要供应商提供以下项所列的技术文件：</w:t>
      </w:r>
    </w:p>
    <w:p w14:paraId="38FF13E2">
      <w:pPr>
        <w:pStyle w:val="58"/>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评分对应表（格式见附件，主要用于评委对应评分内容）</w:t>
      </w:r>
    </w:p>
    <w:p w14:paraId="72D13846">
      <w:pPr>
        <w:pStyle w:val="58"/>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供应商商务技术文件中资信分自评表（格式见附件）；</w:t>
      </w:r>
    </w:p>
    <w:p w14:paraId="1F5A0105">
      <w:pPr>
        <w:pStyle w:val="58"/>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磋商项目明细清单（格式见附件）；</w:t>
      </w:r>
    </w:p>
    <w:p w14:paraId="23899EB0">
      <w:pPr>
        <w:pStyle w:val="58"/>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技术响应及建议表（格式见附件）；</w:t>
      </w:r>
    </w:p>
    <w:p w14:paraId="3952AAD4">
      <w:pPr>
        <w:pStyle w:val="58"/>
        <w:numPr>
          <w:ilvl w:val="0"/>
          <w:numId w:val="11"/>
        </w:numPr>
        <w:spacing w:before="0" w:line="336" w:lineRule="auto"/>
        <w:ind w:firstLine="480"/>
        <w:rPr>
          <w:rFonts w:hint="eastAsia" w:ascii="宋体" w:hAnsi="宋体" w:cs="宋体"/>
          <w:color w:val="auto"/>
          <w:highlight w:val="none"/>
        </w:rPr>
      </w:pPr>
      <w:r>
        <w:rPr>
          <w:rFonts w:hint="eastAsia" w:cs="宋体" w:asciiTheme="minorEastAsia" w:hAnsiTheme="minorEastAsia" w:eastAsiaTheme="minorEastAsia"/>
          <w:color w:val="auto"/>
        </w:rPr>
        <w:t>商务响应表（格式见附件）；</w:t>
      </w:r>
    </w:p>
    <w:p w14:paraId="3D524EFA">
      <w:pPr>
        <w:pStyle w:val="58"/>
        <w:numPr>
          <w:ilvl w:val="0"/>
          <w:numId w:val="11"/>
        </w:numPr>
        <w:spacing w:before="0" w:line="336" w:lineRule="auto"/>
        <w:ind w:firstLine="480"/>
        <w:rPr>
          <w:rFonts w:hint="eastAsia" w:ascii="宋体" w:hAnsi="宋体" w:cs="宋体"/>
          <w:color w:val="auto"/>
          <w:highlight w:val="none"/>
        </w:rPr>
      </w:pPr>
      <w:r>
        <w:rPr>
          <w:rFonts w:hint="eastAsia" w:hAnsi="宋体" w:cs="仿宋"/>
          <w:color w:val="auto"/>
          <w:szCs w:val="21"/>
          <w:highlight w:val="none"/>
        </w:rPr>
        <w:t>服务</w:t>
      </w:r>
      <w:r>
        <w:rPr>
          <w:rFonts w:hAnsi="宋体" w:cs="仿宋"/>
          <w:color w:val="auto"/>
          <w:szCs w:val="21"/>
          <w:highlight w:val="none"/>
        </w:rPr>
        <w:t>方案</w:t>
      </w:r>
      <w:r>
        <w:rPr>
          <w:rFonts w:hint="eastAsia" w:ascii="宋体" w:hAnsi="宋体" w:cs="宋体"/>
          <w:color w:val="auto"/>
          <w:highlight w:val="none"/>
        </w:rPr>
        <w:t>；</w:t>
      </w:r>
    </w:p>
    <w:p w14:paraId="3A7B5409">
      <w:pPr>
        <w:pStyle w:val="58"/>
        <w:numPr>
          <w:ilvl w:val="0"/>
          <w:numId w:val="11"/>
        </w:numPr>
        <w:spacing w:before="0" w:line="336" w:lineRule="auto"/>
        <w:ind w:firstLine="480"/>
        <w:rPr>
          <w:rFonts w:hint="eastAsia" w:ascii="宋体" w:hAnsi="宋体" w:cs="宋体"/>
          <w:color w:val="auto"/>
          <w:highlight w:val="none"/>
        </w:rPr>
      </w:pPr>
      <w:r>
        <w:rPr>
          <w:rFonts w:hint="eastAsia" w:hAnsi="宋体" w:cs="仿宋"/>
          <w:color w:val="auto"/>
          <w:szCs w:val="21"/>
          <w:highlight w:val="none"/>
        </w:rPr>
        <w:t>人员及车辆配置</w:t>
      </w:r>
      <w:r>
        <w:rPr>
          <w:rFonts w:hint="eastAsia" w:ascii="宋体" w:hAnsi="宋体" w:cs="宋体"/>
          <w:color w:val="auto"/>
          <w:highlight w:val="none"/>
        </w:rPr>
        <w:t>；</w:t>
      </w:r>
    </w:p>
    <w:p w14:paraId="52866D81">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eastAsia="zh-CN"/>
        </w:rPr>
        <w:t>服务响应</w:t>
      </w:r>
      <w:r>
        <w:rPr>
          <w:rFonts w:hint="eastAsia" w:ascii="宋体" w:hAnsi="宋体" w:cs="宋体"/>
          <w:color w:val="auto"/>
          <w:highlight w:val="none"/>
        </w:rPr>
        <w:t>；</w:t>
      </w:r>
    </w:p>
    <w:p w14:paraId="68A1E1D3">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理赔流程；</w:t>
      </w:r>
    </w:p>
    <w:p w14:paraId="32D00B03">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增值服务；</w:t>
      </w:r>
    </w:p>
    <w:p w14:paraId="51EF8169">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售后服务；</w:t>
      </w:r>
    </w:p>
    <w:p w14:paraId="7339F2A2">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创新措施；</w:t>
      </w:r>
    </w:p>
    <w:p w14:paraId="122A1CA7">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培训方案；</w:t>
      </w:r>
    </w:p>
    <w:p w14:paraId="34B2EC27">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合理化建议；</w:t>
      </w:r>
    </w:p>
    <w:p w14:paraId="00721277">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质量管理保护措施；</w:t>
      </w:r>
    </w:p>
    <w:p w14:paraId="63421BC7">
      <w:pPr>
        <w:pStyle w:val="58"/>
        <w:numPr>
          <w:ilvl w:val="0"/>
          <w:numId w:val="11"/>
        </w:numPr>
        <w:spacing w:before="0" w:line="336" w:lineRule="auto"/>
        <w:ind w:firstLine="480"/>
        <w:rPr>
          <w:rFonts w:hAnsi="宋体" w:cs="宋体"/>
          <w:color w:val="auto"/>
          <w:highlight w:val="none"/>
        </w:rPr>
      </w:pPr>
      <w:r>
        <w:rPr>
          <w:rFonts w:hint="eastAsia" w:ascii="宋体" w:hAnsi="宋体" w:cs="宋体"/>
          <w:color w:val="auto"/>
          <w:highlight w:val="none"/>
        </w:rPr>
        <w:t>业绩；</w:t>
      </w:r>
    </w:p>
    <w:p w14:paraId="5BC4C963">
      <w:pPr>
        <w:pStyle w:val="58"/>
        <w:numPr>
          <w:ilvl w:val="0"/>
          <w:numId w:val="11"/>
        </w:numPr>
        <w:spacing w:before="0" w:line="336" w:lineRule="auto"/>
        <w:ind w:firstLine="480"/>
        <w:rPr>
          <w:rFonts w:hAnsi="宋体" w:cs="宋体"/>
          <w:color w:val="auto"/>
          <w:highlight w:val="none"/>
        </w:rPr>
      </w:pPr>
      <w:r>
        <w:rPr>
          <w:rFonts w:hint="eastAsia" w:ascii="宋体" w:hAnsi="宋体" w:cs="宋体"/>
          <w:color w:val="auto"/>
          <w:highlight w:val="none"/>
          <w:lang w:val="en-US" w:eastAsia="zh-CN"/>
        </w:rPr>
        <w:t>偿付能力</w:t>
      </w:r>
      <w:r>
        <w:rPr>
          <w:rFonts w:hint="eastAsia" w:ascii="宋体" w:hAnsi="宋体" w:cs="宋体"/>
          <w:color w:val="auto"/>
          <w:highlight w:val="none"/>
        </w:rPr>
        <w:t>；</w:t>
      </w:r>
    </w:p>
    <w:p w14:paraId="1CE382D8">
      <w:pPr>
        <w:pStyle w:val="58"/>
        <w:numPr>
          <w:ilvl w:val="0"/>
          <w:numId w:val="11"/>
        </w:numPr>
        <w:spacing w:before="0" w:line="336" w:lineRule="auto"/>
        <w:ind w:firstLine="480"/>
        <w:rPr>
          <w:rFonts w:hAnsi="宋体" w:cs="宋体"/>
          <w:color w:val="auto"/>
          <w:highlight w:val="none"/>
        </w:rPr>
      </w:pPr>
      <w:r>
        <w:rPr>
          <w:rFonts w:hint="eastAsia" w:ascii="宋体" w:hAnsi="宋体" w:cs="宋体"/>
          <w:color w:val="auto"/>
          <w:highlight w:val="none"/>
        </w:rPr>
        <w:t>投标方认为需要的其他文件资料。</w:t>
      </w:r>
    </w:p>
    <w:p w14:paraId="082295DB">
      <w:pPr>
        <w:pStyle w:val="58"/>
        <w:tabs>
          <w:tab w:val="left" w:pos="0"/>
        </w:tabs>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注：以上内容应与评标办法中内容具有一致性。</w:t>
      </w:r>
    </w:p>
    <w:p w14:paraId="72DFA3A3">
      <w:pPr>
        <w:pStyle w:val="58"/>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5CE947D7">
      <w:pPr>
        <w:pStyle w:val="58"/>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386A5EF8">
      <w:pPr>
        <w:pStyle w:val="58"/>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0665B547">
      <w:pPr>
        <w:pStyle w:val="58"/>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3B0791C2">
      <w:pPr>
        <w:pStyle w:val="58"/>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071B6FD8">
      <w:pPr>
        <w:pStyle w:val="58"/>
        <w:numPr>
          <w:ilvl w:val="0"/>
          <w:numId w:val="12"/>
        </w:numP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磋商报价明细表（格式见附件）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p>
    <w:p w14:paraId="6E9088C9">
      <w:pPr>
        <w:pStyle w:val="58"/>
        <w:numPr>
          <w:ilvl w:val="0"/>
          <w:numId w:val="12"/>
        </w:numP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中小企业声明函（格式见附件）(如有)； </w:t>
      </w:r>
    </w:p>
    <w:p w14:paraId="25767090">
      <w:pPr>
        <w:pStyle w:val="58"/>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残疾人福利性单位声明函(如有)（格式见附件）；</w:t>
      </w:r>
    </w:p>
    <w:p w14:paraId="50D167E1">
      <w:pPr>
        <w:pStyle w:val="58"/>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监狱企业证明文件(如有)（格式见附件）。</w:t>
      </w:r>
    </w:p>
    <w:p w14:paraId="568985C6">
      <w:pPr>
        <w:pStyle w:val="58"/>
        <w:spacing w:before="0" w:line="336" w:lineRule="auto"/>
        <w:ind w:firstLine="241" w:firstLineChars="1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注：“资格文件”、“商务技术文件”、“报价文件”须分3个PDF格式分别导入。</w:t>
      </w:r>
    </w:p>
    <w:p w14:paraId="13DC30CA">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7F5BE327">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7AD52F44">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583F81E2">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41179A38">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00C89515">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4C828221">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61725D51">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5AFF95E5">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4B41C155">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供应商采取提供虚假资料等不正当手段的；</w:t>
      </w:r>
    </w:p>
    <w:p w14:paraId="6339C964">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11.6 供应商在投标过程中串通投标的。</w:t>
      </w:r>
    </w:p>
    <w:p w14:paraId="51DFBC4E">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134BC3E8">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73F2E908">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响应文件须按附件格式要求进行电子签章，供应商应写全称。（电子磋商响应文件中所须加盖公章部分均应采用电子签章）</w:t>
      </w:r>
    </w:p>
    <w:p w14:paraId="5C2DA75C">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7F825EAC">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26F59747">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066D57F2">
      <w:pPr>
        <w:pStyle w:val="58"/>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响应文件为电子磋商响应文件，电子磋商响应文件按“政采云供应商项目采购-电子招投标操作指南”及本磋商文件要求制作、加密传输。</w:t>
      </w:r>
    </w:p>
    <w:p w14:paraId="74862652">
      <w:pPr>
        <w:pStyle w:val="5"/>
        <w:numPr>
          <w:ilvl w:val="0"/>
          <w:numId w:val="8"/>
        </w:numPr>
        <w:spacing w:line="336" w:lineRule="auto"/>
        <w:jc w:val="center"/>
        <w:rPr>
          <w:rFonts w:hint="eastAsia" w:ascii="宋体" w:hAnsi="宋体" w:eastAsia="宋体" w:cs="宋体"/>
          <w:color w:val="auto"/>
          <w:highlight w:val="none"/>
        </w:rPr>
      </w:pPr>
      <w:bookmarkStart w:id="56" w:name="_Toc1420"/>
      <w:r>
        <w:rPr>
          <w:rFonts w:hint="eastAsia" w:ascii="宋体" w:hAnsi="宋体" w:eastAsia="宋体" w:cs="宋体"/>
          <w:color w:val="auto"/>
          <w:highlight w:val="none"/>
        </w:rPr>
        <w:t xml:space="preserve"> </w:t>
      </w:r>
      <w:bookmarkStart w:id="57" w:name="_Toc21266"/>
      <w:bookmarkStart w:id="58" w:name="_Toc26691"/>
      <w:r>
        <w:rPr>
          <w:rFonts w:hint="eastAsia" w:ascii="宋体" w:hAnsi="宋体" w:eastAsia="宋体" w:cs="宋体"/>
          <w:color w:val="auto"/>
          <w:highlight w:val="none"/>
        </w:rPr>
        <w:t>响应文件的递交</w:t>
      </w:r>
      <w:bookmarkEnd w:id="56"/>
      <w:bookmarkEnd w:id="57"/>
      <w:bookmarkEnd w:id="58"/>
    </w:p>
    <w:p w14:paraId="70E7ACB1">
      <w:pPr>
        <w:pStyle w:val="15"/>
        <w:spacing w:line="336"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665C1400">
      <w:pPr>
        <w:pStyle w:val="58"/>
        <w:keepNext w:val="0"/>
        <w:keepLines w:val="0"/>
        <w:pageBreakBefore w:val="0"/>
        <w:widowControl w:val="0"/>
        <w:numPr>
          <w:ilvl w:val="0"/>
          <w:numId w:val="0"/>
        </w:numP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 xml:space="preserve">14.1 </w:t>
      </w: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2380B401">
      <w:pPr>
        <w:pStyle w:val="58"/>
        <w:keepNext w:val="0"/>
        <w:keepLines w:val="0"/>
        <w:pageBreakBefore w:val="0"/>
        <w:widowControl w:val="0"/>
        <w:numPr>
          <w:ilvl w:val="0"/>
          <w:numId w:val="0"/>
        </w:numP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 xml:space="preserve">14.2 </w:t>
      </w: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5AB424B1">
      <w:pPr>
        <w:pStyle w:val="15"/>
        <w:keepNext w:val="0"/>
        <w:keepLines w:val="0"/>
        <w:pageBreakBefore w:val="0"/>
        <w:widowControl w:val="0"/>
        <w:kinsoku/>
        <w:wordWrap/>
        <w:overflowPunct/>
        <w:topLinePunct w:val="0"/>
        <w:autoSpaceDE/>
        <w:autoSpaceDN/>
        <w:bidi w:val="0"/>
        <w:snapToGrid/>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5760C8A6">
      <w:pPr>
        <w:pStyle w:val="15"/>
        <w:keepNext w:val="0"/>
        <w:keepLines w:val="0"/>
        <w:pageBreakBefore w:val="0"/>
        <w:widowControl w:val="0"/>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1F5698D7">
      <w:pPr>
        <w:pStyle w:val="5"/>
        <w:numPr>
          <w:ilvl w:val="0"/>
          <w:numId w:val="8"/>
        </w:numP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9" w:name="_Toc24120"/>
      <w:bookmarkStart w:id="60" w:name="_Toc19010"/>
      <w:r>
        <w:rPr>
          <w:rFonts w:hint="eastAsia" w:ascii="宋体" w:hAnsi="宋体" w:eastAsia="宋体" w:cs="宋体"/>
          <w:color w:val="auto"/>
          <w:highlight w:val="none"/>
        </w:rPr>
        <w:t>磋商无效的情形</w:t>
      </w:r>
      <w:bookmarkEnd w:id="59"/>
      <w:bookmarkEnd w:id="60"/>
    </w:p>
    <w:p w14:paraId="4B5C093D">
      <w:pPr>
        <w:pStyle w:val="15"/>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69861577">
      <w:pPr>
        <w:pStyle w:val="15"/>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48C3F75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773C7C57">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16.2《法定代表人授权书》填写不全、错误、未加盖供应商公章（公章和签字或盖章缺一不可）； </w:t>
      </w:r>
    </w:p>
    <w:p w14:paraId="0587D555">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427F6DAC">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0A973B64">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38EA0C89">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16.6因未按规定的格式填写，内容不全或主要实质性内容字迹模糊辨认不清,经评标委员会认定为无法评审的；</w:t>
      </w:r>
    </w:p>
    <w:p w14:paraId="511EAE70">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16.7出现同一标的物或本次采购产品(服务)内的主要产品(重要组成部分)出现技术、商务描述不一致或前后描述不一致，经评标委员会认定后为无法评审的；</w:t>
      </w:r>
    </w:p>
    <w:p w14:paraId="427F7542">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1538A1C2">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4072F3B0">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4257884E">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3D3B8B54">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6F77EA00">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3B8854E0">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3E6A1143">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72ACF941">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5833EC08">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6EDA9AA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52F281D4">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3A9900E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6A9B282A">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2C9B2559">
      <w:pPr>
        <w:tabs>
          <w:tab w:val="left" w:pos="3870"/>
          <w:tab w:val="left" w:pos="4085"/>
        </w:tabs>
        <w:snapToGrid w:val="0"/>
        <w:spacing w:line="336"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其他违反法律、法规的情形。</w:t>
      </w:r>
    </w:p>
    <w:p w14:paraId="517D5666">
      <w:pPr>
        <w:pStyle w:val="5"/>
        <w:numPr>
          <w:ilvl w:val="0"/>
          <w:numId w:val="8"/>
        </w:numP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61" w:name="_Toc21752"/>
      <w:bookmarkStart w:id="62" w:name="_Toc20944"/>
      <w:r>
        <w:rPr>
          <w:rFonts w:hint="eastAsia" w:ascii="宋体" w:hAnsi="宋体" w:eastAsia="宋体" w:cs="宋体"/>
          <w:color w:val="auto"/>
          <w:highlight w:val="none"/>
        </w:rPr>
        <w:t>采购中止的情形</w:t>
      </w:r>
      <w:bookmarkEnd w:id="61"/>
      <w:bookmarkEnd w:id="62"/>
    </w:p>
    <w:p w14:paraId="597E8CE0">
      <w:pPr>
        <w:pStyle w:val="15"/>
        <w:keepNext w:val="0"/>
        <w:keepLines w:val="0"/>
        <w:pageBreakBefore w:val="0"/>
        <w:widowControl w:val="0"/>
        <w:kinsoku/>
        <w:wordWrap/>
        <w:overflowPunct/>
        <w:topLinePunct w:val="0"/>
        <w:autoSpaceDE/>
        <w:autoSpaceDN/>
        <w:bidi w:val="0"/>
        <w:snapToGrid/>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1E3512C3">
      <w:pPr>
        <w:pStyle w:val="58"/>
        <w:keepNext w:val="0"/>
        <w:keepLines w:val="0"/>
        <w:pageBreakBefore w:val="0"/>
        <w:widowControl w:val="0"/>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31244521">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电子交易平台发生故障而无法登录访问的； </w:t>
      </w:r>
    </w:p>
    <w:p w14:paraId="06872141">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11FDE1A7">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442B871D">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病毒发作导致不能进行正常操作的； </w:t>
      </w:r>
    </w:p>
    <w:p w14:paraId="0F82C1C2">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22B2F5CA">
      <w:pPr>
        <w:pStyle w:val="58"/>
        <w:keepNext w:val="0"/>
        <w:keepLines w:val="0"/>
        <w:pageBreakBefore w:val="0"/>
        <w:widowControl w:val="0"/>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4326827E">
      <w:pPr>
        <w:pStyle w:val="5"/>
        <w:numPr>
          <w:ilvl w:val="0"/>
          <w:numId w:val="8"/>
        </w:numP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63" w:name="_Toc29177"/>
      <w:bookmarkStart w:id="64" w:name="_Toc14029"/>
      <w:r>
        <w:rPr>
          <w:rFonts w:hint="eastAsia" w:ascii="宋体" w:hAnsi="宋体" w:eastAsia="宋体" w:cs="宋体"/>
          <w:color w:val="auto"/>
          <w:highlight w:val="none"/>
        </w:rPr>
        <w:t>确定成交供应商与签订合同</w:t>
      </w:r>
      <w:bookmarkEnd w:id="63"/>
      <w:bookmarkEnd w:id="64"/>
    </w:p>
    <w:p w14:paraId="28987D33">
      <w:pP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12A45461">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3AC9F1E5">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204D45B6">
      <w:pP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57B9568F">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BAF952">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6BC97ECB">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46108065">
      <w:pPr>
        <w:pStyle w:val="58"/>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192277C8">
      <w:pPr>
        <w:pStyle w:val="58"/>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7A733DDF">
      <w:pPr>
        <w:adjustRightInd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6888F866">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绍兴市上虞区商务局</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B18286">
      <w:pPr>
        <w:pStyle w:val="4"/>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65" w:name="_Toc28335"/>
      <w:bookmarkStart w:id="66" w:name="_Toc21248"/>
      <w:r>
        <w:rPr>
          <w:rFonts w:hint="eastAsia" w:ascii="宋体" w:hAnsi="宋体" w:eastAsia="宋体" w:cs="宋体"/>
          <w:color w:val="auto"/>
          <w:sz w:val="36"/>
          <w:szCs w:val="36"/>
          <w:highlight w:val="none"/>
        </w:rPr>
        <w:t>第三部分 采购内容及要求</w:t>
      </w:r>
      <w:bookmarkEnd w:id="65"/>
      <w:bookmarkEnd w:id="66"/>
    </w:p>
    <w:p w14:paraId="24E77433">
      <w:pPr>
        <w:pStyle w:val="5"/>
        <w:jc w:val="center"/>
        <w:rPr>
          <w:rFonts w:hint="eastAsia" w:ascii="宋体" w:hAnsi="宋体" w:eastAsia="宋体" w:cs="宋体"/>
          <w:color w:val="auto"/>
          <w:highlight w:val="none"/>
        </w:rPr>
      </w:pPr>
      <w:bookmarkStart w:id="67" w:name="_Toc7143"/>
      <w:bookmarkStart w:id="68" w:name="_Toc25073"/>
      <w:bookmarkStart w:id="69" w:name="_Toc15284"/>
      <w:r>
        <w:rPr>
          <w:rFonts w:hint="eastAsia" w:ascii="宋体" w:hAnsi="宋体" w:eastAsia="宋体" w:cs="宋体"/>
          <w:color w:val="auto"/>
          <w:highlight w:val="none"/>
        </w:rPr>
        <w:t xml:space="preserve">第一章 </w:t>
      </w:r>
      <w:bookmarkStart w:id="70" w:name="_Toc506107120"/>
      <w:r>
        <w:rPr>
          <w:rFonts w:hint="eastAsia" w:ascii="宋体" w:hAnsi="宋体" w:eastAsia="宋体" w:cs="宋体"/>
          <w:color w:val="auto"/>
          <w:highlight w:val="none"/>
        </w:rPr>
        <w:t>采购内容及要求</w:t>
      </w:r>
      <w:bookmarkEnd w:id="67"/>
      <w:bookmarkEnd w:id="68"/>
      <w:bookmarkEnd w:id="70"/>
    </w:p>
    <w:p w14:paraId="53646BD5">
      <w:pPr>
        <w:spacing w:line="360" w:lineRule="auto"/>
        <w:jc w:val="left"/>
        <w:rPr>
          <w:rFonts w:hint="eastAsia" w:hAnsi="宋体"/>
          <w:bCs/>
          <w:color w:val="auto"/>
          <w:sz w:val="24"/>
          <w:highlight w:val="none"/>
          <w:u w:val="single"/>
        </w:rPr>
      </w:pPr>
      <w:r>
        <w:rPr>
          <w:rFonts w:hint="eastAsia" w:hAnsi="宋体"/>
          <w:bCs/>
          <w:color w:val="auto"/>
          <w:sz w:val="24"/>
          <w:highlight w:val="none"/>
        </w:rPr>
        <w:t>一、项目概况：</w:t>
      </w:r>
    </w:p>
    <w:p w14:paraId="677F452B">
      <w:pPr>
        <w:spacing w:line="360" w:lineRule="auto"/>
        <w:ind w:firstLine="480" w:firstLineChars="200"/>
        <w:rPr>
          <w:rFonts w:hint="eastAsia" w:hAnsi="宋体"/>
          <w:bCs/>
          <w:color w:val="auto"/>
          <w:sz w:val="24"/>
          <w:highlight w:val="none"/>
          <w:u w:val="single"/>
        </w:rPr>
      </w:pPr>
      <w:r>
        <w:rPr>
          <w:rFonts w:hint="eastAsia" w:hAnsi="宋体"/>
          <w:bCs/>
          <w:color w:val="auto"/>
          <w:sz w:val="24"/>
          <w:highlight w:val="none"/>
          <w:u w:val="single"/>
        </w:rPr>
        <w:t>为贯彻落实国务院《关于促进外贸回稳向好的若干意见》（国发〔2016〕27号）和省政府《关于促进外贸回稳向好的若干意见》（浙政发〔2016〕25号）文件精神，积极应对当前我区外贸出口面临的稳增压力，帮助小微出口企业“拓市场、抢订单”，营造良好的发展环境，进行上虞区小微企业出口信用保险政府联保服务采购。</w:t>
      </w:r>
    </w:p>
    <w:p w14:paraId="6C9E0F83">
      <w:pPr>
        <w:spacing w:line="360" w:lineRule="auto"/>
        <w:ind w:firstLine="480" w:firstLineChars="200"/>
        <w:rPr>
          <w:rFonts w:hint="eastAsia" w:hAnsi="宋体"/>
          <w:bCs/>
          <w:color w:val="auto"/>
          <w:sz w:val="24"/>
          <w:highlight w:val="none"/>
          <w:u w:val="single"/>
        </w:rPr>
      </w:pPr>
    </w:p>
    <w:p w14:paraId="13EE2623">
      <w:pPr>
        <w:spacing w:line="360" w:lineRule="auto"/>
        <w:jc w:val="left"/>
        <w:rPr>
          <w:color w:val="auto"/>
          <w:highlight w:val="none"/>
        </w:rPr>
      </w:pPr>
      <w:r>
        <w:rPr>
          <w:rFonts w:hint="eastAsia"/>
          <w:color w:val="auto"/>
          <w:highlight w:val="none"/>
        </w:rPr>
        <w:t>二、</w:t>
      </w:r>
      <w:r>
        <w:rPr>
          <w:rFonts w:hint="eastAsia" w:hAnsi="宋体"/>
          <w:color w:val="auto"/>
          <w:sz w:val="24"/>
          <w:highlight w:val="none"/>
        </w:rPr>
        <w:t>服务要求、服务范围：</w:t>
      </w:r>
    </w:p>
    <w:p w14:paraId="0F5E82CA">
      <w:pPr>
        <w:numPr>
          <w:ilvl w:val="3"/>
          <w:numId w:val="14"/>
        </w:numPr>
        <w:spacing w:line="360" w:lineRule="auto"/>
        <w:rPr>
          <w:rFonts w:hAnsi="宋体"/>
          <w:color w:val="auto"/>
          <w:sz w:val="24"/>
          <w:highlight w:val="none"/>
        </w:rPr>
      </w:pPr>
      <w:r>
        <w:rPr>
          <w:rFonts w:hint="eastAsia" w:hAnsi="宋体"/>
          <w:color w:val="auto"/>
          <w:sz w:val="24"/>
          <w:highlight w:val="none"/>
        </w:rPr>
        <w:t>承保企业基本要求：</w:t>
      </w:r>
    </w:p>
    <w:p w14:paraId="0CC0D01F">
      <w:pPr>
        <w:spacing w:line="360" w:lineRule="auto"/>
        <w:ind w:left="846"/>
        <w:rPr>
          <w:rFonts w:hAnsi="宋体"/>
          <w:color w:val="auto"/>
          <w:sz w:val="24"/>
          <w:highlight w:val="cyan"/>
        </w:rPr>
      </w:pPr>
      <w:r>
        <w:rPr>
          <w:rFonts w:hint="eastAsia" w:hAnsi="宋体"/>
          <w:color w:val="auto"/>
          <w:sz w:val="24"/>
          <w:highlight w:val="none"/>
          <w:lang w:eastAsia="zh-CN"/>
        </w:rPr>
        <w:t>本地区域内</w:t>
      </w:r>
      <w:r>
        <w:rPr>
          <w:rFonts w:hint="eastAsia" w:hAnsi="宋体"/>
          <w:color w:val="auto"/>
          <w:sz w:val="24"/>
          <w:highlight w:val="none"/>
        </w:rPr>
        <w:t>且上年度出口额</w:t>
      </w:r>
      <w:r>
        <w:rPr>
          <w:rFonts w:hint="eastAsia" w:hAnsi="宋体"/>
          <w:color w:val="auto"/>
          <w:sz w:val="24"/>
          <w:highlight w:val="yellow"/>
        </w:rPr>
        <w:t>在</w:t>
      </w:r>
      <w:r>
        <w:rPr>
          <w:rFonts w:hint="eastAsia" w:hAnsi="宋体"/>
          <w:color w:val="auto"/>
          <w:sz w:val="24"/>
          <w:highlight w:val="yellow"/>
          <w:lang w:val="en-US" w:eastAsia="zh-CN"/>
        </w:rPr>
        <w:t>500万美元</w:t>
      </w:r>
      <w:r>
        <w:rPr>
          <w:rFonts w:hint="eastAsia" w:hAnsi="宋体"/>
          <w:color w:val="auto"/>
          <w:sz w:val="24"/>
          <w:highlight w:val="none"/>
        </w:rPr>
        <w:t>以下（含）的外贸</w:t>
      </w:r>
      <w:r>
        <w:rPr>
          <w:rFonts w:hAnsi="宋体"/>
          <w:color w:val="auto"/>
          <w:sz w:val="24"/>
          <w:highlight w:val="none"/>
        </w:rPr>
        <w:t>出口</w:t>
      </w:r>
      <w:r>
        <w:rPr>
          <w:rFonts w:hint="eastAsia" w:hAnsi="宋体"/>
          <w:color w:val="auto"/>
          <w:sz w:val="24"/>
          <w:highlight w:val="none"/>
        </w:rPr>
        <w:t>企业；</w:t>
      </w:r>
      <w:r>
        <w:rPr>
          <w:rFonts w:hint="eastAsia" w:hAnsi="宋体"/>
          <w:color w:val="auto"/>
          <w:sz w:val="24"/>
          <w:highlight w:val="cyan"/>
        </w:rPr>
        <w:t>（投保金额以202</w:t>
      </w:r>
      <w:r>
        <w:rPr>
          <w:rFonts w:hint="eastAsia" w:hAnsi="宋体"/>
          <w:color w:val="auto"/>
          <w:sz w:val="24"/>
          <w:highlight w:val="cyan"/>
          <w:lang w:val="en-US" w:eastAsia="zh-CN"/>
        </w:rPr>
        <w:t>3</w:t>
      </w:r>
      <w:r>
        <w:rPr>
          <w:rFonts w:hint="eastAsia" w:hAnsi="宋体"/>
          <w:color w:val="auto"/>
          <w:sz w:val="24"/>
          <w:highlight w:val="cyan"/>
        </w:rPr>
        <w:t>年企业的实际出口额</w:t>
      </w:r>
      <w:r>
        <w:rPr>
          <w:rFonts w:hint="eastAsia" w:hAnsi="宋体"/>
          <w:color w:val="auto"/>
          <w:sz w:val="24"/>
          <w:highlight w:val="cyan"/>
          <w:lang w:eastAsia="zh-CN"/>
        </w:rPr>
        <w:t>（</w:t>
      </w:r>
      <w:r>
        <w:rPr>
          <w:rFonts w:hint="eastAsia" w:hAnsi="宋体"/>
          <w:color w:val="auto"/>
          <w:sz w:val="24"/>
          <w:highlight w:val="cyan"/>
          <w:lang w:val="en-US" w:eastAsia="zh-CN"/>
        </w:rPr>
        <w:t>62.83亿元</w:t>
      </w:r>
      <w:r>
        <w:rPr>
          <w:rFonts w:hint="eastAsia" w:hAnsi="宋体"/>
          <w:color w:val="auto"/>
          <w:sz w:val="24"/>
          <w:highlight w:val="cyan"/>
          <w:lang w:eastAsia="zh-CN"/>
        </w:rPr>
        <w:t>）</w:t>
      </w:r>
      <w:r>
        <w:rPr>
          <w:rFonts w:hint="eastAsia" w:hAnsi="宋体"/>
          <w:color w:val="auto"/>
          <w:sz w:val="24"/>
          <w:highlight w:val="cyan"/>
        </w:rPr>
        <w:t>为准）</w:t>
      </w:r>
    </w:p>
    <w:p w14:paraId="3E482074">
      <w:pPr>
        <w:numPr>
          <w:ilvl w:val="0"/>
          <w:numId w:val="14"/>
        </w:numPr>
        <w:spacing w:line="360" w:lineRule="auto"/>
        <w:rPr>
          <w:rFonts w:hAnsi="宋体"/>
          <w:color w:val="auto"/>
          <w:sz w:val="24"/>
          <w:highlight w:val="none"/>
        </w:rPr>
      </w:pPr>
      <w:r>
        <w:rPr>
          <w:rFonts w:hint="eastAsia" w:hAnsi="宋体"/>
          <w:color w:val="auto"/>
          <w:sz w:val="24"/>
          <w:highlight w:val="none"/>
        </w:rPr>
        <w:t>每家企业单一</w:t>
      </w:r>
      <w:r>
        <w:rPr>
          <w:rFonts w:hAnsi="宋体"/>
          <w:color w:val="auto"/>
          <w:sz w:val="24"/>
          <w:highlight w:val="none"/>
        </w:rPr>
        <w:t>买方</w:t>
      </w:r>
      <w:r>
        <w:rPr>
          <w:rFonts w:hint="eastAsia" w:hAnsi="宋体"/>
          <w:color w:val="auto"/>
          <w:sz w:val="24"/>
          <w:highlight w:val="none"/>
        </w:rPr>
        <w:t>最高</w:t>
      </w:r>
      <w:r>
        <w:rPr>
          <w:rFonts w:hAnsi="宋体"/>
          <w:color w:val="auto"/>
          <w:sz w:val="24"/>
          <w:highlight w:val="none"/>
        </w:rPr>
        <w:t>赔偿额度</w:t>
      </w:r>
      <w:r>
        <w:rPr>
          <w:rFonts w:hint="eastAsia" w:hAnsi="宋体"/>
          <w:color w:val="auto"/>
          <w:sz w:val="24"/>
          <w:highlight w:val="none"/>
        </w:rPr>
        <w:t>：</w:t>
      </w:r>
      <w:r>
        <w:rPr>
          <w:rFonts w:hint="eastAsia" w:hAnsi="宋体"/>
          <w:color w:val="auto"/>
          <w:sz w:val="24"/>
          <w:highlight w:val="yellow"/>
          <w:shd w:val="clear" w:color="FFFFFF" w:fill="D9D9D9"/>
          <w:lang w:val="en-US" w:eastAsia="zh-CN"/>
        </w:rPr>
        <w:t>不低于8</w:t>
      </w:r>
      <w:r>
        <w:rPr>
          <w:rFonts w:hint="eastAsia" w:hAnsi="宋体"/>
          <w:color w:val="auto"/>
          <w:sz w:val="24"/>
          <w:highlight w:val="yellow"/>
          <w:shd w:val="clear" w:color="FFFFFF" w:fill="D9D9D9"/>
        </w:rPr>
        <w:t>万美</w:t>
      </w:r>
      <w:r>
        <w:rPr>
          <w:rFonts w:hint="eastAsia" w:hAnsi="宋体"/>
          <w:color w:val="auto"/>
          <w:sz w:val="24"/>
          <w:highlight w:val="yellow"/>
          <w:shd w:val="clear" w:color="FFFFFF" w:fill="D9D9D9"/>
          <w:lang w:eastAsia="zh-CN"/>
        </w:rPr>
        <w:t>元</w:t>
      </w:r>
      <w:r>
        <w:rPr>
          <w:rFonts w:hint="eastAsia" w:hAnsi="宋体"/>
          <w:color w:val="auto"/>
          <w:sz w:val="24"/>
          <w:highlight w:val="yellow"/>
          <w:shd w:val="clear" w:color="FFFFFF" w:fill="D9D9D9"/>
        </w:rPr>
        <w:t>；</w:t>
      </w:r>
    </w:p>
    <w:p w14:paraId="137DEDC2">
      <w:pPr>
        <w:numPr>
          <w:ilvl w:val="0"/>
          <w:numId w:val="14"/>
        </w:numPr>
        <w:spacing w:line="360" w:lineRule="auto"/>
        <w:rPr>
          <w:rFonts w:hAnsi="宋体"/>
          <w:color w:val="auto"/>
          <w:sz w:val="24"/>
          <w:highlight w:val="yellow"/>
          <w:shd w:val="clear" w:color="FFFFFF" w:fill="D9D9D9"/>
        </w:rPr>
      </w:pPr>
      <w:r>
        <w:rPr>
          <w:rFonts w:hint="eastAsia" w:hAnsi="宋体"/>
          <w:color w:val="auto"/>
          <w:sz w:val="24"/>
          <w:highlight w:val="none"/>
        </w:rPr>
        <w:t>赔付比例：</w:t>
      </w:r>
      <w:r>
        <w:rPr>
          <w:rFonts w:hint="eastAsia" w:hAnsi="宋体"/>
          <w:color w:val="auto"/>
          <w:sz w:val="24"/>
          <w:highlight w:val="yellow"/>
          <w:shd w:val="clear" w:color="FFFFFF" w:fill="D9D9D9"/>
          <w:lang w:val="en-US" w:eastAsia="zh-CN"/>
        </w:rPr>
        <w:t>不低于80</w:t>
      </w:r>
      <w:r>
        <w:rPr>
          <w:rFonts w:hint="eastAsia" w:hAnsi="宋体"/>
          <w:color w:val="auto"/>
          <w:sz w:val="24"/>
          <w:highlight w:val="yellow"/>
          <w:shd w:val="clear" w:color="FFFFFF" w:fill="D9D9D9"/>
        </w:rPr>
        <w:t>%；</w:t>
      </w:r>
    </w:p>
    <w:p w14:paraId="470A2563">
      <w:pPr>
        <w:numPr>
          <w:ilvl w:val="0"/>
          <w:numId w:val="14"/>
        </w:numPr>
        <w:spacing w:line="360" w:lineRule="auto"/>
        <w:rPr>
          <w:rFonts w:hAnsi="宋体"/>
          <w:color w:val="auto"/>
          <w:sz w:val="24"/>
          <w:highlight w:val="none"/>
        </w:rPr>
      </w:pPr>
      <w:r>
        <w:rPr>
          <w:rFonts w:hint="eastAsia" w:hAnsi="宋体"/>
          <w:color w:val="auto"/>
          <w:sz w:val="24"/>
          <w:highlight w:val="none"/>
        </w:rPr>
        <w:t>保费费率</w:t>
      </w:r>
      <w:r>
        <w:rPr>
          <w:rFonts w:hint="eastAsia" w:hAnsi="宋体"/>
          <w:color w:val="auto"/>
          <w:sz w:val="24"/>
          <w:highlight w:val="yellow"/>
        </w:rPr>
        <w:t>：</w:t>
      </w:r>
      <w:r>
        <w:rPr>
          <w:rFonts w:hint="eastAsia" w:hAnsi="宋体"/>
          <w:color w:val="auto"/>
          <w:sz w:val="24"/>
          <w:highlight w:val="yellow"/>
          <w:shd w:val="clear" w:color="FFFFFF" w:fill="D9D9D9"/>
          <w:lang w:val="en-US" w:eastAsia="zh-CN"/>
        </w:rPr>
        <w:t>0.03</w:t>
      </w:r>
      <w:r>
        <w:rPr>
          <w:rFonts w:hint="eastAsia" w:hAnsi="宋体"/>
          <w:color w:val="auto"/>
          <w:sz w:val="24"/>
          <w:highlight w:val="yellow"/>
          <w:shd w:val="clear" w:color="FFFFFF" w:fill="D9D9D9"/>
        </w:rPr>
        <w:t>%；</w:t>
      </w:r>
    </w:p>
    <w:p w14:paraId="7B607520">
      <w:pPr>
        <w:numPr>
          <w:ilvl w:val="0"/>
          <w:numId w:val="14"/>
        </w:numPr>
        <w:spacing w:line="360" w:lineRule="auto"/>
        <w:rPr>
          <w:rFonts w:hAnsi="宋体"/>
          <w:color w:val="auto"/>
          <w:sz w:val="24"/>
          <w:highlight w:val="none"/>
        </w:rPr>
      </w:pPr>
      <w:r>
        <w:rPr>
          <w:rFonts w:hint="eastAsia" w:hAnsi="宋体"/>
          <w:color w:val="auto"/>
          <w:sz w:val="24"/>
          <w:highlight w:val="none"/>
        </w:rPr>
        <w:t>保险费计算公式：</w:t>
      </w:r>
    </w:p>
    <w:p w14:paraId="2C722D5E">
      <w:pPr>
        <w:spacing w:line="360" w:lineRule="auto"/>
        <w:ind w:left="840"/>
        <w:rPr>
          <w:rFonts w:hAnsi="宋体"/>
          <w:color w:val="auto"/>
          <w:sz w:val="24"/>
          <w:highlight w:val="none"/>
        </w:rPr>
      </w:pPr>
      <w:r>
        <w:rPr>
          <w:rFonts w:hint="eastAsia" w:hAnsi="宋体"/>
          <w:color w:val="auto"/>
          <w:sz w:val="24"/>
          <w:highlight w:val="none"/>
        </w:rPr>
        <w:t>保险费=投保企业海关出口额×保险费率</w:t>
      </w:r>
    </w:p>
    <w:p w14:paraId="155064C1">
      <w:pPr>
        <w:numPr>
          <w:ilvl w:val="0"/>
          <w:numId w:val="14"/>
        </w:numPr>
        <w:spacing w:line="360" w:lineRule="auto"/>
        <w:rPr>
          <w:rFonts w:hAnsi="宋体"/>
          <w:color w:val="auto"/>
          <w:sz w:val="24"/>
          <w:highlight w:val="none"/>
        </w:rPr>
      </w:pPr>
      <w:r>
        <w:rPr>
          <w:rFonts w:hint="eastAsia" w:hAnsi="宋体"/>
          <w:color w:val="auto"/>
          <w:sz w:val="24"/>
          <w:highlight w:val="none"/>
        </w:rPr>
        <w:t>每家企业保单年度最高赔偿限额：保险费</w:t>
      </w:r>
      <w:r>
        <w:rPr>
          <w:rFonts w:hAnsi="宋体"/>
          <w:color w:val="auto"/>
          <w:sz w:val="24"/>
          <w:highlight w:val="none"/>
        </w:rPr>
        <w:t>的</w:t>
      </w:r>
      <w:r>
        <w:rPr>
          <w:rFonts w:hint="eastAsia" w:hAnsi="宋体"/>
          <w:color w:val="auto"/>
          <w:sz w:val="24"/>
          <w:highlight w:val="none"/>
        </w:rPr>
        <w:t>50倍</w:t>
      </w:r>
      <w:r>
        <w:rPr>
          <w:rFonts w:hAnsi="宋体"/>
          <w:color w:val="auto"/>
          <w:sz w:val="24"/>
          <w:highlight w:val="none"/>
        </w:rPr>
        <w:t>但不低于</w:t>
      </w:r>
      <w:r>
        <w:rPr>
          <w:rFonts w:hint="eastAsia" w:hAnsi="宋体"/>
          <w:color w:val="auto"/>
          <w:sz w:val="24"/>
          <w:highlight w:val="yellow"/>
          <w:lang w:val="en-US" w:eastAsia="zh-CN"/>
        </w:rPr>
        <w:t>8</w:t>
      </w:r>
      <w:r>
        <w:rPr>
          <w:rFonts w:hint="eastAsia" w:hAnsi="宋体"/>
          <w:color w:val="auto"/>
          <w:sz w:val="24"/>
          <w:highlight w:val="yellow"/>
        </w:rPr>
        <w:t>万</w:t>
      </w:r>
      <w:r>
        <w:rPr>
          <w:rFonts w:hAnsi="宋体"/>
          <w:color w:val="auto"/>
          <w:sz w:val="24"/>
          <w:highlight w:val="none"/>
        </w:rPr>
        <w:t>美元</w:t>
      </w:r>
      <w:r>
        <w:rPr>
          <w:rFonts w:hint="eastAsia" w:hAnsi="宋体"/>
          <w:color w:val="auto"/>
          <w:sz w:val="24"/>
          <w:highlight w:val="none"/>
        </w:rPr>
        <w:t>；</w:t>
      </w:r>
    </w:p>
    <w:p w14:paraId="2CAABF53">
      <w:pPr>
        <w:numPr>
          <w:ilvl w:val="0"/>
          <w:numId w:val="14"/>
        </w:numPr>
        <w:spacing w:line="360" w:lineRule="auto"/>
        <w:rPr>
          <w:rFonts w:hAnsi="宋体"/>
          <w:color w:val="auto"/>
          <w:sz w:val="24"/>
          <w:highlight w:val="none"/>
        </w:rPr>
      </w:pPr>
      <w:r>
        <w:rPr>
          <w:rFonts w:hint="eastAsia" w:hAnsi="宋体"/>
          <w:color w:val="auto"/>
          <w:sz w:val="24"/>
          <w:highlight w:val="none"/>
        </w:rPr>
        <w:t>贸易支付方式：付款交单（D/P）、承兑交单（D/A）、赊账（OA）或不可撤销的信用证（L/C）；</w:t>
      </w:r>
    </w:p>
    <w:p w14:paraId="7613C954">
      <w:pPr>
        <w:numPr>
          <w:ilvl w:val="0"/>
          <w:numId w:val="14"/>
        </w:numPr>
        <w:spacing w:line="360" w:lineRule="auto"/>
        <w:rPr>
          <w:rFonts w:hAnsi="宋体"/>
          <w:color w:val="auto"/>
          <w:sz w:val="24"/>
          <w:highlight w:val="none"/>
        </w:rPr>
      </w:pPr>
      <w:r>
        <w:rPr>
          <w:rFonts w:hint="eastAsia" w:hAnsi="宋体"/>
          <w:color w:val="auto"/>
          <w:sz w:val="24"/>
          <w:highlight w:val="none"/>
        </w:rPr>
        <w:t>商务局将不定期的向承保企业通过函电走访等形式对中标企业的服务满意度进行调查，如果服务满意度低于80%，扣除合同价的5%作为违约金。</w:t>
      </w:r>
    </w:p>
    <w:p w14:paraId="100AE0CE">
      <w:pPr>
        <w:numPr>
          <w:ilvl w:val="0"/>
          <w:numId w:val="14"/>
        </w:numPr>
        <w:spacing w:line="360" w:lineRule="auto"/>
        <w:rPr>
          <w:rFonts w:hAnsi="宋体"/>
          <w:color w:val="auto"/>
          <w:sz w:val="24"/>
          <w:highlight w:val="none"/>
        </w:rPr>
      </w:pPr>
      <w:r>
        <w:rPr>
          <w:rFonts w:hint="eastAsia" w:hAnsi="宋体"/>
          <w:color w:val="auto"/>
          <w:sz w:val="24"/>
          <w:highlight w:val="none"/>
        </w:rPr>
        <w:t>承保风险：</w:t>
      </w:r>
    </w:p>
    <w:p w14:paraId="6AD9DA09">
      <w:pPr>
        <w:spacing w:line="360" w:lineRule="auto"/>
        <w:ind w:firstLine="840" w:firstLineChars="350"/>
        <w:rPr>
          <w:rFonts w:hAnsi="宋体"/>
          <w:color w:val="auto"/>
          <w:sz w:val="24"/>
          <w:highlight w:val="none"/>
        </w:rPr>
      </w:pPr>
      <w:r>
        <w:rPr>
          <w:rFonts w:hint="eastAsia" w:hAnsi="宋体"/>
          <w:color w:val="auto"/>
          <w:sz w:val="24"/>
          <w:highlight w:val="none"/>
        </w:rPr>
        <w:t>商业风险：买方/银行破产或无力偿付债务、拖欠、拒收货物；</w:t>
      </w:r>
    </w:p>
    <w:p w14:paraId="27A34785">
      <w:pPr>
        <w:spacing w:line="360" w:lineRule="auto"/>
        <w:ind w:left="840"/>
        <w:rPr>
          <w:rFonts w:hAnsi="宋体"/>
          <w:color w:val="auto"/>
          <w:sz w:val="24"/>
          <w:highlight w:val="none"/>
        </w:rPr>
      </w:pPr>
      <w:r>
        <w:rPr>
          <w:rFonts w:hint="eastAsia" w:hAnsi="宋体"/>
          <w:color w:val="auto"/>
          <w:sz w:val="24"/>
          <w:highlight w:val="none"/>
        </w:rPr>
        <w:t>政治风险：买方/银行所在国家或地区战争、内战、叛乱、革命；禁止货进口或撤销已颁发的进口许可证等贸易管制；禁止汇兑、延期付款令等外汇管制。</w:t>
      </w:r>
    </w:p>
    <w:p w14:paraId="45DA50AE">
      <w:pPr>
        <w:numPr>
          <w:ilvl w:val="0"/>
          <w:numId w:val="14"/>
        </w:numPr>
        <w:spacing w:line="360" w:lineRule="auto"/>
        <w:rPr>
          <w:rFonts w:hAnsi="宋体"/>
          <w:color w:val="auto"/>
          <w:sz w:val="24"/>
          <w:highlight w:val="none"/>
        </w:rPr>
      </w:pPr>
      <w:r>
        <w:rPr>
          <w:rFonts w:hint="eastAsia" w:hAnsi="宋体"/>
          <w:color w:val="auto"/>
          <w:sz w:val="24"/>
          <w:highlight w:val="none"/>
        </w:rPr>
        <w:t>政府保费补贴：全额补贴；</w:t>
      </w:r>
    </w:p>
    <w:p w14:paraId="150A6CD9">
      <w:pPr>
        <w:numPr>
          <w:ilvl w:val="0"/>
          <w:numId w:val="14"/>
        </w:numPr>
        <w:spacing w:line="360" w:lineRule="auto"/>
        <w:rPr>
          <w:rFonts w:hAnsi="宋体"/>
          <w:color w:val="auto"/>
          <w:sz w:val="24"/>
          <w:highlight w:val="none"/>
        </w:rPr>
      </w:pPr>
      <w:r>
        <w:rPr>
          <w:rFonts w:hint="eastAsia" w:hAnsi="宋体"/>
          <w:color w:val="auto"/>
          <w:sz w:val="24"/>
          <w:highlight w:val="none"/>
        </w:rPr>
        <w:t>保费总额预算</w:t>
      </w:r>
      <w:r>
        <w:rPr>
          <w:rFonts w:hAnsi="宋体"/>
          <w:color w:val="auto"/>
          <w:sz w:val="24"/>
          <w:highlight w:val="none"/>
        </w:rPr>
        <w:t>：</w:t>
      </w:r>
      <w:r>
        <w:rPr>
          <w:rFonts w:hint="eastAsia" w:hAnsi="宋体"/>
          <w:color w:val="auto"/>
          <w:sz w:val="24"/>
          <w:highlight w:val="yellow"/>
        </w:rPr>
        <w:t>人民币2</w:t>
      </w:r>
      <w:r>
        <w:rPr>
          <w:rFonts w:hint="eastAsia" w:hAnsi="宋体"/>
          <w:color w:val="auto"/>
          <w:sz w:val="24"/>
          <w:highlight w:val="yellow"/>
          <w:lang w:val="en-US" w:eastAsia="zh-CN"/>
        </w:rPr>
        <w:t>00</w:t>
      </w:r>
      <w:r>
        <w:rPr>
          <w:rFonts w:hint="eastAsia" w:hAnsi="宋体"/>
          <w:color w:val="auto"/>
          <w:sz w:val="24"/>
          <w:highlight w:val="yellow"/>
        </w:rPr>
        <w:t>万元以内，超过2</w:t>
      </w:r>
      <w:r>
        <w:rPr>
          <w:rFonts w:hint="eastAsia" w:hAnsi="宋体"/>
          <w:color w:val="auto"/>
          <w:sz w:val="24"/>
          <w:highlight w:val="yellow"/>
          <w:lang w:val="en-US" w:eastAsia="zh-CN"/>
        </w:rPr>
        <w:t>00</w:t>
      </w:r>
      <w:r>
        <w:rPr>
          <w:rFonts w:hint="eastAsia" w:hAnsi="宋体"/>
          <w:color w:val="auto"/>
          <w:sz w:val="24"/>
          <w:highlight w:val="yellow"/>
        </w:rPr>
        <w:t>万元按照2</w:t>
      </w:r>
      <w:r>
        <w:rPr>
          <w:rFonts w:hint="eastAsia" w:hAnsi="宋体"/>
          <w:color w:val="auto"/>
          <w:sz w:val="24"/>
          <w:highlight w:val="yellow"/>
          <w:lang w:val="en-US" w:eastAsia="zh-CN"/>
        </w:rPr>
        <w:t>00</w:t>
      </w:r>
      <w:r>
        <w:rPr>
          <w:rFonts w:hint="eastAsia" w:hAnsi="宋体"/>
          <w:color w:val="auto"/>
          <w:sz w:val="24"/>
          <w:highlight w:val="yellow"/>
        </w:rPr>
        <w:t>万元计算</w:t>
      </w:r>
      <w:r>
        <w:rPr>
          <w:rFonts w:hint="eastAsia" w:hAnsi="宋体"/>
          <w:color w:val="auto"/>
          <w:sz w:val="24"/>
          <w:highlight w:val="none"/>
        </w:rPr>
        <w:t>。</w:t>
      </w:r>
    </w:p>
    <w:p w14:paraId="70617978">
      <w:pPr>
        <w:spacing w:line="360" w:lineRule="auto"/>
        <w:rPr>
          <w:rFonts w:hAnsi="宋体"/>
          <w:color w:val="auto"/>
          <w:sz w:val="24"/>
          <w:highlight w:val="none"/>
        </w:rPr>
      </w:pPr>
      <w:r>
        <w:rPr>
          <w:rFonts w:hint="eastAsia" w:hAnsi="宋体"/>
          <w:color w:val="auto"/>
          <w:sz w:val="24"/>
          <w:highlight w:val="none"/>
        </w:rPr>
        <w:t>三、保险公司负责</w:t>
      </w:r>
    </w:p>
    <w:p w14:paraId="10FD408A">
      <w:pPr>
        <w:numPr>
          <w:ilvl w:val="0"/>
          <w:numId w:val="15"/>
        </w:numPr>
        <w:spacing w:line="360" w:lineRule="auto"/>
        <w:rPr>
          <w:rFonts w:hAnsi="宋体"/>
          <w:color w:val="auto"/>
          <w:sz w:val="24"/>
          <w:highlight w:val="none"/>
        </w:rPr>
      </w:pPr>
      <w:r>
        <w:rPr>
          <w:rFonts w:hint="eastAsia" w:hAnsi="宋体"/>
          <w:color w:val="auto"/>
          <w:sz w:val="24"/>
          <w:highlight w:val="none"/>
        </w:rPr>
        <w:t>采取积极的承保和赔付政策，切实保障企业收汇风险，努力扩大承保规模,在索赔资料提供齐全的情况下，30天内核定保险责任。</w:t>
      </w:r>
    </w:p>
    <w:p w14:paraId="5139D9EB">
      <w:pPr>
        <w:numPr>
          <w:ilvl w:val="0"/>
          <w:numId w:val="15"/>
        </w:numPr>
        <w:spacing w:line="360" w:lineRule="auto"/>
        <w:rPr>
          <w:rFonts w:hAnsi="宋体"/>
          <w:color w:val="auto"/>
          <w:sz w:val="24"/>
          <w:highlight w:val="none"/>
        </w:rPr>
      </w:pPr>
      <w:r>
        <w:rPr>
          <w:rFonts w:hint="eastAsia" w:ascii="宋体" w:hAnsi="宋体" w:cs="Arial"/>
          <w:color w:val="auto"/>
          <w:sz w:val="24"/>
          <w:highlight w:val="none"/>
        </w:rPr>
        <w:t>现有多个全功能人工服务网点，要求覆盖面广</w:t>
      </w:r>
      <w:r>
        <w:rPr>
          <w:rFonts w:hint="eastAsia" w:hAnsi="宋体"/>
          <w:color w:val="auto"/>
          <w:sz w:val="24"/>
          <w:highlight w:val="none"/>
        </w:rPr>
        <w:t>，做好加大宣传和政策辅导力度，对采购单位审核确定的出口企业进行逐个上门服务。合同</w:t>
      </w:r>
      <w:r>
        <w:rPr>
          <w:rFonts w:hAnsi="宋体"/>
          <w:color w:val="auto"/>
          <w:sz w:val="24"/>
          <w:highlight w:val="none"/>
        </w:rPr>
        <w:t>签订后</w:t>
      </w:r>
      <w:r>
        <w:rPr>
          <w:rFonts w:hint="eastAsia" w:hAnsi="宋体"/>
          <w:color w:val="auto"/>
          <w:sz w:val="24"/>
          <w:highlight w:val="none"/>
        </w:rPr>
        <w:t>3个月</w:t>
      </w:r>
      <w:r>
        <w:rPr>
          <w:rFonts w:hAnsi="宋体"/>
          <w:color w:val="auto"/>
          <w:sz w:val="24"/>
          <w:highlight w:val="none"/>
        </w:rPr>
        <w:t>内服务覆盖率</w:t>
      </w:r>
      <w:r>
        <w:rPr>
          <w:rFonts w:hint="eastAsia" w:hAnsi="宋体"/>
          <w:color w:val="auto"/>
          <w:sz w:val="24"/>
          <w:highlight w:val="none"/>
        </w:rPr>
        <w:t>需</w:t>
      </w:r>
      <w:r>
        <w:rPr>
          <w:rFonts w:hAnsi="宋体"/>
          <w:color w:val="auto"/>
          <w:sz w:val="24"/>
          <w:highlight w:val="none"/>
        </w:rPr>
        <w:t>达到</w:t>
      </w:r>
      <w:r>
        <w:rPr>
          <w:rFonts w:hint="eastAsia" w:hAnsi="宋体"/>
          <w:color w:val="auto"/>
          <w:sz w:val="24"/>
          <w:highlight w:val="none"/>
        </w:rPr>
        <w:t>80</w:t>
      </w:r>
      <w:r>
        <w:rPr>
          <w:rFonts w:hAnsi="宋体"/>
          <w:color w:val="auto"/>
          <w:sz w:val="24"/>
          <w:highlight w:val="none"/>
        </w:rPr>
        <w:t>%以上企业</w:t>
      </w:r>
      <w:r>
        <w:rPr>
          <w:rFonts w:hint="eastAsia" w:hAnsi="宋体"/>
          <w:color w:val="auto"/>
          <w:sz w:val="24"/>
          <w:highlight w:val="none"/>
        </w:rPr>
        <w:t>，以企业反馈确认单为准。</w:t>
      </w:r>
    </w:p>
    <w:p w14:paraId="6F8F5FB2">
      <w:pPr>
        <w:numPr>
          <w:ilvl w:val="0"/>
          <w:numId w:val="15"/>
        </w:numPr>
        <w:spacing w:line="360" w:lineRule="auto"/>
        <w:rPr>
          <w:rFonts w:hAnsi="宋体"/>
          <w:color w:val="auto"/>
          <w:sz w:val="24"/>
          <w:highlight w:val="none"/>
        </w:rPr>
      </w:pPr>
      <w:r>
        <w:rPr>
          <w:rFonts w:hint="eastAsia" w:hAnsi="宋体"/>
          <w:color w:val="auto"/>
          <w:sz w:val="24"/>
          <w:highlight w:val="none"/>
        </w:rPr>
        <w:t>为进入联保模式的上虞区出口企业提供专业、高效的海外买家征信和评估服务，加强个性化风险评估服务。免费向企业提供海外风险预警、海外风险分析、典型案例等信息服务。</w:t>
      </w:r>
    </w:p>
    <w:p w14:paraId="792BE6EE">
      <w:pPr>
        <w:numPr>
          <w:ilvl w:val="0"/>
          <w:numId w:val="15"/>
        </w:numPr>
        <w:spacing w:line="360" w:lineRule="auto"/>
        <w:rPr>
          <w:rFonts w:hint="eastAsia" w:hAnsi="宋体"/>
          <w:color w:val="auto"/>
          <w:sz w:val="24"/>
          <w:highlight w:val="none"/>
        </w:rPr>
      </w:pPr>
      <w:r>
        <w:rPr>
          <w:rFonts w:hint="eastAsia" w:hAnsi="宋体"/>
          <w:color w:val="auto"/>
          <w:sz w:val="24"/>
          <w:highlight w:val="none"/>
        </w:rPr>
        <w:t>加强与当地银行的合作，推动信保融资。扩大信用险项下融资规模，创新金融服务，帮助企业解决融资难题。</w:t>
      </w:r>
    </w:p>
    <w:p w14:paraId="01919EF6">
      <w:pPr>
        <w:spacing w:line="360" w:lineRule="auto"/>
        <w:ind w:firstLine="480" w:firstLineChars="200"/>
        <w:contextualSpacing/>
        <w:jc w:val="left"/>
        <w:rPr>
          <w:rFonts w:hAnsi="宋体"/>
          <w:color w:val="auto"/>
          <w:sz w:val="24"/>
          <w:highlight w:val="none"/>
        </w:rPr>
      </w:pPr>
      <w:r>
        <w:rPr>
          <w:rFonts w:hint="eastAsia" w:hAnsi="宋体"/>
          <w:color w:val="auto"/>
          <w:sz w:val="24"/>
          <w:highlight w:val="none"/>
        </w:rPr>
        <w:t>5. 人员及设施保障</w:t>
      </w:r>
    </w:p>
    <w:p w14:paraId="518C543E">
      <w:pPr>
        <w:tabs>
          <w:tab w:val="left" w:pos="8030"/>
        </w:tabs>
        <w:spacing w:line="360" w:lineRule="auto"/>
        <w:ind w:firstLine="600" w:firstLineChars="250"/>
        <w:contextualSpacing/>
        <w:jc w:val="left"/>
        <w:rPr>
          <w:rFonts w:hAnsi="宋体"/>
          <w:color w:val="auto"/>
          <w:sz w:val="24"/>
          <w:highlight w:val="none"/>
        </w:rPr>
      </w:pPr>
      <w:r>
        <w:rPr>
          <w:rFonts w:hint="eastAsia" w:hAnsi="宋体"/>
          <w:color w:val="auto"/>
          <w:sz w:val="24"/>
          <w:highlight w:val="none"/>
        </w:rPr>
        <w:t>5.1.人员配备：应具配备有专业理赔能力和经办能力的相关人员</w:t>
      </w:r>
    </w:p>
    <w:p w14:paraId="1A1D65A0">
      <w:pPr>
        <w:spacing w:line="360" w:lineRule="auto"/>
        <w:ind w:left="935" w:leftChars="274" w:right="160" w:hanging="360" w:hangingChars="150"/>
        <w:rPr>
          <w:rFonts w:hAnsi="宋体"/>
          <w:color w:val="auto"/>
          <w:sz w:val="24"/>
          <w:highlight w:val="none"/>
        </w:rPr>
      </w:pPr>
      <w:r>
        <w:rPr>
          <w:rFonts w:hint="eastAsia" w:hAnsi="宋体"/>
          <w:color w:val="auto"/>
          <w:sz w:val="24"/>
          <w:highlight w:val="none"/>
        </w:rPr>
        <w:t>5.2.设施配备：服务</w:t>
      </w:r>
      <w:r>
        <w:rPr>
          <w:rFonts w:hAnsi="宋体"/>
          <w:color w:val="auto"/>
          <w:sz w:val="24"/>
          <w:highlight w:val="none"/>
        </w:rPr>
        <w:t>器材、电脑、打印机、复印机等相关设备设施必须具备</w:t>
      </w:r>
      <w:r>
        <w:rPr>
          <w:rFonts w:hint="eastAsia" w:hAnsi="宋体"/>
          <w:color w:val="auto"/>
          <w:sz w:val="24"/>
          <w:highlight w:val="none"/>
        </w:rPr>
        <w:t>，如配备专项车辆需以“理赔、服务、报案专号” 等概念性字样的、颜色与平常车有所区别</w:t>
      </w:r>
      <w:r>
        <w:rPr>
          <w:rFonts w:hAnsi="宋体"/>
          <w:color w:val="auto"/>
          <w:sz w:val="24"/>
          <w:highlight w:val="none"/>
        </w:rPr>
        <w:t xml:space="preserve"> </w:t>
      </w:r>
    </w:p>
    <w:p w14:paraId="58CB059D">
      <w:pPr>
        <w:spacing w:line="360" w:lineRule="auto"/>
        <w:ind w:firstLine="472"/>
        <w:jc w:val="left"/>
        <w:rPr>
          <w:rFonts w:hint="eastAsia" w:hAnsi="宋体"/>
          <w:color w:val="auto"/>
          <w:sz w:val="24"/>
          <w:highlight w:val="none"/>
        </w:rPr>
      </w:pPr>
      <w:r>
        <w:rPr>
          <w:rFonts w:hint="eastAsia" w:hAnsi="宋体"/>
          <w:color w:val="auto"/>
          <w:sz w:val="24"/>
          <w:highlight w:val="none"/>
        </w:rPr>
        <w:t>6. 提供简单、方便的理赔程序，开通保险知识咨询理赔服务。</w:t>
      </w:r>
    </w:p>
    <w:p w14:paraId="65F45768">
      <w:pPr>
        <w:pStyle w:val="5"/>
        <w:bidi w:val="0"/>
        <w:jc w:val="center"/>
        <w:rPr>
          <w:rFonts w:hint="eastAsia"/>
          <w:color w:val="auto"/>
          <w:sz w:val="28"/>
          <w:szCs w:val="28"/>
        </w:rPr>
      </w:pPr>
      <w:bookmarkStart w:id="71" w:name="_Toc14690"/>
      <w:r>
        <w:rPr>
          <w:rFonts w:hint="eastAsia"/>
          <w:color w:val="auto"/>
          <w:sz w:val="28"/>
          <w:szCs w:val="28"/>
          <w:lang w:eastAsia="zh-CN"/>
        </w:rPr>
        <w:t>第二章</w:t>
      </w:r>
      <w:r>
        <w:rPr>
          <w:rFonts w:hint="eastAsia"/>
          <w:color w:val="auto"/>
          <w:sz w:val="28"/>
          <w:szCs w:val="28"/>
          <w:lang w:val="en-US" w:eastAsia="zh-CN"/>
        </w:rPr>
        <w:t xml:space="preserve"> </w:t>
      </w:r>
      <w:r>
        <w:rPr>
          <w:rFonts w:hint="eastAsia"/>
          <w:color w:val="auto"/>
          <w:sz w:val="28"/>
          <w:szCs w:val="28"/>
        </w:rPr>
        <w:t>付款方式及要求</w:t>
      </w:r>
      <w:bookmarkEnd w:id="71"/>
    </w:p>
    <w:p w14:paraId="28822BE9">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付款方式：合同签订后</w:t>
      </w:r>
      <w:r>
        <w:rPr>
          <w:rFonts w:hint="eastAsia" w:ascii="宋体" w:hAnsi="宋体"/>
          <w:bCs/>
          <w:color w:val="auto"/>
          <w:sz w:val="24"/>
          <w:highlight w:val="none"/>
        </w:rPr>
        <w:t>，采购人</w:t>
      </w:r>
      <w:r>
        <w:rPr>
          <w:rFonts w:hint="eastAsia" w:ascii="宋体" w:hAnsi="宋体" w:cs="宋体"/>
          <w:color w:val="auto"/>
          <w:sz w:val="24"/>
          <w:highlight w:val="none"/>
        </w:rPr>
        <w:t>接到中标单位提供的保单和发票，</w:t>
      </w:r>
      <w:r>
        <w:rPr>
          <w:rFonts w:hint="eastAsia" w:ascii="宋体" w:hAnsi="宋体" w:cs="宋体"/>
          <w:color w:val="auto"/>
          <w:sz w:val="24"/>
          <w:highlight w:val="none"/>
          <w:lang w:val="en-US" w:eastAsia="zh-CN"/>
        </w:rPr>
        <w:t>7个工作日</w:t>
      </w:r>
      <w:r>
        <w:rPr>
          <w:rFonts w:hint="eastAsia" w:ascii="宋体" w:hAnsi="宋体" w:cs="宋体"/>
          <w:color w:val="auto"/>
          <w:sz w:val="24"/>
          <w:highlight w:val="none"/>
        </w:rPr>
        <w:t>内向</w:t>
      </w:r>
      <w:r>
        <w:rPr>
          <w:rFonts w:ascii="宋体" w:hAnsi="宋体" w:cs="宋体"/>
          <w:color w:val="auto"/>
          <w:sz w:val="24"/>
          <w:highlight w:val="none"/>
        </w:rPr>
        <w:t>中标单位</w:t>
      </w:r>
      <w:r>
        <w:rPr>
          <w:rFonts w:hint="eastAsia" w:ascii="宋体" w:hAnsi="宋体" w:cs="宋体"/>
          <w:color w:val="auto"/>
          <w:sz w:val="24"/>
          <w:highlight w:val="none"/>
        </w:rPr>
        <w:t>支付采购合同款的50%，待合同期满后</w:t>
      </w:r>
      <w:r>
        <w:rPr>
          <w:rFonts w:hint="eastAsia" w:ascii="宋体" w:hAnsi="宋体"/>
          <w:bCs/>
          <w:color w:val="auto"/>
          <w:sz w:val="24"/>
          <w:highlight w:val="none"/>
        </w:rPr>
        <w:t>采购人</w:t>
      </w:r>
      <w:r>
        <w:rPr>
          <w:rFonts w:hint="eastAsia" w:ascii="宋体" w:hAnsi="宋体" w:cs="宋体"/>
          <w:color w:val="auto"/>
          <w:sz w:val="24"/>
          <w:highlight w:val="none"/>
        </w:rPr>
        <w:t>接到中标单位提供的发票</w:t>
      </w:r>
      <w:r>
        <w:rPr>
          <w:rFonts w:hint="eastAsia" w:ascii="宋体" w:hAnsi="宋体" w:cs="宋体"/>
          <w:color w:val="auto"/>
          <w:sz w:val="24"/>
          <w:highlight w:val="none"/>
          <w:lang w:eastAsia="zh-CN"/>
        </w:rPr>
        <w:t>后</w:t>
      </w:r>
      <w:r>
        <w:rPr>
          <w:rFonts w:hint="eastAsia" w:ascii="宋体" w:hAnsi="宋体" w:cs="宋体"/>
          <w:color w:val="auto"/>
          <w:sz w:val="24"/>
          <w:highlight w:val="none"/>
          <w:lang w:val="en-US" w:eastAsia="zh-CN"/>
        </w:rPr>
        <w:t>7个工作日</w:t>
      </w:r>
      <w:r>
        <w:rPr>
          <w:rFonts w:hint="eastAsia" w:ascii="宋体" w:hAnsi="宋体" w:cs="宋体"/>
          <w:color w:val="auto"/>
          <w:sz w:val="24"/>
          <w:highlight w:val="none"/>
        </w:rPr>
        <w:t>内支付至合同总价的100%。</w:t>
      </w:r>
      <w:bookmarkStart w:id="72" w:name="_Toc130094921"/>
      <w:bookmarkEnd w:id="72"/>
      <w:bookmarkStart w:id="73" w:name="_Toc109441447"/>
      <w:bookmarkEnd w:id="73"/>
    </w:p>
    <w:p w14:paraId="61ED0648">
      <w:pPr>
        <w:pStyle w:val="4"/>
        <w:jc w:val="center"/>
        <w:rPr>
          <w:rFonts w:hint="eastAsia" w:ascii="宋体" w:hAnsi="宋体" w:eastAsia="宋体" w:cs="宋体"/>
          <w:color w:val="auto"/>
          <w:sz w:val="36"/>
          <w:szCs w:val="36"/>
          <w:highlight w:val="none"/>
        </w:rPr>
      </w:pPr>
      <w:r>
        <w:rPr>
          <w:rFonts w:hint="eastAsia" w:ascii="宋体" w:hAnsi="宋体" w:eastAsia="宋体" w:cs="宋体"/>
          <w:color w:val="auto"/>
          <w:sz w:val="24"/>
          <w:highlight w:val="none"/>
        </w:rPr>
        <w:br w:type="page"/>
      </w:r>
      <w:bookmarkStart w:id="74" w:name="_Toc1021"/>
      <w:r>
        <w:rPr>
          <w:rFonts w:hint="eastAsia" w:ascii="宋体" w:hAnsi="宋体" w:eastAsia="宋体" w:cs="宋体"/>
          <w:color w:val="auto"/>
          <w:sz w:val="36"/>
          <w:szCs w:val="36"/>
          <w:highlight w:val="none"/>
        </w:rPr>
        <w:t>第四部分 磋商原则及磋商方法</w:t>
      </w:r>
      <w:bookmarkEnd w:id="69"/>
      <w:bookmarkEnd w:id="74"/>
    </w:p>
    <w:p w14:paraId="0F615F4B">
      <w:pPr>
        <w:pStyle w:val="5"/>
        <w:numPr>
          <w:ilvl w:val="0"/>
          <w:numId w:val="16"/>
        </w:numPr>
        <w:jc w:val="center"/>
        <w:rPr>
          <w:rFonts w:hint="eastAsia" w:ascii="宋体" w:hAnsi="宋体" w:eastAsia="宋体" w:cs="宋体"/>
          <w:color w:val="auto"/>
          <w:highlight w:val="none"/>
        </w:rPr>
      </w:pPr>
      <w:bookmarkStart w:id="75" w:name="_Toc1265"/>
      <w:r>
        <w:rPr>
          <w:rFonts w:hint="eastAsia" w:ascii="宋体" w:hAnsi="宋体" w:eastAsia="宋体" w:cs="宋体"/>
          <w:color w:val="auto"/>
          <w:highlight w:val="none"/>
        </w:rPr>
        <w:t xml:space="preserve"> </w:t>
      </w:r>
      <w:bookmarkStart w:id="76" w:name="_Toc17341"/>
      <w:r>
        <w:rPr>
          <w:rFonts w:hint="eastAsia" w:ascii="宋体" w:hAnsi="宋体" w:eastAsia="宋体" w:cs="宋体"/>
          <w:color w:val="auto"/>
          <w:highlight w:val="none"/>
        </w:rPr>
        <w:t>磋商原则</w:t>
      </w:r>
      <w:bookmarkEnd w:id="75"/>
      <w:bookmarkEnd w:id="76"/>
    </w:p>
    <w:p w14:paraId="64F5914C">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0DE69B96">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785B29ED">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5BE6A2E0">
      <w:pPr>
        <w:pStyle w:val="15"/>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6737FFB3">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519C6CBE">
      <w:pPr>
        <w:pStyle w:val="15"/>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w:t>
      </w:r>
    </w:p>
    <w:p w14:paraId="3A1F8E92">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34C96F01">
      <w:pPr>
        <w:pStyle w:val="5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32C9111D">
      <w:pPr>
        <w:pStyle w:val="5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CBFE0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5、组建磋商小组</w:t>
      </w:r>
    </w:p>
    <w:p w14:paraId="0C04FC59">
      <w:pPr>
        <w:pStyle w:val="5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659C8440">
      <w:pPr>
        <w:pStyle w:val="58"/>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7E38818E">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2C6DF5AD">
      <w:pPr>
        <w:pStyle w:val="5"/>
        <w:numPr>
          <w:ilvl w:val="0"/>
          <w:numId w:val="16"/>
        </w:num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7" w:name="_Toc19386"/>
      <w:bookmarkStart w:id="78" w:name="_Toc10093"/>
      <w:r>
        <w:rPr>
          <w:rFonts w:hint="eastAsia" w:ascii="宋体" w:hAnsi="宋体" w:eastAsia="宋体" w:cs="宋体"/>
          <w:color w:val="auto"/>
          <w:highlight w:val="none"/>
        </w:rPr>
        <w:t>磋商程序</w:t>
      </w:r>
      <w:bookmarkEnd w:id="77"/>
      <w:bookmarkEnd w:id="78"/>
    </w:p>
    <w:p w14:paraId="039C4AC0">
      <w:pP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6799DD00">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63E1826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6C3C1FA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558C43C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0DFB32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728A74E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31780668">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64541D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159DA68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2D4A87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302BAAE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51DB240F">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2C7155AB">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5BC5168E">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4B13F8">
      <w:pPr>
        <w:pStyle w:val="58"/>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026C3023">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01875083">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022580CF">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1AC6265B">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2887F97C">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7707B5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20BE76D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DC1183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6BF147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0F7B063">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00E2182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3214AD1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3.2最后报价是供应商响应文件的有效组成部分，若最后报价高于响应文件报价文件报价，则以第一次报价计入评分。</w:t>
      </w:r>
    </w:p>
    <w:p w14:paraId="6795E90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5FBF7416">
      <w:pPr>
        <w:pStyle w:val="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72FF35F2">
      <w:pPr>
        <w:pStyle w:val="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4.1磋商活动由采购代理机构主持,磋商响应截止时间后,供应商登录政采云平台对电子响应文件进行在线解密；</w:t>
      </w:r>
    </w:p>
    <w:p w14:paraId="6DC3FBFB">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4.2响应文件解密结束,开启响应文件,磋商小组对资格和商务技术响应文件进行资格审查和符合性审查；</w:t>
      </w:r>
    </w:p>
    <w:p w14:paraId="1DEE3583">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5D4E4A3C">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090417F1">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4F28C950">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6A68FB2F">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6D299E67">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2C3E6E03">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191D7038">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04EC28EC">
      <w:pP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特别说明:政采云如对电子化开标及评审程序有调整的,按调整后的程序操作。</w:t>
      </w:r>
    </w:p>
    <w:p w14:paraId="3B4C598A">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63B95D49">
      <w:pPr>
        <w:tabs>
          <w:tab w:val="left" w:pos="-1080"/>
          <w:tab w:val="left" w:pos="180"/>
          <w:tab w:val="left" w:pos="108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分、报价分</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分；满分为100分。</w:t>
      </w:r>
    </w:p>
    <w:p w14:paraId="2276960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5.2经初步评审合格的响应文件，磋商小组根据竞争性磋商文件确定的评审标准和方法，对其商务技术部分作进一步评审、比较、打分。</w:t>
      </w:r>
    </w:p>
    <w:p w14:paraId="06AD5351">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6ACD7464">
      <w:pPr>
        <w:pStyle w:val="15"/>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2F054EA5">
      <w:pPr>
        <w:pStyle w:val="58"/>
        <w:spacing w:before="0"/>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5C0634E0">
      <w:pPr>
        <w:pStyle w:val="58"/>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689EFA5E">
      <w:pPr>
        <w:pStyle w:val="58"/>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290CBCA4">
      <w:pPr>
        <w:pStyle w:val="58"/>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07928134">
      <w:pPr>
        <w:pStyle w:val="58"/>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68A8F1EA">
      <w:pPr>
        <w:pStyle w:val="58"/>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6658E8A6">
      <w:pPr>
        <w:pStyle w:val="15"/>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2E8DB7FE">
      <w:pPr>
        <w:pStyle w:val="58"/>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52C46B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4424CD03">
      <w:pPr>
        <w:pStyle w:val="5"/>
        <w:numPr>
          <w:ilvl w:val="0"/>
          <w:numId w:val="16"/>
        </w:num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9" w:name="_Toc11321"/>
      <w:bookmarkStart w:id="80" w:name="_Toc12816"/>
      <w:r>
        <w:rPr>
          <w:rFonts w:hint="eastAsia" w:ascii="宋体" w:hAnsi="宋体" w:eastAsia="宋体" w:cs="宋体"/>
          <w:color w:val="auto"/>
          <w:highlight w:val="none"/>
        </w:rPr>
        <w:t>注意事项</w:t>
      </w:r>
      <w:bookmarkEnd w:id="79"/>
      <w:bookmarkEnd w:id="80"/>
    </w:p>
    <w:p w14:paraId="7434DCA3">
      <w:pPr>
        <w:pStyle w:val="6"/>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00AD3AC1">
      <w:pPr>
        <w:pStyle w:val="5"/>
        <w:numPr>
          <w:ilvl w:val="0"/>
          <w:numId w:val="17"/>
        </w:num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1" w:name="_Toc30407"/>
      <w:bookmarkStart w:id="82" w:name="_Toc13782"/>
      <w:r>
        <w:rPr>
          <w:rFonts w:hint="eastAsia" w:ascii="宋体" w:hAnsi="宋体" w:eastAsia="宋体" w:cs="宋体"/>
          <w:color w:val="auto"/>
          <w:highlight w:val="none"/>
        </w:rPr>
        <w:t>评分细则</w:t>
      </w:r>
      <w:bookmarkEnd w:id="81"/>
      <w:bookmarkEnd w:id="82"/>
    </w:p>
    <w:p w14:paraId="46EA4B6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 xml:space="preserve">0 </w:t>
      </w:r>
      <w:r>
        <w:rPr>
          <w:rFonts w:hint="eastAsia" w:ascii="宋体" w:hAnsi="宋体" w:eastAsia="宋体" w:cs="宋体"/>
          <w:b/>
          <w:bCs/>
          <w:color w:val="auto"/>
          <w:sz w:val="24"/>
          <w:szCs w:val="24"/>
          <w:highlight w:val="none"/>
        </w:rPr>
        <w:t>分）</w:t>
      </w:r>
    </w:p>
    <w:p w14:paraId="6ADC5E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报价文件主要是对供应商的有效报价进行评议，其评分标准及分值设置规则如下：</w:t>
      </w:r>
    </w:p>
    <w:p w14:paraId="5A8E7FF3">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1、本次评标设</w:t>
      </w:r>
      <w:r>
        <w:rPr>
          <w:rFonts w:hint="eastAsia" w:ascii="宋体" w:hAnsi="宋体"/>
          <w:color w:val="auto"/>
          <w:sz w:val="24"/>
          <w:szCs w:val="21"/>
          <w:highlight w:val="none"/>
          <w:lang w:eastAsia="zh-CN"/>
        </w:rPr>
        <w:t>报价</w:t>
      </w:r>
      <w:r>
        <w:rPr>
          <w:rFonts w:hint="eastAsia" w:ascii="宋体" w:hAnsi="宋体"/>
          <w:color w:val="auto"/>
          <w:sz w:val="24"/>
          <w:szCs w:val="21"/>
          <w:highlight w:val="none"/>
        </w:rPr>
        <w:t>分</w:t>
      </w:r>
      <w:r>
        <w:rPr>
          <w:rFonts w:hint="eastAsia" w:ascii="宋体" w:hAnsi="宋体"/>
          <w:color w:val="auto"/>
          <w:sz w:val="24"/>
          <w:szCs w:val="21"/>
          <w:highlight w:val="none"/>
          <w:lang w:eastAsia="zh-CN"/>
        </w:rPr>
        <w:t>共</w:t>
      </w:r>
      <w:r>
        <w:rPr>
          <w:rFonts w:hint="eastAsia" w:ascii="宋体" w:hAnsi="宋体"/>
          <w:color w:val="auto"/>
          <w:sz w:val="24"/>
          <w:szCs w:val="21"/>
          <w:highlight w:val="none"/>
          <w:lang w:val="en-US" w:eastAsia="zh-CN"/>
        </w:rPr>
        <w:t>30</w:t>
      </w:r>
      <w:r>
        <w:rPr>
          <w:rFonts w:hint="eastAsia" w:ascii="宋体" w:hAnsi="宋体"/>
          <w:color w:val="auto"/>
          <w:sz w:val="24"/>
          <w:szCs w:val="21"/>
          <w:highlight w:val="none"/>
        </w:rPr>
        <w:t>分</w:t>
      </w:r>
      <w:r>
        <w:rPr>
          <w:rFonts w:hint="eastAsia" w:ascii="宋体" w:hAnsi="宋体"/>
          <w:color w:val="auto"/>
          <w:sz w:val="24"/>
          <w:szCs w:val="21"/>
          <w:highlight w:val="none"/>
          <w:lang w:eastAsia="zh-CN"/>
        </w:rPr>
        <w:t>，</w:t>
      </w:r>
      <w:r>
        <w:rPr>
          <w:rFonts w:hint="eastAsia" w:ascii="宋体" w:hAnsi="宋体"/>
          <w:color w:val="auto"/>
          <w:sz w:val="24"/>
          <w:szCs w:val="21"/>
          <w:highlight w:val="none"/>
        </w:rPr>
        <w:t>最</w:t>
      </w:r>
      <w:r>
        <w:rPr>
          <w:rFonts w:hint="eastAsia" w:ascii="宋体" w:hAnsi="宋体"/>
          <w:color w:val="auto"/>
          <w:sz w:val="24"/>
          <w:szCs w:val="21"/>
          <w:highlight w:val="none"/>
          <w:lang w:val="en-US" w:eastAsia="zh-CN"/>
        </w:rPr>
        <w:t>低</w:t>
      </w:r>
      <w:r>
        <w:rPr>
          <w:rFonts w:hAnsi="宋体"/>
          <w:color w:val="auto"/>
          <w:sz w:val="24"/>
          <w:highlight w:val="none"/>
        </w:rPr>
        <w:t>赔偿额度</w:t>
      </w:r>
      <w:r>
        <w:rPr>
          <w:rFonts w:hint="eastAsia" w:hAnsi="宋体"/>
          <w:color w:val="auto"/>
          <w:sz w:val="24"/>
          <w:highlight w:val="none"/>
          <w:lang w:eastAsia="zh-CN"/>
        </w:rPr>
        <w:t>不低于</w:t>
      </w:r>
      <w:r>
        <w:rPr>
          <w:rFonts w:hint="eastAsia" w:hAnsi="宋体"/>
          <w:color w:val="auto"/>
          <w:sz w:val="24"/>
          <w:highlight w:val="none"/>
          <w:lang w:val="en-US" w:eastAsia="zh-CN"/>
        </w:rPr>
        <w:t>8万美元（15分）</w:t>
      </w:r>
      <w:r>
        <w:rPr>
          <w:rFonts w:hint="eastAsia" w:ascii="宋体" w:hAnsi="宋体"/>
          <w:color w:val="auto"/>
          <w:sz w:val="24"/>
          <w:szCs w:val="21"/>
          <w:highlight w:val="none"/>
          <w:lang w:eastAsia="zh-CN"/>
        </w:rPr>
        <w:t>和最低赔付率不低于</w:t>
      </w:r>
      <w:r>
        <w:rPr>
          <w:rFonts w:hint="eastAsia" w:ascii="宋体" w:hAnsi="宋体"/>
          <w:color w:val="auto"/>
          <w:sz w:val="24"/>
          <w:szCs w:val="21"/>
          <w:highlight w:val="none"/>
          <w:lang w:val="en-US" w:eastAsia="zh-CN"/>
        </w:rPr>
        <w:t>80%</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15分</w:t>
      </w:r>
      <w:r>
        <w:rPr>
          <w:rFonts w:hint="eastAsia" w:ascii="宋体" w:hAnsi="宋体"/>
          <w:color w:val="auto"/>
          <w:sz w:val="24"/>
          <w:szCs w:val="21"/>
          <w:highlight w:val="none"/>
          <w:lang w:eastAsia="zh-CN"/>
        </w:rPr>
        <w:t>）具体</w:t>
      </w:r>
      <w:r>
        <w:rPr>
          <w:rFonts w:hint="eastAsia" w:ascii="宋体" w:hAnsi="宋体"/>
          <w:color w:val="auto"/>
          <w:sz w:val="24"/>
          <w:szCs w:val="21"/>
          <w:highlight w:val="none"/>
        </w:rPr>
        <w:t>规定如下：</w:t>
      </w:r>
    </w:p>
    <w:p w14:paraId="4DBDE5CE">
      <w:pPr>
        <w:spacing w:line="360" w:lineRule="auto"/>
        <w:ind w:firstLine="480" w:firstLineChars="200"/>
        <w:rPr>
          <w:rFonts w:hint="eastAsia" w:ascii="宋体" w:hAnsi="宋体"/>
          <w:b w:val="0"/>
          <w:bCs/>
          <w:color w:val="auto"/>
          <w:sz w:val="24"/>
          <w:szCs w:val="21"/>
          <w:highlight w:val="none"/>
        </w:rPr>
      </w:pPr>
      <w:r>
        <w:rPr>
          <w:rFonts w:hint="eastAsia" w:ascii="宋体" w:hAnsi="宋体"/>
          <w:b w:val="0"/>
          <w:bCs/>
          <w:color w:val="auto"/>
          <w:sz w:val="24"/>
          <w:szCs w:val="21"/>
          <w:highlight w:val="none"/>
        </w:rPr>
        <w:t>最</w:t>
      </w:r>
      <w:r>
        <w:rPr>
          <w:rFonts w:hint="eastAsia" w:ascii="宋体" w:hAnsi="宋体"/>
          <w:b w:val="0"/>
          <w:bCs/>
          <w:color w:val="auto"/>
          <w:sz w:val="24"/>
          <w:szCs w:val="21"/>
          <w:highlight w:val="none"/>
          <w:lang w:eastAsia="zh-CN"/>
        </w:rPr>
        <w:t>低</w:t>
      </w:r>
      <w:r>
        <w:rPr>
          <w:rFonts w:hint="eastAsia" w:ascii="宋体" w:hAnsi="宋体"/>
          <w:b w:val="0"/>
          <w:bCs/>
          <w:color w:val="auto"/>
          <w:sz w:val="24"/>
          <w:szCs w:val="21"/>
          <w:highlight w:val="none"/>
        </w:rPr>
        <w:t>限价由采购人根据市场价格的调查设定，并且不</w:t>
      </w:r>
      <w:r>
        <w:rPr>
          <w:rFonts w:hint="eastAsia" w:ascii="宋体" w:hAnsi="宋体"/>
          <w:b w:val="0"/>
          <w:bCs/>
          <w:color w:val="auto"/>
          <w:sz w:val="24"/>
          <w:szCs w:val="21"/>
          <w:highlight w:val="none"/>
          <w:lang w:eastAsia="zh-CN"/>
        </w:rPr>
        <w:t>低</w:t>
      </w:r>
      <w:r>
        <w:rPr>
          <w:rFonts w:hint="eastAsia" w:ascii="宋体" w:hAnsi="宋体"/>
          <w:b w:val="0"/>
          <w:bCs/>
          <w:color w:val="auto"/>
          <w:sz w:val="24"/>
          <w:szCs w:val="21"/>
          <w:highlight w:val="none"/>
        </w:rPr>
        <w:t>于本项目</w:t>
      </w:r>
      <w:r>
        <w:rPr>
          <w:rFonts w:hint="eastAsia" w:ascii="宋体" w:hAnsi="宋体"/>
          <w:b w:val="0"/>
          <w:bCs/>
          <w:color w:val="auto"/>
          <w:sz w:val="24"/>
          <w:szCs w:val="21"/>
          <w:highlight w:val="none"/>
          <w:lang w:eastAsia="zh-CN"/>
        </w:rPr>
        <w:t>设定</w:t>
      </w:r>
      <w:r>
        <w:rPr>
          <w:rFonts w:hint="eastAsia" w:ascii="宋体" w:hAnsi="宋体"/>
          <w:b w:val="0"/>
          <w:bCs/>
          <w:color w:val="auto"/>
          <w:sz w:val="24"/>
          <w:szCs w:val="21"/>
          <w:highlight w:val="none"/>
        </w:rPr>
        <w:t>。</w:t>
      </w:r>
    </w:p>
    <w:p w14:paraId="756D0409">
      <w:pPr>
        <w:spacing w:line="360" w:lineRule="auto"/>
        <w:ind w:firstLine="480" w:firstLineChars="200"/>
        <w:rPr>
          <w:rFonts w:hint="eastAsia" w:ascii="宋体" w:hAnsi="宋体"/>
          <w:b w:val="0"/>
          <w:bCs/>
          <w:color w:val="auto"/>
          <w:sz w:val="24"/>
          <w:szCs w:val="21"/>
          <w:highlight w:val="none"/>
        </w:rPr>
      </w:pPr>
      <w:r>
        <w:rPr>
          <w:rFonts w:hint="eastAsia" w:ascii="宋体" w:hAnsi="宋体"/>
          <w:b w:val="0"/>
          <w:bCs/>
          <w:color w:val="auto"/>
          <w:sz w:val="24"/>
          <w:szCs w:val="21"/>
          <w:highlight w:val="none"/>
          <w:lang w:val="en-US" w:eastAsia="zh-CN"/>
        </w:rPr>
        <w:t>2</w:t>
      </w:r>
      <w:r>
        <w:rPr>
          <w:rFonts w:hint="eastAsia" w:ascii="宋体" w:hAnsi="宋体"/>
          <w:b w:val="0"/>
          <w:bCs/>
          <w:color w:val="auto"/>
          <w:sz w:val="24"/>
          <w:szCs w:val="21"/>
          <w:highlight w:val="none"/>
        </w:rPr>
        <w:t>、本次评标设有最佳报价</w:t>
      </w:r>
      <w:r>
        <w:rPr>
          <w:rFonts w:hint="eastAsia" w:ascii="宋体" w:hAnsi="宋体"/>
          <w:b w:val="0"/>
          <w:bCs/>
          <w:color w:val="auto"/>
          <w:sz w:val="24"/>
          <w:szCs w:val="21"/>
          <w:highlight w:val="none"/>
          <w:lang w:eastAsia="zh-CN"/>
        </w:rPr>
        <w:t>，</w:t>
      </w:r>
      <w:r>
        <w:rPr>
          <w:rFonts w:hint="eastAsia" w:ascii="宋体" w:hAnsi="宋体"/>
          <w:b w:val="0"/>
          <w:bCs/>
          <w:color w:val="auto"/>
          <w:sz w:val="24"/>
          <w:szCs w:val="21"/>
          <w:highlight w:val="none"/>
        </w:rPr>
        <w:t>最佳报价确定方式：</w:t>
      </w:r>
    </w:p>
    <w:p w14:paraId="312A25F6">
      <w:pPr>
        <w:spacing w:line="360" w:lineRule="auto"/>
        <w:ind w:firstLine="482" w:firstLineChars="200"/>
        <w:rPr>
          <w:rFonts w:hint="eastAsia" w:ascii="宋体" w:hAnsi="宋体"/>
          <w:b/>
          <w:bCs w:val="0"/>
          <w:color w:val="auto"/>
          <w:sz w:val="24"/>
          <w:szCs w:val="21"/>
          <w:highlight w:val="none"/>
          <w:lang w:val="en-US" w:eastAsia="zh-CN"/>
        </w:rPr>
      </w:pPr>
      <w:r>
        <w:rPr>
          <w:rFonts w:hint="eastAsia" w:ascii="宋体" w:hAnsi="宋体"/>
          <w:b/>
          <w:bCs w:val="0"/>
          <w:color w:val="auto"/>
          <w:sz w:val="24"/>
          <w:szCs w:val="21"/>
          <w:highlight w:val="none"/>
        </w:rPr>
        <w:t>根据所有入围投标人有效报价中的</w:t>
      </w:r>
      <w:r>
        <w:rPr>
          <w:rFonts w:hint="eastAsia" w:ascii="宋体" w:hAnsi="宋体"/>
          <w:b/>
          <w:bCs w:val="0"/>
          <w:color w:val="auto"/>
          <w:sz w:val="24"/>
          <w:szCs w:val="21"/>
          <w:highlight w:val="none"/>
          <w:lang w:eastAsia="zh-CN"/>
        </w:rPr>
        <w:t>最高</w:t>
      </w:r>
      <w:r>
        <w:rPr>
          <w:rFonts w:hint="eastAsia" w:ascii="宋体" w:hAnsi="宋体"/>
          <w:b/>
          <w:bCs w:val="0"/>
          <w:color w:val="auto"/>
          <w:sz w:val="24"/>
          <w:szCs w:val="21"/>
          <w:highlight w:val="none"/>
        </w:rPr>
        <w:t>报价作为最佳报价。</w:t>
      </w:r>
    </w:p>
    <w:p w14:paraId="36FFE224">
      <w:pPr>
        <w:numPr>
          <w:ilvl w:val="0"/>
          <w:numId w:val="0"/>
        </w:numPr>
        <w:spacing w:line="360" w:lineRule="auto"/>
        <w:ind w:left="400" w:leftChars="0"/>
        <w:rPr>
          <w:rFonts w:hint="eastAsia" w:ascii="宋体" w:hAnsi="宋体"/>
          <w:b w:val="0"/>
          <w:bCs/>
          <w:color w:val="auto"/>
          <w:sz w:val="24"/>
          <w:szCs w:val="21"/>
          <w:highlight w:val="none"/>
          <w:lang w:val="en-US" w:eastAsia="zh-CN"/>
        </w:rPr>
      </w:pPr>
      <w:r>
        <w:rPr>
          <w:rFonts w:hint="eastAsia" w:ascii="宋体" w:hAnsi="宋体"/>
          <w:b w:val="0"/>
          <w:bCs/>
          <w:color w:val="auto"/>
          <w:sz w:val="24"/>
          <w:szCs w:val="21"/>
          <w:highlight w:val="none"/>
          <w:lang w:val="en-US" w:eastAsia="zh-CN"/>
        </w:rPr>
        <w:t>3、单项最佳报价者的报价分为满分，其他投标人的有效报价与单项最佳报价相比，按下列方法计算其商务分：</w:t>
      </w:r>
    </w:p>
    <w:p w14:paraId="04BF47E9">
      <w:pPr>
        <w:numPr>
          <w:ilvl w:val="0"/>
          <w:numId w:val="0"/>
        </w:numPr>
        <w:spacing w:line="360" w:lineRule="auto"/>
        <w:ind w:firstLine="482" w:firstLineChars="200"/>
        <w:rPr>
          <w:rFonts w:hint="eastAsia" w:ascii="宋体" w:hAnsi="宋体"/>
          <w:b/>
          <w:bCs w:val="0"/>
          <w:color w:val="auto"/>
          <w:sz w:val="24"/>
          <w:szCs w:val="21"/>
          <w:highlight w:val="none"/>
          <w:lang w:val="en-US" w:eastAsia="zh-CN"/>
        </w:rPr>
      </w:pPr>
      <w:r>
        <w:rPr>
          <w:rFonts w:hint="eastAsia" w:ascii="宋体" w:hAnsi="宋体"/>
          <w:b/>
          <w:bCs w:val="0"/>
          <w:color w:val="auto"/>
          <w:sz w:val="24"/>
          <w:szCs w:val="21"/>
          <w:highlight w:val="none"/>
          <w:lang w:val="en-US" w:eastAsia="zh-CN"/>
        </w:rPr>
        <w:t>单项投标报价得分=(单项投标报价/单项最佳报价)*单项价格权值*100。</w:t>
      </w:r>
    </w:p>
    <w:p w14:paraId="54DBC7F3">
      <w:pPr>
        <w:numPr>
          <w:ilvl w:val="0"/>
          <w:numId w:val="0"/>
        </w:numPr>
        <w:spacing w:line="360" w:lineRule="auto"/>
        <w:ind w:left="400" w:leftChars="0"/>
        <w:rPr>
          <w:rFonts w:hint="eastAsia" w:ascii="宋体" w:hAnsi="宋体"/>
          <w:b w:val="0"/>
          <w:bCs/>
          <w:color w:val="auto"/>
          <w:sz w:val="24"/>
          <w:szCs w:val="21"/>
          <w:highlight w:val="none"/>
          <w:lang w:val="en-US" w:eastAsia="zh-CN"/>
        </w:rPr>
      </w:pPr>
      <w:r>
        <w:rPr>
          <w:rFonts w:hint="eastAsia" w:ascii="宋体" w:hAnsi="宋体"/>
          <w:b w:val="0"/>
          <w:bCs/>
          <w:color w:val="auto"/>
          <w:sz w:val="24"/>
          <w:szCs w:val="21"/>
          <w:highlight w:val="none"/>
          <w:lang w:val="en-US" w:eastAsia="zh-CN"/>
        </w:rPr>
        <w:t>4、投标人的商务价格分统一按照下列公式计算：</w:t>
      </w:r>
    </w:p>
    <w:p w14:paraId="3E2A4FAB">
      <w:pPr>
        <w:numPr>
          <w:ilvl w:val="0"/>
          <w:numId w:val="0"/>
        </w:numPr>
        <w:spacing w:line="360" w:lineRule="auto"/>
        <w:ind w:firstLine="482" w:firstLineChars="200"/>
        <w:rPr>
          <w:color w:val="auto"/>
        </w:rPr>
      </w:pPr>
      <w:r>
        <w:rPr>
          <w:rFonts w:hint="eastAsia" w:ascii="宋体" w:hAnsi="宋体"/>
          <w:b/>
          <w:bCs w:val="0"/>
          <w:color w:val="auto"/>
          <w:sz w:val="24"/>
          <w:szCs w:val="21"/>
          <w:highlight w:val="none"/>
          <w:lang w:val="en-US" w:eastAsia="zh-CN"/>
        </w:rPr>
        <w:t>投标报价总得分=赔偿额度得分+赔付率得分。</w:t>
      </w:r>
    </w:p>
    <w:p w14:paraId="121097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5、当报价一览表与磋商报价明细表报价不一致时，以报价一览表为准，磋商报价明细表报价予以修正并由授权代表签字确认，拒绝修正或确认的，则做无效标处理。</w:t>
      </w:r>
    </w:p>
    <w:p w14:paraId="530258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6、响应文件只允许有一个报价，磋商报价应按磋商文件中相关附表格式填报，该磋商报价应与明细报价汇总相等，且不允许出现报价优惠、赠送等字样（明细出现“0”元，视同赠送）,如出现则做</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处理。</w:t>
      </w:r>
    </w:p>
    <w:p w14:paraId="719C824A">
      <w:pPr>
        <w:autoSpaceDE w:val="0"/>
        <w:autoSpaceDN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rPr>
        <w:t>投标价格的合理性</w:t>
      </w:r>
      <w:r>
        <w:rPr>
          <w:rFonts w:hint="eastAsia" w:ascii="宋体" w:hAnsi="宋体" w:eastAsia="宋体"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0DFE6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AD125C">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w:t>
      </w:r>
      <w:r>
        <w:rPr>
          <w:rFonts w:hint="eastAsia" w:ascii="宋体" w:hAnsi="宋体" w:eastAsia="宋体" w:cs="宋体"/>
          <w:color w:val="auto"/>
          <w:sz w:val="24"/>
          <w:szCs w:val="21"/>
          <w:highlight w:val="none"/>
          <w:lang w:val="en-US" w:eastAsia="zh-CN"/>
        </w:rPr>
        <w:t>财政部</w:t>
      </w:r>
      <w:r>
        <w:rPr>
          <w:rFonts w:hint="eastAsia" w:ascii="宋体" w:hAnsi="宋体" w:eastAsia="宋体" w:cs="宋体"/>
          <w:color w:val="auto"/>
          <w:sz w:val="24"/>
          <w:szCs w:val="21"/>
          <w:highlight w:val="none"/>
        </w:rPr>
        <w:t>的《关于进一步加大政府采购支持中小企业力度的通知》（</w:t>
      </w:r>
      <w:r>
        <w:rPr>
          <w:rFonts w:hint="eastAsia" w:ascii="宋体" w:hAnsi="宋体" w:eastAsia="宋体" w:cs="宋体"/>
          <w:color w:val="auto"/>
          <w:sz w:val="24"/>
          <w:szCs w:val="21"/>
          <w:highlight w:val="none"/>
          <w:lang w:val="en-US" w:eastAsia="zh-CN"/>
        </w:rPr>
        <w:t>财库</w:t>
      </w:r>
      <w:r>
        <w:rPr>
          <w:rFonts w:hint="eastAsia" w:ascii="宋体" w:hAnsi="宋体" w:eastAsia="宋体" w:cs="宋体"/>
          <w:color w:val="auto"/>
          <w:sz w:val="24"/>
          <w:szCs w:val="21"/>
          <w:highlight w:val="none"/>
        </w:rPr>
        <w:t>〔2022〕</w:t>
      </w:r>
      <w:r>
        <w:rPr>
          <w:rFonts w:hint="eastAsia" w:ascii="宋体" w:hAnsi="宋体" w:eastAsia="宋体" w:cs="宋体"/>
          <w:color w:val="auto"/>
          <w:sz w:val="24"/>
          <w:szCs w:val="21"/>
          <w:highlight w:val="none"/>
          <w:lang w:val="en-US" w:eastAsia="zh-CN"/>
        </w:rPr>
        <w:t>19</w:t>
      </w:r>
      <w:r>
        <w:rPr>
          <w:rFonts w:hint="eastAsia" w:ascii="宋体" w:hAnsi="宋体" w:eastAsia="宋体" w:cs="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给予扣除，用扣除后的价格参加评审。</w:t>
      </w:r>
    </w:p>
    <w:p w14:paraId="369F2A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eastAsia="宋体" w:cs="宋体"/>
          <w:color w:val="auto"/>
          <w:sz w:val="24"/>
          <w:szCs w:val="24"/>
          <w:highlight w:val="none"/>
        </w:rPr>
        <w:t>。</w:t>
      </w:r>
    </w:p>
    <w:p w14:paraId="5BE0461F">
      <w:pPr>
        <w:numPr>
          <w:ilvl w:val="0"/>
          <w:numId w:val="18"/>
        </w:num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70</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分）</w:t>
      </w:r>
    </w:p>
    <w:p w14:paraId="2F0F1D75">
      <w:pPr>
        <w:numPr>
          <w:ilvl w:val="0"/>
          <w:numId w:val="0"/>
        </w:num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1、评分细则</w:t>
      </w:r>
    </w:p>
    <w:tbl>
      <w:tblPr>
        <w:tblStyle w:val="28"/>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828"/>
        <w:gridCol w:w="1152"/>
        <w:gridCol w:w="3365"/>
        <w:gridCol w:w="3366"/>
        <w:gridCol w:w="1345"/>
      </w:tblGrid>
      <w:tr w14:paraId="5848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91" w:type="dxa"/>
            <w:gridSpan w:val="2"/>
            <w:vMerge w:val="restart"/>
            <w:noWrap w:val="0"/>
            <w:vAlign w:val="center"/>
          </w:tcPr>
          <w:p w14:paraId="40A672EA">
            <w:pPr>
              <w:snapToGrid w:val="0"/>
              <w:jc w:val="center"/>
              <w:rPr>
                <w:rFonts w:hint="eastAsia" w:ascii="宋体" w:hAnsi="宋体" w:cs="宋体"/>
                <w:color w:val="auto"/>
                <w:sz w:val="24"/>
                <w:highlight w:val="none"/>
              </w:rPr>
            </w:pPr>
          </w:p>
          <w:p w14:paraId="1A1202D3">
            <w:pPr>
              <w:snapToGrid w:val="0"/>
              <w:jc w:val="center"/>
              <w:rPr>
                <w:rFonts w:hint="eastAsia" w:ascii="宋体" w:hAnsi="宋体" w:cs="宋体"/>
                <w:color w:val="auto"/>
                <w:sz w:val="24"/>
                <w:highlight w:val="none"/>
              </w:rPr>
            </w:pPr>
            <w:r>
              <w:rPr>
                <w:rFonts w:hint="eastAsia" w:ascii="宋体" w:hAnsi="宋体" w:cs="宋体"/>
                <w:color w:val="auto"/>
                <w:sz w:val="24"/>
                <w:highlight w:val="none"/>
              </w:rPr>
              <w:t>技术部分（63）</w:t>
            </w:r>
          </w:p>
        </w:tc>
        <w:tc>
          <w:tcPr>
            <w:tcW w:w="1152" w:type="dxa"/>
            <w:noWrap w:val="0"/>
            <w:vAlign w:val="center"/>
          </w:tcPr>
          <w:p w14:paraId="1B4D197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评标内容</w:t>
            </w:r>
          </w:p>
        </w:tc>
        <w:tc>
          <w:tcPr>
            <w:tcW w:w="6731" w:type="dxa"/>
            <w:gridSpan w:val="2"/>
            <w:noWrap w:val="0"/>
            <w:vAlign w:val="center"/>
          </w:tcPr>
          <w:p w14:paraId="661C3A93">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评分项目</w:t>
            </w:r>
          </w:p>
        </w:tc>
        <w:tc>
          <w:tcPr>
            <w:tcW w:w="1345" w:type="dxa"/>
            <w:noWrap w:val="0"/>
            <w:vAlign w:val="center"/>
          </w:tcPr>
          <w:p w14:paraId="0C047D3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分值</w:t>
            </w:r>
          </w:p>
        </w:tc>
      </w:tr>
      <w:tr w14:paraId="1EA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91" w:type="dxa"/>
            <w:gridSpan w:val="2"/>
            <w:vMerge w:val="continue"/>
            <w:noWrap w:val="0"/>
            <w:vAlign w:val="top"/>
          </w:tcPr>
          <w:p w14:paraId="29706260">
            <w:pPr>
              <w:snapToGrid w:val="0"/>
              <w:jc w:val="center"/>
              <w:rPr>
                <w:rFonts w:hint="eastAsia" w:ascii="宋体" w:hAnsi="宋体" w:cs="宋体"/>
                <w:color w:val="auto"/>
                <w:sz w:val="24"/>
                <w:highlight w:val="none"/>
              </w:rPr>
            </w:pPr>
          </w:p>
        </w:tc>
        <w:tc>
          <w:tcPr>
            <w:tcW w:w="1152" w:type="dxa"/>
            <w:vMerge w:val="restart"/>
            <w:noWrap w:val="0"/>
            <w:vAlign w:val="center"/>
          </w:tcPr>
          <w:p w14:paraId="5CBC5F4C">
            <w:pPr>
              <w:widowControl/>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服务方案</w:t>
            </w:r>
          </w:p>
        </w:tc>
        <w:tc>
          <w:tcPr>
            <w:tcW w:w="6731" w:type="dxa"/>
            <w:gridSpan w:val="2"/>
            <w:noWrap w:val="0"/>
            <w:vAlign w:val="center"/>
          </w:tcPr>
          <w:p w14:paraId="4C0A4C9F">
            <w:pPr>
              <w:tabs>
                <w:tab w:val="left" w:pos="840"/>
              </w:tabs>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评标委员会根据投标单位对本项目解读情况进行综合打分。</w:t>
            </w:r>
          </w:p>
        </w:tc>
        <w:tc>
          <w:tcPr>
            <w:tcW w:w="1345" w:type="dxa"/>
            <w:noWrap w:val="0"/>
            <w:vAlign w:val="center"/>
          </w:tcPr>
          <w:p w14:paraId="4BE37B35">
            <w:pPr>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51AF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91" w:type="dxa"/>
            <w:gridSpan w:val="2"/>
            <w:vMerge w:val="continue"/>
            <w:noWrap w:val="0"/>
            <w:vAlign w:val="top"/>
          </w:tcPr>
          <w:p w14:paraId="23728EE5">
            <w:pPr>
              <w:snapToGrid w:val="0"/>
              <w:jc w:val="center"/>
              <w:rPr>
                <w:rFonts w:hint="eastAsia" w:ascii="宋体" w:hAnsi="宋体" w:cs="宋体"/>
                <w:color w:val="auto"/>
                <w:sz w:val="24"/>
                <w:highlight w:val="none"/>
              </w:rPr>
            </w:pPr>
          </w:p>
        </w:tc>
        <w:tc>
          <w:tcPr>
            <w:tcW w:w="1152" w:type="dxa"/>
            <w:vMerge w:val="continue"/>
            <w:noWrap w:val="0"/>
            <w:vAlign w:val="center"/>
          </w:tcPr>
          <w:p w14:paraId="7BA65723">
            <w:pPr>
              <w:widowControl/>
              <w:snapToGrid w:val="0"/>
              <w:spacing w:line="360" w:lineRule="auto"/>
              <w:jc w:val="center"/>
              <w:rPr>
                <w:rFonts w:hint="eastAsia" w:ascii="宋体" w:hAnsi="宋体" w:cs="宋体"/>
                <w:color w:val="auto"/>
                <w:sz w:val="24"/>
                <w:highlight w:val="none"/>
              </w:rPr>
            </w:pPr>
          </w:p>
        </w:tc>
        <w:tc>
          <w:tcPr>
            <w:tcW w:w="6731" w:type="dxa"/>
            <w:gridSpan w:val="2"/>
            <w:noWrap w:val="0"/>
            <w:vAlign w:val="center"/>
          </w:tcPr>
          <w:p w14:paraId="2435D466">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评标</w:t>
            </w:r>
            <w:r>
              <w:rPr>
                <w:rFonts w:hint="eastAsia" w:ascii="宋体" w:hAnsi="宋体" w:eastAsia="宋体" w:cs="宋体"/>
                <w:color w:val="auto"/>
                <w:sz w:val="24"/>
                <w:highlight w:val="none"/>
              </w:rPr>
              <w:t>委员会根据投标人对本项目服务方案</w:t>
            </w:r>
            <w:r>
              <w:rPr>
                <w:rFonts w:hint="eastAsia" w:ascii="宋体" w:hAnsi="宋体" w:eastAsia="宋体" w:cs="宋体"/>
                <w:color w:val="auto"/>
                <w:sz w:val="24"/>
                <w:highlight w:val="none"/>
                <w:lang w:val="en-US" w:eastAsia="zh-CN"/>
              </w:rPr>
              <w:t>内容合理可行、服务内容是否满足采购需求进行打分</w:t>
            </w:r>
            <w:r>
              <w:rPr>
                <w:rFonts w:hint="eastAsia" w:ascii="宋体" w:hAnsi="宋体" w:cs="宋体"/>
                <w:color w:val="auto"/>
                <w:sz w:val="24"/>
                <w:highlight w:val="none"/>
              </w:rPr>
              <w:t>。</w:t>
            </w:r>
          </w:p>
        </w:tc>
        <w:tc>
          <w:tcPr>
            <w:tcW w:w="1345" w:type="dxa"/>
            <w:noWrap w:val="0"/>
            <w:vAlign w:val="center"/>
          </w:tcPr>
          <w:p w14:paraId="6904422D">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r>
      <w:tr w14:paraId="6434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91" w:type="dxa"/>
            <w:gridSpan w:val="2"/>
            <w:vMerge w:val="continue"/>
            <w:noWrap w:val="0"/>
            <w:vAlign w:val="top"/>
          </w:tcPr>
          <w:p w14:paraId="2C5B7CB3">
            <w:pPr>
              <w:snapToGrid w:val="0"/>
              <w:jc w:val="center"/>
              <w:rPr>
                <w:rFonts w:hint="eastAsia" w:ascii="宋体" w:hAnsi="宋体" w:cs="宋体"/>
                <w:color w:val="auto"/>
                <w:sz w:val="24"/>
                <w:highlight w:val="none"/>
              </w:rPr>
            </w:pPr>
          </w:p>
        </w:tc>
        <w:tc>
          <w:tcPr>
            <w:tcW w:w="1152" w:type="dxa"/>
            <w:vMerge w:val="continue"/>
            <w:noWrap w:val="0"/>
            <w:vAlign w:val="center"/>
          </w:tcPr>
          <w:p w14:paraId="03E5827F">
            <w:pPr>
              <w:widowControl/>
              <w:snapToGrid w:val="0"/>
              <w:spacing w:line="360" w:lineRule="auto"/>
              <w:jc w:val="center"/>
              <w:rPr>
                <w:rFonts w:hint="eastAsia" w:ascii="宋体" w:hAnsi="宋体" w:cs="宋体"/>
                <w:color w:val="auto"/>
                <w:sz w:val="24"/>
                <w:highlight w:val="none"/>
              </w:rPr>
            </w:pPr>
          </w:p>
        </w:tc>
        <w:tc>
          <w:tcPr>
            <w:tcW w:w="3365" w:type="dxa"/>
            <w:vMerge w:val="restart"/>
            <w:noWrap w:val="0"/>
            <w:vAlign w:val="center"/>
          </w:tcPr>
          <w:p w14:paraId="51710CE1">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服务渠道方案（评委根据投标文件中服务渠道方案的人性化、多样化、合理化进行打分。）</w:t>
            </w:r>
          </w:p>
        </w:tc>
        <w:tc>
          <w:tcPr>
            <w:tcW w:w="3366" w:type="dxa"/>
            <w:noWrap w:val="0"/>
            <w:vAlign w:val="center"/>
          </w:tcPr>
          <w:p w14:paraId="65228ADB">
            <w:pPr>
              <w:adjustRightInd w:val="0"/>
              <w:snapToGrid w:val="0"/>
              <w:spacing w:line="360" w:lineRule="auto"/>
              <w:ind w:firstLine="360" w:firstLineChars="150"/>
              <w:rPr>
                <w:rFonts w:hint="eastAsia" w:ascii="宋体" w:hAnsi="宋体" w:cs="宋体"/>
                <w:color w:val="auto"/>
                <w:sz w:val="24"/>
                <w:highlight w:val="none"/>
                <w:lang w:val="en-US" w:eastAsia="zh-CN"/>
              </w:rPr>
            </w:pPr>
            <w:r>
              <w:rPr>
                <w:rFonts w:hint="eastAsia" w:ascii="宋体" w:hAnsi="宋体" w:cs="宋体"/>
                <w:color w:val="auto"/>
                <w:sz w:val="24"/>
                <w:highlight w:val="none"/>
              </w:rPr>
              <w:t>网络服务渠道</w:t>
            </w:r>
          </w:p>
        </w:tc>
        <w:tc>
          <w:tcPr>
            <w:tcW w:w="1345" w:type="dxa"/>
            <w:noWrap w:val="0"/>
            <w:vAlign w:val="center"/>
          </w:tcPr>
          <w:p w14:paraId="3030622B">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0.5</w:t>
            </w:r>
          </w:p>
        </w:tc>
      </w:tr>
      <w:tr w14:paraId="6D73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gridSpan w:val="2"/>
            <w:vMerge w:val="continue"/>
            <w:noWrap w:val="0"/>
            <w:vAlign w:val="top"/>
          </w:tcPr>
          <w:p w14:paraId="177AE993">
            <w:pPr>
              <w:snapToGrid w:val="0"/>
              <w:jc w:val="center"/>
              <w:rPr>
                <w:rFonts w:hint="eastAsia" w:ascii="宋体" w:hAnsi="宋体" w:cs="宋体"/>
                <w:color w:val="auto"/>
                <w:sz w:val="24"/>
                <w:highlight w:val="none"/>
              </w:rPr>
            </w:pPr>
          </w:p>
        </w:tc>
        <w:tc>
          <w:tcPr>
            <w:tcW w:w="1152" w:type="dxa"/>
            <w:vMerge w:val="continue"/>
            <w:noWrap w:val="0"/>
            <w:vAlign w:val="center"/>
          </w:tcPr>
          <w:p w14:paraId="5F751C7F">
            <w:pPr>
              <w:widowControl/>
              <w:snapToGrid w:val="0"/>
              <w:spacing w:line="360" w:lineRule="auto"/>
              <w:jc w:val="center"/>
              <w:rPr>
                <w:rFonts w:hint="eastAsia" w:ascii="宋体" w:hAnsi="宋体" w:cs="宋体"/>
                <w:color w:val="auto"/>
                <w:sz w:val="24"/>
                <w:highlight w:val="none"/>
              </w:rPr>
            </w:pPr>
          </w:p>
        </w:tc>
        <w:tc>
          <w:tcPr>
            <w:tcW w:w="3365" w:type="dxa"/>
            <w:vMerge w:val="continue"/>
            <w:noWrap w:val="0"/>
            <w:vAlign w:val="center"/>
          </w:tcPr>
          <w:p w14:paraId="7602F0B3">
            <w:pPr>
              <w:adjustRightInd w:val="0"/>
              <w:snapToGrid w:val="0"/>
              <w:spacing w:line="360" w:lineRule="auto"/>
              <w:ind w:firstLine="360" w:firstLineChars="150"/>
              <w:rPr>
                <w:rFonts w:hint="eastAsia" w:ascii="宋体" w:hAnsi="宋体" w:cs="宋体"/>
                <w:color w:val="auto"/>
                <w:sz w:val="24"/>
                <w:highlight w:val="none"/>
                <w:lang w:val="en-US" w:eastAsia="zh-CN"/>
              </w:rPr>
            </w:pPr>
          </w:p>
        </w:tc>
        <w:tc>
          <w:tcPr>
            <w:tcW w:w="3366" w:type="dxa"/>
            <w:noWrap w:val="0"/>
            <w:vAlign w:val="center"/>
          </w:tcPr>
          <w:p w14:paraId="1579EE99">
            <w:pPr>
              <w:adjustRightInd w:val="0"/>
              <w:snapToGrid w:val="0"/>
              <w:spacing w:line="360" w:lineRule="auto"/>
              <w:ind w:firstLine="360" w:firstLineChars="150"/>
              <w:rPr>
                <w:rFonts w:hint="eastAsia" w:ascii="宋体" w:hAnsi="宋体" w:cs="宋体"/>
                <w:color w:val="auto"/>
                <w:sz w:val="24"/>
                <w:highlight w:val="none"/>
                <w:lang w:val="en-US" w:eastAsia="zh-CN"/>
              </w:rPr>
            </w:pPr>
            <w:r>
              <w:rPr>
                <w:rFonts w:hint="eastAsia" w:ascii="宋体" w:hAnsi="宋体" w:cs="宋体"/>
                <w:color w:val="auto"/>
                <w:sz w:val="24"/>
                <w:highlight w:val="none"/>
              </w:rPr>
              <w:t>电话服务渠道</w:t>
            </w:r>
          </w:p>
        </w:tc>
        <w:tc>
          <w:tcPr>
            <w:tcW w:w="1345" w:type="dxa"/>
            <w:noWrap w:val="0"/>
            <w:vAlign w:val="center"/>
          </w:tcPr>
          <w:p w14:paraId="5CB6ABF3">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7CBF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gridSpan w:val="2"/>
            <w:vMerge w:val="continue"/>
            <w:noWrap w:val="0"/>
            <w:vAlign w:val="top"/>
          </w:tcPr>
          <w:p w14:paraId="66D0D1EE">
            <w:pPr>
              <w:snapToGrid w:val="0"/>
              <w:jc w:val="center"/>
              <w:rPr>
                <w:rFonts w:hint="eastAsia" w:ascii="宋体" w:hAnsi="宋体" w:cs="宋体"/>
                <w:color w:val="auto"/>
                <w:sz w:val="24"/>
                <w:highlight w:val="none"/>
              </w:rPr>
            </w:pPr>
          </w:p>
        </w:tc>
        <w:tc>
          <w:tcPr>
            <w:tcW w:w="1152" w:type="dxa"/>
            <w:vMerge w:val="continue"/>
            <w:noWrap w:val="0"/>
            <w:vAlign w:val="center"/>
          </w:tcPr>
          <w:p w14:paraId="74E84A2A">
            <w:pPr>
              <w:widowControl/>
              <w:snapToGrid w:val="0"/>
              <w:spacing w:line="360" w:lineRule="auto"/>
              <w:jc w:val="center"/>
              <w:rPr>
                <w:rFonts w:hint="eastAsia" w:ascii="宋体" w:hAnsi="宋体" w:cs="宋体"/>
                <w:color w:val="auto"/>
                <w:sz w:val="24"/>
                <w:highlight w:val="none"/>
              </w:rPr>
            </w:pPr>
          </w:p>
        </w:tc>
        <w:tc>
          <w:tcPr>
            <w:tcW w:w="3365" w:type="dxa"/>
            <w:vMerge w:val="continue"/>
            <w:noWrap w:val="0"/>
            <w:vAlign w:val="center"/>
          </w:tcPr>
          <w:p w14:paraId="4B2F6CD4">
            <w:pPr>
              <w:adjustRightInd w:val="0"/>
              <w:snapToGrid w:val="0"/>
              <w:spacing w:line="360" w:lineRule="auto"/>
              <w:ind w:firstLine="360" w:firstLineChars="150"/>
              <w:rPr>
                <w:rFonts w:hint="eastAsia" w:ascii="宋体" w:hAnsi="宋体" w:cs="宋体"/>
                <w:color w:val="auto"/>
                <w:sz w:val="24"/>
                <w:highlight w:val="none"/>
                <w:lang w:val="en-US" w:eastAsia="zh-CN"/>
              </w:rPr>
            </w:pPr>
          </w:p>
        </w:tc>
        <w:tc>
          <w:tcPr>
            <w:tcW w:w="3366" w:type="dxa"/>
            <w:noWrap w:val="0"/>
            <w:vAlign w:val="center"/>
          </w:tcPr>
          <w:p w14:paraId="10B35502">
            <w:pPr>
              <w:adjustRightInd w:val="0"/>
              <w:snapToGrid w:val="0"/>
              <w:spacing w:line="360" w:lineRule="auto"/>
              <w:ind w:firstLine="360" w:firstLineChars="15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短信服务渠道</w:t>
            </w:r>
          </w:p>
        </w:tc>
        <w:tc>
          <w:tcPr>
            <w:tcW w:w="1345" w:type="dxa"/>
            <w:noWrap w:val="0"/>
            <w:vAlign w:val="center"/>
          </w:tcPr>
          <w:p w14:paraId="2A0C5CBF">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0.5</w:t>
            </w:r>
          </w:p>
        </w:tc>
      </w:tr>
      <w:tr w14:paraId="4ADF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91" w:type="dxa"/>
            <w:gridSpan w:val="2"/>
            <w:vMerge w:val="continue"/>
            <w:noWrap w:val="0"/>
            <w:vAlign w:val="top"/>
          </w:tcPr>
          <w:p w14:paraId="0EE188BA">
            <w:pPr>
              <w:snapToGrid w:val="0"/>
              <w:jc w:val="center"/>
              <w:rPr>
                <w:rFonts w:hint="eastAsia" w:ascii="宋体" w:hAnsi="宋体" w:cs="宋体"/>
                <w:color w:val="auto"/>
                <w:sz w:val="24"/>
                <w:highlight w:val="none"/>
              </w:rPr>
            </w:pPr>
          </w:p>
        </w:tc>
        <w:tc>
          <w:tcPr>
            <w:tcW w:w="1152" w:type="dxa"/>
            <w:vMerge w:val="continue"/>
            <w:noWrap w:val="0"/>
            <w:vAlign w:val="center"/>
          </w:tcPr>
          <w:p w14:paraId="6D9D22A8">
            <w:pPr>
              <w:widowControl/>
              <w:snapToGrid w:val="0"/>
              <w:spacing w:line="360" w:lineRule="auto"/>
              <w:jc w:val="center"/>
              <w:rPr>
                <w:rFonts w:hint="eastAsia" w:ascii="宋体" w:hAnsi="宋体" w:cs="宋体"/>
                <w:color w:val="auto"/>
                <w:sz w:val="24"/>
                <w:highlight w:val="none"/>
              </w:rPr>
            </w:pPr>
          </w:p>
        </w:tc>
        <w:tc>
          <w:tcPr>
            <w:tcW w:w="3365" w:type="dxa"/>
            <w:vMerge w:val="continue"/>
            <w:noWrap w:val="0"/>
            <w:vAlign w:val="center"/>
          </w:tcPr>
          <w:p w14:paraId="1E446F4F">
            <w:pPr>
              <w:adjustRightInd w:val="0"/>
              <w:snapToGrid w:val="0"/>
              <w:spacing w:line="360" w:lineRule="auto"/>
              <w:ind w:firstLine="360" w:firstLineChars="150"/>
              <w:rPr>
                <w:rFonts w:hint="eastAsia" w:ascii="宋体" w:hAnsi="宋体" w:cs="宋体"/>
                <w:color w:val="auto"/>
                <w:sz w:val="24"/>
                <w:highlight w:val="none"/>
              </w:rPr>
            </w:pPr>
          </w:p>
        </w:tc>
        <w:tc>
          <w:tcPr>
            <w:tcW w:w="3366" w:type="dxa"/>
            <w:noWrap w:val="0"/>
            <w:vAlign w:val="center"/>
          </w:tcPr>
          <w:p w14:paraId="7E9DC348">
            <w:pPr>
              <w:adjustRightInd w:val="0"/>
              <w:snapToGrid w:val="0"/>
              <w:spacing w:line="360" w:lineRule="auto"/>
              <w:ind w:firstLine="360" w:firstLineChars="150"/>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rPr>
              <w:t>网点服务渠道</w:t>
            </w:r>
          </w:p>
        </w:tc>
        <w:tc>
          <w:tcPr>
            <w:tcW w:w="1345" w:type="dxa"/>
            <w:noWrap w:val="0"/>
            <w:vAlign w:val="center"/>
          </w:tcPr>
          <w:p w14:paraId="02A469E5">
            <w:pPr>
              <w:adjustRightInd w:val="0"/>
              <w:snapToGrid w:val="0"/>
              <w:spacing w:line="360" w:lineRule="auto"/>
              <w:jc w:val="center"/>
              <w:rPr>
                <w:rFonts w:hint="default"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1.5</w:t>
            </w:r>
          </w:p>
        </w:tc>
      </w:tr>
      <w:tr w14:paraId="7F74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91" w:type="dxa"/>
            <w:gridSpan w:val="2"/>
            <w:vMerge w:val="continue"/>
            <w:noWrap w:val="0"/>
            <w:vAlign w:val="top"/>
          </w:tcPr>
          <w:p w14:paraId="326E428E">
            <w:pPr>
              <w:snapToGrid w:val="0"/>
              <w:jc w:val="center"/>
              <w:rPr>
                <w:rFonts w:hint="eastAsia" w:ascii="宋体" w:hAnsi="宋体" w:cs="宋体"/>
                <w:color w:val="auto"/>
                <w:sz w:val="24"/>
                <w:highlight w:val="none"/>
              </w:rPr>
            </w:pPr>
          </w:p>
        </w:tc>
        <w:tc>
          <w:tcPr>
            <w:tcW w:w="1152" w:type="dxa"/>
            <w:vMerge w:val="continue"/>
            <w:noWrap w:val="0"/>
            <w:vAlign w:val="center"/>
          </w:tcPr>
          <w:p w14:paraId="7E1CC6FB">
            <w:pPr>
              <w:widowControl/>
              <w:snapToGrid w:val="0"/>
              <w:spacing w:line="360" w:lineRule="auto"/>
              <w:jc w:val="center"/>
              <w:rPr>
                <w:rFonts w:hint="eastAsia" w:ascii="宋体" w:hAnsi="宋体" w:cs="宋体"/>
                <w:color w:val="auto"/>
                <w:sz w:val="24"/>
                <w:highlight w:val="none"/>
              </w:rPr>
            </w:pPr>
          </w:p>
        </w:tc>
        <w:tc>
          <w:tcPr>
            <w:tcW w:w="3365" w:type="dxa"/>
            <w:vMerge w:val="continue"/>
            <w:noWrap w:val="0"/>
            <w:vAlign w:val="center"/>
          </w:tcPr>
          <w:p w14:paraId="74AE89FF">
            <w:pPr>
              <w:adjustRightInd w:val="0"/>
              <w:snapToGrid w:val="0"/>
              <w:spacing w:line="360" w:lineRule="auto"/>
              <w:ind w:firstLine="360" w:firstLineChars="150"/>
              <w:rPr>
                <w:rFonts w:hint="eastAsia" w:ascii="宋体" w:hAnsi="宋体" w:cs="宋体"/>
                <w:color w:val="auto"/>
                <w:sz w:val="24"/>
                <w:highlight w:val="none"/>
              </w:rPr>
            </w:pPr>
          </w:p>
        </w:tc>
        <w:tc>
          <w:tcPr>
            <w:tcW w:w="3366" w:type="dxa"/>
            <w:noWrap w:val="0"/>
            <w:vAlign w:val="center"/>
          </w:tcPr>
          <w:p w14:paraId="019D5F0B">
            <w:pPr>
              <w:adjustRightInd w:val="0"/>
              <w:snapToGrid w:val="0"/>
              <w:spacing w:line="360" w:lineRule="auto"/>
              <w:ind w:firstLine="360" w:firstLineChars="150"/>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rPr>
              <w:t>专员服务渠道</w:t>
            </w:r>
          </w:p>
        </w:tc>
        <w:tc>
          <w:tcPr>
            <w:tcW w:w="1345" w:type="dxa"/>
            <w:noWrap w:val="0"/>
            <w:vAlign w:val="center"/>
          </w:tcPr>
          <w:p w14:paraId="78CFE148">
            <w:pPr>
              <w:adjustRightInd w:val="0"/>
              <w:snapToGrid w:val="0"/>
              <w:spacing w:line="360" w:lineRule="auto"/>
              <w:jc w:val="center"/>
              <w:rPr>
                <w:rFonts w:hint="default"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1.5</w:t>
            </w:r>
          </w:p>
        </w:tc>
      </w:tr>
      <w:tr w14:paraId="1A35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91" w:type="dxa"/>
            <w:gridSpan w:val="2"/>
            <w:vMerge w:val="continue"/>
            <w:noWrap w:val="0"/>
            <w:vAlign w:val="top"/>
          </w:tcPr>
          <w:p w14:paraId="7E860EEB">
            <w:pPr>
              <w:snapToGrid w:val="0"/>
              <w:jc w:val="center"/>
              <w:rPr>
                <w:rFonts w:hint="eastAsia" w:ascii="宋体" w:hAnsi="宋体" w:cs="宋体"/>
                <w:color w:val="auto"/>
                <w:sz w:val="24"/>
                <w:highlight w:val="none"/>
              </w:rPr>
            </w:pPr>
          </w:p>
        </w:tc>
        <w:tc>
          <w:tcPr>
            <w:tcW w:w="1152" w:type="dxa"/>
            <w:vMerge w:val="restart"/>
            <w:noWrap w:val="0"/>
            <w:vAlign w:val="center"/>
          </w:tcPr>
          <w:p w14:paraId="3C54A37E">
            <w:pPr>
              <w:widowControl/>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人员及车辆配置</w:t>
            </w:r>
          </w:p>
        </w:tc>
        <w:tc>
          <w:tcPr>
            <w:tcW w:w="6731" w:type="dxa"/>
            <w:gridSpan w:val="2"/>
            <w:noWrap w:val="0"/>
            <w:vAlign w:val="center"/>
          </w:tcPr>
          <w:p w14:paraId="3D621EF6">
            <w:pPr>
              <w:widowControl/>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评标委员会根据</w:t>
            </w:r>
            <w:r>
              <w:rPr>
                <w:rFonts w:hint="eastAsia" w:ascii="宋体" w:hAnsi="宋体" w:cs="宋体"/>
                <w:color w:val="auto"/>
                <w:sz w:val="24"/>
                <w:highlight w:val="none"/>
              </w:rPr>
              <w:t>投标人为本项目</w:t>
            </w:r>
            <w:r>
              <w:rPr>
                <w:rFonts w:hint="eastAsia" w:ascii="宋体" w:hAnsi="宋体" w:cs="宋体"/>
                <w:color w:val="auto"/>
                <w:sz w:val="24"/>
                <w:highlight w:val="none"/>
                <w:lang w:val="en-US" w:eastAsia="zh-CN"/>
              </w:rPr>
              <w:t>项目负责人的经验、学历等进行综合评分。</w:t>
            </w:r>
            <w:r>
              <w:rPr>
                <w:rFonts w:hint="eastAsia" w:ascii="宋体" w:hAnsi="宋体" w:cs="宋体"/>
                <w:color w:val="auto"/>
                <w:sz w:val="24"/>
                <w:highlight w:val="none"/>
              </w:rPr>
              <w:t>（需提供理截止开标时间前3个月的社保证明</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加盖公章）</w:t>
            </w:r>
          </w:p>
        </w:tc>
        <w:tc>
          <w:tcPr>
            <w:tcW w:w="1345" w:type="dxa"/>
            <w:noWrap w:val="0"/>
            <w:vAlign w:val="center"/>
          </w:tcPr>
          <w:p w14:paraId="1E27BD9F">
            <w:pPr>
              <w:widowControl/>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3F47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91" w:type="dxa"/>
            <w:gridSpan w:val="2"/>
            <w:vMerge w:val="continue"/>
            <w:noWrap w:val="0"/>
            <w:vAlign w:val="top"/>
          </w:tcPr>
          <w:p w14:paraId="6CEF7763">
            <w:pPr>
              <w:widowControl/>
              <w:snapToGrid w:val="0"/>
              <w:spacing w:line="360" w:lineRule="auto"/>
              <w:ind w:firstLine="420" w:firstLineChars="200"/>
              <w:rPr>
                <w:color w:val="auto"/>
                <w:highlight w:val="none"/>
              </w:rPr>
            </w:pPr>
          </w:p>
        </w:tc>
        <w:tc>
          <w:tcPr>
            <w:tcW w:w="1152" w:type="dxa"/>
            <w:vMerge w:val="continue"/>
            <w:noWrap w:val="0"/>
            <w:vAlign w:val="center"/>
          </w:tcPr>
          <w:p w14:paraId="5BD2BE68">
            <w:pPr>
              <w:widowControl/>
              <w:snapToGrid w:val="0"/>
              <w:spacing w:line="360" w:lineRule="auto"/>
              <w:ind w:firstLine="420" w:firstLineChars="200"/>
              <w:rPr>
                <w:color w:val="auto"/>
                <w:highlight w:val="none"/>
              </w:rPr>
            </w:pPr>
          </w:p>
        </w:tc>
        <w:tc>
          <w:tcPr>
            <w:tcW w:w="6731" w:type="dxa"/>
            <w:gridSpan w:val="2"/>
            <w:noWrap w:val="0"/>
            <w:vAlign w:val="center"/>
          </w:tcPr>
          <w:p w14:paraId="26CEAB39">
            <w:pPr>
              <w:widowControl/>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评标委员会根据</w:t>
            </w:r>
            <w:r>
              <w:rPr>
                <w:rFonts w:hint="eastAsia" w:ascii="宋体" w:hAnsi="宋体" w:cs="宋体"/>
                <w:color w:val="auto"/>
                <w:sz w:val="24"/>
                <w:highlight w:val="none"/>
              </w:rPr>
              <w:t>投标人为本项目所投保的企业配备理赔人</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lang w:eastAsia="zh-CN"/>
              </w:rPr>
              <w:t>，不配备不得分。</w:t>
            </w:r>
            <w:r>
              <w:rPr>
                <w:rFonts w:hint="eastAsia" w:ascii="宋体" w:hAnsi="宋体" w:cs="宋体"/>
                <w:color w:val="auto"/>
                <w:sz w:val="24"/>
                <w:highlight w:val="none"/>
              </w:rPr>
              <w:t>（需提供理赔人员名单、电话和截止开标时间前3个月的社保证明</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加盖公章）</w:t>
            </w:r>
          </w:p>
        </w:tc>
        <w:tc>
          <w:tcPr>
            <w:tcW w:w="1345" w:type="dxa"/>
            <w:noWrap w:val="0"/>
            <w:vAlign w:val="center"/>
          </w:tcPr>
          <w:p w14:paraId="2790A0C2">
            <w:pPr>
              <w:widowControl/>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r>
      <w:tr w14:paraId="7A36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491" w:type="dxa"/>
            <w:gridSpan w:val="2"/>
            <w:vMerge w:val="continue"/>
            <w:noWrap w:val="0"/>
            <w:vAlign w:val="top"/>
          </w:tcPr>
          <w:p w14:paraId="0E9191B5">
            <w:pPr>
              <w:snapToGrid w:val="0"/>
              <w:jc w:val="center"/>
              <w:rPr>
                <w:rFonts w:hint="eastAsia" w:ascii="宋体" w:hAnsi="宋体" w:cs="宋体"/>
                <w:color w:val="auto"/>
                <w:sz w:val="24"/>
                <w:highlight w:val="none"/>
              </w:rPr>
            </w:pPr>
          </w:p>
        </w:tc>
        <w:tc>
          <w:tcPr>
            <w:tcW w:w="1152" w:type="dxa"/>
            <w:vMerge w:val="continue"/>
            <w:noWrap w:val="0"/>
            <w:vAlign w:val="center"/>
          </w:tcPr>
          <w:p w14:paraId="086F15A9">
            <w:pPr>
              <w:widowControl/>
              <w:snapToGrid w:val="0"/>
              <w:spacing w:line="360" w:lineRule="auto"/>
              <w:jc w:val="center"/>
              <w:rPr>
                <w:rFonts w:hint="eastAsia" w:ascii="宋体" w:hAnsi="宋体" w:cs="宋体"/>
                <w:color w:val="auto"/>
                <w:sz w:val="24"/>
                <w:highlight w:val="none"/>
              </w:rPr>
            </w:pPr>
          </w:p>
        </w:tc>
        <w:tc>
          <w:tcPr>
            <w:tcW w:w="6731" w:type="dxa"/>
            <w:gridSpan w:val="2"/>
            <w:noWrap w:val="0"/>
            <w:vAlign w:val="center"/>
          </w:tcPr>
          <w:p w14:paraId="2F909CC1">
            <w:pPr>
              <w:widowControl/>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评标委员会根据</w:t>
            </w:r>
            <w:r>
              <w:rPr>
                <w:rFonts w:hint="eastAsia" w:ascii="宋体" w:hAnsi="宋体" w:cs="宋体"/>
                <w:color w:val="auto"/>
                <w:sz w:val="24"/>
                <w:highlight w:val="none"/>
              </w:rPr>
              <w:t>投标人为本项目所投保的企业配备理赔专用车</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rPr>
              <w:t>理赔专用车状况（以喷“理赔、服务、报案专号” 等概念性字样的、颜色与平常车有所区别的为准；须附行驶证复印件、彩色照片等相关证明资料</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加盖公章）</w:t>
            </w:r>
          </w:p>
        </w:tc>
        <w:tc>
          <w:tcPr>
            <w:tcW w:w="1345" w:type="dxa"/>
            <w:noWrap w:val="0"/>
            <w:vAlign w:val="center"/>
          </w:tcPr>
          <w:p w14:paraId="44C7FC9B">
            <w:pPr>
              <w:widowControl/>
              <w:snapToGrid w:val="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4</w:t>
            </w:r>
          </w:p>
        </w:tc>
      </w:tr>
      <w:tr w14:paraId="4F64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491" w:type="dxa"/>
            <w:gridSpan w:val="2"/>
            <w:vMerge w:val="continue"/>
            <w:noWrap w:val="0"/>
            <w:vAlign w:val="top"/>
          </w:tcPr>
          <w:p w14:paraId="3C2A4A13">
            <w:pPr>
              <w:snapToGrid w:val="0"/>
              <w:jc w:val="center"/>
              <w:rPr>
                <w:rFonts w:hint="eastAsia" w:ascii="宋体" w:hAnsi="宋体" w:cs="宋体"/>
                <w:color w:val="auto"/>
                <w:sz w:val="24"/>
                <w:highlight w:val="none"/>
              </w:rPr>
            </w:pPr>
          </w:p>
        </w:tc>
        <w:tc>
          <w:tcPr>
            <w:tcW w:w="1152" w:type="dxa"/>
            <w:noWrap w:val="0"/>
            <w:vAlign w:val="center"/>
          </w:tcPr>
          <w:p w14:paraId="79CDDFBE">
            <w:pPr>
              <w:widowControl/>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服务</w:t>
            </w:r>
            <w:r>
              <w:rPr>
                <w:rFonts w:hint="eastAsia" w:ascii="宋体" w:hAnsi="宋体" w:cs="宋体"/>
                <w:color w:val="auto"/>
                <w:sz w:val="24"/>
                <w:highlight w:val="none"/>
                <w:lang w:eastAsia="zh-CN"/>
              </w:rPr>
              <w:t>响应</w:t>
            </w:r>
          </w:p>
        </w:tc>
        <w:tc>
          <w:tcPr>
            <w:tcW w:w="6731" w:type="dxa"/>
            <w:gridSpan w:val="2"/>
            <w:noWrap w:val="0"/>
            <w:vAlign w:val="center"/>
          </w:tcPr>
          <w:p w14:paraId="3C42A645">
            <w:pPr>
              <w:widowControl/>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根据投标人针对本项目企业的分布区域情况，提供线上或线下服务覆盖率、响应时间、响应程度、便捷性等方面进行综合打分</w:t>
            </w:r>
            <w:r>
              <w:rPr>
                <w:rFonts w:hint="eastAsia" w:ascii="宋体" w:hAnsi="宋体" w:cs="宋体"/>
                <w:color w:val="auto"/>
                <w:sz w:val="24"/>
                <w:highlight w:val="none"/>
                <w:lang w:eastAsia="zh-CN"/>
              </w:rPr>
              <w:t>。</w:t>
            </w:r>
          </w:p>
        </w:tc>
        <w:tc>
          <w:tcPr>
            <w:tcW w:w="1345" w:type="dxa"/>
            <w:noWrap w:val="0"/>
            <w:vAlign w:val="center"/>
          </w:tcPr>
          <w:p w14:paraId="4532AD1B">
            <w:pPr>
              <w:widowControl/>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r>
      <w:tr w14:paraId="3103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491" w:type="dxa"/>
            <w:gridSpan w:val="2"/>
            <w:vMerge w:val="continue"/>
            <w:noWrap w:val="0"/>
            <w:vAlign w:val="top"/>
          </w:tcPr>
          <w:p w14:paraId="2F9777CA">
            <w:pPr>
              <w:snapToGrid w:val="0"/>
              <w:jc w:val="center"/>
              <w:rPr>
                <w:rFonts w:hint="eastAsia" w:ascii="宋体" w:hAnsi="宋体" w:cs="宋体"/>
                <w:color w:val="auto"/>
                <w:sz w:val="24"/>
                <w:highlight w:val="none"/>
              </w:rPr>
            </w:pPr>
          </w:p>
        </w:tc>
        <w:tc>
          <w:tcPr>
            <w:tcW w:w="1152" w:type="dxa"/>
            <w:noWrap w:val="0"/>
            <w:vAlign w:val="center"/>
          </w:tcPr>
          <w:p w14:paraId="651F3438">
            <w:pPr>
              <w:widowControl/>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理赔流程</w:t>
            </w:r>
          </w:p>
        </w:tc>
        <w:tc>
          <w:tcPr>
            <w:tcW w:w="6731" w:type="dxa"/>
            <w:gridSpan w:val="2"/>
            <w:noWrap w:val="0"/>
            <w:vAlign w:val="center"/>
          </w:tcPr>
          <w:p w14:paraId="2C29FA17">
            <w:pPr>
              <w:widowControl/>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评委根据投标人理赔流程的合理性、便捷性进行打分。</w:t>
            </w:r>
          </w:p>
        </w:tc>
        <w:tc>
          <w:tcPr>
            <w:tcW w:w="1345" w:type="dxa"/>
            <w:noWrap w:val="0"/>
            <w:vAlign w:val="center"/>
          </w:tcPr>
          <w:p w14:paraId="344861A6">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341C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91" w:type="dxa"/>
            <w:gridSpan w:val="2"/>
            <w:vMerge w:val="continue"/>
            <w:noWrap w:val="0"/>
            <w:vAlign w:val="top"/>
          </w:tcPr>
          <w:p w14:paraId="0DD316D0">
            <w:pPr>
              <w:snapToGrid w:val="0"/>
              <w:jc w:val="center"/>
              <w:rPr>
                <w:rFonts w:hint="eastAsia" w:ascii="宋体" w:hAnsi="宋体" w:cs="宋体"/>
                <w:color w:val="auto"/>
                <w:sz w:val="24"/>
                <w:highlight w:val="none"/>
              </w:rPr>
            </w:pPr>
          </w:p>
        </w:tc>
        <w:tc>
          <w:tcPr>
            <w:tcW w:w="1152" w:type="dxa"/>
            <w:noWrap w:val="0"/>
            <w:vAlign w:val="center"/>
          </w:tcPr>
          <w:p w14:paraId="5E7D1FF7">
            <w:pPr>
              <w:widowControl/>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增值服务</w:t>
            </w:r>
          </w:p>
        </w:tc>
        <w:tc>
          <w:tcPr>
            <w:tcW w:w="6731" w:type="dxa"/>
            <w:gridSpan w:val="2"/>
            <w:noWrap w:val="0"/>
            <w:vAlign w:val="center"/>
          </w:tcPr>
          <w:p w14:paraId="55CE4C57">
            <w:pPr>
              <w:widowControl/>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评委根据投标人提出的除承保理赔服务外的增值服务项目进行综合打分。</w:t>
            </w:r>
          </w:p>
        </w:tc>
        <w:tc>
          <w:tcPr>
            <w:tcW w:w="1345" w:type="dxa"/>
            <w:noWrap w:val="0"/>
            <w:vAlign w:val="center"/>
          </w:tcPr>
          <w:p w14:paraId="6DECF715">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7F2B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91" w:type="dxa"/>
            <w:gridSpan w:val="2"/>
            <w:vMerge w:val="continue"/>
            <w:noWrap w:val="0"/>
            <w:vAlign w:val="top"/>
          </w:tcPr>
          <w:p w14:paraId="17C07240">
            <w:pPr>
              <w:snapToGrid w:val="0"/>
              <w:jc w:val="center"/>
              <w:rPr>
                <w:rFonts w:hint="eastAsia" w:ascii="宋体" w:hAnsi="宋体" w:cs="宋体"/>
                <w:color w:val="auto"/>
                <w:sz w:val="24"/>
                <w:highlight w:val="none"/>
              </w:rPr>
            </w:pPr>
          </w:p>
        </w:tc>
        <w:tc>
          <w:tcPr>
            <w:tcW w:w="1152" w:type="dxa"/>
            <w:noWrap w:val="0"/>
            <w:vAlign w:val="center"/>
          </w:tcPr>
          <w:p w14:paraId="51A1EEA8">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售后服务</w:t>
            </w:r>
          </w:p>
        </w:tc>
        <w:tc>
          <w:tcPr>
            <w:tcW w:w="6731" w:type="dxa"/>
            <w:gridSpan w:val="2"/>
            <w:noWrap w:val="0"/>
            <w:vAlign w:val="center"/>
          </w:tcPr>
          <w:p w14:paraId="5C33C792">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评委根据投标人自行编制后续服务工作计划，</w:t>
            </w:r>
            <w:r>
              <w:rPr>
                <w:rFonts w:hint="eastAsia" w:ascii="宋体" w:hAnsi="宋体" w:cs="宋体"/>
                <w:color w:val="auto"/>
                <w:sz w:val="24"/>
                <w:highlight w:val="none"/>
                <w:lang w:val="en-US" w:eastAsia="zh-CN"/>
              </w:rPr>
              <w:t>根据计划的</w:t>
            </w:r>
            <w:r>
              <w:rPr>
                <w:rFonts w:hint="eastAsia" w:ascii="宋体" w:hAnsi="宋体" w:cs="宋体"/>
                <w:color w:val="auto"/>
                <w:sz w:val="24"/>
                <w:highlight w:val="none"/>
              </w:rPr>
              <w:t>可行性、完整性以及落实的保障措施</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打分。</w:t>
            </w:r>
          </w:p>
        </w:tc>
        <w:tc>
          <w:tcPr>
            <w:tcW w:w="1345" w:type="dxa"/>
            <w:noWrap w:val="0"/>
            <w:vAlign w:val="center"/>
          </w:tcPr>
          <w:p w14:paraId="48BC8B57">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67B9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491" w:type="dxa"/>
            <w:gridSpan w:val="2"/>
            <w:vMerge w:val="continue"/>
            <w:noWrap w:val="0"/>
            <w:vAlign w:val="top"/>
          </w:tcPr>
          <w:p w14:paraId="49C54E32">
            <w:pPr>
              <w:snapToGrid w:val="0"/>
              <w:jc w:val="center"/>
              <w:rPr>
                <w:rFonts w:hint="eastAsia" w:ascii="宋体" w:hAnsi="宋体" w:cs="宋体"/>
                <w:color w:val="auto"/>
                <w:sz w:val="24"/>
                <w:highlight w:val="none"/>
              </w:rPr>
            </w:pPr>
          </w:p>
        </w:tc>
        <w:tc>
          <w:tcPr>
            <w:tcW w:w="1152" w:type="dxa"/>
            <w:noWrap w:val="0"/>
            <w:vAlign w:val="center"/>
          </w:tcPr>
          <w:p w14:paraId="69698EF2">
            <w:pPr>
              <w:widowControl/>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创新措施</w:t>
            </w:r>
          </w:p>
        </w:tc>
        <w:tc>
          <w:tcPr>
            <w:tcW w:w="6731" w:type="dxa"/>
            <w:gridSpan w:val="2"/>
            <w:noWrap w:val="0"/>
            <w:vAlign w:val="center"/>
          </w:tcPr>
          <w:p w14:paraId="4B69D893">
            <w:pPr>
              <w:widowControl/>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评委根据投标人提出的创新管理措施的合理性、可实施性进行打分。</w:t>
            </w:r>
          </w:p>
        </w:tc>
        <w:tc>
          <w:tcPr>
            <w:tcW w:w="1345" w:type="dxa"/>
            <w:noWrap w:val="0"/>
            <w:vAlign w:val="center"/>
          </w:tcPr>
          <w:p w14:paraId="76AEADA4">
            <w:pPr>
              <w:snapToGrid w:val="0"/>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4</w:t>
            </w:r>
          </w:p>
        </w:tc>
      </w:tr>
      <w:tr w14:paraId="7BA2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91" w:type="dxa"/>
            <w:gridSpan w:val="2"/>
            <w:vMerge w:val="continue"/>
            <w:noWrap w:val="0"/>
            <w:vAlign w:val="top"/>
          </w:tcPr>
          <w:p w14:paraId="52A859FD">
            <w:pPr>
              <w:widowControl/>
              <w:snapToGrid w:val="0"/>
              <w:jc w:val="center"/>
              <w:rPr>
                <w:rFonts w:hint="eastAsia" w:ascii="宋体" w:hAnsi="宋体" w:cs="宋体"/>
                <w:color w:val="auto"/>
                <w:sz w:val="24"/>
                <w:highlight w:val="none"/>
              </w:rPr>
            </w:pPr>
          </w:p>
        </w:tc>
        <w:tc>
          <w:tcPr>
            <w:tcW w:w="1152" w:type="dxa"/>
            <w:noWrap w:val="0"/>
            <w:vAlign w:val="center"/>
          </w:tcPr>
          <w:p w14:paraId="25FA42E1">
            <w:pPr>
              <w:widowControl/>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培训方案</w:t>
            </w:r>
          </w:p>
        </w:tc>
        <w:tc>
          <w:tcPr>
            <w:tcW w:w="6731" w:type="dxa"/>
            <w:gridSpan w:val="2"/>
            <w:noWrap w:val="0"/>
            <w:vAlign w:val="center"/>
          </w:tcPr>
          <w:p w14:paraId="231EE43F">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评委根据投标人针对企业的培训方案的科学合理性、实际操作性进行打分。</w:t>
            </w:r>
          </w:p>
        </w:tc>
        <w:tc>
          <w:tcPr>
            <w:tcW w:w="1345" w:type="dxa"/>
            <w:noWrap w:val="0"/>
            <w:vAlign w:val="center"/>
          </w:tcPr>
          <w:p w14:paraId="48872841">
            <w:pPr>
              <w:widowControl/>
              <w:snapToGrid w:val="0"/>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4</w:t>
            </w:r>
          </w:p>
        </w:tc>
      </w:tr>
      <w:tr w14:paraId="4A79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91" w:type="dxa"/>
            <w:gridSpan w:val="2"/>
            <w:vMerge w:val="continue"/>
            <w:noWrap w:val="0"/>
            <w:vAlign w:val="top"/>
          </w:tcPr>
          <w:p w14:paraId="1D0B7A88">
            <w:pPr>
              <w:widowControl/>
              <w:snapToGrid w:val="0"/>
              <w:jc w:val="center"/>
              <w:rPr>
                <w:rFonts w:hint="eastAsia" w:ascii="宋体" w:hAnsi="宋体" w:cs="宋体"/>
                <w:color w:val="auto"/>
                <w:sz w:val="24"/>
                <w:highlight w:val="none"/>
              </w:rPr>
            </w:pPr>
          </w:p>
        </w:tc>
        <w:tc>
          <w:tcPr>
            <w:tcW w:w="1152" w:type="dxa"/>
            <w:noWrap w:val="0"/>
            <w:vAlign w:val="center"/>
          </w:tcPr>
          <w:p w14:paraId="1EEDAC84">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合理化建议</w:t>
            </w:r>
          </w:p>
        </w:tc>
        <w:tc>
          <w:tcPr>
            <w:tcW w:w="6731" w:type="dxa"/>
            <w:gridSpan w:val="2"/>
            <w:noWrap w:val="0"/>
            <w:vAlign w:val="center"/>
          </w:tcPr>
          <w:p w14:paraId="3D20E6E3">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标委员会根据投标单位对本项目能够提出符合本项目的特点、有益设计的合理化建议进行综合打分。</w:t>
            </w:r>
          </w:p>
        </w:tc>
        <w:tc>
          <w:tcPr>
            <w:tcW w:w="1345" w:type="dxa"/>
            <w:noWrap w:val="0"/>
            <w:vAlign w:val="center"/>
          </w:tcPr>
          <w:p w14:paraId="3B4CC98A">
            <w:pPr>
              <w:widowControl/>
              <w:snapToGrid w:val="0"/>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4</w:t>
            </w:r>
          </w:p>
        </w:tc>
      </w:tr>
      <w:tr w14:paraId="49D6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491" w:type="dxa"/>
            <w:gridSpan w:val="2"/>
            <w:vMerge w:val="continue"/>
            <w:noWrap w:val="0"/>
            <w:vAlign w:val="top"/>
          </w:tcPr>
          <w:p w14:paraId="13A4CFAE">
            <w:pPr>
              <w:widowControl/>
              <w:snapToGrid w:val="0"/>
              <w:jc w:val="center"/>
              <w:rPr>
                <w:rFonts w:hint="eastAsia" w:ascii="宋体" w:hAnsi="宋体" w:cs="宋体"/>
                <w:color w:val="auto"/>
                <w:sz w:val="24"/>
                <w:highlight w:val="none"/>
              </w:rPr>
            </w:pPr>
          </w:p>
        </w:tc>
        <w:tc>
          <w:tcPr>
            <w:tcW w:w="1152" w:type="dxa"/>
            <w:vMerge w:val="restart"/>
            <w:noWrap w:val="0"/>
            <w:vAlign w:val="center"/>
          </w:tcPr>
          <w:p w14:paraId="2AACE576">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质量管理保证措施</w:t>
            </w:r>
          </w:p>
        </w:tc>
        <w:tc>
          <w:tcPr>
            <w:tcW w:w="6731" w:type="dxa"/>
            <w:gridSpan w:val="2"/>
            <w:noWrap w:val="0"/>
            <w:vAlign w:val="center"/>
          </w:tcPr>
          <w:p w14:paraId="77557D6E">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根据针对本项目的质量控制措施的合理性、有效性，综合评分。</w:t>
            </w:r>
          </w:p>
        </w:tc>
        <w:tc>
          <w:tcPr>
            <w:tcW w:w="1345" w:type="dxa"/>
            <w:noWrap w:val="0"/>
            <w:vAlign w:val="center"/>
          </w:tcPr>
          <w:p w14:paraId="48E3B71B">
            <w:pPr>
              <w:widowControl/>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14:paraId="5D26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91" w:type="dxa"/>
            <w:gridSpan w:val="2"/>
            <w:vMerge w:val="continue"/>
            <w:noWrap w:val="0"/>
            <w:vAlign w:val="top"/>
          </w:tcPr>
          <w:p w14:paraId="6C714B8C">
            <w:pPr>
              <w:widowControl/>
              <w:snapToGrid w:val="0"/>
              <w:jc w:val="center"/>
              <w:rPr>
                <w:rFonts w:hint="eastAsia" w:ascii="宋体" w:hAnsi="宋体" w:cs="宋体"/>
                <w:color w:val="auto"/>
                <w:sz w:val="24"/>
                <w:highlight w:val="none"/>
              </w:rPr>
            </w:pPr>
          </w:p>
        </w:tc>
        <w:tc>
          <w:tcPr>
            <w:tcW w:w="1152" w:type="dxa"/>
            <w:vMerge w:val="continue"/>
            <w:noWrap w:val="0"/>
            <w:vAlign w:val="center"/>
          </w:tcPr>
          <w:p w14:paraId="19B40835">
            <w:pPr>
              <w:adjustRightInd w:val="0"/>
              <w:snapToGrid w:val="0"/>
              <w:spacing w:line="360" w:lineRule="auto"/>
              <w:jc w:val="center"/>
              <w:rPr>
                <w:rFonts w:hint="eastAsia" w:ascii="宋体" w:hAnsi="宋体" w:cs="宋体"/>
                <w:color w:val="auto"/>
                <w:sz w:val="24"/>
                <w:highlight w:val="none"/>
              </w:rPr>
            </w:pPr>
          </w:p>
        </w:tc>
        <w:tc>
          <w:tcPr>
            <w:tcW w:w="6731" w:type="dxa"/>
            <w:gridSpan w:val="2"/>
            <w:noWrap w:val="0"/>
            <w:vAlign w:val="center"/>
          </w:tcPr>
          <w:p w14:paraId="3B0B9B8F">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根据针对本项目的进度保证措施的合理性、有效性，综合评分。</w:t>
            </w:r>
          </w:p>
        </w:tc>
        <w:tc>
          <w:tcPr>
            <w:tcW w:w="1345" w:type="dxa"/>
            <w:noWrap w:val="0"/>
            <w:vAlign w:val="center"/>
          </w:tcPr>
          <w:p w14:paraId="63C329F6">
            <w:pPr>
              <w:widowControl/>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14:paraId="510D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63" w:type="dxa"/>
            <w:vMerge w:val="restart"/>
            <w:noWrap w:val="0"/>
            <w:vAlign w:val="center"/>
          </w:tcPr>
          <w:p w14:paraId="48B2AAD6">
            <w:pPr>
              <w:widowControl/>
              <w:snapToGrid w:val="0"/>
              <w:jc w:val="center"/>
              <w:rPr>
                <w:rFonts w:hint="eastAsia" w:ascii="宋体" w:hAnsi="宋体" w:cs="宋体"/>
                <w:color w:val="auto"/>
                <w:sz w:val="24"/>
                <w:highlight w:val="none"/>
              </w:rPr>
            </w:pPr>
            <w:r>
              <w:rPr>
                <w:rFonts w:hint="eastAsia" w:ascii="宋体" w:hAnsi="宋体" w:cs="宋体"/>
                <w:color w:val="auto"/>
                <w:sz w:val="24"/>
                <w:highlight w:val="none"/>
              </w:rPr>
              <w:t>商务</w:t>
            </w:r>
          </w:p>
        </w:tc>
        <w:tc>
          <w:tcPr>
            <w:tcW w:w="828" w:type="dxa"/>
            <w:vMerge w:val="restart"/>
            <w:noWrap w:val="0"/>
            <w:vAlign w:val="center"/>
          </w:tcPr>
          <w:p w14:paraId="3DF15062">
            <w:pPr>
              <w:widowControl/>
              <w:snapToGrid w:val="0"/>
              <w:jc w:val="center"/>
              <w:rPr>
                <w:rFonts w:hint="eastAsia" w:ascii="宋体" w:hAnsi="宋体" w:cs="宋体"/>
                <w:color w:val="auto"/>
                <w:sz w:val="24"/>
                <w:highlight w:val="none"/>
              </w:rPr>
            </w:pPr>
            <w:r>
              <w:rPr>
                <w:rFonts w:hint="eastAsia" w:ascii="宋体" w:hAnsi="宋体" w:cs="宋体"/>
                <w:color w:val="auto"/>
                <w:sz w:val="24"/>
                <w:highlight w:val="none"/>
              </w:rPr>
              <w:t>资信（</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p>
        </w:tc>
        <w:tc>
          <w:tcPr>
            <w:tcW w:w="1152" w:type="dxa"/>
            <w:noWrap w:val="0"/>
            <w:vAlign w:val="center"/>
          </w:tcPr>
          <w:p w14:paraId="7B951C7F">
            <w:pPr>
              <w:widowControl/>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业绩</w:t>
            </w:r>
          </w:p>
        </w:tc>
        <w:tc>
          <w:tcPr>
            <w:tcW w:w="6731" w:type="dxa"/>
            <w:gridSpan w:val="2"/>
            <w:noWrap w:val="0"/>
            <w:vAlign w:val="center"/>
          </w:tcPr>
          <w:p w14:paraId="443C2F53">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eastAsia="zh-CN"/>
              </w:rPr>
              <w:t>投标人自202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年1月1日以来</w:t>
            </w:r>
            <w:r>
              <w:rPr>
                <w:rFonts w:hint="eastAsia" w:ascii="宋体" w:hAnsi="宋体" w:cs="宋体"/>
                <w:color w:val="auto"/>
                <w:sz w:val="24"/>
                <w:highlight w:val="none"/>
              </w:rPr>
              <w:t>（以合同签订为准）已完成或正在履行的</w:t>
            </w:r>
            <w:r>
              <w:rPr>
                <w:rFonts w:hint="eastAsia" w:ascii="宋体" w:hAnsi="宋体" w:cs="宋体"/>
                <w:color w:val="auto"/>
                <w:sz w:val="24"/>
                <w:highlight w:val="none"/>
                <w:lang w:eastAsia="zh-CN"/>
              </w:rPr>
              <w:t>类似项目业绩</w:t>
            </w:r>
            <w:r>
              <w:rPr>
                <w:rFonts w:hint="eastAsia" w:ascii="宋体" w:hAnsi="宋体" w:cs="宋体"/>
                <w:color w:val="auto"/>
                <w:sz w:val="24"/>
                <w:highlight w:val="none"/>
              </w:rPr>
              <w:t>，每个项目业绩得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分，没有不得分。投标文件需提供合同扫描件并加盖公章。</w:t>
            </w:r>
          </w:p>
        </w:tc>
        <w:tc>
          <w:tcPr>
            <w:tcW w:w="1345" w:type="dxa"/>
            <w:noWrap w:val="0"/>
            <w:vAlign w:val="center"/>
          </w:tcPr>
          <w:p w14:paraId="08F36D94">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0F0A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663" w:type="dxa"/>
            <w:vMerge w:val="continue"/>
            <w:noWrap w:val="0"/>
            <w:vAlign w:val="top"/>
          </w:tcPr>
          <w:p w14:paraId="4707624A">
            <w:pPr>
              <w:widowControl/>
              <w:snapToGrid w:val="0"/>
              <w:jc w:val="center"/>
              <w:rPr>
                <w:rFonts w:hint="eastAsia" w:ascii="宋体" w:hAnsi="宋体" w:cs="宋体"/>
                <w:color w:val="auto"/>
                <w:sz w:val="24"/>
                <w:highlight w:val="none"/>
              </w:rPr>
            </w:pPr>
          </w:p>
        </w:tc>
        <w:tc>
          <w:tcPr>
            <w:tcW w:w="828" w:type="dxa"/>
            <w:vMerge w:val="continue"/>
            <w:noWrap w:val="0"/>
            <w:vAlign w:val="center"/>
          </w:tcPr>
          <w:p w14:paraId="490443FD">
            <w:pPr>
              <w:widowControl/>
              <w:snapToGrid w:val="0"/>
              <w:jc w:val="center"/>
              <w:rPr>
                <w:rFonts w:hint="eastAsia" w:ascii="宋体" w:hAnsi="宋体" w:cs="宋体"/>
                <w:color w:val="auto"/>
                <w:sz w:val="24"/>
                <w:highlight w:val="none"/>
              </w:rPr>
            </w:pPr>
          </w:p>
        </w:tc>
        <w:tc>
          <w:tcPr>
            <w:tcW w:w="1152" w:type="dxa"/>
            <w:noWrap w:val="0"/>
            <w:vAlign w:val="center"/>
          </w:tcPr>
          <w:p w14:paraId="07B7E34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偿付能力充足率</w:t>
            </w:r>
          </w:p>
        </w:tc>
        <w:tc>
          <w:tcPr>
            <w:tcW w:w="6731" w:type="dxa"/>
            <w:gridSpan w:val="2"/>
            <w:noWrap w:val="0"/>
            <w:vAlign w:val="center"/>
          </w:tcPr>
          <w:p w14:paraId="64E271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年一季度末投标人（含总公司）综合偿付能力充足率进行评分，220%及以上的得5分，200%及以上-220%以下的得3分，180%及以上-200%以下的得1分，低于180%不得分。（以上含本数、以下不含本数） </w:t>
            </w:r>
          </w:p>
          <w:p w14:paraId="7CE968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（有效证明材料为中国保险行业协会官网公布的保险公司偿付能力报告的截图或打印件（含有网址）并加盖单位公章）</w:t>
            </w:r>
          </w:p>
        </w:tc>
        <w:tc>
          <w:tcPr>
            <w:tcW w:w="1345" w:type="dxa"/>
            <w:noWrap w:val="0"/>
            <w:vAlign w:val="center"/>
          </w:tcPr>
          <w:p w14:paraId="3673AAD4">
            <w:pPr>
              <w:jc w:val="center"/>
              <w:rPr>
                <w:rFonts w:hint="eastAsia" w:ascii="宋体" w:hAnsi="宋体" w:cs="宋体"/>
                <w:color w:val="auto"/>
                <w:sz w:val="24"/>
                <w:highlight w:val="none"/>
              </w:rPr>
            </w:pPr>
            <w:r>
              <w:rPr>
                <w:rFonts w:hint="eastAsia" w:ascii="宋体" w:hAnsi="宋体" w:cs="宋体"/>
                <w:color w:val="auto"/>
                <w:sz w:val="24"/>
                <w:highlight w:val="none"/>
              </w:rPr>
              <w:t>5</w:t>
            </w:r>
          </w:p>
        </w:tc>
      </w:tr>
    </w:tbl>
    <w:p w14:paraId="3D053E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8404A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1、评标委员会各成员应当独立对每个供应商的响应文件进行评价，并汇总每个供应商的得分。资信分为客观分，也需独立进行评价并核对分值，最终分值需一致。</w:t>
      </w:r>
    </w:p>
    <w:p w14:paraId="06A3A9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2、所有文件、合同、证书、资质等需要真实有效。成交供应商在中标后签订合同时需提供以上证明文件原件，若发现资料作假的取消中标资格。</w:t>
      </w:r>
      <w:bookmarkStart w:id="83" w:name="_Toc4517"/>
      <w:bookmarkStart w:id="84" w:name="_Toc8033"/>
    </w:p>
    <w:p w14:paraId="3320BCB2">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20A3680A">
      <w:pPr>
        <w:pStyle w:val="4"/>
        <w:jc w:val="center"/>
        <w:rPr>
          <w:rFonts w:hint="eastAsia" w:ascii="宋体" w:hAnsi="宋体" w:eastAsia="宋体" w:cs="宋体"/>
          <w:color w:val="auto"/>
          <w:highlight w:val="none"/>
        </w:rPr>
      </w:pPr>
      <w:bookmarkStart w:id="85" w:name="_Toc4777"/>
      <w:r>
        <w:rPr>
          <w:rFonts w:hint="eastAsia" w:ascii="宋体" w:hAnsi="宋体" w:eastAsia="宋体" w:cs="宋体"/>
          <w:color w:val="auto"/>
          <w:sz w:val="36"/>
          <w:szCs w:val="36"/>
          <w:highlight w:val="none"/>
        </w:rPr>
        <w:t>第五部分 采购合同</w:t>
      </w:r>
      <w:bookmarkEnd w:id="83"/>
      <w:bookmarkEnd w:id="84"/>
      <w:bookmarkEnd w:id="85"/>
    </w:p>
    <w:p w14:paraId="45284B37">
      <w:pPr>
        <w:shd w:val="clear" w:color="auto" w:fill="auto"/>
        <w:autoSpaceDE w:val="0"/>
        <w:autoSpaceDN w:val="0"/>
        <w:spacing w:line="360" w:lineRule="auto"/>
        <w:textAlignment w:val="bottom"/>
        <w:rPr>
          <w:rFonts w:hint="eastAsia" w:ascii="宋体" w:hAnsi="宋体"/>
          <w:b/>
          <w:color w:val="auto"/>
          <w:szCs w:val="21"/>
          <w:highlight w:val="none"/>
          <w:u w:val="single"/>
        </w:rPr>
      </w:pPr>
      <w:r>
        <w:rPr>
          <w:rFonts w:hint="eastAsia" w:ascii="宋体" w:hAnsi="宋体"/>
          <w:b/>
          <w:color w:val="auto"/>
          <w:szCs w:val="21"/>
          <w:highlight w:val="none"/>
          <w:u w:val="single"/>
        </w:rPr>
        <w:t>备注：合同以双方签字盖章的文本为准，投标文件中各项招标需求均可在签订合同时列入或以更优的投标文件承诺内容列入。</w:t>
      </w:r>
    </w:p>
    <w:p w14:paraId="6E395728">
      <w:pPr>
        <w:shd w:val="clear" w:color="auto" w:fill="auto"/>
        <w:adjustRightInd w:val="0"/>
        <w:snapToGrid w:val="0"/>
        <w:spacing w:line="360" w:lineRule="auto"/>
        <w:jc w:val="center"/>
        <w:rPr>
          <w:rFonts w:hint="eastAsia" w:ascii="宋体" w:hAnsi="宋体"/>
          <w:color w:val="auto"/>
          <w:sz w:val="32"/>
          <w:szCs w:val="32"/>
          <w:highlight w:val="none"/>
        </w:rPr>
      </w:pPr>
      <w:r>
        <w:rPr>
          <w:rFonts w:hint="eastAsia" w:ascii="宋体" w:hAnsi="宋体" w:cs="宋体"/>
          <w:b/>
          <w:color w:val="auto"/>
          <w:sz w:val="32"/>
          <w:szCs w:val="32"/>
          <w:highlight w:val="none"/>
        </w:rPr>
        <w:t xml:space="preserve"> （以最终合同为准）</w:t>
      </w:r>
    </w:p>
    <w:p w14:paraId="5D634B41">
      <w:pPr>
        <w:shd w:val="clear" w:color="auto" w:fill="auto"/>
        <w:adjustRightInd w:val="0"/>
        <w:snapToGrid w:val="0"/>
        <w:spacing w:line="360" w:lineRule="auto"/>
        <w:jc w:val="center"/>
        <w:rPr>
          <w:rFonts w:hint="eastAsia" w:ascii="宋体" w:hAnsi="宋体"/>
          <w:color w:val="auto"/>
          <w:sz w:val="32"/>
          <w:szCs w:val="32"/>
          <w:highlight w:val="none"/>
        </w:rPr>
      </w:pPr>
    </w:p>
    <w:p w14:paraId="03F8074F">
      <w:pPr>
        <w:shd w:val="clear" w:color="auto" w:fill="auto"/>
        <w:adjustRightInd w:val="0"/>
        <w:snapToGrid w:val="0"/>
        <w:spacing w:line="360" w:lineRule="auto"/>
        <w:jc w:val="center"/>
        <w:rPr>
          <w:rFonts w:hint="eastAsia" w:ascii="宋体" w:hAnsi="宋体"/>
          <w:color w:val="auto"/>
          <w:sz w:val="32"/>
          <w:szCs w:val="32"/>
          <w:highlight w:val="none"/>
        </w:rPr>
      </w:pPr>
    </w:p>
    <w:p w14:paraId="582B5F2D">
      <w:pPr>
        <w:shd w:val="clear" w:color="auto" w:fill="auto"/>
        <w:adjustRightInd w:val="0"/>
        <w:snapToGrid w:val="0"/>
        <w:spacing w:line="360" w:lineRule="auto"/>
        <w:jc w:val="center"/>
        <w:rPr>
          <w:rFonts w:hint="eastAsia" w:ascii="宋体" w:hAnsi="宋体"/>
          <w:color w:val="auto"/>
          <w:sz w:val="32"/>
          <w:szCs w:val="32"/>
          <w:highlight w:val="none"/>
        </w:rPr>
      </w:pPr>
    </w:p>
    <w:p w14:paraId="6174280A">
      <w:pPr>
        <w:shd w:val="clear" w:color="auto" w:fill="auto"/>
        <w:adjustRightInd w:val="0"/>
        <w:snapToGrid w:val="0"/>
        <w:spacing w:line="360" w:lineRule="auto"/>
        <w:jc w:val="center"/>
        <w:rPr>
          <w:rFonts w:hint="eastAsia" w:ascii="宋体" w:hAnsi="宋体"/>
          <w:color w:val="auto"/>
          <w:sz w:val="32"/>
          <w:szCs w:val="32"/>
          <w:highlight w:val="none"/>
        </w:rPr>
      </w:pPr>
    </w:p>
    <w:p w14:paraId="6F36448B">
      <w:pPr>
        <w:shd w:val="clear" w:color="auto" w:fill="auto"/>
        <w:spacing w:line="360" w:lineRule="auto"/>
        <w:ind w:left="2560" w:hanging="2560" w:hangingChars="80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 目 名 称 ：</w:t>
      </w:r>
      <w:r>
        <w:rPr>
          <w:rFonts w:hint="eastAsia" w:ascii="宋体" w:hAnsi="宋体"/>
          <w:color w:val="auto"/>
          <w:sz w:val="32"/>
          <w:szCs w:val="32"/>
          <w:highlight w:val="none"/>
          <w:lang w:eastAsia="zh-CN"/>
        </w:rPr>
        <w:t>202</w:t>
      </w:r>
      <w:r>
        <w:rPr>
          <w:rFonts w:hint="eastAsia" w:ascii="宋体" w:hAnsi="宋体"/>
          <w:color w:val="auto"/>
          <w:sz w:val="32"/>
          <w:szCs w:val="32"/>
          <w:highlight w:val="none"/>
          <w:lang w:val="en-US" w:eastAsia="zh-CN"/>
        </w:rPr>
        <w:t>4</w:t>
      </w:r>
      <w:r>
        <w:rPr>
          <w:rFonts w:hint="eastAsia" w:ascii="宋体" w:hAnsi="宋体"/>
          <w:color w:val="auto"/>
          <w:sz w:val="32"/>
          <w:szCs w:val="32"/>
          <w:highlight w:val="none"/>
          <w:lang w:eastAsia="zh-CN"/>
        </w:rPr>
        <w:t>年绍兴市上虞区商务局小微企业出口信用保险政府联保服务</w:t>
      </w:r>
    </w:p>
    <w:p w14:paraId="666C1667">
      <w:pPr>
        <w:shd w:val="clear" w:color="auto" w:fill="auto"/>
        <w:spacing w:line="360" w:lineRule="auto"/>
        <w:ind w:left="2560" w:hanging="2560" w:hangingChars="800"/>
        <w:rPr>
          <w:rFonts w:ascii="宋体" w:hAnsi="宋体"/>
          <w:color w:val="auto"/>
          <w:sz w:val="32"/>
          <w:szCs w:val="32"/>
          <w:highlight w:val="none"/>
        </w:rPr>
      </w:pPr>
      <w:r>
        <w:rPr>
          <w:rFonts w:hint="eastAsia" w:ascii="宋体" w:hAnsi="宋体"/>
          <w:color w:val="auto"/>
          <w:sz w:val="32"/>
          <w:szCs w:val="32"/>
          <w:highlight w:val="none"/>
        </w:rPr>
        <w:t>项 目 编 号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p>
    <w:p w14:paraId="4A989982">
      <w:pPr>
        <w:shd w:val="clear" w:color="auto" w:fill="auto"/>
        <w:spacing w:line="360" w:lineRule="auto"/>
        <w:rPr>
          <w:rFonts w:ascii="宋体" w:hAnsi="宋体"/>
          <w:color w:val="auto"/>
          <w:sz w:val="32"/>
          <w:szCs w:val="32"/>
          <w:highlight w:val="none"/>
        </w:rPr>
      </w:pPr>
      <w:r>
        <w:rPr>
          <w:rFonts w:ascii="宋体" w:hAnsi="宋体"/>
          <w:color w:val="auto"/>
          <w:sz w:val="32"/>
          <w:szCs w:val="32"/>
          <w:highlight w:val="none"/>
        </w:rPr>
        <w:t>甲方（采购人）：</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p>
    <w:p w14:paraId="2B60CB0D">
      <w:pPr>
        <w:shd w:val="clear" w:color="auto" w:fill="auto"/>
        <w:spacing w:line="360" w:lineRule="auto"/>
        <w:rPr>
          <w:rFonts w:ascii="宋体" w:hAnsi="宋体"/>
          <w:color w:val="auto"/>
          <w:sz w:val="32"/>
          <w:szCs w:val="32"/>
          <w:highlight w:val="none"/>
        </w:rPr>
      </w:pPr>
      <w:r>
        <w:rPr>
          <w:rFonts w:ascii="宋体" w:hAnsi="宋体"/>
          <w:color w:val="auto"/>
          <w:sz w:val="32"/>
          <w:szCs w:val="32"/>
          <w:highlight w:val="none"/>
        </w:rPr>
        <w:t>乙方（中标人）：</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p>
    <w:p w14:paraId="4A606452">
      <w:pPr>
        <w:shd w:val="clear" w:color="auto" w:fill="auto"/>
        <w:spacing w:line="360" w:lineRule="auto"/>
        <w:rPr>
          <w:rFonts w:ascii="宋体" w:hAnsi="宋体"/>
          <w:color w:val="auto"/>
          <w:sz w:val="32"/>
          <w:szCs w:val="32"/>
          <w:highlight w:val="none"/>
        </w:rPr>
      </w:pPr>
      <w:r>
        <w:rPr>
          <w:rFonts w:hint="eastAsia" w:ascii="宋体" w:hAnsi="宋体"/>
          <w:color w:val="auto"/>
          <w:sz w:val="32"/>
          <w:szCs w:val="32"/>
          <w:highlight w:val="none"/>
        </w:rPr>
        <w:t>签 订 地 点 ：</w:t>
      </w:r>
      <w:r>
        <w:rPr>
          <w:rFonts w:ascii="宋体" w:hAnsi="宋体"/>
          <w:color w:val="auto"/>
          <w:sz w:val="32"/>
          <w:szCs w:val="32"/>
          <w:highlight w:val="none"/>
          <w:u w:val="single"/>
        </w:rPr>
        <w:t xml:space="preserve">                           </w:t>
      </w:r>
    </w:p>
    <w:p w14:paraId="762F1499">
      <w:pPr>
        <w:shd w:val="clear" w:color="auto" w:fill="auto"/>
        <w:adjustRightInd w:val="0"/>
        <w:snapToGrid w:val="0"/>
        <w:spacing w:line="360" w:lineRule="auto"/>
        <w:rPr>
          <w:rFonts w:hint="eastAsia" w:ascii="宋体" w:hAnsi="宋体"/>
          <w:color w:val="auto"/>
          <w:sz w:val="32"/>
          <w:szCs w:val="32"/>
          <w:highlight w:val="none"/>
        </w:rPr>
      </w:pPr>
      <w:r>
        <w:rPr>
          <w:rFonts w:hint="eastAsia" w:ascii="宋体" w:hAnsi="宋体"/>
          <w:color w:val="auto"/>
          <w:sz w:val="32"/>
          <w:szCs w:val="32"/>
          <w:highlight w:val="none"/>
        </w:rPr>
        <w:t>签 订 日 期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p>
    <w:p w14:paraId="229DF3CF">
      <w:pPr>
        <w:shd w:val="clear" w:color="auto" w:fill="auto"/>
        <w:spacing w:line="360" w:lineRule="auto"/>
        <w:contextualSpacing/>
        <w:rPr>
          <w:rFonts w:ascii="宋体" w:hAnsi="宋体" w:cs="宋体"/>
          <w:b/>
          <w:color w:val="auto"/>
          <w:sz w:val="32"/>
          <w:szCs w:val="32"/>
          <w:highlight w:val="none"/>
        </w:rPr>
      </w:pPr>
    </w:p>
    <w:p w14:paraId="1F21F49A">
      <w:pPr>
        <w:pStyle w:val="12"/>
        <w:shd w:val="clear" w:color="auto" w:fill="auto"/>
        <w:ind w:left="0" w:leftChars="0" w:firstLine="0" w:firstLineChars="0"/>
        <w:rPr>
          <w:rFonts w:hAnsi="宋体" w:cs="宋体"/>
          <w:b/>
          <w:color w:val="auto"/>
          <w:sz w:val="32"/>
          <w:szCs w:val="32"/>
          <w:highlight w:val="none"/>
        </w:rPr>
      </w:pPr>
    </w:p>
    <w:p w14:paraId="72732F95">
      <w:pPr>
        <w:rPr>
          <w:rFonts w:hAnsi="宋体" w:cs="宋体"/>
          <w:b/>
          <w:color w:val="auto"/>
          <w:sz w:val="32"/>
          <w:szCs w:val="32"/>
          <w:highlight w:val="none"/>
        </w:rPr>
      </w:pPr>
    </w:p>
    <w:p w14:paraId="0DE7B40C">
      <w:pPr>
        <w:pStyle w:val="2"/>
        <w:rPr>
          <w:color w:val="auto"/>
        </w:rPr>
      </w:pPr>
    </w:p>
    <w:p w14:paraId="0257E404">
      <w:pPr>
        <w:pStyle w:val="27"/>
        <w:rPr>
          <w:color w:val="auto"/>
        </w:rPr>
      </w:pPr>
    </w:p>
    <w:p w14:paraId="7BA61430">
      <w:pPr>
        <w:pStyle w:val="12"/>
        <w:shd w:val="clear" w:color="auto" w:fill="auto"/>
        <w:rPr>
          <w:rFonts w:hAnsi="宋体" w:cs="宋体"/>
          <w:b/>
          <w:color w:val="auto"/>
          <w:sz w:val="32"/>
          <w:szCs w:val="32"/>
          <w:highlight w:val="none"/>
        </w:rPr>
      </w:pPr>
    </w:p>
    <w:p w14:paraId="7C899933">
      <w:pPr>
        <w:spacing w:line="360" w:lineRule="auto"/>
        <w:rPr>
          <w:rFonts w:hint="eastAsia" w:ascii="隶书" w:eastAsia="隶书"/>
          <w:color w:val="auto"/>
          <w:highlight w:val="none"/>
        </w:rPr>
      </w:pPr>
      <w:r>
        <w:rPr>
          <w:rFonts w:ascii="宋体" w:hAnsi="宋体"/>
          <w:color w:val="auto"/>
          <w:sz w:val="24"/>
          <w:highlight w:val="none"/>
        </w:rPr>
        <w:t>注：此合同样本仅作参考，采购单位、供应商可根据采购项目的实际情况进行修改。</w:t>
      </w:r>
    </w:p>
    <w:p w14:paraId="3BA36A9A">
      <w:pPr>
        <w:rPr>
          <w:color w:val="auto"/>
          <w:highlight w:val="none"/>
        </w:rPr>
      </w:pPr>
    </w:p>
    <w:p w14:paraId="0944C1AB">
      <w:pPr>
        <w:pStyle w:val="15"/>
        <w:snapToGrid w:val="0"/>
        <w:spacing w:line="400" w:lineRule="exact"/>
        <w:ind w:firstLine="480" w:firstLineChars="200"/>
        <w:jc w:val="left"/>
        <w:rPr>
          <w:rFonts w:hint="eastAsia"/>
          <w:color w:val="auto"/>
          <w:sz w:val="24"/>
          <w:szCs w:val="24"/>
          <w:highlight w:val="none"/>
        </w:rPr>
      </w:pPr>
      <w:r>
        <w:rPr>
          <w:rFonts w:hint="eastAsia"/>
          <w:color w:val="auto"/>
          <w:sz w:val="24"/>
          <w:szCs w:val="24"/>
          <w:highlight w:val="none"/>
        </w:rPr>
        <w:t>项目名称：</w:t>
      </w:r>
    </w:p>
    <w:p w14:paraId="6B7D3F13">
      <w:pPr>
        <w:spacing w:line="400" w:lineRule="exact"/>
        <w:ind w:firstLine="480" w:firstLineChars="200"/>
        <w:rPr>
          <w:rFonts w:hint="eastAsia" w:ascii="宋体" w:hAnsi="宋体" w:cs="宋体"/>
          <w:color w:val="auto"/>
          <w:sz w:val="24"/>
          <w:highlight w:val="none"/>
        </w:rPr>
      </w:pPr>
      <w:r>
        <w:rPr>
          <w:rFonts w:hint="eastAsia" w:hAnsi="宋体"/>
          <w:color w:val="auto"/>
          <w:sz w:val="24"/>
          <w:highlight w:val="none"/>
        </w:rPr>
        <w:t>项目编号：</w:t>
      </w:r>
    </w:p>
    <w:p w14:paraId="767DE54B">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甲方：绍兴市上虞区商务局(以下简称甲方)</w:t>
      </w:r>
    </w:p>
    <w:p w14:paraId="47370B4E">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乙方：                    (以下简称乙方)</w:t>
      </w:r>
    </w:p>
    <w:p w14:paraId="7FA116DC">
      <w:pPr>
        <w:widowControl/>
        <w:spacing w:line="40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一、服务内容</w:t>
      </w:r>
    </w:p>
    <w:p w14:paraId="07EC73D9">
      <w:pPr>
        <w:ind w:firstLine="480" w:firstLineChars="200"/>
        <w:rPr>
          <w:rFonts w:hint="eastAsia" w:ascii="宋体" w:hAnsi="宋体" w:cs="宋体"/>
          <w:color w:val="auto"/>
          <w:sz w:val="24"/>
          <w:highlight w:val="none"/>
        </w:rPr>
      </w:pPr>
    </w:p>
    <w:p w14:paraId="3B12755D">
      <w:pPr>
        <w:ind w:firstLine="480" w:firstLineChars="200"/>
        <w:rPr>
          <w:rFonts w:hint="eastAsia" w:ascii="宋体" w:hAnsi="宋体" w:cs="宋体"/>
          <w:color w:val="auto"/>
          <w:sz w:val="24"/>
          <w:highlight w:val="none"/>
        </w:rPr>
      </w:pPr>
    </w:p>
    <w:p w14:paraId="1581DADA">
      <w:pPr>
        <w:rPr>
          <w:rFonts w:hint="eastAsia"/>
          <w:color w:val="auto"/>
          <w:highlight w:val="none"/>
        </w:rPr>
      </w:pPr>
    </w:p>
    <w:p w14:paraId="177004CF">
      <w:pPr>
        <w:ind w:firstLine="480" w:firstLineChars="200"/>
        <w:rPr>
          <w:rFonts w:hint="eastAsia" w:hAnsi="宋体"/>
          <w:b/>
          <w:bCs/>
          <w:color w:val="auto"/>
          <w:sz w:val="24"/>
          <w:highlight w:val="none"/>
        </w:rPr>
      </w:pPr>
      <w:r>
        <w:rPr>
          <w:rFonts w:hint="eastAsia" w:ascii="宋体" w:hAnsi="宋体" w:cs="宋体"/>
          <w:color w:val="auto"/>
          <w:sz w:val="24"/>
          <w:highlight w:val="none"/>
        </w:rPr>
        <w:t>二、</w:t>
      </w:r>
      <w:r>
        <w:rPr>
          <w:rFonts w:hint="eastAsia" w:hAnsi="宋体"/>
          <w:b/>
          <w:bCs/>
          <w:color w:val="auto"/>
          <w:sz w:val="24"/>
          <w:highlight w:val="none"/>
        </w:rPr>
        <w:t>合同金额</w:t>
      </w:r>
    </w:p>
    <w:p w14:paraId="68A6CAC4">
      <w:pPr>
        <w:rPr>
          <w:rFonts w:hint="eastAsia" w:ascii="宋体" w:hAnsi="宋体"/>
          <w:color w:val="auto"/>
          <w:sz w:val="24"/>
          <w:highlight w:val="none"/>
        </w:rPr>
      </w:pPr>
      <w:r>
        <w:rPr>
          <w:rFonts w:hint="eastAsia" w:hAnsi="宋体"/>
          <w:b/>
          <w:bCs/>
          <w:color w:val="auto"/>
          <w:sz w:val="24"/>
          <w:highlight w:val="none"/>
        </w:rPr>
        <w:t xml:space="preserve">  </w:t>
      </w:r>
      <w:r>
        <w:rPr>
          <w:rFonts w:hint="eastAsia" w:ascii="宋体" w:hAnsi="宋体"/>
          <w:color w:val="auto"/>
          <w:sz w:val="24"/>
          <w:highlight w:val="none"/>
        </w:rPr>
        <w:t xml:space="preserve"> </w:t>
      </w:r>
    </w:p>
    <w:p w14:paraId="123A19E2">
      <w:pPr>
        <w:snapToGrid w:val="0"/>
        <w:spacing w:line="400" w:lineRule="exact"/>
        <w:ind w:firstLine="480" w:firstLineChars="200"/>
        <w:jc w:val="left"/>
        <w:rPr>
          <w:rFonts w:hint="eastAsia"/>
          <w:b/>
          <w:color w:val="auto"/>
          <w:sz w:val="24"/>
          <w:highlight w:val="none"/>
        </w:rPr>
      </w:pPr>
      <w:r>
        <w:rPr>
          <w:rFonts w:hint="eastAsia"/>
          <w:color w:val="auto"/>
          <w:sz w:val="24"/>
          <w:highlight w:val="none"/>
        </w:rPr>
        <w:t xml:space="preserve">  本合同金额为（大写）：</w:t>
      </w:r>
      <w:r>
        <w:rPr>
          <w:rFonts w:hint="eastAsia"/>
          <w:color w:val="auto"/>
          <w:sz w:val="24"/>
          <w:highlight w:val="none"/>
          <w:u w:val="single"/>
        </w:rPr>
        <w:t xml:space="preserve">               </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元）人民币。</w:t>
      </w:r>
    </w:p>
    <w:p w14:paraId="12120D89">
      <w:pPr>
        <w:tabs>
          <w:tab w:val="left" w:pos="900"/>
          <w:tab w:val="left" w:pos="1080"/>
        </w:tabs>
        <w:snapToGrid w:val="0"/>
        <w:spacing w:line="400" w:lineRule="exact"/>
        <w:ind w:left="420" w:leftChars="200"/>
        <w:rPr>
          <w:b/>
          <w:color w:val="auto"/>
          <w:sz w:val="24"/>
          <w:highlight w:val="none"/>
        </w:rPr>
      </w:pPr>
      <w:r>
        <w:rPr>
          <w:rFonts w:hint="eastAsia"/>
          <w:b/>
          <w:color w:val="auto"/>
          <w:sz w:val="24"/>
          <w:highlight w:val="none"/>
        </w:rPr>
        <w:t>三、</w:t>
      </w:r>
      <w:r>
        <w:rPr>
          <w:b/>
          <w:color w:val="auto"/>
          <w:sz w:val="24"/>
          <w:highlight w:val="none"/>
        </w:rPr>
        <w:t>技术资料</w:t>
      </w:r>
    </w:p>
    <w:p w14:paraId="092F697D">
      <w:pPr>
        <w:tabs>
          <w:tab w:val="left" w:pos="900"/>
          <w:tab w:val="left" w:pos="1080"/>
        </w:tabs>
        <w:snapToGrid w:val="0"/>
        <w:spacing w:line="400" w:lineRule="exact"/>
        <w:ind w:firstLine="480" w:firstLineChars="200"/>
        <w:rPr>
          <w:color w:val="auto"/>
          <w:sz w:val="24"/>
          <w:highlight w:val="none"/>
        </w:rPr>
      </w:pPr>
      <w:r>
        <w:rPr>
          <w:color w:val="auto"/>
          <w:sz w:val="24"/>
          <w:highlight w:val="none"/>
        </w:rPr>
        <w:t>乙方应按招标文件规定的时间向甲方提供有关技术资料。</w:t>
      </w:r>
    </w:p>
    <w:p w14:paraId="43A69566">
      <w:pPr>
        <w:tabs>
          <w:tab w:val="left" w:pos="900"/>
          <w:tab w:val="left" w:pos="1080"/>
        </w:tabs>
        <w:snapToGrid w:val="0"/>
        <w:spacing w:line="400" w:lineRule="exact"/>
        <w:ind w:left="420" w:leftChars="200"/>
        <w:rPr>
          <w:b/>
          <w:color w:val="auto"/>
          <w:sz w:val="24"/>
          <w:highlight w:val="none"/>
        </w:rPr>
      </w:pPr>
      <w:r>
        <w:rPr>
          <w:rFonts w:hint="eastAsia"/>
          <w:b/>
          <w:color w:val="auto"/>
          <w:sz w:val="24"/>
          <w:highlight w:val="none"/>
        </w:rPr>
        <w:t>四、</w:t>
      </w:r>
      <w:r>
        <w:rPr>
          <w:b/>
          <w:color w:val="auto"/>
          <w:sz w:val="24"/>
          <w:highlight w:val="none"/>
        </w:rPr>
        <w:t>知识产权</w:t>
      </w:r>
    </w:p>
    <w:p w14:paraId="675EAAFD">
      <w:pPr>
        <w:spacing w:line="400" w:lineRule="exact"/>
        <w:ind w:firstLine="480" w:firstLineChars="200"/>
        <w:rPr>
          <w:rFonts w:hint="eastAsia" w:ascii="宋体" w:hAnsi="宋体" w:cs="宋体"/>
          <w:color w:val="auto"/>
          <w:sz w:val="24"/>
          <w:highlight w:val="none"/>
        </w:rPr>
      </w:pPr>
      <w:r>
        <w:rPr>
          <w:rFonts w:hAnsi="宋体"/>
          <w:color w:val="auto"/>
          <w:sz w:val="24"/>
          <w:highlight w:val="none"/>
        </w:rPr>
        <w:t>乙方应保证提供服务过程中不会侵犯任何第三方的知识产权。</w:t>
      </w:r>
    </w:p>
    <w:p w14:paraId="4B348E9B">
      <w:pPr>
        <w:widowControl/>
        <w:spacing w:line="40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五、履约保证金</w:t>
      </w:r>
    </w:p>
    <w:p w14:paraId="6687BBDB">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合同签订时，乙方须向甲方交纳</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作为本合同的履约保证金（成交金额的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hAnsi="宋体"/>
          <w:color w:val="auto"/>
          <w:sz w:val="24"/>
          <w:highlight w:val="none"/>
        </w:rPr>
        <w:t>凭</w:t>
      </w:r>
      <w:r>
        <w:rPr>
          <w:rFonts w:hint="eastAsia" w:hAnsi="宋体" w:cs="宋体"/>
          <w:color w:val="auto"/>
          <w:sz w:val="24"/>
          <w:highlight w:val="none"/>
          <w:lang w:val="zh-CN"/>
        </w:rPr>
        <w:t>履约保证金</w:t>
      </w:r>
      <w:r>
        <w:rPr>
          <w:rFonts w:hint="eastAsia" w:hAnsi="宋体"/>
          <w:color w:val="auto"/>
          <w:sz w:val="24"/>
          <w:highlight w:val="none"/>
        </w:rPr>
        <w:t>凭据退还保证金</w:t>
      </w:r>
      <w:r>
        <w:rPr>
          <w:rFonts w:hint="eastAsia" w:ascii="宋体" w:hAnsi="宋体" w:cs="宋体"/>
          <w:color w:val="auto"/>
          <w:sz w:val="24"/>
          <w:highlight w:val="none"/>
        </w:rPr>
        <w:t>。</w:t>
      </w:r>
    </w:p>
    <w:p w14:paraId="29F31575">
      <w:pPr>
        <w:tabs>
          <w:tab w:val="left" w:pos="900"/>
          <w:tab w:val="left" w:pos="1080"/>
        </w:tabs>
        <w:snapToGrid w:val="0"/>
        <w:spacing w:line="380" w:lineRule="exact"/>
        <w:ind w:firstLine="482" w:firstLineChars="200"/>
        <w:rPr>
          <w:rFonts w:ascii="宋体" w:hAnsi="宋体"/>
          <w:color w:val="auto"/>
          <w:sz w:val="24"/>
          <w:highlight w:val="none"/>
        </w:rPr>
      </w:pPr>
      <w:r>
        <w:rPr>
          <w:rFonts w:hint="eastAsia" w:ascii="宋体" w:hAnsi="宋体" w:cs="宋体"/>
          <w:b/>
          <w:bCs/>
          <w:color w:val="auto"/>
          <w:sz w:val="24"/>
          <w:highlight w:val="none"/>
        </w:rPr>
        <w:t>六、</w:t>
      </w:r>
      <w:r>
        <w:rPr>
          <w:rFonts w:ascii="宋体" w:hAnsi="宋体"/>
          <w:b/>
          <w:color w:val="auto"/>
          <w:sz w:val="24"/>
          <w:highlight w:val="none"/>
        </w:rPr>
        <w:t>服务质量保证期</w:t>
      </w:r>
    </w:p>
    <w:p w14:paraId="67D9D66D">
      <w:pPr>
        <w:tabs>
          <w:tab w:val="left" w:pos="900"/>
          <w:tab w:val="left" w:pos="1080"/>
        </w:tabs>
        <w:snapToGrid w:val="0"/>
        <w:spacing w:line="380" w:lineRule="exact"/>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 xml:space="preserve"> 服务质量保证期</w:t>
      </w:r>
      <w:r>
        <w:rPr>
          <w:rFonts w:hint="eastAsia"/>
          <w:color w:val="auto"/>
          <w:sz w:val="24"/>
          <w:highlight w:val="none"/>
          <w:u w:val="single"/>
        </w:rPr>
        <w:t xml:space="preserve">   1   </w:t>
      </w:r>
      <w:r>
        <w:rPr>
          <w:color w:val="auto"/>
          <w:sz w:val="24"/>
          <w:highlight w:val="none"/>
        </w:rPr>
        <w:t>年。（自</w:t>
      </w:r>
      <w:r>
        <w:rPr>
          <w:rFonts w:hint="eastAsia"/>
          <w:color w:val="auto"/>
          <w:sz w:val="24"/>
          <w:highlight w:val="none"/>
        </w:rPr>
        <w:t>合同</w:t>
      </w:r>
      <w:r>
        <w:rPr>
          <w:color w:val="auto"/>
          <w:sz w:val="24"/>
          <w:highlight w:val="none"/>
        </w:rPr>
        <w:t>之日起计）</w:t>
      </w:r>
    </w:p>
    <w:p w14:paraId="6D9F490F">
      <w:pPr>
        <w:tabs>
          <w:tab w:val="left" w:pos="900"/>
          <w:tab w:val="left" w:pos="1080"/>
        </w:tabs>
        <w:snapToGrid w:val="0"/>
        <w:spacing w:line="380" w:lineRule="exact"/>
        <w:ind w:left="200"/>
        <w:rPr>
          <w:b/>
          <w:color w:val="auto"/>
          <w:sz w:val="24"/>
          <w:highlight w:val="none"/>
        </w:rPr>
      </w:pPr>
      <w:r>
        <w:rPr>
          <w:rFonts w:hint="eastAsia"/>
          <w:b/>
          <w:color w:val="auto"/>
          <w:sz w:val="24"/>
          <w:highlight w:val="none"/>
        </w:rPr>
        <w:t xml:space="preserve">   七、</w:t>
      </w:r>
      <w:r>
        <w:rPr>
          <w:b/>
          <w:color w:val="auto"/>
          <w:sz w:val="24"/>
          <w:highlight w:val="none"/>
        </w:rPr>
        <w:t>合同履行时间、履行方式及履行地点</w:t>
      </w:r>
    </w:p>
    <w:p w14:paraId="16C4D621">
      <w:pPr>
        <w:tabs>
          <w:tab w:val="left" w:pos="900"/>
          <w:tab w:val="left" w:pos="1080"/>
        </w:tabs>
        <w:snapToGrid w:val="0"/>
        <w:spacing w:line="380" w:lineRule="exact"/>
        <w:ind w:left="420" w:leftChars="200"/>
        <w:rPr>
          <w:rFonts w:hint="eastAsia"/>
          <w:color w:val="auto"/>
          <w:sz w:val="24"/>
          <w:highlight w:val="none"/>
        </w:rPr>
      </w:pPr>
      <w:r>
        <w:rPr>
          <w:rFonts w:hint="eastAsia"/>
          <w:color w:val="auto"/>
          <w:sz w:val="24"/>
          <w:highlight w:val="none"/>
        </w:rPr>
        <w:t xml:space="preserve"> 1.</w:t>
      </w:r>
      <w:r>
        <w:rPr>
          <w:color w:val="auto"/>
          <w:sz w:val="24"/>
          <w:highlight w:val="none"/>
        </w:rPr>
        <w:t>履行时间：</w:t>
      </w:r>
      <w:r>
        <w:rPr>
          <w:rFonts w:hint="eastAsia"/>
          <w:color w:val="auto"/>
          <w:sz w:val="24"/>
          <w:highlight w:val="none"/>
        </w:rPr>
        <w:t>1年，（按保单生效之日起计）。</w:t>
      </w:r>
      <w:r>
        <w:rPr>
          <w:rFonts w:hint="eastAsia" w:cs="宋体"/>
          <w:color w:val="auto"/>
          <w:kern w:val="0"/>
          <w:sz w:val="24"/>
          <w:highlight w:val="none"/>
        </w:rPr>
        <w:t>即</w:t>
      </w:r>
      <w:bookmarkStart w:id="86" w:name="OLE_LINK4"/>
      <w:r>
        <w:rPr>
          <w:rFonts w:hint="eastAsia" w:cs="宋体"/>
          <w:color w:val="auto"/>
          <w:kern w:val="0"/>
          <w:sz w:val="24"/>
          <w:highlight w:val="none"/>
        </w:rPr>
        <w:t xml:space="preserve"> 202</w:t>
      </w:r>
      <w:r>
        <w:rPr>
          <w:rFonts w:hint="eastAsia" w:cs="宋体"/>
          <w:color w:val="auto"/>
          <w:kern w:val="0"/>
          <w:sz w:val="24"/>
          <w:highlight w:val="none"/>
          <w:lang w:val="en-US" w:eastAsia="zh-CN"/>
        </w:rPr>
        <w:t>4</w:t>
      </w:r>
      <w:r>
        <w:rPr>
          <w:rFonts w:hint="eastAsia" w:cs="宋体"/>
          <w:color w:val="auto"/>
          <w:kern w:val="0"/>
          <w:sz w:val="24"/>
          <w:highlight w:val="none"/>
        </w:rPr>
        <w:t>年  月  日零时起，至202</w:t>
      </w:r>
      <w:r>
        <w:rPr>
          <w:rFonts w:hint="eastAsia" w:cs="宋体"/>
          <w:color w:val="auto"/>
          <w:kern w:val="0"/>
          <w:sz w:val="24"/>
          <w:highlight w:val="none"/>
          <w:lang w:val="en-US" w:eastAsia="zh-CN"/>
        </w:rPr>
        <w:t>5</w:t>
      </w:r>
      <w:r>
        <w:rPr>
          <w:rFonts w:hint="eastAsia" w:cs="宋体"/>
          <w:color w:val="auto"/>
          <w:kern w:val="0"/>
          <w:sz w:val="24"/>
          <w:highlight w:val="none"/>
        </w:rPr>
        <w:t>年  月  日</w:t>
      </w:r>
      <w:bookmarkEnd w:id="86"/>
      <w:r>
        <w:rPr>
          <w:rFonts w:hint="eastAsia" w:cs="宋体"/>
          <w:color w:val="auto"/>
          <w:kern w:val="0"/>
          <w:sz w:val="24"/>
          <w:highlight w:val="none"/>
        </w:rPr>
        <w:t>二十四时止。</w:t>
      </w:r>
    </w:p>
    <w:p w14:paraId="034E4E7B">
      <w:pPr>
        <w:widowControl/>
        <w:tabs>
          <w:tab w:val="left" w:pos="900"/>
          <w:tab w:val="left" w:pos="1080"/>
        </w:tabs>
        <w:spacing w:line="380" w:lineRule="exact"/>
        <w:ind w:left="420" w:leftChars="200"/>
        <w:jc w:val="left"/>
        <w:rPr>
          <w:rFonts w:hint="eastAsia" w:ascii="宋体" w:hAnsi="宋体" w:cs="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履行方式</w:t>
      </w:r>
      <w:r>
        <w:rPr>
          <w:rFonts w:hint="eastAsia" w:ascii="宋体" w:hAnsi="宋体"/>
          <w:bCs/>
          <w:color w:val="auto"/>
          <w:sz w:val="24"/>
          <w:highlight w:val="none"/>
        </w:rPr>
        <w:t>：直接服务。</w:t>
      </w:r>
    </w:p>
    <w:p w14:paraId="28034C6B">
      <w:pPr>
        <w:snapToGrid w:val="0"/>
        <w:spacing w:line="380" w:lineRule="exact"/>
        <w:ind w:left="420" w:leftChars="200"/>
        <w:rPr>
          <w:rFonts w:hint="eastAsia"/>
          <w:color w:val="auto"/>
          <w:sz w:val="24"/>
          <w:highlight w:val="none"/>
        </w:rPr>
      </w:pPr>
      <w:r>
        <w:rPr>
          <w:rFonts w:hint="eastAsia"/>
          <w:color w:val="auto"/>
          <w:sz w:val="24"/>
          <w:highlight w:val="none"/>
        </w:rPr>
        <w:t xml:space="preserve"> 3.</w:t>
      </w:r>
      <w:r>
        <w:rPr>
          <w:color w:val="auto"/>
          <w:sz w:val="24"/>
          <w:highlight w:val="none"/>
        </w:rPr>
        <w:t>履行地点</w:t>
      </w:r>
      <w:r>
        <w:rPr>
          <w:bCs/>
          <w:color w:val="auto"/>
          <w:sz w:val="24"/>
          <w:highlight w:val="none"/>
        </w:rPr>
        <w:t>：</w:t>
      </w:r>
      <w:r>
        <w:rPr>
          <w:rFonts w:hint="eastAsia"/>
          <w:bCs/>
          <w:color w:val="auto"/>
          <w:sz w:val="24"/>
          <w:highlight w:val="none"/>
        </w:rPr>
        <w:t>按采购单位的要求。</w:t>
      </w:r>
    </w:p>
    <w:p w14:paraId="27F9F8EF">
      <w:pPr>
        <w:widowControl/>
        <w:tabs>
          <w:tab w:val="left" w:pos="360"/>
          <w:tab w:val="left" w:pos="840"/>
        </w:tabs>
        <w:spacing w:line="40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 xml:space="preserve"> 八、付款办法</w:t>
      </w:r>
    </w:p>
    <w:p w14:paraId="1FC80415">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付款方式：合同签订后</w:t>
      </w:r>
      <w:r>
        <w:rPr>
          <w:rFonts w:hint="eastAsia" w:ascii="宋体" w:hAnsi="宋体"/>
          <w:bCs/>
          <w:color w:val="auto"/>
          <w:sz w:val="24"/>
          <w:highlight w:val="none"/>
        </w:rPr>
        <w:t>，采购人</w:t>
      </w:r>
      <w:r>
        <w:rPr>
          <w:rFonts w:hint="eastAsia" w:ascii="宋体" w:hAnsi="宋体" w:cs="宋体"/>
          <w:color w:val="auto"/>
          <w:sz w:val="24"/>
          <w:highlight w:val="none"/>
        </w:rPr>
        <w:t>接到中标单位提供的保单和发票，</w:t>
      </w:r>
      <w:r>
        <w:rPr>
          <w:rFonts w:hint="eastAsia" w:ascii="宋体" w:hAnsi="宋体" w:cs="宋体"/>
          <w:color w:val="auto"/>
          <w:sz w:val="24"/>
          <w:highlight w:val="none"/>
          <w:lang w:val="en-US" w:eastAsia="zh-CN"/>
        </w:rPr>
        <w:t>7个工作日</w:t>
      </w:r>
      <w:r>
        <w:rPr>
          <w:rFonts w:hint="eastAsia" w:ascii="宋体" w:hAnsi="宋体" w:cs="宋体"/>
          <w:color w:val="auto"/>
          <w:sz w:val="24"/>
          <w:highlight w:val="none"/>
        </w:rPr>
        <w:t>内向</w:t>
      </w:r>
      <w:r>
        <w:rPr>
          <w:rFonts w:ascii="宋体" w:hAnsi="宋体" w:cs="宋体"/>
          <w:color w:val="auto"/>
          <w:sz w:val="24"/>
          <w:highlight w:val="none"/>
        </w:rPr>
        <w:t>中标单位</w:t>
      </w:r>
      <w:r>
        <w:rPr>
          <w:rFonts w:hint="eastAsia" w:ascii="宋体" w:hAnsi="宋体" w:cs="宋体"/>
          <w:color w:val="auto"/>
          <w:sz w:val="24"/>
          <w:highlight w:val="none"/>
        </w:rPr>
        <w:t>支付采购合同款的50%，待合同期满后</w:t>
      </w:r>
      <w:r>
        <w:rPr>
          <w:rFonts w:hint="eastAsia" w:ascii="宋体" w:hAnsi="宋体"/>
          <w:bCs/>
          <w:color w:val="auto"/>
          <w:sz w:val="24"/>
          <w:highlight w:val="none"/>
        </w:rPr>
        <w:t>采购人</w:t>
      </w:r>
      <w:r>
        <w:rPr>
          <w:rFonts w:hint="eastAsia" w:ascii="宋体" w:hAnsi="宋体" w:cs="宋体"/>
          <w:color w:val="auto"/>
          <w:sz w:val="24"/>
          <w:highlight w:val="none"/>
        </w:rPr>
        <w:t>接到中标单位提供的发票</w:t>
      </w:r>
      <w:r>
        <w:rPr>
          <w:rFonts w:hint="eastAsia" w:ascii="宋体" w:hAnsi="宋体" w:cs="宋体"/>
          <w:color w:val="auto"/>
          <w:sz w:val="24"/>
          <w:highlight w:val="none"/>
          <w:lang w:eastAsia="zh-CN"/>
        </w:rPr>
        <w:t>后</w:t>
      </w:r>
      <w:r>
        <w:rPr>
          <w:rFonts w:hint="eastAsia" w:ascii="宋体" w:hAnsi="宋体" w:cs="宋体"/>
          <w:color w:val="auto"/>
          <w:sz w:val="24"/>
          <w:highlight w:val="none"/>
          <w:lang w:val="en-US" w:eastAsia="zh-CN"/>
        </w:rPr>
        <w:t>7个工作日</w:t>
      </w:r>
      <w:r>
        <w:rPr>
          <w:rFonts w:hint="eastAsia" w:ascii="宋体" w:hAnsi="宋体" w:cs="宋体"/>
          <w:color w:val="auto"/>
          <w:sz w:val="24"/>
          <w:highlight w:val="none"/>
        </w:rPr>
        <w:t>内支付至合同总价的100%。</w:t>
      </w:r>
    </w:p>
    <w:p w14:paraId="7FE5AC50">
      <w:pPr>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   九、违约责任</w:t>
      </w:r>
    </w:p>
    <w:p w14:paraId="5D3BBDE5">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1、甲方无故逾期验收和办理款项支付手续的,甲方应按逾期付款总额每日万分之五向乙方支付违约金。</w:t>
      </w:r>
    </w:p>
    <w:p w14:paraId="36034C2A">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未能如期提供服务的，每日向甲方支付本合同总额的千分之六作为违约金。乙方超过约定日期10个工作日仍不能提供服务的，甲方可解除本合同。乙方因未能如期提供服务或因其他违约行为导致甲方解除合同的，乙方应向甲方支付本合同总额的百分之五的违约金，如造成甲方损失超过违约金的，超出部分由乙方继续承担赔偿责任。</w:t>
      </w:r>
    </w:p>
    <w:p w14:paraId="3262F169">
      <w:pPr>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3、甲方将不定期的向承保企业通过函电走访等形式对乙方的服务满意度进行调查，如果服务满意度低于80%，扣除合同价的5%作为违约金。</w:t>
      </w:r>
    </w:p>
    <w:p w14:paraId="2024C36C">
      <w:pPr>
        <w:snapToGrid w:val="0"/>
        <w:spacing w:line="400" w:lineRule="exact"/>
        <w:ind w:firstLine="482" w:firstLineChars="200"/>
        <w:rPr>
          <w:rFonts w:hint="eastAsia"/>
          <w:b/>
          <w:color w:val="auto"/>
          <w:sz w:val="24"/>
          <w:highlight w:val="none"/>
        </w:rPr>
      </w:pPr>
      <w:r>
        <w:rPr>
          <w:rFonts w:hint="eastAsia"/>
          <w:b/>
          <w:color w:val="auto"/>
          <w:sz w:val="24"/>
          <w:highlight w:val="none"/>
        </w:rPr>
        <w:t>十、税费</w:t>
      </w:r>
    </w:p>
    <w:p w14:paraId="6E7711D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本合同执行中相关的一切税费均由乙方负担。</w:t>
      </w:r>
    </w:p>
    <w:p w14:paraId="04C009EB">
      <w:pPr>
        <w:snapToGrid w:val="0"/>
        <w:spacing w:line="400" w:lineRule="exact"/>
        <w:ind w:firstLine="482" w:firstLineChars="200"/>
        <w:rPr>
          <w:rFonts w:hint="eastAsia"/>
          <w:b/>
          <w:color w:val="auto"/>
          <w:sz w:val="24"/>
          <w:highlight w:val="none"/>
        </w:rPr>
      </w:pPr>
      <w:r>
        <w:rPr>
          <w:rFonts w:hint="eastAsia"/>
          <w:b/>
          <w:color w:val="auto"/>
          <w:sz w:val="24"/>
          <w:highlight w:val="none"/>
        </w:rPr>
        <w:t>十一、质量保证及售后服务</w:t>
      </w:r>
    </w:p>
    <w:p w14:paraId="1E87708B">
      <w:pPr>
        <w:snapToGrid w:val="0"/>
        <w:spacing w:line="400" w:lineRule="exact"/>
        <w:ind w:firstLine="480" w:firstLineChars="200"/>
        <w:rPr>
          <w:rFonts w:hint="eastAsia"/>
          <w:bCs/>
          <w:color w:val="auto"/>
          <w:sz w:val="24"/>
          <w:highlight w:val="none"/>
        </w:rPr>
      </w:pPr>
      <w:r>
        <w:rPr>
          <w:rFonts w:hint="eastAsia"/>
          <w:bCs/>
          <w:color w:val="auto"/>
          <w:sz w:val="24"/>
          <w:highlight w:val="none"/>
        </w:rPr>
        <w:t>1、乙方应按采购文件规定向甲方提供服务。</w:t>
      </w:r>
    </w:p>
    <w:p w14:paraId="487BA2DA">
      <w:pPr>
        <w:snapToGrid w:val="0"/>
        <w:spacing w:line="400" w:lineRule="exact"/>
        <w:ind w:firstLine="480" w:firstLineChars="200"/>
        <w:rPr>
          <w:rFonts w:hint="eastAsia"/>
          <w:bCs/>
          <w:color w:val="auto"/>
          <w:sz w:val="24"/>
          <w:highlight w:val="none"/>
        </w:rPr>
      </w:pPr>
      <w:r>
        <w:rPr>
          <w:rFonts w:hint="eastAsia"/>
          <w:bCs/>
          <w:color w:val="auto"/>
          <w:sz w:val="24"/>
          <w:highlight w:val="none"/>
        </w:rPr>
        <w:t>2、乙方提供的服务成果在服务质量保质期内发生争议的，乙方应负责免费提供后续服务。对达不到要求者，根据实际情况，经双方协商，可按以下办法处理：</w:t>
      </w:r>
    </w:p>
    <w:p w14:paraId="7D13420C">
      <w:pPr>
        <w:snapToGrid w:val="0"/>
        <w:spacing w:line="400" w:lineRule="exact"/>
        <w:ind w:firstLine="480" w:firstLineChars="200"/>
        <w:rPr>
          <w:rFonts w:hint="eastAsia"/>
          <w:bCs/>
          <w:color w:val="auto"/>
          <w:sz w:val="24"/>
          <w:highlight w:val="none"/>
        </w:rPr>
      </w:pPr>
      <w:r>
        <w:rPr>
          <w:rFonts w:hint="eastAsia"/>
          <w:bCs/>
          <w:color w:val="auto"/>
          <w:sz w:val="24"/>
          <w:highlight w:val="none"/>
        </w:rPr>
        <w:t>(1)重做：由乙方承担所发生的全部费用。</w:t>
      </w:r>
    </w:p>
    <w:p w14:paraId="5995AB20">
      <w:pPr>
        <w:snapToGrid w:val="0"/>
        <w:spacing w:line="400" w:lineRule="exact"/>
        <w:ind w:firstLine="480" w:firstLineChars="200"/>
        <w:rPr>
          <w:rFonts w:hint="eastAsia"/>
          <w:bCs/>
          <w:color w:val="auto"/>
          <w:sz w:val="24"/>
          <w:highlight w:val="none"/>
        </w:rPr>
      </w:pPr>
      <w:r>
        <w:rPr>
          <w:rFonts w:hint="eastAsia"/>
          <w:bCs/>
          <w:color w:val="auto"/>
          <w:sz w:val="24"/>
          <w:highlight w:val="none"/>
        </w:rPr>
        <w:t>(2)贬值处理：由甲乙双方合议定价。</w:t>
      </w:r>
    </w:p>
    <w:p w14:paraId="2010E317">
      <w:pPr>
        <w:snapToGrid w:val="0"/>
        <w:spacing w:line="400" w:lineRule="exact"/>
        <w:ind w:firstLine="480" w:firstLineChars="200"/>
        <w:rPr>
          <w:rFonts w:hint="eastAsia"/>
          <w:bCs/>
          <w:color w:val="auto"/>
          <w:sz w:val="24"/>
          <w:highlight w:val="none"/>
        </w:rPr>
      </w:pPr>
      <w:r>
        <w:rPr>
          <w:rFonts w:hint="eastAsia"/>
          <w:bCs/>
          <w:color w:val="auto"/>
          <w:sz w:val="24"/>
          <w:highlight w:val="none"/>
        </w:rPr>
        <w:t>(3)解除合同。</w:t>
      </w:r>
    </w:p>
    <w:p w14:paraId="63160D8D">
      <w:pPr>
        <w:snapToGrid w:val="0"/>
        <w:spacing w:line="400" w:lineRule="exact"/>
        <w:ind w:firstLine="480" w:firstLineChars="200"/>
        <w:rPr>
          <w:rFonts w:hint="eastAsia"/>
          <w:bCs/>
          <w:color w:val="auto"/>
          <w:sz w:val="24"/>
          <w:highlight w:val="none"/>
        </w:rPr>
      </w:pPr>
      <w:r>
        <w:rPr>
          <w:rFonts w:hint="eastAsia"/>
          <w:bCs/>
          <w:color w:val="auto"/>
          <w:sz w:val="24"/>
          <w:highlight w:val="none"/>
        </w:rPr>
        <w:t>3.如在服务过程中发生问题，乙方在接到甲方通知后在 4 小时内到达甲方现场。</w:t>
      </w:r>
    </w:p>
    <w:p w14:paraId="7D525F9C">
      <w:pPr>
        <w:snapToGrid w:val="0"/>
        <w:spacing w:line="400" w:lineRule="exact"/>
        <w:ind w:firstLine="480" w:firstLineChars="200"/>
        <w:rPr>
          <w:rFonts w:hint="eastAsia"/>
          <w:bCs/>
          <w:color w:val="auto"/>
          <w:sz w:val="24"/>
          <w:highlight w:val="none"/>
        </w:rPr>
      </w:pPr>
      <w:r>
        <w:rPr>
          <w:rFonts w:hint="eastAsia"/>
          <w:bCs/>
          <w:color w:val="auto"/>
          <w:sz w:val="24"/>
          <w:highlight w:val="none"/>
        </w:rPr>
        <w:t>4.在服务质量保证期内，乙方应对出现的质量及安全问题负责处理解决并承担一切费用。</w:t>
      </w:r>
    </w:p>
    <w:p w14:paraId="13F5BF57">
      <w:pPr>
        <w:snapToGrid w:val="0"/>
        <w:spacing w:line="400" w:lineRule="exact"/>
        <w:ind w:firstLine="480" w:firstLineChars="200"/>
        <w:rPr>
          <w:rFonts w:hint="eastAsia"/>
          <w:bCs/>
          <w:color w:val="auto"/>
          <w:sz w:val="24"/>
          <w:highlight w:val="none"/>
        </w:rPr>
      </w:pPr>
      <w:r>
        <w:rPr>
          <w:rFonts w:hint="eastAsia" w:eastAsia="宋体"/>
          <w:bCs/>
          <w:color w:val="auto"/>
          <w:sz w:val="24"/>
          <w:highlight w:val="none"/>
          <w:lang w:val="en-US" w:eastAsia="zh-CN"/>
        </w:rPr>
        <w:t>5.</w:t>
      </w:r>
      <w:r>
        <w:rPr>
          <w:rFonts w:hint="eastAsia" w:ascii="宋体" w:hAnsi="宋体" w:eastAsia="宋体" w:cs="宋体"/>
          <w:bCs/>
          <w:color w:val="auto"/>
          <w:sz w:val="24"/>
          <w:highlight w:val="none"/>
        </w:rPr>
        <w:t>本项目货物如涉及柴油动力移动源，柴油动力移动源应当符合低排放要求。</w:t>
      </w:r>
    </w:p>
    <w:p w14:paraId="169A10D7">
      <w:pPr>
        <w:snapToGrid w:val="0"/>
        <w:spacing w:line="400" w:lineRule="exact"/>
        <w:ind w:firstLine="482" w:firstLineChars="200"/>
        <w:rPr>
          <w:rFonts w:hint="eastAsia"/>
          <w:b/>
          <w:color w:val="auto"/>
          <w:sz w:val="24"/>
          <w:highlight w:val="none"/>
        </w:rPr>
      </w:pPr>
      <w:r>
        <w:rPr>
          <w:rFonts w:hint="eastAsia"/>
          <w:b/>
          <w:color w:val="auto"/>
          <w:sz w:val="24"/>
          <w:highlight w:val="none"/>
        </w:rPr>
        <w:t>十二、不可抗力事件处理</w:t>
      </w:r>
    </w:p>
    <w:p w14:paraId="4219A6D7">
      <w:pPr>
        <w:snapToGrid w:val="0"/>
        <w:spacing w:line="400" w:lineRule="exact"/>
        <w:ind w:firstLine="480" w:firstLineChars="200"/>
        <w:rPr>
          <w:rFonts w:hint="eastAsia"/>
          <w:color w:val="auto"/>
          <w:sz w:val="24"/>
          <w:highlight w:val="none"/>
        </w:rPr>
      </w:pPr>
      <w:r>
        <w:rPr>
          <w:rFonts w:hint="eastAsia"/>
          <w:color w:val="auto"/>
          <w:sz w:val="24"/>
          <w:highlight w:val="none"/>
        </w:rPr>
        <w:t>1.在合同有效期内，任何一方因不可抗力事件导致不能履行合同，则合同履行期可延长，其延长期与不可抗力影响期相同。</w:t>
      </w:r>
    </w:p>
    <w:p w14:paraId="639F9DCF">
      <w:pPr>
        <w:snapToGrid w:val="0"/>
        <w:spacing w:line="400" w:lineRule="exact"/>
        <w:ind w:firstLine="480" w:firstLineChars="200"/>
        <w:rPr>
          <w:rFonts w:hint="eastAsia"/>
          <w:color w:val="auto"/>
          <w:sz w:val="24"/>
          <w:highlight w:val="none"/>
        </w:rPr>
      </w:pPr>
      <w:r>
        <w:rPr>
          <w:rFonts w:hint="eastAsia"/>
          <w:color w:val="auto"/>
          <w:sz w:val="24"/>
          <w:highlight w:val="none"/>
        </w:rPr>
        <w:t>2.不可抗力事件发生后，应立即通知对方，并寄送有关权威机构出具的证明。</w:t>
      </w:r>
    </w:p>
    <w:p w14:paraId="5EB7B649">
      <w:pPr>
        <w:snapToGrid w:val="0"/>
        <w:spacing w:line="400" w:lineRule="exact"/>
        <w:ind w:firstLine="480" w:firstLineChars="200"/>
        <w:rPr>
          <w:rFonts w:hint="eastAsia"/>
          <w:color w:val="auto"/>
          <w:sz w:val="24"/>
          <w:highlight w:val="none"/>
        </w:rPr>
      </w:pPr>
      <w:r>
        <w:rPr>
          <w:rFonts w:hint="eastAsia"/>
          <w:color w:val="auto"/>
          <w:sz w:val="24"/>
          <w:highlight w:val="none"/>
        </w:rPr>
        <w:t>3.不可抗力事件延续120天以上，双方应通过友好协商，确定是否继续履行合同。</w:t>
      </w:r>
    </w:p>
    <w:p w14:paraId="0FD1CF20">
      <w:pPr>
        <w:snapToGrid w:val="0"/>
        <w:spacing w:line="400" w:lineRule="exact"/>
        <w:ind w:firstLine="482" w:firstLineChars="200"/>
        <w:rPr>
          <w:rFonts w:hint="eastAsia" w:eastAsia="宋体"/>
          <w:b/>
          <w:color w:val="auto"/>
          <w:sz w:val="24"/>
          <w:highlight w:val="none"/>
          <w:lang w:val="en-US" w:eastAsia="zh-CN"/>
        </w:rPr>
      </w:pPr>
      <w:bookmarkStart w:id="87" w:name="_Toc7690"/>
      <w:bookmarkStart w:id="88" w:name="_Toc4669"/>
      <w:r>
        <w:rPr>
          <w:rFonts w:hint="eastAsia" w:eastAsia="宋体"/>
          <w:b/>
          <w:color w:val="auto"/>
          <w:sz w:val="24"/>
          <w:highlight w:val="none"/>
          <w:lang w:val="en-US" w:eastAsia="zh-CN"/>
        </w:rPr>
        <w:t>十三、争议解决</w:t>
      </w:r>
    </w:p>
    <w:p w14:paraId="7E46A7C4">
      <w:pPr>
        <w:shd w:val="clear"/>
        <w:tabs>
          <w:tab w:val="left" w:pos="525"/>
          <w:tab w:val="left" w:pos="1365"/>
        </w:tabs>
        <w:spacing w:line="42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23081B47">
      <w:pPr>
        <w:shd w:val="clear"/>
        <w:tabs>
          <w:tab w:val="left" w:pos="525"/>
          <w:tab w:val="left" w:pos="1365"/>
        </w:tabs>
        <w:spacing w:line="42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选择仲裁的，</w:t>
      </w:r>
      <w:r>
        <w:rPr>
          <w:rFonts w:hint="eastAsia" w:ascii="宋体" w:hAnsi="宋体" w:cs="宋体"/>
          <w:color w:val="auto"/>
          <w:sz w:val="24"/>
          <w:szCs w:val="24"/>
          <w:highlight w:val="none"/>
          <w:lang w:val="en-US" w:eastAsia="zh-CN"/>
        </w:rPr>
        <w:t>以绍兴仲裁委员会仲裁解决，通过诉讼方式解决的，</w:t>
      </w:r>
      <w:r>
        <w:rPr>
          <w:rFonts w:hint="eastAsia" w:ascii="宋体" w:hAnsi="宋体" w:eastAsia="宋体" w:cs="宋体"/>
          <w:color w:val="auto"/>
          <w:kern w:val="0"/>
          <w:sz w:val="24"/>
          <w:szCs w:val="24"/>
          <w:highlight w:val="none"/>
        </w:rPr>
        <w:t>任何一方均可向</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方所在地人民法院提起诉讼</w:t>
      </w:r>
      <w:r>
        <w:rPr>
          <w:rFonts w:hint="eastAsia" w:ascii="宋体" w:hAnsi="宋体" w:eastAsia="宋体" w:cs="宋体"/>
          <w:color w:val="auto"/>
          <w:sz w:val="24"/>
          <w:szCs w:val="24"/>
          <w:highlight w:val="none"/>
        </w:rPr>
        <w:t>；通过诉讼方式解决的。</w:t>
      </w:r>
    </w:p>
    <w:p w14:paraId="7F67D8CF">
      <w:pPr>
        <w:shd w:val="clear"/>
        <w:tabs>
          <w:tab w:val="left" w:pos="525"/>
          <w:tab w:val="left" w:pos="1365"/>
        </w:tabs>
        <w:spacing w:line="420" w:lineRule="exact"/>
        <w:ind w:firstLine="480"/>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3E7B318C">
      <w:pPr>
        <w:snapToGrid w:val="0"/>
        <w:spacing w:line="400" w:lineRule="exact"/>
        <w:ind w:firstLine="482" w:firstLineChars="200"/>
        <w:rPr>
          <w:rFonts w:hint="eastAsia" w:eastAsia="宋体"/>
          <w:b/>
          <w:color w:val="auto"/>
          <w:sz w:val="24"/>
          <w:highlight w:val="none"/>
          <w:lang w:val="en-US" w:eastAsia="zh-CN"/>
        </w:rPr>
      </w:pPr>
      <w:r>
        <w:rPr>
          <w:rFonts w:hint="eastAsia" w:eastAsia="宋体"/>
          <w:b/>
          <w:color w:val="auto"/>
          <w:sz w:val="24"/>
          <w:highlight w:val="none"/>
          <w:lang w:val="en-US" w:eastAsia="zh-CN"/>
        </w:rPr>
        <w:t>十四、免责条款</w:t>
      </w:r>
    </w:p>
    <w:p w14:paraId="6332553A">
      <w:pPr>
        <w:shd w:val="clear"/>
        <w:tabs>
          <w:tab w:val="left" w:pos="525"/>
          <w:tab w:val="left" w:pos="1365"/>
        </w:tabs>
        <w:spacing w:line="420" w:lineRule="exact"/>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因不可抗力导致甲乙双方或一方不能履行或不能完全履行本协议项下有关义务时，双方相互不承担违约责任。但遇有不可抗力的一方应于不可抗力发生后15日内将情况告知对方，并提供有关部门的证明。在不可抗力影响消除后的合理时间内，一方或双方应当继续履行协议。由于不可抗力导致协议不能或者没有必要继续履行的，本协议可由乙方解除。</w:t>
      </w:r>
    </w:p>
    <w:p w14:paraId="21E60601">
      <w:pPr>
        <w:numPr>
          <w:ilvl w:val="0"/>
          <w:numId w:val="0"/>
        </w:numPr>
        <w:shd w:val="clear"/>
        <w:tabs>
          <w:tab w:val="left" w:pos="525"/>
          <w:tab w:val="left" w:pos="1365"/>
        </w:tabs>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若因一方延迟履行后发生不可抗力导致不能履行，不能免除责任。</w:t>
      </w:r>
    </w:p>
    <w:p w14:paraId="7D66F3DE">
      <w:pPr>
        <w:snapToGrid w:val="0"/>
        <w:spacing w:line="400" w:lineRule="exact"/>
        <w:ind w:firstLine="482" w:firstLineChars="200"/>
        <w:rPr>
          <w:rFonts w:hint="eastAsia" w:eastAsia="宋体"/>
          <w:b/>
          <w:color w:val="auto"/>
          <w:sz w:val="24"/>
          <w:highlight w:val="none"/>
          <w:lang w:val="en-US" w:eastAsia="zh-CN"/>
        </w:rPr>
      </w:pPr>
      <w:r>
        <w:rPr>
          <w:rFonts w:hint="eastAsia" w:eastAsia="宋体"/>
          <w:b/>
          <w:color w:val="auto"/>
          <w:sz w:val="24"/>
          <w:highlight w:val="none"/>
          <w:lang w:val="en-US" w:eastAsia="zh-CN"/>
        </w:rPr>
        <w:t>十五、协议的变更、解除</w:t>
      </w:r>
    </w:p>
    <w:p w14:paraId="5949EAFF">
      <w:pPr>
        <w:shd w:val="clear"/>
        <w:tabs>
          <w:tab w:val="left" w:pos="0"/>
          <w:tab w:val="left" w:pos="420"/>
          <w:tab w:val="left" w:pos="1080"/>
          <w:tab w:val="left" w:pos="1800"/>
          <w:tab w:val="left" w:pos="2520"/>
          <w:tab w:val="left" w:pos="3240"/>
          <w:tab w:val="left" w:pos="3960"/>
          <w:tab w:val="left" w:pos="4680"/>
        </w:tabs>
        <w:autoSpaceDE w:val="0"/>
        <w:autoSpaceDN w:val="0"/>
        <w:adjustRightInd w:val="0"/>
        <w:snapToGrid w:val="0"/>
        <w:spacing w:after="50" w:line="420" w:lineRule="exact"/>
        <w:ind w:left="105" w:leftChars="5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在协议有效期内双方中任何一方欲变更或解除协议必须采取书面形式，口头无效。解除协议需提前三个月向对方提出。</w:t>
      </w:r>
    </w:p>
    <w:p w14:paraId="074520AD">
      <w:pPr>
        <w:snapToGrid w:val="0"/>
        <w:spacing w:line="400" w:lineRule="exact"/>
        <w:ind w:firstLine="482" w:firstLineChars="200"/>
        <w:rPr>
          <w:rFonts w:hint="eastAsia" w:eastAsia="宋体"/>
          <w:b/>
          <w:color w:val="auto"/>
          <w:sz w:val="24"/>
          <w:highlight w:val="none"/>
          <w:lang w:val="en-US" w:eastAsia="zh-CN"/>
        </w:rPr>
      </w:pPr>
      <w:r>
        <w:rPr>
          <w:rFonts w:hint="eastAsia" w:eastAsia="宋体"/>
          <w:b/>
          <w:color w:val="auto"/>
          <w:sz w:val="24"/>
          <w:highlight w:val="none"/>
          <w:lang w:val="en-US" w:eastAsia="zh-CN"/>
        </w:rPr>
        <w:t>十六、协议期限</w:t>
      </w:r>
    </w:p>
    <w:p w14:paraId="1392BDF8">
      <w:pPr>
        <w:numPr>
          <w:ilvl w:val="-1"/>
          <w:numId w:val="0"/>
        </w:numPr>
        <w:shd w:val="clear"/>
        <w:tabs>
          <w:tab w:val="left" w:pos="525"/>
          <w:tab w:val="left" w:pos="1365"/>
        </w:tabs>
        <w:spacing w:line="420" w:lineRule="exact"/>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本协议确定的期限为</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3D35DC6E">
      <w:pPr>
        <w:snapToGrid w:val="0"/>
        <w:spacing w:line="400" w:lineRule="exact"/>
        <w:ind w:firstLine="482" w:firstLineChars="200"/>
        <w:rPr>
          <w:rFonts w:hint="eastAsia" w:eastAsia="宋体"/>
          <w:b/>
          <w:color w:val="auto"/>
          <w:sz w:val="24"/>
          <w:highlight w:val="none"/>
          <w:lang w:val="en-US" w:eastAsia="zh-CN"/>
        </w:rPr>
      </w:pPr>
      <w:r>
        <w:rPr>
          <w:rFonts w:hint="eastAsia" w:eastAsia="宋体"/>
          <w:b/>
          <w:color w:val="auto"/>
          <w:sz w:val="24"/>
          <w:highlight w:val="none"/>
          <w:lang w:val="en-US" w:eastAsia="zh-CN"/>
        </w:rPr>
        <w:t>十七、政府采购政策</w:t>
      </w:r>
    </w:p>
    <w:p w14:paraId="4A44444F">
      <w:pPr>
        <w:shd w:val="clear"/>
        <w:tabs>
          <w:tab w:val="left" w:pos="525"/>
          <w:tab w:val="left" w:pos="1155"/>
          <w:tab w:val="left" w:pos="1365"/>
        </w:tabs>
        <w:autoSpaceDE/>
        <w:autoSpaceDN/>
        <w:adjustRightInd/>
        <w:snapToGrid/>
        <w:spacing w:before="0" w:line="420" w:lineRule="exact"/>
        <w:ind w:firstLine="48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GB"/>
        </w:rPr>
        <w:t>本合同应当按照规定执行政府采购政策。</w:t>
      </w:r>
    </w:p>
    <w:p w14:paraId="5BCFC71D">
      <w:pPr>
        <w:shd w:val="clear"/>
        <w:tabs>
          <w:tab w:val="left" w:pos="525"/>
          <w:tab w:val="left" w:pos="1155"/>
          <w:tab w:val="left" w:pos="1365"/>
        </w:tabs>
        <w:autoSpaceDE/>
        <w:autoSpaceDN/>
        <w:adjustRightInd/>
        <w:snapToGrid/>
        <w:spacing w:before="0" w:line="420" w:lineRule="exact"/>
        <w:ind w:firstLine="48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cs="宋体"/>
          <w:color w:val="auto"/>
          <w:sz w:val="24"/>
          <w:szCs w:val="24"/>
          <w:highlight w:val="none"/>
        </w:rPr>
        <w:t>，有过错的一方应当承担赔偿责任，双方都有过错的，各自承担相应的责任。</w:t>
      </w:r>
    </w:p>
    <w:p w14:paraId="7B2DDFB2">
      <w:pPr>
        <w:shd w:val="clear"/>
        <w:tabs>
          <w:tab w:val="left" w:pos="525"/>
          <w:tab w:val="left" w:pos="1155"/>
          <w:tab w:val="left" w:pos="1365"/>
        </w:tabs>
        <w:spacing w:after="0"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对于</w:t>
      </w:r>
      <w:r>
        <w:rPr>
          <w:rFonts w:hint="eastAsia" w:ascii="宋体" w:hAnsi="宋体" w:cs="宋体"/>
          <w:color w:val="auto"/>
          <w:sz w:val="24"/>
          <w:szCs w:val="24"/>
          <w:highlight w:val="none"/>
          <w:lang w:eastAsia="zh-CN"/>
        </w:rPr>
        <w:t>为落实中小企业支持政策，</w:t>
      </w:r>
      <w:r>
        <w:rPr>
          <w:rFonts w:hint="eastAsia" w:ascii="宋体" w:hAnsi="宋体" w:cs="宋体"/>
          <w:color w:val="auto"/>
          <w:sz w:val="24"/>
          <w:szCs w:val="24"/>
          <w:highlight w:val="none"/>
        </w:rPr>
        <w:t>通过采购项目</w:t>
      </w:r>
      <w:r>
        <w:rPr>
          <w:rFonts w:hint="eastAsia" w:ascii="宋体" w:hAnsi="宋体" w:cs="宋体"/>
          <w:color w:val="auto"/>
          <w:sz w:val="24"/>
          <w:szCs w:val="24"/>
          <w:highlight w:val="none"/>
          <w:lang w:eastAsia="zh-CN"/>
        </w:rPr>
        <w:t>整体</w:t>
      </w:r>
      <w:r>
        <w:rPr>
          <w:rFonts w:hint="eastAsia" w:ascii="宋体" w:hAnsi="宋体" w:cs="宋体"/>
          <w:color w:val="auto"/>
          <w:sz w:val="24"/>
          <w:szCs w:val="24"/>
          <w:highlight w:val="none"/>
        </w:rPr>
        <w:t>预留、</w:t>
      </w:r>
      <w:r>
        <w:rPr>
          <w:rFonts w:hint="eastAsia" w:ascii="宋体" w:hAnsi="宋体" w:cs="宋体"/>
          <w:color w:val="auto"/>
          <w:sz w:val="24"/>
          <w:szCs w:val="24"/>
          <w:highlight w:val="none"/>
          <w:lang w:eastAsia="zh-CN"/>
        </w:rPr>
        <w:t>设置</w:t>
      </w:r>
      <w:r>
        <w:rPr>
          <w:rFonts w:hint="eastAsia" w:ascii="宋体" w:hAnsi="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5A5B35D">
      <w:pPr>
        <w:pStyle w:val="2"/>
        <w:numPr>
          <w:ilvl w:val="0"/>
          <w:numId w:val="0"/>
        </w:numPr>
        <w:shd w:val="clear"/>
        <w:spacing w:line="360" w:lineRule="auto"/>
        <w:ind w:leftChars="200"/>
        <w:jc w:val="left"/>
        <w:rPr>
          <w:rFonts w:hint="eastAsia" w:ascii="Times New Roman" w:hAnsi="Times New Roman" w:eastAsia="宋体" w:cs="Times New Roman"/>
          <w:b/>
          <w:color w:val="auto"/>
          <w:kern w:val="2"/>
          <w:sz w:val="24"/>
          <w:szCs w:val="21"/>
          <w:highlight w:val="none"/>
          <w:shd w:val="clear"/>
          <w:lang w:val="en-US" w:eastAsia="zh-CN" w:bidi="ar-SA"/>
        </w:rPr>
      </w:pPr>
      <w:r>
        <w:rPr>
          <w:rFonts w:hint="eastAsia" w:ascii="Times New Roman" w:hAnsi="Times New Roman" w:eastAsia="宋体" w:cs="Times New Roman"/>
          <w:b/>
          <w:color w:val="auto"/>
          <w:kern w:val="2"/>
          <w:sz w:val="24"/>
          <w:szCs w:val="21"/>
          <w:highlight w:val="none"/>
          <w:shd w:val="clear"/>
          <w:lang w:val="en-US" w:eastAsia="zh-CN" w:bidi="ar-SA"/>
        </w:rPr>
        <w:t>十八、法律适用</w:t>
      </w:r>
    </w:p>
    <w:p w14:paraId="4961D886">
      <w:pPr>
        <w:pStyle w:val="92"/>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本合同的订立、生效、解释、履行及与本合同有关的争议解决，均适用法律、行政法规。</w:t>
      </w:r>
    </w:p>
    <w:p w14:paraId="13477A36">
      <w:pPr>
        <w:pStyle w:val="92"/>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本合同条款与法律、行政法规的强制性规定不一致的，双方当事人应按照法律、行政法规的强制性规定修改本合同的相关条款。</w:t>
      </w:r>
    </w:p>
    <w:p w14:paraId="59FCA881">
      <w:pPr>
        <w:pStyle w:val="2"/>
        <w:numPr>
          <w:ilvl w:val="0"/>
          <w:numId w:val="0"/>
        </w:numPr>
        <w:shd w:val="clear"/>
        <w:spacing w:line="360" w:lineRule="auto"/>
        <w:ind w:leftChars="200"/>
        <w:jc w:val="left"/>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十九、通知</w:t>
      </w:r>
    </w:p>
    <w:p w14:paraId="09A413ED">
      <w:pPr>
        <w:pStyle w:val="92"/>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本合同任何一方向对方发出的通知、信件、数据电文等，应当发送至本合同所约定的通讯地址、联系人、联系电话或电子邮箱。</w:t>
      </w:r>
    </w:p>
    <w:p w14:paraId="7CAC6E36">
      <w:pPr>
        <w:pStyle w:val="92"/>
        <w:shd w:val="clear"/>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388D57B1">
      <w:pPr>
        <w:pStyle w:val="92"/>
        <w:shd w:val="clear"/>
        <w:adjustRightInd w:val="0"/>
        <w:snapToGrid w:val="0"/>
        <w:spacing w:before="0" w:line="400" w:lineRule="exact"/>
        <w:ind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7EE356FB">
      <w:pPr>
        <w:pStyle w:val="92"/>
        <w:shd w:val="clear"/>
        <w:adjustRightInd w:val="0"/>
        <w:snapToGrid w:val="0"/>
        <w:spacing w:before="0" w:line="400" w:lineRule="exact"/>
        <w:ind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58C883F8">
      <w:pPr>
        <w:pStyle w:val="39"/>
        <w:shd w:val="clear"/>
        <w:rPr>
          <w:rFonts w:hint="eastAsia"/>
          <w:color w:val="auto"/>
          <w:highlight w:val="none"/>
        </w:rPr>
      </w:pPr>
    </w:p>
    <w:p w14:paraId="1CD19C7E">
      <w:pPr>
        <w:pStyle w:val="2"/>
        <w:numPr>
          <w:ilvl w:val="0"/>
          <w:numId w:val="0"/>
        </w:numPr>
        <w:shd w:val="clear"/>
        <w:spacing w:line="360" w:lineRule="auto"/>
        <w:ind w:leftChars="200"/>
        <w:jc w:val="left"/>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 xml:space="preserve">二十、附则   </w:t>
      </w:r>
    </w:p>
    <w:p w14:paraId="382EEC28">
      <w:pPr>
        <w:pStyle w:val="6"/>
        <w:keepNext w:val="0"/>
        <w:keepLines w:val="0"/>
        <w:pageBreakBefore w:val="0"/>
        <w:widowControl w:val="0"/>
        <w:shd w:val="clear"/>
        <w:kinsoku/>
        <w:wordWrap/>
        <w:overflowPunct/>
        <w:topLinePunct w:val="0"/>
        <w:autoSpaceDE/>
        <w:autoSpaceDN/>
        <w:bidi w:val="0"/>
        <w:adjustRightInd/>
        <w:snapToGrid/>
        <w:spacing w:line="480" w:lineRule="exact"/>
        <w:ind w:left="480" w:firstLine="0"/>
        <w:textAlignment w:val="auto"/>
        <w:rPr>
          <w:rFonts w:hint="eastAsia" w:ascii="宋体" w:hAnsi="宋体"/>
          <w:color w:val="auto"/>
          <w:sz w:val="24"/>
          <w:szCs w:val="24"/>
          <w:highlight w:val="none"/>
        </w:rPr>
      </w:pPr>
      <w:r>
        <w:rPr>
          <w:rFonts w:hint="eastAsia" w:ascii="宋体" w:hAnsi="宋体"/>
          <w:color w:val="auto"/>
          <w:sz w:val="24"/>
          <w:szCs w:val="24"/>
          <w:highlight w:val="none"/>
        </w:rPr>
        <w:t>1、本合同附件属于本合同不可分割部分，具有同等效力。</w:t>
      </w:r>
    </w:p>
    <w:p w14:paraId="2A777E60">
      <w:pPr>
        <w:pStyle w:val="6"/>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2、甲乙双方经协商后，可对本合同的条款进行修订、补充，并以书面形式签订补充协议，补充协议与本合同具有同等法律效力。</w:t>
      </w:r>
    </w:p>
    <w:p w14:paraId="2464B472">
      <w:pPr>
        <w:pStyle w:val="6"/>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3、合同期满，本合同自然终止。</w:t>
      </w:r>
    </w:p>
    <w:p w14:paraId="64D077AB">
      <w:pPr>
        <w:pStyle w:val="6"/>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4、本项目招标文件具有同等的法律效力。</w:t>
      </w:r>
    </w:p>
    <w:p w14:paraId="3B40C040">
      <w:pPr>
        <w:pStyle w:val="6"/>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5、本合同未尽事宜，甲乙双方友好协商解决，协商不成提交上虞区人民法院裁决。</w:t>
      </w:r>
    </w:p>
    <w:p w14:paraId="6F8022FC">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6、本项目货物如涉及柴油动力移动源，柴油动力移动源应当符合低排放要求</w:t>
      </w:r>
      <w:r>
        <w:rPr>
          <w:rFonts w:hint="eastAsia" w:ascii="宋体" w:hAnsi="宋体" w:cs="宋体"/>
          <w:b w:val="0"/>
          <w:bCs/>
          <w:color w:val="auto"/>
          <w:kern w:val="0"/>
          <w:sz w:val="24"/>
          <w:highlight w:val="none"/>
          <w:lang w:val="en-US" w:eastAsia="zh-CN"/>
        </w:rPr>
        <w:t>。</w:t>
      </w:r>
    </w:p>
    <w:p w14:paraId="4C5C9CFD">
      <w:pPr>
        <w:keepNext w:val="0"/>
        <w:keepLines w:val="0"/>
        <w:pageBreakBefore w:val="0"/>
        <w:widowControl w:val="0"/>
        <w:shd w:val="clea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7、</w:t>
      </w:r>
      <w:r>
        <w:rPr>
          <w:rFonts w:hint="eastAsia" w:ascii="宋体" w:hAnsi="宋体" w:eastAsia="宋体" w:cs="宋体"/>
          <w:b/>
          <w:color w:val="auto"/>
          <w:kern w:val="0"/>
          <w:sz w:val="24"/>
          <w:highlight w:val="none"/>
        </w:rPr>
        <w:t>本合同一式</w:t>
      </w:r>
      <w:r>
        <w:rPr>
          <w:rFonts w:hint="eastAsia" w:ascii="宋体" w:hAnsi="宋体" w:eastAsia="宋体" w:cs="宋体"/>
          <w:b/>
          <w:color w:val="auto"/>
          <w:kern w:val="0"/>
          <w:sz w:val="24"/>
          <w:highlight w:val="none"/>
          <w:u w:val="single"/>
        </w:rPr>
        <w:t>　</w:t>
      </w:r>
      <w:r>
        <w:rPr>
          <w:rFonts w:hint="eastAsia" w:ascii="宋体" w:hAnsi="宋体" w:cs="宋体"/>
          <w:b/>
          <w:color w:val="auto"/>
          <w:kern w:val="0"/>
          <w:sz w:val="24"/>
          <w:highlight w:val="none"/>
          <w:u w:val="single"/>
          <w:lang w:val="en-US" w:eastAsia="zh-CN"/>
        </w:rPr>
        <w:t>陆</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份，</w:t>
      </w:r>
      <w:r>
        <w:rPr>
          <w:rFonts w:hint="eastAsia" w:ascii="宋体" w:hAnsi="宋体" w:eastAsia="宋体" w:cs="宋体"/>
          <w:b/>
          <w:color w:val="auto"/>
          <w:kern w:val="0"/>
          <w:sz w:val="24"/>
          <w:highlight w:val="none"/>
          <w:lang w:eastAsia="zh-CN"/>
        </w:rPr>
        <w:t>甲方</w:t>
      </w:r>
      <w:r>
        <w:rPr>
          <w:rFonts w:hint="eastAsia" w:ascii="宋体" w:hAnsi="宋体" w:eastAsia="宋体" w:cs="宋体"/>
          <w:b/>
          <w:color w:val="auto"/>
          <w:kern w:val="0"/>
          <w:sz w:val="24"/>
          <w:highlight w:val="none"/>
        </w:rPr>
        <w:t>和</w:t>
      </w:r>
      <w:r>
        <w:rPr>
          <w:rFonts w:hint="eastAsia" w:ascii="宋体" w:hAnsi="宋体" w:eastAsia="宋体" w:cs="宋体"/>
          <w:b/>
          <w:color w:val="auto"/>
          <w:kern w:val="0"/>
          <w:sz w:val="24"/>
          <w:highlight w:val="none"/>
          <w:lang w:eastAsia="zh-CN"/>
        </w:rPr>
        <w:t>乙方</w:t>
      </w:r>
      <w:r>
        <w:rPr>
          <w:rFonts w:hint="eastAsia" w:ascii="宋体" w:hAnsi="宋体" w:eastAsia="宋体" w:cs="宋体"/>
          <w:b/>
          <w:color w:val="auto"/>
          <w:kern w:val="0"/>
          <w:sz w:val="24"/>
          <w:highlight w:val="none"/>
        </w:rPr>
        <w:t>各执</w:t>
      </w:r>
      <w:r>
        <w:rPr>
          <w:rFonts w:hint="eastAsia" w:ascii="宋体" w:hAnsi="宋体" w:cs="宋体"/>
          <w:b/>
          <w:color w:val="auto"/>
          <w:kern w:val="0"/>
          <w:sz w:val="24"/>
          <w:highlight w:val="none"/>
          <w:u w:val="single"/>
          <w:lang w:val="en-US" w:eastAsia="zh-CN"/>
        </w:rPr>
        <w:t xml:space="preserve"> 叁 </w:t>
      </w:r>
      <w:r>
        <w:rPr>
          <w:rFonts w:hint="eastAsia" w:ascii="宋体" w:hAnsi="宋体" w:eastAsia="宋体" w:cs="宋体"/>
          <w:b/>
          <w:color w:val="auto"/>
          <w:kern w:val="0"/>
          <w:sz w:val="24"/>
          <w:highlight w:val="none"/>
        </w:rPr>
        <w:t>份，</w:t>
      </w:r>
      <w:r>
        <w:rPr>
          <w:rFonts w:hint="eastAsia" w:ascii="宋体" w:hAnsi="宋体" w:eastAsia="宋体" w:cs="宋体"/>
          <w:b/>
          <w:color w:val="auto"/>
          <w:kern w:val="0"/>
          <w:sz w:val="24"/>
          <w:highlight w:val="none"/>
          <w:lang w:val="en-US" w:eastAsia="zh-CN"/>
        </w:rPr>
        <w:t>并由甲方在30日内做好政采云平台网上合同创建及备案。</w:t>
      </w:r>
    </w:p>
    <w:tbl>
      <w:tblPr>
        <w:tblStyle w:val="28"/>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362"/>
        <w:gridCol w:w="1636"/>
        <w:gridCol w:w="2727"/>
      </w:tblGrid>
      <w:tr w14:paraId="534E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383CEE32">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甲方单位</w:t>
            </w:r>
          </w:p>
        </w:tc>
        <w:tc>
          <w:tcPr>
            <w:tcW w:w="2362" w:type="dxa"/>
            <w:noWrap w:val="0"/>
            <w:vAlign w:val="center"/>
          </w:tcPr>
          <w:p w14:paraId="4762461B">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c>
          <w:tcPr>
            <w:tcW w:w="1636" w:type="dxa"/>
            <w:noWrap w:val="0"/>
            <w:vAlign w:val="center"/>
          </w:tcPr>
          <w:p w14:paraId="5E4C3D4E">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乙方单位</w:t>
            </w:r>
          </w:p>
        </w:tc>
        <w:tc>
          <w:tcPr>
            <w:tcW w:w="2727" w:type="dxa"/>
            <w:noWrap w:val="0"/>
            <w:vAlign w:val="center"/>
          </w:tcPr>
          <w:p w14:paraId="66111857">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r>
      <w:tr w14:paraId="2200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5B08233D">
            <w:pPr>
              <w:shd w:val="clear"/>
              <w:tabs>
                <w:tab w:val="left" w:pos="525"/>
                <w:tab w:val="left" w:pos="1155"/>
                <w:tab w:val="left" w:pos="1365"/>
              </w:tabs>
              <w:adjustRightInd/>
              <w:snapToGrid/>
              <w:spacing w:line="420" w:lineRule="exact"/>
              <w:ind w:firstLine="0"/>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法定代表人</w:t>
            </w:r>
          </w:p>
          <w:p w14:paraId="3F71BB1D">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color w:val="auto"/>
                <w:sz w:val="24"/>
                <w:szCs w:val="24"/>
                <w:highlight w:val="none"/>
                <w:lang w:val="en-GB"/>
              </w:rPr>
              <w:t>或</w:t>
            </w:r>
            <w:r>
              <w:rPr>
                <w:rFonts w:hint="eastAsia" w:ascii="宋体" w:hAnsi="宋体" w:cs="宋体"/>
                <w:color w:val="auto"/>
                <w:sz w:val="24"/>
                <w:szCs w:val="24"/>
                <w:highlight w:val="none"/>
                <w:lang w:val="en-GB" w:eastAsia="zh-CN"/>
              </w:rPr>
              <w:t>授权代表</w:t>
            </w:r>
            <w:r>
              <w:rPr>
                <w:rFonts w:hint="eastAsia" w:ascii="宋体" w:hAnsi="宋体" w:cs="宋体"/>
                <w:snapToGrid w:val="0"/>
                <w:color w:val="auto"/>
                <w:kern w:val="0"/>
                <w:sz w:val="24"/>
                <w:highlight w:val="none"/>
              </w:rPr>
              <w:t>签名</w:t>
            </w:r>
          </w:p>
        </w:tc>
        <w:tc>
          <w:tcPr>
            <w:tcW w:w="2362" w:type="dxa"/>
            <w:noWrap w:val="0"/>
            <w:vAlign w:val="center"/>
          </w:tcPr>
          <w:p w14:paraId="2746C8F5">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1C4870B4">
            <w:pPr>
              <w:keepNext w:val="0"/>
              <w:keepLines w:val="0"/>
              <w:pageBreakBefore w:val="0"/>
              <w:widowControl/>
              <w:shd w:val="clear"/>
              <w:tabs>
                <w:tab w:val="left" w:pos="525"/>
                <w:tab w:val="left" w:pos="1155"/>
                <w:tab w:val="left" w:pos="1365"/>
              </w:tabs>
              <w:kinsoku/>
              <w:wordWrap/>
              <w:overflowPunct/>
              <w:topLinePunct w:val="0"/>
              <w:bidi w:val="0"/>
              <w:snapToGrid/>
              <w:spacing w:line="420" w:lineRule="exact"/>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cs="宋体"/>
                <w:color w:val="auto"/>
                <w:sz w:val="24"/>
                <w:szCs w:val="24"/>
                <w:highlight w:val="none"/>
                <w:lang w:val="en-GB"/>
              </w:rPr>
              <w:t>法定代表人或</w:t>
            </w:r>
            <w:r>
              <w:rPr>
                <w:rFonts w:hint="eastAsia" w:ascii="宋体" w:hAnsi="宋体" w:cs="宋体"/>
                <w:color w:val="auto"/>
                <w:sz w:val="24"/>
                <w:szCs w:val="24"/>
                <w:highlight w:val="none"/>
                <w:lang w:val="en-GB" w:eastAsia="zh-CN"/>
              </w:rPr>
              <w:t>授权代表签名</w:t>
            </w:r>
          </w:p>
        </w:tc>
        <w:tc>
          <w:tcPr>
            <w:tcW w:w="2727" w:type="dxa"/>
            <w:noWrap w:val="0"/>
            <w:vAlign w:val="center"/>
          </w:tcPr>
          <w:p w14:paraId="49E0CB76">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0514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66BC8DAA">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362" w:type="dxa"/>
            <w:noWrap w:val="0"/>
            <w:vAlign w:val="center"/>
          </w:tcPr>
          <w:p w14:paraId="341399D8">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3A418DC0">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727" w:type="dxa"/>
            <w:noWrap w:val="0"/>
            <w:vAlign w:val="center"/>
          </w:tcPr>
          <w:p w14:paraId="3E211418">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19C6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70307A88">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362" w:type="dxa"/>
            <w:noWrap w:val="0"/>
            <w:vAlign w:val="center"/>
          </w:tcPr>
          <w:p w14:paraId="197E9206">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427C5CDB">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727" w:type="dxa"/>
            <w:noWrap w:val="0"/>
            <w:vAlign w:val="center"/>
          </w:tcPr>
          <w:p w14:paraId="5C568AB9">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75F8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39270BB3">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362" w:type="dxa"/>
            <w:noWrap w:val="0"/>
            <w:vAlign w:val="center"/>
          </w:tcPr>
          <w:p w14:paraId="62198DF9">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53C64927">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727" w:type="dxa"/>
            <w:noWrap w:val="0"/>
            <w:vAlign w:val="center"/>
          </w:tcPr>
          <w:p w14:paraId="21B86FC4">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394D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453" w:type="dxa"/>
            <w:noWrap w:val="0"/>
            <w:vAlign w:val="center"/>
          </w:tcPr>
          <w:p w14:paraId="683D95C4">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账号</w:t>
            </w:r>
          </w:p>
        </w:tc>
        <w:tc>
          <w:tcPr>
            <w:tcW w:w="2362" w:type="dxa"/>
            <w:noWrap w:val="0"/>
            <w:vAlign w:val="center"/>
          </w:tcPr>
          <w:p w14:paraId="1D0CA81A">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3FADFD96">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账号</w:t>
            </w:r>
          </w:p>
        </w:tc>
        <w:tc>
          <w:tcPr>
            <w:tcW w:w="2727" w:type="dxa"/>
            <w:noWrap w:val="0"/>
            <w:vAlign w:val="center"/>
          </w:tcPr>
          <w:p w14:paraId="395E5284">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6490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178" w:type="dxa"/>
            <w:gridSpan w:val="4"/>
            <w:noWrap w:val="0"/>
            <w:vAlign w:val="center"/>
          </w:tcPr>
          <w:p w14:paraId="65338875">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olor w:val="auto"/>
                <w:sz w:val="24"/>
                <w:szCs w:val="24"/>
                <w:highlight w:val="none"/>
                <w:lang w:val="en-GB"/>
              </w:rPr>
              <w:t>注：涉及联合体或其他合同主体的信息应按上表格式加列。</w:t>
            </w:r>
          </w:p>
        </w:tc>
      </w:tr>
    </w:tbl>
    <w:p w14:paraId="435B8E21">
      <w:pPr>
        <w:pStyle w:val="4"/>
        <w:jc w:val="center"/>
        <w:rPr>
          <w:rFonts w:hint="eastAsia" w:ascii="宋体" w:hAnsi="宋体" w:eastAsia="宋体" w:cs="宋体"/>
          <w:color w:val="auto"/>
          <w:sz w:val="36"/>
          <w:szCs w:val="36"/>
          <w:highlight w:val="none"/>
        </w:rPr>
      </w:pPr>
    </w:p>
    <w:p w14:paraId="0D5CC156">
      <w:pPr>
        <w:pStyle w:val="4"/>
        <w:jc w:val="center"/>
        <w:rPr>
          <w:rFonts w:hint="eastAsia" w:ascii="宋体" w:hAnsi="宋体" w:eastAsia="宋体" w:cs="宋体"/>
          <w:color w:val="auto"/>
          <w:sz w:val="36"/>
          <w:szCs w:val="36"/>
          <w:highlight w:val="none"/>
        </w:rPr>
      </w:pPr>
    </w:p>
    <w:p w14:paraId="344F4368">
      <w:pPr>
        <w:pStyle w:val="4"/>
        <w:jc w:val="center"/>
        <w:rPr>
          <w:rFonts w:hint="eastAsia" w:ascii="宋体" w:hAnsi="宋体" w:eastAsia="宋体" w:cs="宋体"/>
          <w:color w:val="auto"/>
          <w:sz w:val="36"/>
          <w:szCs w:val="36"/>
          <w:highlight w:val="none"/>
        </w:rPr>
      </w:pPr>
    </w:p>
    <w:p w14:paraId="0AAB9EEF">
      <w:pPr>
        <w:pStyle w:val="4"/>
        <w:jc w:val="center"/>
        <w:rPr>
          <w:rFonts w:hint="eastAsia" w:ascii="宋体" w:hAnsi="宋体" w:eastAsia="宋体" w:cs="宋体"/>
          <w:color w:val="auto"/>
          <w:sz w:val="36"/>
          <w:szCs w:val="36"/>
          <w:highlight w:val="none"/>
        </w:rPr>
      </w:pPr>
    </w:p>
    <w:p w14:paraId="4C01BB63">
      <w:pPr>
        <w:pStyle w:val="4"/>
        <w:jc w:val="center"/>
        <w:rPr>
          <w:rFonts w:hint="eastAsia" w:ascii="宋体" w:hAnsi="宋体" w:eastAsia="宋体" w:cs="宋体"/>
          <w:color w:val="auto"/>
          <w:sz w:val="36"/>
          <w:szCs w:val="36"/>
          <w:highlight w:val="none"/>
        </w:rPr>
      </w:pPr>
      <w:bookmarkStart w:id="89" w:name="_Toc19794"/>
      <w:r>
        <w:rPr>
          <w:rFonts w:hint="eastAsia" w:ascii="宋体" w:hAnsi="宋体" w:eastAsia="宋体" w:cs="宋体"/>
          <w:color w:val="auto"/>
          <w:sz w:val="36"/>
          <w:szCs w:val="36"/>
          <w:highlight w:val="none"/>
        </w:rPr>
        <w:t>第六部分 应提交的有关格式范例</w:t>
      </w:r>
      <w:bookmarkEnd w:id="87"/>
      <w:bookmarkEnd w:id="88"/>
      <w:bookmarkEnd w:id="89"/>
    </w:p>
    <w:p w14:paraId="7E7463CF">
      <w:pPr>
        <w:rPr>
          <w:rFonts w:hint="eastAsia" w:ascii="宋体" w:hAnsi="宋体" w:eastAsia="宋体" w:cs="宋体"/>
          <w:color w:val="auto"/>
          <w:highlight w:val="none"/>
        </w:rPr>
      </w:pPr>
    </w:p>
    <w:p w14:paraId="5DD156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“资格文件”、“商务技术文件”、“报价文件”须分3个PDF格式分别导入。</w:t>
      </w:r>
    </w:p>
    <w:p w14:paraId="7ED6FEE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5FFE5558">
      <w:pPr>
        <w:spacing w:line="360" w:lineRule="auto"/>
        <w:jc w:val="center"/>
        <w:outlineLvl w:val="1"/>
        <w:rPr>
          <w:rFonts w:ascii="宋体"/>
          <w:b/>
          <w:bCs/>
          <w:color w:val="auto"/>
          <w:sz w:val="36"/>
          <w:szCs w:val="36"/>
        </w:rPr>
      </w:pPr>
      <w:r>
        <w:rPr>
          <w:rFonts w:hint="eastAsia" w:ascii="宋体" w:hAnsi="宋体" w:eastAsia="宋体" w:cs="宋体"/>
          <w:b/>
          <w:bCs/>
          <w:color w:val="auto"/>
          <w:sz w:val="24"/>
          <w:szCs w:val="24"/>
          <w:highlight w:val="none"/>
        </w:rPr>
        <w:br w:type="page"/>
      </w:r>
      <w:bookmarkStart w:id="90" w:name="_Toc12188"/>
      <w:bookmarkStart w:id="91" w:name="_Toc6473"/>
      <w:bookmarkStart w:id="92" w:name="_Toc1492"/>
      <w:bookmarkStart w:id="93" w:name="_Toc12011"/>
      <w:r>
        <w:rPr>
          <w:rFonts w:hint="eastAsia" w:ascii="宋体" w:hAnsi="宋体" w:cs="宋体"/>
          <w:b/>
          <w:bCs/>
          <w:color w:val="auto"/>
          <w:sz w:val="36"/>
          <w:szCs w:val="36"/>
        </w:rPr>
        <w:t>资格文件部分</w:t>
      </w:r>
      <w:bookmarkEnd w:id="90"/>
      <w:bookmarkEnd w:id="91"/>
      <w:bookmarkEnd w:id="92"/>
    </w:p>
    <w:p w14:paraId="4F96A263">
      <w:pPr>
        <w:spacing w:line="360" w:lineRule="auto"/>
        <w:jc w:val="center"/>
        <w:rPr>
          <w:rFonts w:ascii="宋体"/>
          <w:b/>
          <w:bCs/>
          <w:color w:val="auto"/>
          <w:sz w:val="36"/>
          <w:szCs w:val="36"/>
        </w:rPr>
      </w:pPr>
    </w:p>
    <w:p w14:paraId="783FA98A">
      <w:pPr>
        <w:spacing w:line="360" w:lineRule="auto"/>
        <w:jc w:val="center"/>
        <w:rPr>
          <w:rFonts w:hint="eastAsia" w:ascii="宋体" w:hAnsi="宋体" w:cs="宋体"/>
          <w:b/>
          <w:bCs/>
          <w:color w:val="auto"/>
          <w:sz w:val="36"/>
          <w:szCs w:val="36"/>
        </w:rPr>
      </w:pPr>
      <w:r>
        <w:rPr>
          <w:rFonts w:hint="eastAsia" w:ascii="宋体" w:hAnsi="宋体" w:cs="宋体"/>
          <w:b/>
          <w:bCs/>
          <w:color w:val="auto"/>
          <w:sz w:val="36"/>
          <w:szCs w:val="36"/>
        </w:rPr>
        <w:t>目录</w:t>
      </w:r>
    </w:p>
    <w:p w14:paraId="6F6E9057">
      <w:pPr>
        <w:pStyle w:val="5"/>
        <w:rPr>
          <w:color w:val="auto"/>
        </w:rPr>
      </w:pPr>
    </w:p>
    <w:p w14:paraId="33E347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）法定代表人授权书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（格式见附件）</w:t>
      </w:r>
    </w:p>
    <w:p w14:paraId="66E4CB6B">
      <w:pPr>
        <w:spacing w:line="360" w:lineRule="auto"/>
        <w:ind w:firstLine="480" w:firstLineChars="200"/>
        <w:rPr>
          <w:rFonts w:hint="eastAsia" w:eastAsia="宋体"/>
          <w:b w:val="0"/>
          <w:bCs/>
          <w:color w:val="auto"/>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投标人承诺函；</w:t>
      </w:r>
      <w:r>
        <w:rPr>
          <w:rFonts w:hint="eastAsia" w:ascii="宋体" w:hAnsi="宋体" w:eastAsia="宋体" w:cs="宋体"/>
          <w:color w:val="auto"/>
          <w:sz w:val="24"/>
          <w:highlight w:val="none"/>
        </w:rPr>
        <w:t>（格式见附件）</w:t>
      </w:r>
    </w:p>
    <w:p w14:paraId="79059D0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）营业执照(或事业法人登记证或其他工商等登记证明材料)复印件或事业单位法人证副本复印件或有效身份证明复印件</w:t>
      </w:r>
      <w:r>
        <w:rPr>
          <w:rFonts w:hint="eastAsia" w:ascii="宋体" w:hAnsi="宋体" w:eastAsia="宋体" w:cs="宋体"/>
          <w:color w:val="auto"/>
          <w:sz w:val="24"/>
          <w:highlight w:val="none"/>
          <w:lang w:eastAsia="zh-CN"/>
        </w:rPr>
        <w:t>；</w:t>
      </w:r>
    </w:p>
    <w:p w14:paraId="65C26C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）具有履行合同所必需的产品和专业技术能力的承诺函；</w:t>
      </w:r>
    </w:p>
    <w:p w14:paraId="48A70E5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具有中国保险监督管理委员会颁发的《经营保险业务许可证》、且具有开展出口信用保险业务的相关凭证；</w:t>
      </w:r>
    </w:p>
    <w:p w14:paraId="722E6520">
      <w:pPr>
        <w:pStyle w:val="12"/>
        <w:ind w:firstLine="486"/>
        <w:rPr>
          <w:rFonts w:cs="Times New Roman"/>
          <w:color w:val="auto"/>
        </w:rPr>
      </w:pPr>
    </w:p>
    <w:p w14:paraId="75D6F0E7">
      <w:pPr>
        <w:pStyle w:val="12"/>
        <w:ind w:firstLine="486"/>
        <w:rPr>
          <w:rFonts w:cs="Times New Roman"/>
          <w:color w:val="auto"/>
        </w:rPr>
      </w:pPr>
    </w:p>
    <w:p w14:paraId="438519DB">
      <w:pPr>
        <w:rPr>
          <w:rFonts w:ascii="宋体"/>
          <w:color w:val="auto"/>
        </w:rPr>
      </w:pPr>
      <w:r>
        <w:rPr>
          <w:rFonts w:ascii="宋体"/>
          <w:color w:val="auto"/>
        </w:rPr>
        <w:br w:type="page"/>
      </w:r>
      <w:bookmarkStart w:id="94" w:name="_Toc24699"/>
    </w:p>
    <w:p w14:paraId="62C2C00B">
      <w:pPr>
        <w:rPr>
          <w:b/>
          <w:bCs/>
          <w:color w:val="auto"/>
          <w:sz w:val="24"/>
          <w:szCs w:val="24"/>
        </w:rPr>
      </w:pPr>
      <w:r>
        <w:rPr>
          <w:rFonts w:hint="eastAsia" w:cs="宋体"/>
          <w:b/>
          <w:bCs/>
          <w:color w:val="auto"/>
          <w:sz w:val="24"/>
          <w:szCs w:val="24"/>
        </w:rPr>
        <w:t>附件一：</w:t>
      </w:r>
    </w:p>
    <w:p w14:paraId="0D789773">
      <w:pPr>
        <w:spacing w:line="360" w:lineRule="auto"/>
        <w:jc w:val="center"/>
        <w:rPr>
          <w:rFonts w:ascii="宋体"/>
          <w:b/>
          <w:bCs/>
          <w:color w:val="auto"/>
          <w:sz w:val="32"/>
          <w:szCs w:val="32"/>
        </w:rPr>
      </w:pPr>
      <w:r>
        <w:rPr>
          <w:rFonts w:hint="eastAsia" w:ascii="宋体" w:hAnsi="宋体" w:cs="宋体"/>
          <w:b/>
          <w:bCs/>
          <w:color w:val="auto"/>
          <w:sz w:val="32"/>
          <w:szCs w:val="32"/>
        </w:rPr>
        <w:t>法定代表人授权书</w:t>
      </w:r>
      <w:bookmarkEnd w:id="94"/>
    </w:p>
    <w:p w14:paraId="2F38BEC4">
      <w:pPr>
        <w:pStyle w:val="6"/>
        <w:spacing w:line="360" w:lineRule="auto"/>
        <w:rPr>
          <w:rFonts w:ascii="宋体"/>
          <w:color w:val="auto"/>
        </w:rPr>
      </w:pPr>
    </w:p>
    <w:p w14:paraId="3DD9596A">
      <w:pPr>
        <w:spacing w:line="360" w:lineRule="auto"/>
        <w:ind w:firstLine="480" w:firstLineChars="200"/>
        <w:rPr>
          <w:rFonts w:ascii="宋体"/>
          <w:color w:val="auto"/>
          <w:sz w:val="24"/>
          <w:szCs w:val="24"/>
        </w:rPr>
      </w:pPr>
      <w:r>
        <w:rPr>
          <w:rFonts w:hint="eastAsia" w:ascii="宋体" w:hAnsi="宋体" w:cs="宋体"/>
          <w:color w:val="auto"/>
          <w:sz w:val="24"/>
          <w:lang w:eastAsia="zh-CN"/>
        </w:rPr>
        <w:t>绍兴市上虞区商务局</w:t>
      </w:r>
      <w:r>
        <w:rPr>
          <w:rFonts w:hint="eastAsia" w:ascii="宋体" w:hAnsi="宋体" w:cs="宋体"/>
          <w:color w:val="auto"/>
          <w:sz w:val="24"/>
          <w:szCs w:val="24"/>
        </w:rPr>
        <w:t>：</w:t>
      </w:r>
    </w:p>
    <w:p w14:paraId="1EB0129D">
      <w:pPr>
        <w:spacing w:line="360" w:lineRule="auto"/>
        <w:ind w:firstLine="480" w:firstLineChars="200"/>
        <w:rPr>
          <w:rFonts w:ascii="宋体"/>
          <w:color w:val="auto"/>
          <w:sz w:val="24"/>
          <w:szCs w:val="24"/>
        </w:rPr>
      </w:pPr>
      <w:r>
        <w:rPr>
          <w:rFonts w:hint="eastAsia" w:ascii="宋体" w:hAnsi="宋体" w:cs="宋体"/>
          <w:color w:val="auto"/>
          <w:sz w:val="24"/>
          <w:szCs w:val="24"/>
          <w:lang w:val="en-US" w:eastAsia="zh-CN"/>
        </w:rPr>
        <w:t>浙江省成套工程有限公司</w:t>
      </w:r>
      <w:r>
        <w:rPr>
          <w:rFonts w:hint="eastAsia" w:ascii="宋体" w:hAnsi="宋体" w:cs="宋体"/>
          <w:color w:val="auto"/>
          <w:sz w:val="24"/>
          <w:szCs w:val="24"/>
        </w:rPr>
        <w:t>：</w:t>
      </w:r>
    </w:p>
    <w:p w14:paraId="538BA5AF">
      <w:pPr>
        <w:spacing w:line="360" w:lineRule="auto"/>
        <w:ind w:firstLine="480" w:firstLineChars="200"/>
        <w:rPr>
          <w:rFonts w:ascii="宋体"/>
          <w:color w:val="auto"/>
          <w:sz w:val="24"/>
          <w:szCs w:val="24"/>
        </w:rPr>
      </w:pPr>
      <w:r>
        <w:rPr>
          <w:rFonts w:ascii="宋体" w:hAnsi="宋体" w:cs="宋体"/>
          <w:color w:val="auto"/>
          <w:sz w:val="24"/>
          <w:szCs w:val="24"/>
          <w:u w:val="single"/>
        </w:rPr>
        <w:t xml:space="preserve">  </w:t>
      </w:r>
      <w:r>
        <w:rPr>
          <w:rFonts w:hint="eastAsia" w:ascii="宋体" w:hAnsi="宋体" w:cs="宋体"/>
          <w:color w:val="auto"/>
          <w:sz w:val="24"/>
          <w:szCs w:val="24"/>
          <w:u w:val="single"/>
        </w:rPr>
        <w:t>（供应商全称）</w:t>
      </w:r>
      <w:r>
        <w:rPr>
          <w:rFonts w:ascii="宋体" w:hAnsi="宋体" w:cs="宋体"/>
          <w:color w:val="auto"/>
          <w:sz w:val="24"/>
          <w:szCs w:val="24"/>
          <w:u w:val="single"/>
        </w:rPr>
        <w:t xml:space="preserve"> </w:t>
      </w:r>
      <w:r>
        <w:rPr>
          <w:rFonts w:hint="eastAsia" w:ascii="宋体" w:hAnsi="宋体" w:cs="宋体"/>
          <w:color w:val="auto"/>
          <w:sz w:val="24"/>
          <w:szCs w:val="24"/>
        </w:rPr>
        <w:t>法定代表人</w:t>
      </w:r>
      <w:r>
        <w:rPr>
          <w:rFonts w:ascii="宋体" w:hAnsi="宋体" w:cs="宋体"/>
          <w:color w:val="auto"/>
          <w:sz w:val="24"/>
          <w:szCs w:val="24"/>
          <w:u w:val="single"/>
        </w:rPr>
        <w:t xml:space="preserve">         </w:t>
      </w:r>
      <w:r>
        <w:rPr>
          <w:rFonts w:hint="eastAsia" w:ascii="宋体" w:hAnsi="宋体" w:cs="宋体"/>
          <w:color w:val="auto"/>
          <w:sz w:val="24"/>
          <w:szCs w:val="24"/>
        </w:rPr>
        <w:t>授权</w:t>
      </w:r>
      <w:r>
        <w:rPr>
          <w:rFonts w:hint="eastAsia" w:ascii="宋体" w:hAnsi="宋体" w:cs="宋体"/>
          <w:color w:val="auto"/>
          <w:sz w:val="24"/>
          <w:szCs w:val="24"/>
          <w:u w:val="single"/>
        </w:rPr>
        <w:t>（授权代表名称）</w:t>
      </w:r>
      <w:r>
        <w:rPr>
          <w:rFonts w:hint="eastAsia" w:ascii="宋体" w:hAnsi="宋体" w:cs="宋体"/>
          <w:color w:val="auto"/>
          <w:sz w:val="24"/>
          <w:szCs w:val="24"/>
        </w:rPr>
        <w:t>为授权代表，参加贵处组织的</w:t>
      </w:r>
      <w:r>
        <w:rPr>
          <w:rFonts w:ascii="宋体" w:hAnsi="宋体" w:cs="宋体"/>
          <w:color w:val="auto"/>
          <w:sz w:val="24"/>
          <w:szCs w:val="24"/>
          <w:u w:val="single"/>
        </w:rPr>
        <w:t xml:space="preserve">         </w:t>
      </w:r>
      <w:r>
        <w:rPr>
          <w:rFonts w:hint="eastAsia" w:ascii="宋体" w:hAnsi="宋体" w:cs="宋体"/>
          <w:color w:val="auto"/>
          <w:sz w:val="24"/>
          <w:szCs w:val="24"/>
        </w:rPr>
        <w:t>项目</w:t>
      </w:r>
      <w:r>
        <w:rPr>
          <w:rFonts w:hint="eastAsia" w:ascii="宋体" w:hAnsi="宋体" w:cs="宋体"/>
          <w:color w:val="auto"/>
          <w:sz w:val="24"/>
          <w:szCs w:val="24"/>
          <w:u w:val="single"/>
        </w:rPr>
        <w:t>（括号内填写招标编号）</w:t>
      </w:r>
      <w:r>
        <w:rPr>
          <w:rFonts w:hint="eastAsia" w:ascii="宋体" w:hAnsi="宋体" w:cs="宋体"/>
          <w:color w:val="auto"/>
          <w:sz w:val="24"/>
          <w:szCs w:val="24"/>
        </w:rPr>
        <w:t>，授权处理招投标活动中的一切事宜。</w:t>
      </w:r>
    </w:p>
    <w:p w14:paraId="737537D7">
      <w:pPr>
        <w:spacing w:line="360" w:lineRule="auto"/>
        <w:ind w:firstLine="480" w:firstLineChars="200"/>
        <w:rPr>
          <w:rFonts w:ascii="宋体"/>
          <w:color w:val="auto"/>
          <w:sz w:val="24"/>
          <w:szCs w:val="24"/>
        </w:rPr>
      </w:pPr>
    </w:p>
    <w:p w14:paraId="2EAEC494">
      <w:pPr>
        <w:spacing w:line="360" w:lineRule="auto"/>
        <w:ind w:firstLine="480" w:firstLineChars="200"/>
        <w:rPr>
          <w:rFonts w:ascii="宋体"/>
          <w:color w:val="auto"/>
          <w:sz w:val="24"/>
          <w:szCs w:val="24"/>
        </w:rPr>
      </w:pPr>
      <w:r>
        <w:rPr>
          <w:rFonts w:hint="eastAsia" w:ascii="宋体" w:hAnsi="宋体" w:cs="宋体"/>
          <w:color w:val="auto"/>
          <w:sz w:val="24"/>
          <w:szCs w:val="24"/>
        </w:rPr>
        <w:t>法定代表人签字：</w:t>
      </w:r>
    </w:p>
    <w:p w14:paraId="21048159">
      <w:pPr>
        <w:spacing w:line="360" w:lineRule="auto"/>
        <w:ind w:firstLine="480" w:firstLineChars="200"/>
        <w:rPr>
          <w:rFonts w:ascii="宋体"/>
          <w:color w:val="auto"/>
          <w:sz w:val="24"/>
          <w:szCs w:val="24"/>
        </w:rPr>
      </w:pPr>
      <w:r>
        <w:rPr>
          <w:rFonts w:hint="eastAsia" w:ascii="宋体" w:hAnsi="宋体" w:cs="宋体"/>
          <w:color w:val="auto"/>
          <w:sz w:val="24"/>
          <w:szCs w:val="24"/>
        </w:rPr>
        <w:t>供应商全称：（盖章）</w:t>
      </w:r>
    </w:p>
    <w:p w14:paraId="5D0B6607">
      <w:pPr>
        <w:spacing w:line="360" w:lineRule="auto"/>
        <w:ind w:firstLine="480" w:firstLineChars="200"/>
        <w:rPr>
          <w:rFonts w:ascii="宋体"/>
          <w:color w:val="auto"/>
          <w:sz w:val="24"/>
          <w:szCs w:val="24"/>
        </w:rPr>
      </w:pPr>
      <w:r>
        <w:rPr>
          <w:rFonts w:hint="eastAsia" w:ascii="宋体" w:hAnsi="宋体" w:cs="宋体"/>
          <w:color w:val="auto"/>
          <w:sz w:val="24"/>
          <w:szCs w:val="24"/>
        </w:rPr>
        <w:t>日期：</w:t>
      </w:r>
    </w:p>
    <w:p w14:paraId="538068B2">
      <w:pPr>
        <w:spacing w:line="360" w:lineRule="auto"/>
        <w:ind w:firstLine="480" w:firstLineChars="200"/>
        <w:rPr>
          <w:rFonts w:ascii="宋体"/>
          <w:color w:val="auto"/>
          <w:sz w:val="24"/>
          <w:szCs w:val="24"/>
        </w:rPr>
      </w:pPr>
      <w:r>
        <w:rPr>
          <w:rFonts w:hint="eastAsia" w:ascii="宋体" w:hAnsi="宋体" w:cs="宋体"/>
          <w:color w:val="auto"/>
          <w:sz w:val="24"/>
          <w:szCs w:val="24"/>
        </w:rPr>
        <w:t>附：</w:t>
      </w:r>
    </w:p>
    <w:p w14:paraId="058374E5">
      <w:pPr>
        <w:spacing w:line="360" w:lineRule="auto"/>
        <w:ind w:firstLine="480" w:firstLineChars="200"/>
        <w:rPr>
          <w:rFonts w:ascii="宋体"/>
          <w:color w:val="auto"/>
          <w:sz w:val="24"/>
          <w:szCs w:val="24"/>
        </w:rPr>
      </w:pPr>
      <w:r>
        <w:rPr>
          <w:rFonts w:hint="eastAsia" w:ascii="宋体" w:hAnsi="宋体" w:cs="宋体"/>
          <w:color w:val="auto"/>
          <w:sz w:val="24"/>
          <w:szCs w:val="24"/>
        </w:rPr>
        <w:t>授权代表姓名：</w:t>
      </w:r>
    </w:p>
    <w:p w14:paraId="28609C54">
      <w:pPr>
        <w:spacing w:line="360" w:lineRule="auto"/>
        <w:ind w:firstLine="480" w:firstLineChars="200"/>
        <w:rPr>
          <w:rFonts w:ascii="宋体"/>
          <w:color w:val="auto"/>
          <w:sz w:val="24"/>
          <w:szCs w:val="24"/>
        </w:rPr>
      </w:pPr>
      <w:r>
        <w:rPr>
          <w:rFonts w:hint="eastAsia" w:ascii="宋体" w:hAnsi="宋体" w:cs="宋体"/>
          <w:color w:val="auto"/>
          <w:sz w:val="24"/>
          <w:szCs w:val="24"/>
        </w:rPr>
        <w:t>职务：</w:t>
      </w:r>
    </w:p>
    <w:p w14:paraId="05BDB22C">
      <w:pPr>
        <w:spacing w:line="360" w:lineRule="auto"/>
        <w:ind w:firstLine="480" w:firstLineChars="200"/>
        <w:rPr>
          <w:rFonts w:ascii="宋体"/>
          <w:color w:val="auto"/>
          <w:sz w:val="24"/>
          <w:szCs w:val="24"/>
        </w:rPr>
      </w:pPr>
      <w:r>
        <w:rPr>
          <w:rFonts w:hint="eastAsia" w:ascii="宋体" w:hAnsi="宋体" w:cs="宋体"/>
          <w:color w:val="auto"/>
          <w:sz w:val="24"/>
          <w:szCs w:val="24"/>
        </w:rPr>
        <w:t>详细通讯地址：</w:t>
      </w:r>
    </w:p>
    <w:p w14:paraId="3719F52E">
      <w:pPr>
        <w:spacing w:line="360" w:lineRule="auto"/>
        <w:ind w:firstLine="480" w:firstLineChars="200"/>
        <w:rPr>
          <w:rFonts w:ascii="宋体"/>
          <w:color w:val="auto"/>
          <w:sz w:val="24"/>
          <w:szCs w:val="24"/>
        </w:rPr>
      </w:pPr>
      <w:r>
        <w:rPr>
          <w:rFonts w:hint="eastAsia" w:ascii="宋体" w:hAnsi="宋体" w:cs="宋体"/>
          <w:color w:val="auto"/>
          <w:sz w:val="24"/>
          <w:szCs w:val="24"/>
        </w:rPr>
        <w:t>传真：</w:t>
      </w:r>
    </w:p>
    <w:p w14:paraId="2D2BB6C1">
      <w:pPr>
        <w:spacing w:line="360" w:lineRule="auto"/>
        <w:ind w:firstLine="480" w:firstLineChars="200"/>
        <w:rPr>
          <w:rFonts w:ascii="宋体"/>
          <w:color w:val="auto"/>
          <w:sz w:val="24"/>
          <w:szCs w:val="24"/>
        </w:rPr>
      </w:pPr>
      <w:r>
        <w:rPr>
          <w:rFonts w:hint="eastAsia" w:ascii="宋体" w:hAnsi="宋体" w:cs="宋体"/>
          <w:color w:val="auto"/>
          <w:sz w:val="24"/>
          <w:szCs w:val="24"/>
        </w:rPr>
        <w:t>电话：</w:t>
      </w:r>
    </w:p>
    <w:p w14:paraId="4BEEEAF5">
      <w:pPr>
        <w:spacing w:line="360" w:lineRule="auto"/>
        <w:ind w:firstLine="480" w:firstLineChars="200"/>
        <w:rPr>
          <w:rFonts w:ascii="宋体"/>
          <w:color w:val="auto"/>
          <w:sz w:val="24"/>
          <w:szCs w:val="24"/>
        </w:rPr>
      </w:pPr>
      <w:r>
        <w:rPr>
          <w:rFonts w:hint="eastAsia" w:ascii="宋体" w:hAnsi="宋体" w:cs="宋体"/>
          <w:color w:val="auto"/>
          <w:sz w:val="24"/>
          <w:szCs w:val="24"/>
        </w:rPr>
        <w:t>邮政编码：</w:t>
      </w:r>
    </w:p>
    <w:p w14:paraId="71BA4133">
      <w:pPr>
        <w:pStyle w:val="15"/>
        <w:snapToGrid w:val="0"/>
        <w:spacing w:line="360" w:lineRule="auto"/>
        <w:rPr>
          <w:rFonts w:hAnsi="宋体" w:cs="Times New Roman"/>
          <w:color w:val="auto"/>
          <w:sz w:val="24"/>
          <w:szCs w:val="24"/>
        </w:rPr>
      </w:pPr>
    </w:p>
    <w:p w14:paraId="34877521">
      <w:pPr>
        <w:pStyle w:val="15"/>
        <w:snapToGrid w:val="0"/>
        <w:spacing w:line="360" w:lineRule="auto"/>
        <w:rPr>
          <w:rFonts w:hAnsi="宋体" w:cs="Times New Roman"/>
          <w:color w:val="auto"/>
          <w:sz w:val="24"/>
          <w:szCs w:val="24"/>
        </w:rPr>
      </w:pPr>
    </w:p>
    <w:p w14:paraId="7E9DFABB">
      <w:pPr>
        <w:pStyle w:val="15"/>
        <w:snapToGrid w:val="0"/>
        <w:spacing w:line="360" w:lineRule="auto"/>
        <w:rPr>
          <w:rFonts w:hAnsi="宋体" w:cs="Times New Roman"/>
          <w:color w:val="auto"/>
          <w:sz w:val="24"/>
          <w:szCs w:val="24"/>
        </w:rPr>
      </w:pPr>
    </w:p>
    <w:p w14:paraId="6B284E08">
      <w:pPr>
        <w:spacing w:line="360" w:lineRule="auto"/>
        <w:rPr>
          <w:rFonts w:ascii="宋体"/>
          <w:b/>
          <w:bCs/>
          <w:color w:val="auto"/>
          <w:sz w:val="24"/>
          <w:szCs w:val="24"/>
        </w:rPr>
      </w:pPr>
      <w:r>
        <w:rPr>
          <w:rFonts w:hint="eastAsia" w:ascii="宋体" w:hAnsi="宋体" w:cs="宋体"/>
          <w:b/>
          <w:bCs/>
          <w:color w:val="auto"/>
          <w:sz w:val="24"/>
          <w:szCs w:val="24"/>
        </w:rPr>
        <w:t>附：授权代表身份证复印件（正反面）</w:t>
      </w:r>
    </w:p>
    <w:p w14:paraId="2DEE01D7">
      <w:pPr>
        <w:spacing w:line="360" w:lineRule="auto"/>
        <w:rPr>
          <w:rFonts w:ascii="宋体"/>
          <w:b/>
          <w:bCs/>
          <w:color w:val="auto"/>
          <w:sz w:val="24"/>
          <w:szCs w:val="24"/>
        </w:rPr>
      </w:pPr>
    </w:p>
    <w:p w14:paraId="30EDBEB3">
      <w:pPr>
        <w:pStyle w:val="12"/>
        <w:ind w:firstLine="486"/>
        <w:rPr>
          <w:rFonts w:cs="Times New Roman"/>
          <w:color w:val="auto"/>
        </w:rPr>
      </w:pPr>
    </w:p>
    <w:p w14:paraId="1FF74250">
      <w:pPr>
        <w:snapToGrid w:val="0"/>
        <w:spacing w:before="50" w:after="120" w:afterLines="50"/>
        <w:jc w:val="left"/>
        <w:rPr>
          <w:rFonts w:ascii="宋体" w:hAnsi="宋体" w:cs="宋体"/>
          <w:b/>
          <w:bCs/>
          <w:color w:val="auto"/>
          <w:sz w:val="24"/>
          <w:lang w:val="zh-CN"/>
        </w:rPr>
      </w:pPr>
      <w:r>
        <w:rPr>
          <w:rFonts w:ascii="宋体"/>
          <w:b/>
          <w:bCs/>
          <w:color w:val="auto"/>
          <w:sz w:val="24"/>
          <w:szCs w:val="24"/>
        </w:rPr>
        <w:br w:type="page"/>
      </w:r>
      <w:r>
        <w:rPr>
          <w:rFonts w:hint="eastAsia" w:ascii="宋体" w:hAnsi="宋体" w:cs="宋体"/>
          <w:b/>
          <w:bCs/>
          <w:color w:val="auto"/>
          <w:sz w:val="24"/>
          <w:lang w:val="zh-CN"/>
        </w:rPr>
        <w:t>附件二：</w:t>
      </w:r>
    </w:p>
    <w:p w14:paraId="64108810">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 标 人 承 诺 函</w:t>
      </w:r>
    </w:p>
    <w:p w14:paraId="40984587">
      <w:pPr>
        <w:rPr>
          <w:color w:val="auto"/>
        </w:rPr>
      </w:pPr>
    </w:p>
    <w:p w14:paraId="5F729B39">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绍兴市上虞区商务局</w:t>
      </w:r>
      <w:r>
        <w:rPr>
          <w:rFonts w:hint="eastAsia" w:ascii="宋体" w:hAnsi="宋体" w:cs="宋体"/>
          <w:color w:val="auto"/>
          <w:sz w:val="24"/>
        </w:rPr>
        <w:t>：</w:t>
      </w:r>
    </w:p>
    <w:p w14:paraId="23566527">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浙江省成套工程有限公司</w:t>
      </w:r>
      <w:r>
        <w:rPr>
          <w:rFonts w:hint="eastAsia" w:ascii="宋体" w:hAnsi="宋体" w:cs="宋体"/>
          <w:color w:val="auto"/>
          <w:sz w:val="24"/>
        </w:rPr>
        <w:t>：</w:t>
      </w:r>
    </w:p>
    <w:p w14:paraId="7C67D654">
      <w:pPr>
        <w:spacing w:line="360" w:lineRule="auto"/>
        <w:ind w:firstLine="480" w:firstLineChars="200"/>
        <w:rPr>
          <w:rFonts w:ascii="宋体" w:hAnsi="宋体" w:cs="宋体"/>
          <w:color w:val="auto"/>
          <w:sz w:val="24"/>
        </w:rPr>
      </w:pPr>
      <w:r>
        <w:rPr>
          <w:rFonts w:hint="eastAsia" w:ascii="宋体" w:hAnsi="宋体" w:cs="宋体"/>
          <w:color w:val="auto"/>
          <w:sz w:val="24"/>
          <w:u w:val="single"/>
        </w:rPr>
        <w:t>（投标人名称）</w:t>
      </w:r>
      <w:r>
        <w:rPr>
          <w:rFonts w:hint="eastAsia" w:ascii="宋体" w:hAnsi="宋体" w:cs="宋体"/>
          <w:color w:val="auto"/>
          <w:sz w:val="24"/>
        </w:rPr>
        <w:t>系中华人民共和国合法企业，经营地址。</w:t>
      </w:r>
    </w:p>
    <w:p w14:paraId="620E6BBD">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rPr>
        <w:t>（招标项目名称）（编号为）</w:t>
      </w:r>
      <w:r>
        <w:rPr>
          <w:rFonts w:hint="eastAsia" w:ascii="宋体" w:hAnsi="宋体" w:cs="宋体"/>
          <w:color w:val="auto"/>
          <w:sz w:val="24"/>
        </w:rPr>
        <w:t>的投标，为此，我方就本次投标有关事项郑重承诺如下：</w:t>
      </w:r>
    </w:p>
    <w:p w14:paraId="32D4F5E7">
      <w:pPr>
        <w:spacing w:line="360" w:lineRule="auto"/>
        <w:ind w:firstLine="480" w:firstLineChars="200"/>
        <w:rPr>
          <w:rFonts w:ascii="宋体" w:hAnsi="宋体" w:cs="宋体"/>
          <w:color w:val="auto"/>
          <w:sz w:val="24"/>
        </w:rPr>
      </w:pPr>
      <w:r>
        <w:rPr>
          <w:rFonts w:hint="eastAsia" w:ascii="宋体" w:hAnsi="宋体" w:cs="宋体"/>
          <w:color w:val="auto"/>
          <w:sz w:val="24"/>
        </w:rPr>
        <w:t>1、我方已详细审查全部招标文件，同意招标文件的各项要求。</w:t>
      </w:r>
    </w:p>
    <w:p w14:paraId="5005912A">
      <w:pPr>
        <w:spacing w:line="360" w:lineRule="auto"/>
        <w:ind w:firstLine="480" w:firstLineChars="200"/>
        <w:rPr>
          <w:rFonts w:ascii="宋体" w:hAnsi="宋体" w:cs="宋体"/>
          <w:color w:val="auto"/>
          <w:sz w:val="24"/>
        </w:rPr>
      </w:pPr>
      <w:r>
        <w:rPr>
          <w:rFonts w:hint="eastAsia" w:ascii="宋体" w:hAnsi="宋体" w:cs="宋体"/>
          <w:color w:val="auto"/>
          <w:sz w:val="24"/>
        </w:rPr>
        <w:t>2、我方向贵方提交的所有投标文件、资料都是准确的和真实的。</w:t>
      </w:r>
    </w:p>
    <w:p w14:paraId="009BC816">
      <w:pPr>
        <w:spacing w:line="360" w:lineRule="auto"/>
        <w:ind w:firstLine="480" w:firstLineChars="200"/>
        <w:rPr>
          <w:rFonts w:ascii="宋体" w:hAnsi="宋体" w:cs="宋体"/>
          <w:color w:val="auto"/>
          <w:sz w:val="24"/>
        </w:rPr>
      </w:pPr>
      <w:r>
        <w:rPr>
          <w:rFonts w:hint="eastAsia" w:ascii="宋体" w:hAnsi="宋体" w:cs="宋体"/>
          <w:color w:val="auto"/>
          <w:sz w:val="24"/>
        </w:rPr>
        <w:t>3、若中标，我方将按招标文件规定履行合同责任和义务。</w:t>
      </w:r>
    </w:p>
    <w:p w14:paraId="555C7DDA">
      <w:pPr>
        <w:spacing w:line="360" w:lineRule="auto"/>
        <w:ind w:firstLine="480" w:firstLineChars="200"/>
        <w:rPr>
          <w:rFonts w:ascii="宋体" w:hAnsi="宋体" w:cs="宋体"/>
          <w:color w:val="auto"/>
          <w:sz w:val="24"/>
        </w:rPr>
      </w:pPr>
      <w:r>
        <w:rPr>
          <w:rFonts w:hint="eastAsia" w:ascii="宋体" w:hAnsi="宋体" w:cs="宋体"/>
          <w:color w:val="auto"/>
          <w:sz w:val="24"/>
        </w:rPr>
        <w:t>4、我方不是采购人的附属机构；在获知本项目采购信息后，与采购人聘请的为此项目提供咨询服务的公司及其附属机构没有任何联系。</w:t>
      </w:r>
    </w:p>
    <w:p w14:paraId="4209DFF0">
      <w:pPr>
        <w:spacing w:line="360" w:lineRule="auto"/>
        <w:ind w:firstLine="480" w:firstLineChars="200"/>
        <w:rPr>
          <w:rFonts w:ascii="宋体" w:hAnsi="宋体" w:cs="宋体"/>
          <w:color w:val="auto"/>
          <w:sz w:val="24"/>
        </w:rPr>
      </w:pPr>
      <w:r>
        <w:rPr>
          <w:rFonts w:hint="eastAsia" w:ascii="宋体" w:hAnsi="宋体" w:cs="宋体"/>
          <w:color w:val="auto"/>
          <w:sz w:val="24"/>
        </w:rPr>
        <w:t>5、投标文件自开标日起有效期为90天。</w:t>
      </w:r>
    </w:p>
    <w:p w14:paraId="26A0480F">
      <w:pPr>
        <w:spacing w:line="360" w:lineRule="auto"/>
        <w:ind w:firstLine="480" w:firstLineChars="200"/>
        <w:rPr>
          <w:rFonts w:ascii="宋体" w:hAnsi="宋体" w:cs="宋体"/>
          <w:color w:val="auto"/>
          <w:sz w:val="24"/>
        </w:rPr>
      </w:pPr>
      <w:r>
        <w:rPr>
          <w:rFonts w:hint="eastAsia" w:ascii="宋体" w:hAnsi="宋体" w:cs="宋体"/>
          <w:color w:val="auto"/>
          <w:sz w:val="24"/>
        </w:rPr>
        <w:t>6、我方参与本项目前3年内的经营活动中没有重大违法记录；</w:t>
      </w:r>
    </w:p>
    <w:p w14:paraId="556EE24E">
      <w:pPr>
        <w:spacing w:line="360" w:lineRule="auto"/>
        <w:ind w:firstLine="480" w:firstLineChars="200"/>
        <w:rPr>
          <w:rFonts w:ascii="宋体" w:hAnsi="宋体" w:cs="宋体"/>
          <w:color w:val="auto"/>
          <w:sz w:val="24"/>
        </w:rPr>
      </w:pPr>
      <w:r>
        <w:rPr>
          <w:rFonts w:hint="eastAsia" w:ascii="宋体" w:hAnsi="宋体" w:cs="宋体"/>
          <w:color w:val="auto"/>
          <w:sz w:val="24"/>
        </w:rPr>
        <w:t>7、我方通过“信用中国”网站（www.creditchina.gov.cn）、中国政府采购网（www.ccgp.gov.cn）查询，未被列入失信被执行人、重大税收违法案件当事人名单、政府采购严重违法失信行为记录名单。</w:t>
      </w:r>
    </w:p>
    <w:p w14:paraId="44B9B030">
      <w:pPr>
        <w:pStyle w:val="58"/>
        <w:spacing w:before="0"/>
        <w:ind w:firstLine="480"/>
        <w:rPr>
          <w:rFonts w:ascii="宋体" w:hAnsi="宋体" w:cs="宋体"/>
          <w:color w:val="auto"/>
        </w:rPr>
      </w:pPr>
      <w:r>
        <w:rPr>
          <w:rFonts w:hint="eastAsia" w:ascii="宋体" w:hAnsi="宋体" w:cs="宋体"/>
          <w:color w:val="auto"/>
        </w:rPr>
        <w:t>8、具有良好的商业信誉和健全的财务会计制度；</w:t>
      </w:r>
    </w:p>
    <w:p w14:paraId="416CBDBB">
      <w:pPr>
        <w:spacing w:line="360" w:lineRule="auto"/>
        <w:ind w:firstLine="480" w:firstLineChars="200"/>
        <w:rPr>
          <w:rFonts w:ascii="宋体" w:hAnsi="宋体" w:cs="宋体"/>
          <w:color w:val="auto"/>
          <w:sz w:val="24"/>
        </w:rPr>
      </w:pPr>
      <w:r>
        <w:rPr>
          <w:rFonts w:hint="eastAsia" w:ascii="宋体" w:hAnsi="宋体" w:cs="宋体"/>
          <w:color w:val="auto"/>
          <w:sz w:val="24"/>
        </w:rPr>
        <w:t>9、具有依法缴纳税收和社会保障资金的良好记录；</w:t>
      </w:r>
    </w:p>
    <w:p w14:paraId="5C010111">
      <w:pPr>
        <w:spacing w:line="360" w:lineRule="auto"/>
        <w:ind w:firstLine="480" w:firstLineChars="200"/>
        <w:rPr>
          <w:rFonts w:ascii="宋体" w:hAnsi="宋体" w:cs="宋体"/>
          <w:color w:val="auto"/>
          <w:sz w:val="24"/>
        </w:rPr>
      </w:pPr>
      <w:r>
        <w:rPr>
          <w:rFonts w:hint="eastAsia" w:ascii="宋体" w:hAnsi="宋体" w:cs="宋体"/>
          <w:color w:val="auto"/>
          <w:sz w:val="24"/>
        </w:rPr>
        <w:t>10、以上事项如有虚假或隐瞒，我方愿意承担一切后果，并不再寻求任何旨在减轻或免除法律责任的辩解。</w:t>
      </w:r>
    </w:p>
    <w:p w14:paraId="6E22D334">
      <w:pPr>
        <w:spacing w:line="360" w:lineRule="auto"/>
        <w:ind w:firstLine="480" w:firstLineChars="200"/>
        <w:rPr>
          <w:rFonts w:ascii="宋体" w:hAnsi="宋体" w:cs="宋体"/>
          <w:color w:val="auto"/>
          <w:sz w:val="24"/>
        </w:rPr>
      </w:pPr>
    </w:p>
    <w:p w14:paraId="606B3000">
      <w:pPr>
        <w:pStyle w:val="12"/>
        <w:ind w:left="5000"/>
        <w:rPr>
          <w:color w:val="auto"/>
        </w:rPr>
      </w:pPr>
    </w:p>
    <w:p w14:paraId="5F275C9C">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14:paraId="7BD1C4AC">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14:paraId="32B25909">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14:paraId="14878721">
      <w:pPr>
        <w:spacing w:line="360" w:lineRule="auto"/>
        <w:rPr>
          <w:rFonts w:ascii="宋体"/>
          <w:b/>
          <w:bCs/>
          <w:color w:val="auto"/>
          <w:sz w:val="36"/>
          <w:szCs w:val="36"/>
        </w:rPr>
      </w:pPr>
    </w:p>
    <w:p w14:paraId="0FA55926">
      <w:pPr>
        <w:spacing w:line="360" w:lineRule="auto"/>
        <w:rPr>
          <w:color w:val="auto"/>
          <w:sz w:val="36"/>
          <w:szCs w:val="36"/>
        </w:rPr>
      </w:pPr>
    </w:p>
    <w:p w14:paraId="58529C3D">
      <w:pPr>
        <w:widowControl/>
        <w:jc w:val="left"/>
        <w:rPr>
          <w:rFonts w:ascii="宋体"/>
          <w:b/>
          <w:bCs/>
          <w:color w:val="auto"/>
          <w:sz w:val="24"/>
          <w:szCs w:val="24"/>
        </w:rPr>
      </w:pPr>
    </w:p>
    <w:p w14:paraId="3ADDAD55">
      <w:pPr>
        <w:spacing w:line="360" w:lineRule="auto"/>
        <w:jc w:val="center"/>
        <w:rPr>
          <w:rFonts w:ascii="宋体"/>
          <w:b/>
          <w:bCs/>
          <w:color w:val="auto"/>
          <w:sz w:val="36"/>
          <w:szCs w:val="36"/>
        </w:rPr>
      </w:pPr>
      <w:r>
        <w:rPr>
          <w:rFonts w:hint="eastAsia" w:ascii="宋体" w:hAnsi="宋体" w:cs="宋体"/>
          <w:b/>
          <w:bCs/>
          <w:color w:val="auto"/>
          <w:sz w:val="36"/>
          <w:szCs w:val="36"/>
        </w:rPr>
        <w:t>商务技术文件</w:t>
      </w:r>
    </w:p>
    <w:p w14:paraId="6803CE2B">
      <w:pPr>
        <w:spacing w:line="360" w:lineRule="auto"/>
        <w:jc w:val="center"/>
        <w:rPr>
          <w:rFonts w:ascii="宋体"/>
          <w:b/>
          <w:bCs/>
          <w:color w:val="auto"/>
          <w:sz w:val="36"/>
          <w:szCs w:val="36"/>
        </w:rPr>
      </w:pPr>
    </w:p>
    <w:p w14:paraId="47031BC9">
      <w:pPr>
        <w:pStyle w:val="5"/>
        <w:rPr>
          <w:color w:val="auto"/>
        </w:rPr>
      </w:pPr>
    </w:p>
    <w:p w14:paraId="516E7620">
      <w:pPr>
        <w:spacing w:line="360" w:lineRule="auto"/>
        <w:jc w:val="center"/>
        <w:rPr>
          <w:rFonts w:hint="eastAsia" w:ascii="宋体" w:hAnsi="宋体" w:cs="宋体"/>
          <w:b/>
          <w:bCs/>
          <w:color w:val="auto"/>
          <w:sz w:val="36"/>
          <w:szCs w:val="36"/>
        </w:rPr>
      </w:pPr>
      <w:r>
        <w:rPr>
          <w:rFonts w:hint="eastAsia" w:ascii="宋体" w:hAnsi="宋体" w:cs="宋体"/>
          <w:b/>
          <w:bCs/>
          <w:color w:val="auto"/>
          <w:sz w:val="36"/>
          <w:szCs w:val="36"/>
        </w:rPr>
        <w:t>目录</w:t>
      </w:r>
    </w:p>
    <w:p w14:paraId="433C745C">
      <w:pPr>
        <w:pStyle w:val="5"/>
        <w:rPr>
          <w:color w:val="auto"/>
        </w:rPr>
      </w:pPr>
    </w:p>
    <w:p w14:paraId="3BB895BB">
      <w:pPr>
        <w:pStyle w:val="58"/>
        <w:numPr>
          <w:ilvl w:val="0"/>
          <w:numId w:val="19"/>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评分对应表（格式见附件，主要用于评委对应评分内容）</w:t>
      </w:r>
    </w:p>
    <w:p w14:paraId="6F6969D4">
      <w:pPr>
        <w:pStyle w:val="58"/>
        <w:numPr>
          <w:ilvl w:val="0"/>
          <w:numId w:val="19"/>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供应商商务技术文件中资信分自评表（格式见附件）；</w:t>
      </w:r>
    </w:p>
    <w:p w14:paraId="6522BCB1">
      <w:pPr>
        <w:pStyle w:val="58"/>
        <w:numPr>
          <w:ilvl w:val="0"/>
          <w:numId w:val="19"/>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磋商项目明细清单（格式见附件）；</w:t>
      </w:r>
    </w:p>
    <w:p w14:paraId="55C63452">
      <w:pPr>
        <w:pStyle w:val="58"/>
        <w:numPr>
          <w:ilvl w:val="0"/>
          <w:numId w:val="19"/>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技术响应及建议表（格式见附件）；</w:t>
      </w:r>
    </w:p>
    <w:p w14:paraId="15E4B68D">
      <w:pPr>
        <w:pStyle w:val="58"/>
        <w:numPr>
          <w:ilvl w:val="0"/>
          <w:numId w:val="19"/>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商务响应表（格式见附件）；</w:t>
      </w:r>
    </w:p>
    <w:p w14:paraId="7D94F98C">
      <w:pPr>
        <w:pStyle w:val="58"/>
        <w:numPr>
          <w:ilvl w:val="0"/>
          <w:numId w:val="19"/>
        </w:numPr>
        <w:spacing w:before="0"/>
        <w:ind w:left="420" w:leftChars="0" w:firstLine="480" w:firstLineChars="200"/>
        <w:rPr>
          <w:rFonts w:hint="eastAsia" w:ascii="宋体" w:hAnsi="宋体" w:cs="宋体"/>
          <w:color w:val="auto"/>
          <w:highlight w:val="none"/>
        </w:rPr>
      </w:pPr>
      <w:r>
        <w:rPr>
          <w:rFonts w:hint="eastAsia" w:hAnsi="宋体" w:cs="仿宋"/>
          <w:color w:val="auto"/>
          <w:szCs w:val="21"/>
          <w:highlight w:val="none"/>
        </w:rPr>
        <w:t>服务</w:t>
      </w:r>
      <w:r>
        <w:rPr>
          <w:rFonts w:hAnsi="宋体" w:cs="仿宋"/>
          <w:color w:val="auto"/>
          <w:szCs w:val="21"/>
          <w:highlight w:val="none"/>
        </w:rPr>
        <w:t>方案</w:t>
      </w:r>
      <w:r>
        <w:rPr>
          <w:rFonts w:hint="eastAsia" w:ascii="宋体" w:hAnsi="宋体" w:cs="宋体"/>
          <w:color w:val="auto"/>
          <w:highlight w:val="none"/>
        </w:rPr>
        <w:t>；</w:t>
      </w:r>
    </w:p>
    <w:p w14:paraId="0A289D84">
      <w:pPr>
        <w:pStyle w:val="58"/>
        <w:numPr>
          <w:ilvl w:val="0"/>
          <w:numId w:val="19"/>
        </w:numPr>
        <w:spacing w:before="0"/>
        <w:ind w:left="420" w:leftChars="0" w:firstLine="480" w:firstLineChars="200"/>
        <w:rPr>
          <w:rFonts w:hint="eastAsia" w:ascii="宋体" w:hAnsi="宋体" w:cs="宋体"/>
          <w:color w:val="auto"/>
          <w:highlight w:val="none"/>
        </w:rPr>
      </w:pPr>
      <w:r>
        <w:rPr>
          <w:rFonts w:hint="eastAsia" w:hAnsi="宋体" w:cs="仿宋"/>
          <w:color w:val="auto"/>
          <w:szCs w:val="21"/>
          <w:highlight w:val="none"/>
        </w:rPr>
        <w:t>人员及车辆配置</w:t>
      </w:r>
      <w:r>
        <w:rPr>
          <w:rFonts w:hint="eastAsia" w:ascii="宋体" w:hAnsi="宋体" w:cs="宋体"/>
          <w:color w:val="auto"/>
          <w:highlight w:val="none"/>
        </w:rPr>
        <w:t>；</w:t>
      </w:r>
    </w:p>
    <w:p w14:paraId="7D2EFFCB">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rPr>
        <w:t>服务网点；</w:t>
      </w:r>
    </w:p>
    <w:p w14:paraId="78E55EF7">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rPr>
        <w:t>理赔流程；</w:t>
      </w:r>
    </w:p>
    <w:p w14:paraId="5AF350CC">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rPr>
        <w:t>服务要求响应程度；</w:t>
      </w:r>
    </w:p>
    <w:p w14:paraId="6CDE92AB">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rPr>
        <w:t>增值服务；</w:t>
      </w:r>
    </w:p>
    <w:p w14:paraId="5422944F">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rPr>
        <w:t>售后服务；</w:t>
      </w:r>
    </w:p>
    <w:p w14:paraId="67628DEA">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rPr>
        <w:t>创新措施；</w:t>
      </w:r>
    </w:p>
    <w:p w14:paraId="458C7649">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rPr>
        <w:t>培训方案；</w:t>
      </w:r>
    </w:p>
    <w:p w14:paraId="6AED53FA">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合理化建议；</w:t>
      </w:r>
    </w:p>
    <w:p w14:paraId="0046B0EE">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质量管理保护措施；</w:t>
      </w:r>
    </w:p>
    <w:p w14:paraId="685E6826">
      <w:pPr>
        <w:pStyle w:val="58"/>
        <w:numPr>
          <w:ilvl w:val="0"/>
          <w:numId w:val="19"/>
        </w:numPr>
        <w:spacing w:before="0"/>
        <w:ind w:left="420" w:leftChars="0" w:firstLine="480" w:firstLineChars="200"/>
        <w:rPr>
          <w:rFonts w:hint="eastAsia" w:ascii="宋体" w:hAnsi="宋体" w:cs="宋体"/>
          <w:color w:val="auto"/>
          <w:highlight w:val="none"/>
        </w:rPr>
      </w:pPr>
      <w:r>
        <w:rPr>
          <w:rFonts w:hint="eastAsia" w:ascii="宋体" w:hAnsi="宋体" w:cs="宋体"/>
          <w:color w:val="auto"/>
          <w:highlight w:val="none"/>
        </w:rPr>
        <w:t>业绩；</w:t>
      </w:r>
    </w:p>
    <w:p w14:paraId="535776DD">
      <w:pPr>
        <w:pStyle w:val="58"/>
        <w:numPr>
          <w:ilvl w:val="0"/>
          <w:numId w:val="19"/>
        </w:numPr>
        <w:spacing w:before="0"/>
        <w:ind w:left="420" w:leftChars="0" w:firstLine="480" w:firstLineChars="200"/>
        <w:rPr>
          <w:rFonts w:hAnsi="宋体" w:cs="宋体"/>
          <w:color w:val="auto"/>
          <w:highlight w:val="none"/>
        </w:rPr>
      </w:pPr>
      <w:r>
        <w:rPr>
          <w:rFonts w:hint="eastAsia" w:ascii="宋体" w:hAnsi="宋体" w:cs="宋体"/>
          <w:color w:val="auto"/>
          <w:highlight w:val="none"/>
          <w:lang w:val="en-US" w:eastAsia="zh-CN"/>
        </w:rPr>
        <w:t>偿付能力</w:t>
      </w:r>
      <w:r>
        <w:rPr>
          <w:rFonts w:hint="eastAsia" w:ascii="宋体" w:hAnsi="宋体" w:cs="宋体"/>
          <w:color w:val="auto"/>
          <w:highlight w:val="none"/>
        </w:rPr>
        <w:t>；</w:t>
      </w:r>
    </w:p>
    <w:p w14:paraId="54BB9796">
      <w:pPr>
        <w:pStyle w:val="58"/>
        <w:numPr>
          <w:ilvl w:val="0"/>
          <w:numId w:val="19"/>
        </w:numPr>
        <w:spacing w:before="0"/>
        <w:ind w:left="420" w:leftChars="0" w:firstLine="480" w:firstLineChars="200"/>
        <w:rPr>
          <w:rFonts w:hAnsi="宋体" w:cs="宋体"/>
          <w:color w:val="auto"/>
          <w:highlight w:val="none"/>
        </w:rPr>
      </w:pPr>
      <w:r>
        <w:rPr>
          <w:rFonts w:hint="eastAsia" w:ascii="宋体" w:hAnsi="宋体" w:cs="宋体"/>
          <w:color w:val="auto"/>
          <w:highlight w:val="none"/>
        </w:rPr>
        <w:t>投标方认为需要的其他文件资料。</w:t>
      </w:r>
    </w:p>
    <w:p w14:paraId="65709230">
      <w:pPr>
        <w:pStyle w:val="15"/>
        <w:spacing w:line="500" w:lineRule="exact"/>
        <w:ind w:firstLine="897" w:firstLineChars="374"/>
        <w:rPr>
          <w:rFonts w:hAnsi="宋体" w:cs="Times New Roman"/>
          <w:color w:val="auto"/>
          <w:sz w:val="24"/>
          <w:szCs w:val="24"/>
        </w:rPr>
      </w:pPr>
    </w:p>
    <w:p w14:paraId="45FCF3B8">
      <w:pPr>
        <w:rPr>
          <w:rFonts w:hAnsi="宋体" w:cs="Times New Roman"/>
          <w:color w:val="auto"/>
          <w:sz w:val="24"/>
          <w:szCs w:val="24"/>
        </w:rPr>
      </w:pPr>
    </w:p>
    <w:p w14:paraId="24B98BAB">
      <w:pPr>
        <w:pStyle w:val="5"/>
        <w:outlineLvl w:val="9"/>
        <w:rPr>
          <w:rFonts w:hAnsi="宋体" w:cs="Times New Roman"/>
          <w:color w:val="auto"/>
          <w:sz w:val="24"/>
          <w:szCs w:val="24"/>
        </w:rPr>
      </w:pPr>
    </w:p>
    <w:p w14:paraId="350FA72E">
      <w:pPr>
        <w:rPr>
          <w:rFonts w:ascii="宋体"/>
          <w:color w:val="auto"/>
          <w:sz w:val="28"/>
          <w:szCs w:val="28"/>
        </w:rPr>
      </w:pPr>
    </w:p>
    <w:p w14:paraId="40DFD7FC">
      <w:pPr>
        <w:pStyle w:val="6"/>
        <w:rPr>
          <w:color w:val="auto"/>
        </w:rPr>
      </w:pPr>
    </w:p>
    <w:p w14:paraId="7068AAD7">
      <w:pPr>
        <w:snapToGrid w:val="0"/>
        <w:spacing w:before="50" w:after="50"/>
        <w:jc w:val="left"/>
        <w:rPr>
          <w:rFonts w:ascii="宋体"/>
          <w:b/>
          <w:bCs/>
          <w:color w:val="auto"/>
          <w:sz w:val="24"/>
          <w:szCs w:val="24"/>
          <w:highlight w:val="none"/>
          <w:lang w:val="zh-CN"/>
        </w:rPr>
      </w:pPr>
      <w:bookmarkStart w:id="95" w:name="_Toc10131"/>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zh-CN" w:eastAsia="zh-CN"/>
        </w:rPr>
        <w:t>三</w:t>
      </w:r>
      <w:r>
        <w:rPr>
          <w:rFonts w:hint="eastAsia" w:ascii="宋体" w:hAnsi="宋体" w:cs="宋体"/>
          <w:b/>
          <w:bCs/>
          <w:color w:val="auto"/>
          <w:sz w:val="24"/>
          <w:szCs w:val="24"/>
          <w:highlight w:val="none"/>
          <w:lang w:val="zh-CN"/>
        </w:rPr>
        <w:t>：</w:t>
      </w:r>
    </w:p>
    <w:p w14:paraId="19EB3588">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04A17869">
      <w:pPr>
        <w:snapToGrid w:val="0"/>
        <w:spacing w:before="50"/>
        <w:jc w:val="center"/>
        <w:rPr>
          <w:rFonts w:ascii="宋体"/>
          <w:b/>
          <w:bCs/>
          <w:color w:val="auto"/>
          <w:sz w:val="32"/>
          <w:szCs w:val="32"/>
          <w:highlight w:val="none"/>
        </w:rPr>
      </w:pPr>
    </w:p>
    <w:p w14:paraId="1BDA7E7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14DB3F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44FC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E5084EA">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AB66625">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08961597">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3BC4B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F15B618">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45FA9F1C">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8E87C43">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2197411">
            <w:pPr>
              <w:jc w:val="center"/>
              <w:rPr>
                <w:rFonts w:ascii="宋体"/>
                <w:color w:val="auto"/>
                <w:sz w:val="24"/>
                <w:szCs w:val="24"/>
                <w:highlight w:val="none"/>
              </w:rPr>
            </w:pPr>
          </w:p>
        </w:tc>
      </w:tr>
      <w:tr w14:paraId="75192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04A6527">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3DABA252">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9D05D9F">
            <w:pPr>
              <w:jc w:val="center"/>
              <w:rPr>
                <w:rFonts w:ascii="宋体"/>
                <w:color w:val="auto"/>
                <w:sz w:val="24"/>
                <w:szCs w:val="24"/>
                <w:highlight w:val="none"/>
              </w:rPr>
            </w:pPr>
          </w:p>
        </w:tc>
      </w:tr>
      <w:tr w14:paraId="0BA8C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C906F7F">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6412931">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7F37CEA">
            <w:pPr>
              <w:jc w:val="center"/>
              <w:rPr>
                <w:rFonts w:ascii="宋体"/>
                <w:color w:val="auto"/>
                <w:sz w:val="24"/>
                <w:szCs w:val="24"/>
                <w:highlight w:val="none"/>
              </w:rPr>
            </w:pPr>
          </w:p>
        </w:tc>
      </w:tr>
      <w:tr w14:paraId="0B785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46CAB6D">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806628D">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CF352B2">
            <w:pPr>
              <w:spacing w:line="360" w:lineRule="auto"/>
              <w:ind w:firstLine="480" w:firstLineChars="200"/>
              <w:jc w:val="center"/>
              <w:rPr>
                <w:rFonts w:ascii="宋体"/>
                <w:color w:val="auto"/>
                <w:sz w:val="24"/>
                <w:szCs w:val="24"/>
                <w:highlight w:val="none"/>
              </w:rPr>
            </w:pPr>
          </w:p>
        </w:tc>
      </w:tr>
      <w:tr w14:paraId="1E881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2DC474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7451401">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B8725EB">
            <w:pPr>
              <w:spacing w:line="360" w:lineRule="auto"/>
              <w:ind w:firstLine="480" w:firstLineChars="200"/>
              <w:jc w:val="center"/>
              <w:rPr>
                <w:rFonts w:ascii="宋体"/>
                <w:color w:val="auto"/>
                <w:sz w:val="24"/>
                <w:szCs w:val="24"/>
                <w:highlight w:val="none"/>
              </w:rPr>
            </w:pPr>
          </w:p>
        </w:tc>
      </w:tr>
      <w:tr w14:paraId="3BDAB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22C1F8D">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1F81725">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03F38D7">
            <w:pPr>
              <w:spacing w:line="360" w:lineRule="auto"/>
              <w:ind w:firstLine="480" w:firstLineChars="200"/>
              <w:jc w:val="center"/>
              <w:rPr>
                <w:rFonts w:ascii="宋体"/>
                <w:color w:val="auto"/>
                <w:sz w:val="24"/>
                <w:szCs w:val="24"/>
                <w:highlight w:val="none"/>
              </w:rPr>
            </w:pPr>
          </w:p>
        </w:tc>
      </w:tr>
      <w:tr w14:paraId="6E8EA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5ABBBF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6FEA543">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5170478">
            <w:pPr>
              <w:spacing w:line="360" w:lineRule="auto"/>
              <w:ind w:firstLine="480" w:firstLineChars="200"/>
              <w:jc w:val="center"/>
              <w:rPr>
                <w:rFonts w:ascii="宋体"/>
                <w:color w:val="auto"/>
                <w:sz w:val="24"/>
                <w:szCs w:val="24"/>
                <w:highlight w:val="none"/>
              </w:rPr>
            </w:pPr>
          </w:p>
        </w:tc>
      </w:tr>
      <w:tr w14:paraId="51E4A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47ABFF8">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ACF0050">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5342C31">
            <w:pPr>
              <w:spacing w:line="360" w:lineRule="auto"/>
              <w:ind w:firstLine="480" w:firstLineChars="200"/>
              <w:jc w:val="center"/>
              <w:rPr>
                <w:rFonts w:ascii="宋体"/>
                <w:color w:val="auto"/>
                <w:sz w:val="24"/>
                <w:szCs w:val="24"/>
                <w:highlight w:val="none"/>
              </w:rPr>
            </w:pPr>
          </w:p>
        </w:tc>
      </w:tr>
      <w:tr w14:paraId="7CAAE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3D67A8A">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1C18915">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964ACD1">
            <w:pPr>
              <w:spacing w:line="360" w:lineRule="auto"/>
              <w:ind w:firstLine="480" w:firstLineChars="200"/>
              <w:jc w:val="center"/>
              <w:rPr>
                <w:rFonts w:ascii="宋体"/>
                <w:color w:val="auto"/>
                <w:sz w:val="24"/>
                <w:szCs w:val="24"/>
                <w:highlight w:val="none"/>
              </w:rPr>
            </w:pPr>
          </w:p>
        </w:tc>
      </w:tr>
    </w:tbl>
    <w:p w14:paraId="2BCF94D4">
      <w:pPr>
        <w:spacing w:line="360" w:lineRule="auto"/>
        <w:ind w:firstLine="480" w:firstLineChars="200"/>
        <w:rPr>
          <w:rFonts w:ascii="宋体"/>
          <w:color w:val="auto"/>
          <w:sz w:val="24"/>
          <w:szCs w:val="24"/>
          <w:highlight w:val="none"/>
        </w:rPr>
      </w:pPr>
    </w:p>
    <w:p w14:paraId="78C37298">
      <w:pPr>
        <w:spacing w:line="360" w:lineRule="auto"/>
        <w:ind w:left="3780" w:leftChars="1800" w:firstLine="480" w:firstLineChars="200"/>
        <w:rPr>
          <w:rFonts w:ascii="宋体"/>
          <w:color w:val="auto"/>
          <w:sz w:val="24"/>
          <w:szCs w:val="24"/>
          <w:highlight w:val="none"/>
        </w:rPr>
      </w:pPr>
    </w:p>
    <w:p w14:paraId="0C05F45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签名（或签名章）：</w:t>
      </w:r>
      <w:r>
        <w:rPr>
          <w:rFonts w:ascii="宋体" w:hAnsi="宋体" w:cs="宋体"/>
          <w:color w:val="auto"/>
          <w:sz w:val="24"/>
          <w:szCs w:val="24"/>
          <w:highlight w:val="none"/>
        </w:rPr>
        <w:t xml:space="preserve">                       </w:t>
      </w:r>
    </w:p>
    <w:p w14:paraId="08F9AED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417A02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0F81D5F">
      <w:pPr>
        <w:rPr>
          <w:color w:val="auto"/>
          <w:highlight w:val="none"/>
          <w:lang w:val="zh-CN"/>
        </w:rPr>
      </w:pPr>
    </w:p>
    <w:p w14:paraId="3F966213">
      <w:pPr>
        <w:rPr>
          <w:b/>
          <w:bCs/>
          <w:color w:val="auto"/>
          <w:sz w:val="24"/>
          <w:szCs w:val="24"/>
          <w:highlight w:val="none"/>
          <w:lang w:val="zh-CN"/>
        </w:rPr>
      </w:pPr>
      <w:r>
        <w:rPr>
          <w:rFonts w:hint="eastAsia" w:cs="宋体"/>
          <w:b/>
          <w:bCs/>
          <w:color w:val="auto"/>
          <w:sz w:val="24"/>
          <w:szCs w:val="24"/>
          <w:highlight w:val="none"/>
          <w:lang w:val="zh-CN"/>
        </w:rPr>
        <w:t>附件四</w:t>
      </w:r>
      <w:r>
        <w:rPr>
          <w:rFonts w:hint="eastAsia" w:cs="宋体"/>
          <w:b/>
          <w:bCs/>
          <w:color w:val="auto"/>
          <w:sz w:val="24"/>
          <w:szCs w:val="24"/>
          <w:highlight w:val="none"/>
        </w:rPr>
        <w:t>：</w:t>
      </w:r>
    </w:p>
    <w:p w14:paraId="408CD23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95"/>
    </w:p>
    <w:p w14:paraId="26834925">
      <w:pPr>
        <w:snapToGrid w:val="0"/>
        <w:spacing w:before="50"/>
        <w:jc w:val="center"/>
        <w:rPr>
          <w:rFonts w:ascii="宋体"/>
          <w:b/>
          <w:bCs/>
          <w:color w:val="auto"/>
          <w:sz w:val="32"/>
          <w:szCs w:val="32"/>
          <w:highlight w:val="none"/>
        </w:rPr>
      </w:pPr>
    </w:p>
    <w:p w14:paraId="3918B14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14F638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0BD78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C5E5AF2">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522022A0">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68CEBA8A">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1714C0C2">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1340D6F0">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120BC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E741EF8">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10C8BBE0">
            <w:pPr>
              <w:jc w:val="center"/>
              <w:rPr>
                <w:rFonts w:ascii="宋体"/>
                <w:color w:val="auto"/>
                <w:sz w:val="24"/>
                <w:szCs w:val="24"/>
                <w:highlight w:val="none"/>
              </w:rPr>
            </w:pPr>
          </w:p>
        </w:tc>
        <w:tc>
          <w:tcPr>
            <w:tcW w:w="1462" w:type="dxa"/>
          </w:tcPr>
          <w:p w14:paraId="671CDA63">
            <w:pPr>
              <w:jc w:val="center"/>
              <w:rPr>
                <w:rFonts w:ascii="宋体"/>
                <w:color w:val="auto"/>
                <w:sz w:val="24"/>
                <w:szCs w:val="24"/>
                <w:highlight w:val="none"/>
              </w:rPr>
            </w:pPr>
          </w:p>
        </w:tc>
        <w:tc>
          <w:tcPr>
            <w:tcW w:w="2415" w:type="dxa"/>
            <w:tcBorders>
              <w:right w:val="single" w:color="auto" w:sz="4" w:space="0"/>
            </w:tcBorders>
          </w:tcPr>
          <w:p w14:paraId="1373A09C">
            <w:pPr>
              <w:jc w:val="center"/>
              <w:rPr>
                <w:rFonts w:ascii="宋体"/>
                <w:color w:val="auto"/>
                <w:sz w:val="24"/>
                <w:szCs w:val="24"/>
                <w:highlight w:val="none"/>
              </w:rPr>
            </w:pPr>
          </w:p>
        </w:tc>
        <w:tc>
          <w:tcPr>
            <w:tcW w:w="1746" w:type="dxa"/>
            <w:tcBorders>
              <w:left w:val="single" w:color="auto" w:sz="4" w:space="0"/>
            </w:tcBorders>
          </w:tcPr>
          <w:p w14:paraId="696D14DA">
            <w:pPr>
              <w:jc w:val="center"/>
              <w:rPr>
                <w:rFonts w:ascii="宋体"/>
                <w:color w:val="auto"/>
                <w:sz w:val="24"/>
                <w:szCs w:val="24"/>
                <w:highlight w:val="none"/>
              </w:rPr>
            </w:pPr>
          </w:p>
        </w:tc>
      </w:tr>
      <w:tr w14:paraId="0AB94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D2A9EBC">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58ECF849">
            <w:pPr>
              <w:jc w:val="center"/>
              <w:rPr>
                <w:rFonts w:ascii="宋体"/>
                <w:color w:val="auto"/>
                <w:sz w:val="24"/>
                <w:szCs w:val="24"/>
                <w:highlight w:val="none"/>
              </w:rPr>
            </w:pPr>
          </w:p>
        </w:tc>
        <w:tc>
          <w:tcPr>
            <w:tcW w:w="1462" w:type="dxa"/>
          </w:tcPr>
          <w:p w14:paraId="6C66E044">
            <w:pPr>
              <w:jc w:val="center"/>
              <w:rPr>
                <w:rFonts w:ascii="宋体"/>
                <w:color w:val="auto"/>
                <w:sz w:val="24"/>
                <w:szCs w:val="24"/>
                <w:highlight w:val="none"/>
              </w:rPr>
            </w:pPr>
          </w:p>
        </w:tc>
        <w:tc>
          <w:tcPr>
            <w:tcW w:w="2415" w:type="dxa"/>
            <w:tcBorders>
              <w:right w:val="single" w:color="auto" w:sz="4" w:space="0"/>
            </w:tcBorders>
          </w:tcPr>
          <w:p w14:paraId="27B7F704">
            <w:pPr>
              <w:jc w:val="center"/>
              <w:rPr>
                <w:rFonts w:ascii="宋体"/>
                <w:color w:val="auto"/>
                <w:sz w:val="24"/>
                <w:szCs w:val="24"/>
                <w:highlight w:val="none"/>
              </w:rPr>
            </w:pPr>
          </w:p>
        </w:tc>
        <w:tc>
          <w:tcPr>
            <w:tcW w:w="1746" w:type="dxa"/>
            <w:tcBorders>
              <w:left w:val="single" w:color="auto" w:sz="4" w:space="0"/>
            </w:tcBorders>
          </w:tcPr>
          <w:p w14:paraId="5E0EC2A9">
            <w:pPr>
              <w:jc w:val="center"/>
              <w:rPr>
                <w:rFonts w:ascii="宋体"/>
                <w:color w:val="auto"/>
                <w:sz w:val="24"/>
                <w:szCs w:val="24"/>
                <w:highlight w:val="none"/>
              </w:rPr>
            </w:pPr>
          </w:p>
        </w:tc>
      </w:tr>
      <w:tr w14:paraId="69C49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8AFB107">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01D381B8">
            <w:pPr>
              <w:jc w:val="center"/>
              <w:rPr>
                <w:rFonts w:ascii="宋体"/>
                <w:color w:val="auto"/>
                <w:sz w:val="24"/>
                <w:szCs w:val="24"/>
                <w:highlight w:val="none"/>
              </w:rPr>
            </w:pPr>
          </w:p>
        </w:tc>
        <w:tc>
          <w:tcPr>
            <w:tcW w:w="1462" w:type="dxa"/>
          </w:tcPr>
          <w:p w14:paraId="553DEBE1">
            <w:pPr>
              <w:jc w:val="center"/>
              <w:rPr>
                <w:rFonts w:ascii="宋体"/>
                <w:color w:val="auto"/>
                <w:sz w:val="24"/>
                <w:szCs w:val="24"/>
                <w:highlight w:val="none"/>
              </w:rPr>
            </w:pPr>
          </w:p>
        </w:tc>
        <w:tc>
          <w:tcPr>
            <w:tcW w:w="2415" w:type="dxa"/>
            <w:tcBorders>
              <w:right w:val="single" w:color="auto" w:sz="4" w:space="0"/>
            </w:tcBorders>
          </w:tcPr>
          <w:p w14:paraId="64C3555E">
            <w:pPr>
              <w:jc w:val="center"/>
              <w:rPr>
                <w:rFonts w:ascii="宋体"/>
                <w:color w:val="auto"/>
                <w:sz w:val="24"/>
                <w:szCs w:val="24"/>
                <w:highlight w:val="none"/>
              </w:rPr>
            </w:pPr>
          </w:p>
        </w:tc>
        <w:tc>
          <w:tcPr>
            <w:tcW w:w="1746" w:type="dxa"/>
            <w:tcBorders>
              <w:left w:val="single" w:color="auto" w:sz="4" w:space="0"/>
            </w:tcBorders>
          </w:tcPr>
          <w:p w14:paraId="301097D6">
            <w:pPr>
              <w:jc w:val="center"/>
              <w:rPr>
                <w:rFonts w:ascii="宋体"/>
                <w:color w:val="auto"/>
                <w:sz w:val="24"/>
                <w:szCs w:val="24"/>
                <w:highlight w:val="none"/>
              </w:rPr>
            </w:pPr>
          </w:p>
        </w:tc>
      </w:tr>
      <w:tr w14:paraId="10F6B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76BAC6F">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1BB2E264">
            <w:pPr>
              <w:jc w:val="center"/>
              <w:rPr>
                <w:rFonts w:ascii="宋体"/>
                <w:color w:val="auto"/>
                <w:sz w:val="24"/>
                <w:szCs w:val="24"/>
                <w:highlight w:val="none"/>
              </w:rPr>
            </w:pPr>
          </w:p>
        </w:tc>
        <w:tc>
          <w:tcPr>
            <w:tcW w:w="1462" w:type="dxa"/>
          </w:tcPr>
          <w:p w14:paraId="48FBA999">
            <w:pPr>
              <w:jc w:val="center"/>
              <w:rPr>
                <w:rFonts w:ascii="宋体"/>
                <w:color w:val="auto"/>
                <w:sz w:val="24"/>
                <w:szCs w:val="24"/>
                <w:highlight w:val="none"/>
              </w:rPr>
            </w:pPr>
          </w:p>
        </w:tc>
        <w:tc>
          <w:tcPr>
            <w:tcW w:w="2415" w:type="dxa"/>
            <w:tcBorders>
              <w:right w:val="single" w:color="auto" w:sz="4" w:space="0"/>
            </w:tcBorders>
          </w:tcPr>
          <w:p w14:paraId="5447E64B">
            <w:pPr>
              <w:jc w:val="center"/>
              <w:rPr>
                <w:rFonts w:ascii="宋体"/>
                <w:color w:val="auto"/>
                <w:sz w:val="24"/>
                <w:szCs w:val="24"/>
                <w:highlight w:val="none"/>
              </w:rPr>
            </w:pPr>
          </w:p>
        </w:tc>
        <w:tc>
          <w:tcPr>
            <w:tcW w:w="1746" w:type="dxa"/>
            <w:tcBorders>
              <w:left w:val="single" w:color="auto" w:sz="4" w:space="0"/>
            </w:tcBorders>
          </w:tcPr>
          <w:p w14:paraId="3E120FA3">
            <w:pPr>
              <w:jc w:val="center"/>
              <w:rPr>
                <w:rFonts w:ascii="宋体"/>
                <w:color w:val="auto"/>
                <w:sz w:val="24"/>
                <w:szCs w:val="24"/>
                <w:highlight w:val="none"/>
              </w:rPr>
            </w:pPr>
          </w:p>
        </w:tc>
      </w:tr>
      <w:tr w14:paraId="12FF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456ACC6">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40B5C71F">
            <w:pPr>
              <w:jc w:val="center"/>
              <w:rPr>
                <w:rFonts w:ascii="宋体"/>
                <w:color w:val="auto"/>
                <w:sz w:val="24"/>
                <w:szCs w:val="24"/>
                <w:highlight w:val="none"/>
              </w:rPr>
            </w:pPr>
          </w:p>
        </w:tc>
        <w:tc>
          <w:tcPr>
            <w:tcW w:w="1462" w:type="dxa"/>
          </w:tcPr>
          <w:p w14:paraId="2C56A325">
            <w:pPr>
              <w:jc w:val="center"/>
              <w:rPr>
                <w:rFonts w:ascii="宋体"/>
                <w:color w:val="auto"/>
                <w:sz w:val="24"/>
                <w:szCs w:val="24"/>
                <w:highlight w:val="none"/>
              </w:rPr>
            </w:pPr>
          </w:p>
        </w:tc>
        <w:tc>
          <w:tcPr>
            <w:tcW w:w="2415" w:type="dxa"/>
            <w:tcBorders>
              <w:right w:val="single" w:color="auto" w:sz="4" w:space="0"/>
            </w:tcBorders>
          </w:tcPr>
          <w:p w14:paraId="60834C9B">
            <w:pPr>
              <w:jc w:val="center"/>
              <w:rPr>
                <w:rFonts w:ascii="宋体"/>
                <w:color w:val="auto"/>
                <w:sz w:val="24"/>
                <w:szCs w:val="24"/>
                <w:highlight w:val="none"/>
              </w:rPr>
            </w:pPr>
          </w:p>
        </w:tc>
        <w:tc>
          <w:tcPr>
            <w:tcW w:w="1746" w:type="dxa"/>
            <w:tcBorders>
              <w:left w:val="single" w:color="auto" w:sz="4" w:space="0"/>
            </w:tcBorders>
          </w:tcPr>
          <w:p w14:paraId="3BDC2C72">
            <w:pPr>
              <w:jc w:val="center"/>
              <w:rPr>
                <w:rFonts w:ascii="宋体"/>
                <w:color w:val="auto"/>
                <w:sz w:val="24"/>
                <w:szCs w:val="24"/>
                <w:highlight w:val="none"/>
              </w:rPr>
            </w:pPr>
          </w:p>
        </w:tc>
      </w:tr>
      <w:tr w14:paraId="0584B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2AF23C2">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0041AC9F">
            <w:pPr>
              <w:jc w:val="center"/>
              <w:rPr>
                <w:rFonts w:ascii="宋体"/>
                <w:color w:val="auto"/>
                <w:sz w:val="24"/>
                <w:szCs w:val="24"/>
                <w:highlight w:val="none"/>
              </w:rPr>
            </w:pPr>
          </w:p>
        </w:tc>
        <w:tc>
          <w:tcPr>
            <w:tcW w:w="1462" w:type="dxa"/>
          </w:tcPr>
          <w:p w14:paraId="72C03C16">
            <w:pPr>
              <w:jc w:val="center"/>
              <w:rPr>
                <w:rFonts w:ascii="宋体"/>
                <w:color w:val="auto"/>
                <w:sz w:val="24"/>
                <w:szCs w:val="24"/>
                <w:highlight w:val="none"/>
              </w:rPr>
            </w:pPr>
          </w:p>
        </w:tc>
        <w:tc>
          <w:tcPr>
            <w:tcW w:w="2415" w:type="dxa"/>
            <w:tcBorders>
              <w:right w:val="single" w:color="auto" w:sz="4" w:space="0"/>
            </w:tcBorders>
          </w:tcPr>
          <w:p w14:paraId="4815D021">
            <w:pPr>
              <w:jc w:val="center"/>
              <w:rPr>
                <w:rFonts w:ascii="宋体"/>
                <w:color w:val="auto"/>
                <w:sz w:val="24"/>
                <w:szCs w:val="24"/>
                <w:highlight w:val="none"/>
              </w:rPr>
            </w:pPr>
          </w:p>
        </w:tc>
        <w:tc>
          <w:tcPr>
            <w:tcW w:w="1746" w:type="dxa"/>
            <w:tcBorders>
              <w:left w:val="single" w:color="auto" w:sz="4" w:space="0"/>
            </w:tcBorders>
          </w:tcPr>
          <w:p w14:paraId="56D68914">
            <w:pPr>
              <w:jc w:val="center"/>
              <w:rPr>
                <w:rFonts w:ascii="宋体"/>
                <w:color w:val="auto"/>
                <w:sz w:val="24"/>
                <w:szCs w:val="24"/>
                <w:highlight w:val="none"/>
              </w:rPr>
            </w:pPr>
          </w:p>
        </w:tc>
      </w:tr>
      <w:tr w14:paraId="7E4B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F9DE29B">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28D5870A">
            <w:pPr>
              <w:jc w:val="center"/>
              <w:rPr>
                <w:rFonts w:ascii="宋体"/>
                <w:color w:val="auto"/>
                <w:sz w:val="24"/>
                <w:szCs w:val="24"/>
                <w:highlight w:val="none"/>
              </w:rPr>
            </w:pPr>
          </w:p>
        </w:tc>
        <w:tc>
          <w:tcPr>
            <w:tcW w:w="1462" w:type="dxa"/>
          </w:tcPr>
          <w:p w14:paraId="5DD84E89">
            <w:pPr>
              <w:jc w:val="center"/>
              <w:rPr>
                <w:rFonts w:ascii="宋体"/>
                <w:color w:val="auto"/>
                <w:sz w:val="24"/>
                <w:szCs w:val="24"/>
                <w:highlight w:val="none"/>
              </w:rPr>
            </w:pPr>
          </w:p>
        </w:tc>
        <w:tc>
          <w:tcPr>
            <w:tcW w:w="2415" w:type="dxa"/>
            <w:tcBorders>
              <w:right w:val="single" w:color="auto" w:sz="4" w:space="0"/>
            </w:tcBorders>
          </w:tcPr>
          <w:p w14:paraId="75288E56">
            <w:pPr>
              <w:jc w:val="center"/>
              <w:rPr>
                <w:rFonts w:ascii="宋体"/>
                <w:color w:val="auto"/>
                <w:sz w:val="24"/>
                <w:szCs w:val="24"/>
                <w:highlight w:val="none"/>
              </w:rPr>
            </w:pPr>
          </w:p>
        </w:tc>
        <w:tc>
          <w:tcPr>
            <w:tcW w:w="1746" w:type="dxa"/>
            <w:tcBorders>
              <w:left w:val="single" w:color="auto" w:sz="4" w:space="0"/>
            </w:tcBorders>
          </w:tcPr>
          <w:p w14:paraId="718DD0BD">
            <w:pPr>
              <w:jc w:val="center"/>
              <w:rPr>
                <w:rFonts w:ascii="宋体"/>
                <w:color w:val="auto"/>
                <w:sz w:val="24"/>
                <w:szCs w:val="24"/>
                <w:highlight w:val="none"/>
              </w:rPr>
            </w:pPr>
          </w:p>
        </w:tc>
      </w:tr>
      <w:tr w14:paraId="05016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424D0E">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19C54984">
            <w:pPr>
              <w:jc w:val="center"/>
              <w:rPr>
                <w:rFonts w:ascii="宋体"/>
                <w:color w:val="auto"/>
                <w:sz w:val="24"/>
                <w:szCs w:val="24"/>
                <w:highlight w:val="none"/>
              </w:rPr>
            </w:pPr>
          </w:p>
        </w:tc>
        <w:tc>
          <w:tcPr>
            <w:tcW w:w="1462" w:type="dxa"/>
          </w:tcPr>
          <w:p w14:paraId="3F16251A">
            <w:pPr>
              <w:jc w:val="center"/>
              <w:rPr>
                <w:rFonts w:ascii="宋体"/>
                <w:color w:val="auto"/>
                <w:sz w:val="24"/>
                <w:szCs w:val="24"/>
                <w:highlight w:val="none"/>
              </w:rPr>
            </w:pPr>
          </w:p>
        </w:tc>
        <w:tc>
          <w:tcPr>
            <w:tcW w:w="2415" w:type="dxa"/>
            <w:tcBorders>
              <w:right w:val="single" w:color="auto" w:sz="4" w:space="0"/>
            </w:tcBorders>
          </w:tcPr>
          <w:p w14:paraId="582D30FD">
            <w:pPr>
              <w:jc w:val="center"/>
              <w:rPr>
                <w:rFonts w:ascii="宋体"/>
                <w:color w:val="auto"/>
                <w:sz w:val="24"/>
                <w:szCs w:val="24"/>
                <w:highlight w:val="none"/>
              </w:rPr>
            </w:pPr>
          </w:p>
        </w:tc>
        <w:tc>
          <w:tcPr>
            <w:tcW w:w="1746" w:type="dxa"/>
            <w:tcBorders>
              <w:left w:val="single" w:color="auto" w:sz="4" w:space="0"/>
            </w:tcBorders>
          </w:tcPr>
          <w:p w14:paraId="06D21A2D">
            <w:pPr>
              <w:jc w:val="center"/>
              <w:rPr>
                <w:rFonts w:ascii="宋体"/>
                <w:color w:val="auto"/>
                <w:sz w:val="24"/>
                <w:szCs w:val="24"/>
                <w:highlight w:val="none"/>
              </w:rPr>
            </w:pPr>
          </w:p>
        </w:tc>
      </w:tr>
      <w:tr w14:paraId="509F7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8AC0298">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411CD725">
            <w:pPr>
              <w:jc w:val="center"/>
              <w:rPr>
                <w:rFonts w:ascii="宋体"/>
                <w:color w:val="auto"/>
                <w:sz w:val="24"/>
                <w:szCs w:val="24"/>
                <w:highlight w:val="none"/>
              </w:rPr>
            </w:pPr>
          </w:p>
        </w:tc>
        <w:tc>
          <w:tcPr>
            <w:tcW w:w="1462" w:type="dxa"/>
          </w:tcPr>
          <w:p w14:paraId="38BF1855">
            <w:pPr>
              <w:jc w:val="center"/>
              <w:rPr>
                <w:rFonts w:ascii="宋体"/>
                <w:color w:val="auto"/>
                <w:sz w:val="24"/>
                <w:szCs w:val="24"/>
                <w:highlight w:val="none"/>
              </w:rPr>
            </w:pPr>
          </w:p>
        </w:tc>
        <w:tc>
          <w:tcPr>
            <w:tcW w:w="2415" w:type="dxa"/>
            <w:tcBorders>
              <w:right w:val="single" w:color="auto" w:sz="4" w:space="0"/>
            </w:tcBorders>
          </w:tcPr>
          <w:p w14:paraId="7C0F8F32">
            <w:pPr>
              <w:jc w:val="center"/>
              <w:rPr>
                <w:rFonts w:ascii="宋体"/>
                <w:color w:val="auto"/>
                <w:sz w:val="24"/>
                <w:szCs w:val="24"/>
                <w:highlight w:val="none"/>
              </w:rPr>
            </w:pPr>
          </w:p>
        </w:tc>
        <w:tc>
          <w:tcPr>
            <w:tcW w:w="1746" w:type="dxa"/>
            <w:tcBorders>
              <w:left w:val="single" w:color="auto" w:sz="4" w:space="0"/>
            </w:tcBorders>
          </w:tcPr>
          <w:p w14:paraId="0398AD69">
            <w:pPr>
              <w:jc w:val="center"/>
              <w:rPr>
                <w:rFonts w:ascii="宋体"/>
                <w:color w:val="auto"/>
                <w:sz w:val="24"/>
                <w:szCs w:val="24"/>
                <w:highlight w:val="none"/>
              </w:rPr>
            </w:pPr>
          </w:p>
        </w:tc>
      </w:tr>
    </w:tbl>
    <w:p w14:paraId="2568077F">
      <w:pPr>
        <w:spacing w:line="360" w:lineRule="auto"/>
        <w:ind w:firstLine="480" w:firstLineChars="200"/>
        <w:rPr>
          <w:rFonts w:ascii="宋体"/>
          <w:color w:val="auto"/>
          <w:sz w:val="24"/>
          <w:szCs w:val="24"/>
          <w:highlight w:val="none"/>
        </w:rPr>
      </w:pPr>
    </w:p>
    <w:p w14:paraId="5E3A3179">
      <w:pPr>
        <w:spacing w:line="360" w:lineRule="auto"/>
        <w:ind w:left="3780" w:leftChars="1800" w:firstLine="480" w:firstLineChars="200"/>
        <w:rPr>
          <w:rFonts w:ascii="宋体"/>
          <w:color w:val="auto"/>
          <w:sz w:val="24"/>
          <w:szCs w:val="24"/>
          <w:highlight w:val="none"/>
        </w:rPr>
      </w:pPr>
    </w:p>
    <w:p w14:paraId="7A8AF3B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签名（或签名章）：</w:t>
      </w:r>
      <w:r>
        <w:rPr>
          <w:rFonts w:ascii="宋体" w:hAnsi="宋体" w:cs="宋体"/>
          <w:color w:val="auto"/>
          <w:sz w:val="24"/>
          <w:szCs w:val="24"/>
          <w:highlight w:val="none"/>
        </w:rPr>
        <w:t xml:space="preserve">                       </w:t>
      </w:r>
    </w:p>
    <w:p w14:paraId="7A5F48F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6A67F6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4A27C78">
      <w:pPr>
        <w:snapToGrid w:val="0"/>
        <w:spacing w:before="50" w:after="156"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附件五：</w:t>
      </w:r>
    </w:p>
    <w:p w14:paraId="1B3F850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7AD02554">
      <w:pPr>
        <w:spacing w:line="360" w:lineRule="auto"/>
        <w:ind w:firstLine="480" w:firstLineChars="200"/>
        <w:rPr>
          <w:rFonts w:ascii="宋体"/>
          <w:color w:val="auto"/>
          <w:sz w:val="24"/>
          <w:szCs w:val="24"/>
          <w:highlight w:val="none"/>
        </w:rPr>
      </w:pPr>
    </w:p>
    <w:p w14:paraId="78D8331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4F3CB3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4D3F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0C5DE1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09B4E6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1C7E44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79B5B85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662A6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5D8FF89">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59A7868">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1D5F114">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07684C10">
            <w:pPr>
              <w:snapToGrid w:val="0"/>
              <w:spacing w:before="50" w:after="50"/>
              <w:jc w:val="center"/>
              <w:rPr>
                <w:rFonts w:ascii="宋体"/>
                <w:color w:val="auto"/>
                <w:sz w:val="24"/>
                <w:szCs w:val="24"/>
                <w:highlight w:val="none"/>
              </w:rPr>
            </w:pPr>
          </w:p>
        </w:tc>
      </w:tr>
      <w:tr w14:paraId="75F71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38208C19">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F9601BE">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9075F84">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E841C79">
            <w:pPr>
              <w:snapToGrid w:val="0"/>
              <w:spacing w:before="50" w:after="50"/>
              <w:jc w:val="center"/>
              <w:rPr>
                <w:rFonts w:ascii="宋体"/>
                <w:color w:val="auto"/>
                <w:sz w:val="24"/>
                <w:szCs w:val="24"/>
                <w:highlight w:val="none"/>
              </w:rPr>
            </w:pPr>
          </w:p>
        </w:tc>
      </w:tr>
    </w:tbl>
    <w:p w14:paraId="13E66D27">
      <w:pPr>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6D4EEF1C">
      <w:pPr>
        <w:pStyle w:val="12"/>
        <w:rPr>
          <w:rFonts w:cs="Times New Roman"/>
          <w:color w:val="auto"/>
          <w:highlight w:val="none"/>
        </w:rPr>
      </w:pPr>
    </w:p>
    <w:p w14:paraId="15233EAC">
      <w:pPr>
        <w:pStyle w:val="12"/>
        <w:rPr>
          <w:rFonts w:cs="Times New Roman"/>
          <w:color w:val="auto"/>
          <w:highlight w:val="none"/>
        </w:rPr>
      </w:pPr>
    </w:p>
    <w:p w14:paraId="4457C255">
      <w:pPr>
        <w:pStyle w:val="12"/>
        <w:rPr>
          <w:rFonts w:cs="Times New Roman"/>
          <w:color w:val="auto"/>
          <w:highlight w:val="none"/>
        </w:rPr>
      </w:pPr>
    </w:p>
    <w:p w14:paraId="637FCC81">
      <w:pPr>
        <w:snapToGrid w:val="0"/>
        <w:spacing w:before="156" w:beforeLines="50"/>
        <w:rPr>
          <w:rFonts w:ascii="宋体"/>
          <w:color w:val="auto"/>
          <w:sz w:val="24"/>
          <w:szCs w:val="24"/>
          <w:highlight w:val="none"/>
        </w:rPr>
      </w:pPr>
    </w:p>
    <w:p w14:paraId="39C71DA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签名（或签名章）：</w:t>
      </w:r>
      <w:r>
        <w:rPr>
          <w:rFonts w:ascii="宋体" w:hAnsi="宋体" w:cs="宋体"/>
          <w:color w:val="auto"/>
          <w:sz w:val="24"/>
          <w:szCs w:val="24"/>
          <w:highlight w:val="none"/>
        </w:rPr>
        <w:t xml:space="preserve">                       </w:t>
      </w:r>
    </w:p>
    <w:p w14:paraId="206A304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8EF239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E6E8EDE">
      <w:pPr>
        <w:snapToGrid w:val="0"/>
        <w:spacing w:before="50" w:after="50"/>
        <w:rPr>
          <w:rFonts w:ascii="宋体"/>
          <w:color w:val="auto"/>
          <w:spacing w:val="20"/>
          <w:sz w:val="24"/>
          <w:szCs w:val="24"/>
          <w:highlight w:val="none"/>
        </w:rPr>
      </w:pPr>
    </w:p>
    <w:p w14:paraId="2A1226A7">
      <w:pPr>
        <w:snapToGrid w:val="0"/>
        <w:spacing w:before="50" w:after="50"/>
        <w:rPr>
          <w:rFonts w:ascii="宋体"/>
          <w:color w:val="auto"/>
          <w:spacing w:val="20"/>
          <w:sz w:val="30"/>
          <w:szCs w:val="30"/>
          <w:highlight w:val="none"/>
        </w:rPr>
      </w:pPr>
    </w:p>
    <w:p w14:paraId="61345338">
      <w:pPr>
        <w:pStyle w:val="12"/>
        <w:ind w:firstLine="686"/>
        <w:rPr>
          <w:rFonts w:cs="Times New Roman"/>
          <w:color w:val="auto"/>
          <w:spacing w:val="20"/>
          <w:sz w:val="30"/>
          <w:szCs w:val="30"/>
          <w:highlight w:val="none"/>
        </w:rPr>
      </w:pPr>
    </w:p>
    <w:p w14:paraId="0E213901">
      <w:pPr>
        <w:pStyle w:val="12"/>
        <w:ind w:firstLine="686"/>
        <w:rPr>
          <w:rFonts w:cs="Times New Roman"/>
          <w:color w:val="auto"/>
          <w:spacing w:val="20"/>
          <w:sz w:val="30"/>
          <w:szCs w:val="30"/>
          <w:highlight w:val="none"/>
        </w:rPr>
        <w:sectPr>
          <w:pgSz w:w="11906" w:h="16838"/>
          <w:pgMar w:top="1440" w:right="1800" w:bottom="1440" w:left="1800" w:header="851" w:footer="992" w:gutter="0"/>
          <w:pgNumType w:start="10"/>
          <w:cols w:space="425" w:num="1"/>
          <w:docGrid w:type="lines" w:linePitch="312" w:charSpace="0"/>
        </w:sectPr>
      </w:pPr>
    </w:p>
    <w:p w14:paraId="56B23BE3">
      <w:pPr>
        <w:rPr>
          <w:b/>
          <w:bCs/>
          <w:color w:val="auto"/>
          <w:sz w:val="24"/>
          <w:szCs w:val="24"/>
          <w:highlight w:val="none"/>
        </w:rPr>
      </w:pPr>
      <w:bookmarkStart w:id="96" w:name="_Toc2823"/>
      <w:r>
        <w:rPr>
          <w:rFonts w:hint="eastAsia" w:cs="宋体"/>
          <w:b/>
          <w:bCs/>
          <w:color w:val="auto"/>
          <w:sz w:val="24"/>
          <w:szCs w:val="24"/>
          <w:highlight w:val="none"/>
        </w:rPr>
        <w:t>附件</w:t>
      </w:r>
      <w:r>
        <w:rPr>
          <w:rFonts w:hint="eastAsia" w:cs="宋体"/>
          <w:b/>
          <w:bCs/>
          <w:color w:val="auto"/>
          <w:sz w:val="24"/>
          <w:szCs w:val="24"/>
          <w:highlight w:val="none"/>
          <w:lang w:eastAsia="zh-CN"/>
        </w:rPr>
        <w:t>六</w:t>
      </w:r>
      <w:r>
        <w:rPr>
          <w:rFonts w:hint="eastAsia" w:cs="宋体"/>
          <w:b/>
          <w:bCs/>
          <w:color w:val="auto"/>
          <w:sz w:val="24"/>
          <w:szCs w:val="24"/>
          <w:highlight w:val="none"/>
        </w:rPr>
        <w:t>：</w:t>
      </w:r>
    </w:p>
    <w:p w14:paraId="3BD7278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96"/>
    </w:p>
    <w:p w14:paraId="40B8680E">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4D8C6EF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127DE6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508D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069DCC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145A4D8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67F9B33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3B7EDE4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02E3DBE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420D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504F25E">
            <w:pPr>
              <w:snapToGrid w:val="0"/>
              <w:spacing w:before="50" w:after="50"/>
              <w:jc w:val="center"/>
              <w:rPr>
                <w:rFonts w:ascii="宋体"/>
                <w:color w:val="auto"/>
                <w:sz w:val="24"/>
                <w:szCs w:val="24"/>
                <w:highlight w:val="none"/>
              </w:rPr>
            </w:pPr>
          </w:p>
        </w:tc>
        <w:tc>
          <w:tcPr>
            <w:tcW w:w="1440" w:type="dxa"/>
            <w:vAlign w:val="center"/>
          </w:tcPr>
          <w:p w14:paraId="6D888839">
            <w:pPr>
              <w:snapToGrid w:val="0"/>
              <w:spacing w:before="50" w:after="50"/>
              <w:jc w:val="center"/>
              <w:rPr>
                <w:rFonts w:ascii="宋体"/>
                <w:color w:val="auto"/>
                <w:sz w:val="24"/>
                <w:szCs w:val="24"/>
                <w:highlight w:val="none"/>
              </w:rPr>
            </w:pPr>
          </w:p>
        </w:tc>
        <w:tc>
          <w:tcPr>
            <w:tcW w:w="1980" w:type="dxa"/>
            <w:vAlign w:val="center"/>
          </w:tcPr>
          <w:p w14:paraId="007DA547">
            <w:pPr>
              <w:snapToGrid w:val="0"/>
              <w:spacing w:before="50" w:after="50"/>
              <w:jc w:val="center"/>
              <w:rPr>
                <w:rFonts w:ascii="宋体"/>
                <w:color w:val="auto"/>
                <w:sz w:val="24"/>
                <w:szCs w:val="24"/>
                <w:highlight w:val="none"/>
              </w:rPr>
            </w:pPr>
          </w:p>
        </w:tc>
        <w:tc>
          <w:tcPr>
            <w:tcW w:w="2520" w:type="dxa"/>
            <w:vAlign w:val="center"/>
          </w:tcPr>
          <w:p w14:paraId="0BFD95CF">
            <w:pPr>
              <w:snapToGrid w:val="0"/>
              <w:spacing w:before="50" w:after="50"/>
              <w:jc w:val="center"/>
              <w:rPr>
                <w:rFonts w:ascii="宋体"/>
                <w:color w:val="auto"/>
                <w:sz w:val="24"/>
                <w:szCs w:val="24"/>
                <w:highlight w:val="none"/>
              </w:rPr>
            </w:pPr>
          </w:p>
        </w:tc>
        <w:tc>
          <w:tcPr>
            <w:tcW w:w="1953" w:type="dxa"/>
            <w:vAlign w:val="center"/>
          </w:tcPr>
          <w:p w14:paraId="2F4DED1A">
            <w:pPr>
              <w:snapToGrid w:val="0"/>
              <w:spacing w:before="50" w:after="50"/>
              <w:jc w:val="center"/>
              <w:rPr>
                <w:rFonts w:ascii="宋体"/>
                <w:color w:val="auto"/>
                <w:sz w:val="24"/>
                <w:szCs w:val="24"/>
                <w:highlight w:val="none"/>
              </w:rPr>
            </w:pPr>
          </w:p>
        </w:tc>
      </w:tr>
      <w:tr w14:paraId="25A9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AC0A244">
            <w:pPr>
              <w:snapToGrid w:val="0"/>
              <w:spacing w:before="50" w:after="50"/>
              <w:jc w:val="center"/>
              <w:rPr>
                <w:rFonts w:ascii="宋体"/>
                <w:color w:val="auto"/>
                <w:sz w:val="24"/>
                <w:szCs w:val="24"/>
                <w:highlight w:val="none"/>
              </w:rPr>
            </w:pPr>
          </w:p>
        </w:tc>
        <w:tc>
          <w:tcPr>
            <w:tcW w:w="1440" w:type="dxa"/>
            <w:vAlign w:val="center"/>
          </w:tcPr>
          <w:p w14:paraId="51DB8DC3">
            <w:pPr>
              <w:snapToGrid w:val="0"/>
              <w:spacing w:before="50" w:after="50"/>
              <w:jc w:val="center"/>
              <w:rPr>
                <w:rFonts w:ascii="宋体"/>
                <w:color w:val="auto"/>
                <w:sz w:val="24"/>
                <w:szCs w:val="24"/>
                <w:highlight w:val="none"/>
              </w:rPr>
            </w:pPr>
          </w:p>
        </w:tc>
        <w:tc>
          <w:tcPr>
            <w:tcW w:w="1980" w:type="dxa"/>
            <w:vAlign w:val="center"/>
          </w:tcPr>
          <w:p w14:paraId="135C91F9">
            <w:pPr>
              <w:snapToGrid w:val="0"/>
              <w:spacing w:before="50" w:after="50"/>
              <w:jc w:val="center"/>
              <w:rPr>
                <w:rFonts w:ascii="宋体"/>
                <w:color w:val="auto"/>
                <w:sz w:val="24"/>
                <w:szCs w:val="24"/>
                <w:highlight w:val="none"/>
              </w:rPr>
            </w:pPr>
          </w:p>
        </w:tc>
        <w:tc>
          <w:tcPr>
            <w:tcW w:w="2520" w:type="dxa"/>
            <w:vAlign w:val="center"/>
          </w:tcPr>
          <w:p w14:paraId="2F2822D6">
            <w:pPr>
              <w:snapToGrid w:val="0"/>
              <w:spacing w:before="50" w:after="50"/>
              <w:jc w:val="center"/>
              <w:rPr>
                <w:rFonts w:ascii="宋体"/>
                <w:color w:val="auto"/>
                <w:sz w:val="24"/>
                <w:szCs w:val="24"/>
                <w:highlight w:val="none"/>
              </w:rPr>
            </w:pPr>
          </w:p>
        </w:tc>
        <w:tc>
          <w:tcPr>
            <w:tcW w:w="1953" w:type="dxa"/>
            <w:vAlign w:val="center"/>
          </w:tcPr>
          <w:p w14:paraId="0C1D4748">
            <w:pPr>
              <w:snapToGrid w:val="0"/>
              <w:spacing w:before="50" w:after="50"/>
              <w:jc w:val="center"/>
              <w:rPr>
                <w:rFonts w:ascii="宋体"/>
                <w:color w:val="auto"/>
                <w:sz w:val="24"/>
                <w:szCs w:val="24"/>
                <w:highlight w:val="none"/>
              </w:rPr>
            </w:pPr>
          </w:p>
        </w:tc>
      </w:tr>
      <w:tr w14:paraId="62AB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56E5FF1">
            <w:pPr>
              <w:snapToGrid w:val="0"/>
              <w:spacing w:before="50" w:after="50"/>
              <w:jc w:val="center"/>
              <w:rPr>
                <w:rFonts w:ascii="宋体"/>
                <w:color w:val="auto"/>
                <w:sz w:val="24"/>
                <w:szCs w:val="24"/>
                <w:highlight w:val="none"/>
              </w:rPr>
            </w:pPr>
          </w:p>
        </w:tc>
        <w:tc>
          <w:tcPr>
            <w:tcW w:w="1440" w:type="dxa"/>
            <w:vAlign w:val="center"/>
          </w:tcPr>
          <w:p w14:paraId="26C7F9F8">
            <w:pPr>
              <w:snapToGrid w:val="0"/>
              <w:spacing w:before="50" w:after="50"/>
              <w:jc w:val="center"/>
              <w:rPr>
                <w:rFonts w:ascii="宋体"/>
                <w:color w:val="auto"/>
                <w:sz w:val="24"/>
                <w:szCs w:val="24"/>
                <w:highlight w:val="none"/>
              </w:rPr>
            </w:pPr>
          </w:p>
        </w:tc>
        <w:tc>
          <w:tcPr>
            <w:tcW w:w="1980" w:type="dxa"/>
            <w:vAlign w:val="center"/>
          </w:tcPr>
          <w:p w14:paraId="07506B68">
            <w:pPr>
              <w:snapToGrid w:val="0"/>
              <w:spacing w:before="50" w:after="50"/>
              <w:jc w:val="center"/>
              <w:rPr>
                <w:rFonts w:ascii="宋体"/>
                <w:color w:val="auto"/>
                <w:sz w:val="24"/>
                <w:szCs w:val="24"/>
                <w:highlight w:val="none"/>
              </w:rPr>
            </w:pPr>
          </w:p>
        </w:tc>
        <w:tc>
          <w:tcPr>
            <w:tcW w:w="2520" w:type="dxa"/>
            <w:vAlign w:val="center"/>
          </w:tcPr>
          <w:p w14:paraId="6C334501">
            <w:pPr>
              <w:snapToGrid w:val="0"/>
              <w:spacing w:before="50" w:after="50"/>
              <w:jc w:val="center"/>
              <w:rPr>
                <w:rFonts w:ascii="宋体"/>
                <w:color w:val="auto"/>
                <w:sz w:val="24"/>
                <w:szCs w:val="24"/>
                <w:highlight w:val="none"/>
              </w:rPr>
            </w:pPr>
          </w:p>
        </w:tc>
        <w:tc>
          <w:tcPr>
            <w:tcW w:w="1953" w:type="dxa"/>
            <w:vAlign w:val="center"/>
          </w:tcPr>
          <w:p w14:paraId="75784579">
            <w:pPr>
              <w:snapToGrid w:val="0"/>
              <w:spacing w:before="50" w:after="50"/>
              <w:jc w:val="center"/>
              <w:rPr>
                <w:rFonts w:ascii="宋体"/>
                <w:color w:val="auto"/>
                <w:sz w:val="24"/>
                <w:szCs w:val="24"/>
                <w:highlight w:val="none"/>
              </w:rPr>
            </w:pPr>
          </w:p>
        </w:tc>
      </w:tr>
      <w:tr w14:paraId="161F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F254332">
            <w:pPr>
              <w:snapToGrid w:val="0"/>
              <w:spacing w:before="50" w:after="50"/>
              <w:jc w:val="center"/>
              <w:rPr>
                <w:rFonts w:ascii="宋体"/>
                <w:color w:val="auto"/>
                <w:sz w:val="24"/>
                <w:szCs w:val="24"/>
                <w:highlight w:val="none"/>
              </w:rPr>
            </w:pPr>
          </w:p>
        </w:tc>
        <w:tc>
          <w:tcPr>
            <w:tcW w:w="1440" w:type="dxa"/>
            <w:vAlign w:val="center"/>
          </w:tcPr>
          <w:p w14:paraId="6278B8EC">
            <w:pPr>
              <w:snapToGrid w:val="0"/>
              <w:spacing w:before="50" w:after="50"/>
              <w:jc w:val="center"/>
              <w:rPr>
                <w:rFonts w:ascii="宋体"/>
                <w:color w:val="auto"/>
                <w:sz w:val="24"/>
                <w:szCs w:val="24"/>
                <w:highlight w:val="none"/>
              </w:rPr>
            </w:pPr>
          </w:p>
        </w:tc>
        <w:tc>
          <w:tcPr>
            <w:tcW w:w="1980" w:type="dxa"/>
            <w:vAlign w:val="center"/>
          </w:tcPr>
          <w:p w14:paraId="07A2CEB1">
            <w:pPr>
              <w:snapToGrid w:val="0"/>
              <w:spacing w:before="50" w:after="50"/>
              <w:jc w:val="center"/>
              <w:rPr>
                <w:rFonts w:ascii="宋体"/>
                <w:color w:val="auto"/>
                <w:sz w:val="24"/>
                <w:szCs w:val="24"/>
                <w:highlight w:val="none"/>
              </w:rPr>
            </w:pPr>
          </w:p>
        </w:tc>
        <w:tc>
          <w:tcPr>
            <w:tcW w:w="2520" w:type="dxa"/>
            <w:vAlign w:val="center"/>
          </w:tcPr>
          <w:p w14:paraId="568FA2A2">
            <w:pPr>
              <w:snapToGrid w:val="0"/>
              <w:spacing w:before="50" w:after="50"/>
              <w:jc w:val="center"/>
              <w:rPr>
                <w:rFonts w:ascii="宋体"/>
                <w:color w:val="auto"/>
                <w:sz w:val="24"/>
                <w:szCs w:val="24"/>
                <w:highlight w:val="none"/>
              </w:rPr>
            </w:pPr>
          </w:p>
        </w:tc>
        <w:tc>
          <w:tcPr>
            <w:tcW w:w="1953" w:type="dxa"/>
            <w:vAlign w:val="center"/>
          </w:tcPr>
          <w:p w14:paraId="10D4F8BB">
            <w:pPr>
              <w:snapToGrid w:val="0"/>
              <w:spacing w:before="50" w:after="50"/>
              <w:jc w:val="center"/>
              <w:rPr>
                <w:rFonts w:ascii="宋体"/>
                <w:color w:val="auto"/>
                <w:sz w:val="24"/>
                <w:szCs w:val="24"/>
                <w:highlight w:val="none"/>
              </w:rPr>
            </w:pPr>
          </w:p>
        </w:tc>
      </w:tr>
      <w:tr w14:paraId="1525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12BCF49">
            <w:pPr>
              <w:snapToGrid w:val="0"/>
              <w:spacing w:before="50" w:after="50"/>
              <w:jc w:val="center"/>
              <w:rPr>
                <w:rFonts w:ascii="宋体"/>
                <w:color w:val="auto"/>
                <w:sz w:val="24"/>
                <w:szCs w:val="24"/>
                <w:highlight w:val="none"/>
              </w:rPr>
            </w:pPr>
          </w:p>
        </w:tc>
        <w:tc>
          <w:tcPr>
            <w:tcW w:w="1440" w:type="dxa"/>
            <w:vAlign w:val="center"/>
          </w:tcPr>
          <w:p w14:paraId="2DCDE3B0">
            <w:pPr>
              <w:snapToGrid w:val="0"/>
              <w:spacing w:before="50" w:after="50"/>
              <w:jc w:val="center"/>
              <w:rPr>
                <w:rFonts w:ascii="宋体"/>
                <w:color w:val="auto"/>
                <w:sz w:val="24"/>
                <w:szCs w:val="24"/>
                <w:highlight w:val="none"/>
              </w:rPr>
            </w:pPr>
          </w:p>
        </w:tc>
        <w:tc>
          <w:tcPr>
            <w:tcW w:w="1980" w:type="dxa"/>
            <w:vAlign w:val="center"/>
          </w:tcPr>
          <w:p w14:paraId="3A1EBD0F">
            <w:pPr>
              <w:snapToGrid w:val="0"/>
              <w:spacing w:before="50" w:after="50"/>
              <w:jc w:val="center"/>
              <w:rPr>
                <w:rFonts w:ascii="宋体"/>
                <w:color w:val="auto"/>
                <w:sz w:val="24"/>
                <w:szCs w:val="24"/>
                <w:highlight w:val="none"/>
              </w:rPr>
            </w:pPr>
          </w:p>
        </w:tc>
        <w:tc>
          <w:tcPr>
            <w:tcW w:w="2520" w:type="dxa"/>
            <w:vAlign w:val="center"/>
          </w:tcPr>
          <w:p w14:paraId="4DDD7FE1">
            <w:pPr>
              <w:snapToGrid w:val="0"/>
              <w:spacing w:before="50" w:after="50"/>
              <w:jc w:val="center"/>
              <w:rPr>
                <w:rFonts w:ascii="宋体"/>
                <w:color w:val="auto"/>
                <w:sz w:val="24"/>
                <w:szCs w:val="24"/>
                <w:highlight w:val="none"/>
              </w:rPr>
            </w:pPr>
          </w:p>
        </w:tc>
        <w:tc>
          <w:tcPr>
            <w:tcW w:w="1953" w:type="dxa"/>
            <w:vAlign w:val="center"/>
          </w:tcPr>
          <w:p w14:paraId="3C277FD3">
            <w:pPr>
              <w:snapToGrid w:val="0"/>
              <w:spacing w:before="50" w:after="50"/>
              <w:jc w:val="center"/>
              <w:rPr>
                <w:rFonts w:ascii="宋体"/>
                <w:color w:val="auto"/>
                <w:sz w:val="24"/>
                <w:szCs w:val="24"/>
                <w:highlight w:val="none"/>
              </w:rPr>
            </w:pPr>
          </w:p>
        </w:tc>
      </w:tr>
      <w:tr w14:paraId="1C1E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CBE080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517047B3">
            <w:pPr>
              <w:spacing w:line="360" w:lineRule="auto"/>
              <w:jc w:val="center"/>
              <w:rPr>
                <w:rFonts w:ascii="宋体"/>
                <w:color w:val="auto"/>
                <w:sz w:val="24"/>
                <w:szCs w:val="24"/>
                <w:highlight w:val="none"/>
              </w:rPr>
            </w:pPr>
          </w:p>
        </w:tc>
      </w:tr>
    </w:tbl>
    <w:p w14:paraId="6C2AC1A5">
      <w:pPr>
        <w:snapToGrid w:val="0"/>
        <w:spacing w:line="360" w:lineRule="auto"/>
        <w:rPr>
          <w:rFonts w:ascii="宋体"/>
          <w:color w:val="auto"/>
          <w:sz w:val="24"/>
          <w:szCs w:val="24"/>
          <w:highlight w:val="none"/>
        </w:rPr>
      </w:pPr>
    </w:p>
    <w:p w14:paraId="46C9DBFF">
      <w:pPr>
        <w:pStyle w:val="15"/>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462F3A66">
      <w:pPr>
        <w:rPr>
          <w:rFonts w:ascii="宋体"/>
          <w:color w:val="auto"/>
          <w:sz w:val="24"/>
          <w:szCs w:val="24"/>
          <w:highlight w:val="none"/>
        </w:rPr>
      </w:pPr>
    </w:p>
    <w:p w14:paraId="34CD6990">
      <w:pPr>
        <w:pStyle w:val="12"/>
        <w:rPr>
          <w:rFonts w:cs="Times New Roman"/>
          <w:color w:val="auto"/>
          <w:highlight w:val="none"/>
        </w:rPr>
      </w:pPr>
    </w:p>
    <w:p w14:paraId="32E3F13A">
      <w:pPr>
        <w:snapToGrid w:val="0"/>
        <w:spacing w:line="360" w:lineRule="auto"/>
        <w:rPr>
          <w:rFonts w:ascii="宋体"/>
          <w:color w:val="auto"/>
          <w:sz w:val="24"/>
          <w:szCs w:val="24"/>
          <w:highlight w:val="none"/>
        </w:rPr>
      </w:pPr>
    </w:p>
    <w:p w14:paraId="5684C73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签名（或签名章）：</w:t>
      </w:r>
      <w:r>
        <w:rPr>
          <w:rFonts w:ascii="宋体" w:hAnsi="宋体" w:cs="宋体"/>
          <w:color w:val="auto"/>
          <w:sz w:val="24"/>
          <w:szCs w:val="24"/>
          <w:highlight w:val="none"/>
        </w:rPr>
        <w:t xml:space="preserve">                       </w:t>
      </w:r>
    </w:p>
    <w:p w14:paraId="2C8CBF5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209646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5E7DF545">
      <w:pPr>
        <w:rPr>
          <w:color w:val="auto"/>
          <w:sz w:val="24"/>
          <w:szCs w:val="24"/>
          <w:highlight w:val="none"/>
        </w:rPr>
      </w:pPr>
      <w:r>
        <w:rPr>
          <w:color w:val="auto"/>
          <w:sz w:val="24"/>
          <w:szCs w:val="24"/>
          <w:highlight w:val="none"/>
        </w:rPr>
        <w:br w:type="page"/>
      </w:r>
    </w:p>
    <w:p w14:paraId="250D434C">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eastAsia="zh-CN"/>
        </w:rPr>
        <w:t>七</w:t>
      </w:r>
      <w:r>
        <w:rPr>
          <w:rFonts w:hint="eastAsia" w:cs="宋体"/>
          <w:b/>
          <w:bCs/>
          <w:color w:val="auto"/>
          <w:sz w:val="24"/>
          <w:szCs w:val="24"/>
          <w:highlight w:val="none"/>
        </w:rPr>
        <w:t>：</w:t>
      </w:r>
    </w:p>
    <w:p w14:paraId="3EA4316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3B595686">
      <w:pPr>
        <w:snapToGrid w:val="0"/>
        <w:spacing w:before="50"/>
        <w:jc w:val="center"/>
        <w:rPr>
          <w:rFonts w:ascii="宋体"/>
          <w:b/>
          <w:bCs/>
          <w:color w:val="auto"/>
          <w:sz w:val="32"/>
          <w:szCs w:val="32"/>
          <w:highlight w:val="none"/>
        </w:rPr>
      </w:pPr>
    </w:p>
    <w:p w14:paraId="5BF4C42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026221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0395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0F061B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3E61F92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F2C042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4CFF8B0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28FF58F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1B8F7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EE08E8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0AD1DCFC">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3C9CA0">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C287315">
            <w:pPr>
              <w:snapToGrid w:val="0"/>
              <w:spacing w:before="50" w:after="50"/>
              <w:jc w:val="center"/>
              <w:rPr>
                <w:rFonts w:ascii="宋体"/>
                <w:color w:val="auto"/>
                <w:sz w:val="24"/>
                <w:szCs w:val="24"/>
                <w:highlight w:val="none"/>
              </w:rPr>
            </w:pPr>
          </w:p>
        </w:tc>
      </w:tr>
      <w:tr w14:paraId="05180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3B3269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10DA4BE5">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B7344A">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AB266D3">
            <w:pPr>
              <w:snapToGrid w:val="0"/>
              <w:spacing w:before="50" w:after="50"/>
              <w:jc w:val="center"/>
              <w:rPr>
                <w:rFonts w:ascii="宋体"/>
                <w:color w:val="auto"/>
                <w:sz w:val="24"/>
                <w:szCs w:val="24"/>
                <w:highlight w:val="none"/>
              </w:rPr>
            </w:pPr>
          </w:p>
        </w:tc>
      </w:tr>
      <w:tr w14:paraId="2AF07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40DC5B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3ADDB182">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EED712">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A1564B1">
            <w:pPr>
              <w:snapToGrid w:val="0"/>
              <w:spacing w:before="50" w:after="50"/>
              <w:jc w:val="center"/>
              <w:rPr>
                <w:rFonts w:ascii="宋体"/>
                <w:color w:val="auto"/>
                <w:sz w:val="24"/>
                <w:szCs w:val="24"/>
                <w:highlight w:val="none"/>
              </w:rPr>
            </w:pPr>
          </w:p>
        </w:tc>
      </w:tr>
      <w:tr w14:paraId="3239A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E35981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4520B4B9">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FFBC1F">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06F8B02">
            <w:pPr>
              <w:snapToGrid w:val="0"/>
              <w:spacing w:before="50" w:after="50"/>
              <w:jc w:val="center"/>
              <w:rPr>
                <w:rFonts w:ascii="宋体"/>
                <w:color w:val="auto"/>
                <w:sz w:val="24"/>
                <w:szCs w:val="24"/>
                <w:highlight w:val="none"/>
              </w:rPr>
            </w:pPr>
          </w:p>
        </w:tc>
      </w:tr>
      <w:tr w14:paraId="3AE81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86946B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14:paraId="137FD7A3">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AC83EB">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F58E19B">
            <w:pPr>
              <w:snapToGrid w:val="0"/>
              <w:spacing w:before="50" w:after="50"/>
              <w:jc w:val="center"/>
              <w:rPr>
                <w:rFonts w:ascii="宋体"/>
                <w:color w:val="auto"/>
                <w:sz w:val="24"/>
                <w:szCs w:val="24"/>
                <w:highlight w:val="none"/>
              </w:rPr>
            </w:pPr>
          </w:p>
        </w:tc>
      </w:tr>
      <w:tr w14:paraId="0582F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623CD4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1ED4E3E5">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4A3659">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985A2FC">
            <w:pPr>
              <w:snapToGrid w:val="0"/>
              <w:spacing w:before="50" w:after="50"/>
              <w:jc w:val="center"/>
              <w:rPr>
                <w:rFonts w:ascii="宋体"/>
                <w:color w:val="auto"/>
                <w:sz w:val="24"/>
                <w:szCs w:val="24"/>
                <w:highlight w:val="none"/>
              </w:rPr>
            </w:pPr>
          </w:p>
        </w:tc>
      </w:tr>
      <w:tr w14:paraId="02F7E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5353E7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0DBE38F0">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86B836">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3AF25B1">
            <w:pPr>
              <w:snapToGrid w:val="0"/>
              <w:spacing w:before="50" w:after="50"/>
              <w:jc w:val="center"/>
              <w:rPr>
                <w:rFonts w:ascii="宋体"/>
                <w:color w:val="auto"/>
                <w:sz w:val="24"/>
                <w:szCs w:val="24"/>
                <w:highlight w:val="none"/>
              </w:rPr>
            </w:pPr>
          </w:p>
        </w:tc>
      </w:tr>
      <w:tr w14:paraId="395FD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73280EDF">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6AF5968D">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EA9BEF">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25BD560">
            <w:pPr>
              <w:snapToGrid w:val="0"/>
              <w:spacing w:before="50" w:after="50"/>
              <w:jc w:val="center"/>
              <w:rPr>
                <w:rFonts w:ascii="宋体"/>
                <w:color w:val="auto"/>
                <w:sz w:val="24"/>
                <w:szCs w:val="24"/>
                <w:highlight w:val="none"/>
              </w:rPr>
            </w:pPr>
          </w:p>
        </w:tc>
      </w:tr>
      <w:tr w14:paraId="4C9A3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E7D6AC1">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33DBAB75">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F32F46">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E7FBE99">
            <w:pPr>
              <w:snapToGrid w:val="0"/>
              <w:spacing w:before="50" w:after="50"/>
              <w:jc w:val="center"/>
              <w:rPr>
                <w:rFonts w:ascii="宋体"/>
                <w:color w:val="auto"/>
                <w:sz w:val="24"/>
                <w:szCs w:val="24"/>
                <w:highlight w:val="none"/>
              </w:rPr>
            </w:pPr>
          </w:p>
        </w:tc>
      </w:tr>
      <w:tr w14:paraId="214DC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433B46C">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1EE913E6">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83CB73">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638DC26">
            <w:pPr>
              <w:snapToGrid w:val="0"/>
              <w:spacing w:before="50" w:after="50"/>
              <w:jc w:val="center"/>
              <w:rPr>
                <w:rFonts w:ascii="宋体"/>
                <w:color w:val="auto"/>
                <w:sz w:val="24"/>
                <w:szCs w:val="24"/>
                <w:highlight w:val="none"/>
              </w:rPr>
            </w:pPr>
          </w:p>
        </w:tc>
      </w:tr>
      <w:tr w14:paraId="385EF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901CF6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6499D655">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F4EAEB">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07EE8CF">
            <w:pPr>
              <w:snapToGrid w:val="0"/>
              <w:spacing w:before="50" w:after="50"/>
              <w:jc w:val="center"/>
              <w:rPr>
                <w:rFonts w:ascii="宋体"/>
                <w:color w:val="auto"/>
                <w:sz w:val="24"/>
                <w:szCs w:val="24"/>
                <w:highlight w:val="none"/>
              </w:rPr>
            </w:pPr>
          </w:p>
        </w:tc>
      </w:tr>
    </w:tbl>
    <w:p w14:paraId="377E9087">
      <w:pPr>
        <w:spacing w:line="360" w:lineRule="auto"/>
        <w:ind w:left="3780" w:leftChars="1800" w:firstLine="480" w:firstLineChars="200"/>
        <w:rPr>
          <w:rFonts w:ascii="宋体"/>
          <w:color w:val="auto"/>
          <w:sz w:val="24"/>
          <w:szCs w:val="24"/>
          <w:highlight w:val="none"/>
        </w:rPr>
      </w:pPr>
    </w:p>
    <w:p w14:paraId="03DC8463">
      <w:pPr>
        <w:spacing w:line="360" w:lineRule="auto"/>
        <w:ind w:left="3780" w:leftChars="1800" w:firstLine="480" w:firstLineChars="200"/>
        <w:rPr>
          <w:rFonts w:ascii="宋体"/>
          <w:color w:val="auto"/>
          <w:sz w:val="24"/>
          <w:szCs w:val="24"/>
          <w:highlight w:val="none"/>
        </w:rPr>
      </w:pPr>
    </w:p>
    <w:p w14:paraId="2EDD7E5D">
      <w:pPr>
        <w:spacing w:line="360" w:lineRule="auto"/>
        <w:ind w:left="3780" w:leftChars="1800" w:firstLine="480" w:firstLineChars="200"/>
        <w:rPr>
          <w:rFonts w:ascii="宋体"/>
          <w:color w:val="auto"/>
          <w:sz w:val="24"/>
          <w:szCs w:val="24"/>
          <w:highlight w:val="none"/>
        </w:rPr>
      </w:pPr>
    </w:p>
    <w:p w14:paraId="01F89F9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签名（或签名章）：</w:t>
      </w:r>
      <w:r>
        <w:rPr>
          <w:rFonts w:ascii="宋体" w:hAnsi="宋体" w:cs="宋体"/>
          <w:color w:val="auto"/>
          <w:sz w:val="24"/>
          <w:szCs w:val="24"/>
          <w:highlight w:val="none"/>
        </w:rPr>
        <w:t xml:space="preserve">                       </w:t>
      </w:r>
    </w:p>
    <w:p w14:paraId="06EE357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27EA80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61C8838">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附件八：</w:t>
      </w:r>
    </w:p>
    <w:p w14:paraId="310D81D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68E4BD26">
      <w:pPr>
        <w:snapToGrid w:val="0"/>
        <w:spacing w:before="156" w:beforeLines="50" w:after="50"/>
        <w:jc w:val="center"/>
        <w:rPr>
          <w:rFonts w:ascii="宋体"/>
          <w:b/>
          <w:bCs/>
          <w:color w:val="auto"/>
          <w:sz w:val="30"/>
          <w:szCs w:val="30"/>
          <w:highlight w:val="none"/>
        </w:rPr>
      </w:pPr>
    </w:p>
    <w:p w14:paraId="1E69CA9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BCC9EF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9CF3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4E2A1A0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66D0AE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8EC728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A0B077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2221AF6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3C80840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2414D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F3AB525">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D492B89">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73FC070">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05F2D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054DAE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B2647C7">
            <w:pPr>
              <w:snapToGrid w:val="0"/>
              <w:spacing w:before="156" w:beforeLines="50" w:after="50" w:line="460" w:lineRule="exact"/>
              <w:rPr>
                <w:rFonts w:ascii="宋体"/>
                <w:color w:val="auto"/>
                <w:sz w:val="24"/>
                <w:szCs w:val="24"/>
                <w:highlight w:val="none"/>
              </w:rPr>
            </w:pPr>
          </w:p>
        </w:tc>
      </w:tr>
      <w:tr w14:paraId="70655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D2B943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2FC9D95">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C3C949F">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C300A7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7AFFFA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9F86A9E">
            <w:pPr>
              <w:snapToGrid w:val="0"/>
              <w:spacing w:before="156" w:beforeLines="50" w:after="50" w:line="460" w:lineRule="exact"/>
              <w:rPr>
                <w:rFonts w:ascii="宋体"/>
                <w:color w:val="auto"/>
                <w:sz w:val="24"/>
                <w:szCs w:val="24"/>
                <w:highlight w:val="none"/>
              </w:rPr>
            </w:pPr>
          </w:p>
        </w:tc>
      </w:tr>
      <w:tr w14:paraId="5724E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495459D">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905AF19">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D7C7803">
            <w:pPr>
              <w:pStyle w:val="16"/>
              <w:snapToGrid w:val="0"/>
              <w:spacing w:before="156" w:beforeLines="50" w:after="50" w:line="460" w:lineRule="exact"/>
              <w:ind w:left="500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7F4819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E920BE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7E4D1EF">
            <w:pPr>
              <w:snapToGrid w:val="0"/>
              <w:spacing w:before="156" w:beforeLines="50" w:after="50" w:line="460" w:lineRule="exact"/>
              <w:rPr>
                <w:rFonts w:ascii="宋体"/>
                <w:color w:val="auto"/>
                <w:sz w:val="24"/>
                <w:szCs w:val="24"/>
                <w:highlight w:val="none"/>
              </w:rPr>
            </w:pPr>
          </w:p>
        </w:tc>
      </w:tr>
      <w:tr w14:paraId="100C6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43DAF0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842192A">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72ABB09">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67BA89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FE169E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AA50BAB">
            <w:pPr>
              <w:snapToGrid w:val="0"/>
              <w:spacing w:before="156" w:beforeLines="50" w:after="50" w:line="460" w:lineRule="exact"/>
              <w:rPr>
                <w:rFonts w:ascii="宋体"/>
                <w:color w:val="auto"/>
                <w:sz w:val="24"/>
                <w:szCs w:val="24"/>
                <w:highlight w:val="none"/>
              </w:rPr>
            </w:pPr>
          </w:p>
        </w:tc>
      </w:tr>
      <w:tr w14:paraId="799CC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B5260E6">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E17F9C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E05B47F">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24499BB">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5F45E2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8933B6D">
            <w:pPr>
              <w:snapToGrid w:val="0"/>
              <w:spacing w:before="156" w:beforeLines="50" w:after="50" w:line="460" w:lineRule="exact"/>
              <w:rPr>
                <w:rFonts w:ascii="宋体"/>
                <w:color w:val="auto"/>
                <w:sz w:val="24"/>
                <w:szCs w:val="24"/>
                <w:highlight w:val="none"/>
              </w:rPr>
            </w:pPr>
          </w:p>
        </w:tc>
      </w:tr>
      <w:tr w14:paraId="39AB0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09B02B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2191E69">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0943239">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ECC2A4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F10A44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ABFDD80">
            <w:pPr>
              <w:snapToGrid w:val="0"/>
              <w:spacing w:before="156" w:beforeLines="50" w:after="50" w:line="460" w:lineRule="exact"/>
              <w:rPr>
                <w:rFonts w:ascii="宋体"/>
                <w:color w:val="auto"/>
                <w:sz w:val="24"/>
                <w:szCs w:val="24"/>
                <w:highlight w:val="none"/>
              </w:rPr>
            </w:pPr>
          </w:p>
        </w:tc>
      </w:tr>
      <w:tr w14:paraId="2AE2C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444EC35">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45AA38A">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3E74FD0">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159EB0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CCBBA4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A176030">
            <w:pPr>
              <w:snapToGrid w:val="0"/>
              <w:spacing w:before="156" w:beforeLines="50" w:after="50" w:line="460" w:lineRule="exact"/>
              <w:rPr>
                <w:rFonts w:ascii="宋体"/>
                <w:color w:val="auto"/>
                <w:sz w:val="24"/>
                <w:szCs w:val="24"/>
                <w:highlight w:val="none"/>
              </w:rPr>
            </w:pPr>
          </w:p>
        </w:tc>
      </w:tr>
      <w:tr w14:paraId="09F5F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F93F48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1D0E25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EE22E50">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7725F7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245A62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75D6595">
            <w:pPr>
              <w:snapToGrid w:val="0"/>
              <w:spacing w:before="156" w:beforeLines="50" w:after="50" w:line="460" w:lineRule="exact"/>
              <w:rPr>
                <w:rFonts w:ascii="宋体"/>
                <w:color w:val="auto"/>
                <w:sz w:val="24"/>
                <w:szCs w:val="24"/>
                <w:highlight w:val="none"/>
              </w:rPr>
            </w:pPr>
          </w:p>
        </w:tc>
      </w:tr>
      <w:tr w14:paraId="20379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9C5E68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C5795EE">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A8C7887">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BEE2BC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674DC7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C37FBCB">
            <w:pPr>
              <w:snapToGrid w:val="0"/>
              <w:spacing w:before="156" w:beforeLines="50" w:after="50" w:line="460" w:lineRule="exact"/>
              <w:rPr>
                <w:rFonts w:ascii="宋体"/>
                <w:color w:val="auto"/>
                <w:sz w:val="24"/>
                <w:szCs w:val="24"/>
                <w:highlight w:val="none"/>
              </w:rPr>
            </w:pPr>
          </w:p>
        </w:tc>
      </w:tr>
    </w:tbl>
    <w:p w14:paraId="6706C96C">
      <w:pPr>
        <w:adjustRightInd w:val="0"/>
        <w:snapToGrid w:val="0"/>
        <w:spacing w:line="360" w:lineRule="auto"/>
        <w:jc w:val="left"/>
        <w:rPr>
          <w:rFonts w:ascii="宋体"/>
          <w:color w:val="auto"/>
          <w:sz w:val="24"/>
          <w:szCs w:val="24"/>
          <w:highlight w:val="none"/>
        </w:rPr>
      </w:pPr>
    </w:p>
    <w:p w14:paraId="4173C0F0">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7742527E">
      <w:pPr>
        <w:snapToGrid w:val="0"/>
        <w:spacing w:before="50" w:after="156" w:afterLines="50" w:line="460" w:lineRule="exact"/>
        <w:jc w:val="left"/>
        <w:rPr>
          <w:rFonts w:ascii="宋体"/>
          <w:color w:val="auto"/>
          <w:sz w:val="24"/>
          <w:szCs w:val="24"/>
          <w:highlight w:val="none"/>
        </w:rPr>
      </w:pPr>
    </w:p>
    <w:p w14:paraId="2D8CA970">
      <w:pPr>
        <w:pStyle w:val="12"/>
        <w:rPr>
          <w:rFonts w:cs="Times New Roman"/>
          <w:color w:val="auto"/>
          <w:highlight w:val="none"/>
        </w:rPr>
      </w:pPr>
    </w:p>
    <w:p w14:paraId="0471F1E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签名（或签名章）：</w:t>
      </w:r>
      <w:r>
        <w:rPr>
          <w:rFonts w:ascii="宋体" w:hAnsi="宋体" w:cs="宋体"/>
          <w:color w:val="auto"/>
          <w:sz w:val="24"/>
          <w:szCs w:val="24"/>
          <w:highlight w:val="none"/>
        </w:rPr>
        <w:t xml:space="preserve">                       </w:t>
      </w:r>
    </w:p>
    <w:p w14:paraId="358A248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22E6C4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9CC83B9">
      <w:pPr>
        <w:spacing w:line="360" w:lineRule="auto"/>
        <w:jc w:val="center"/>
        <w:rPr>
          <w:rFonts w:ascii="宋体"/>
          <w:b/>
          <w:bCs/>
          <w:color w:val="auto"/>
          <w:sz w:val="36"/>
          <w:szCs w:val="36"/>
          <w:highlight w:val="none"/>
        </w:rPr>
      </w:pPr>
      <w:r>
        <w:rPr>
          <w:rFonts w:ascii="宋体"/>
          <w:color w:val="auto"/>
          <w:spacing w:val="20"/>
          <w:sz w:val="30"/>
          <w:szCs w:val="30"/>
          <w:highlight w:val="none"/>
        </w:rPr>
        <w:br w:type="page"/>
      </w:r>
      <w:r>
        <w:rPr>
          <w:rFonts w:hint="eastAsia" w:ascii="宋体" w:hAnsi="宋体" w:cs="宋体"/>
          <w:b/>
          <w:bCs/>
          <w:color w:val="auto"/>
          <w:sz w:val="36"/>
          <w:szCs w:val="36"/>
          <w:highlight w:val="none"/>
        </w:rPr>
        <w:t>报价文件</w:t>
      </w:r>
    </w:p>
    <w:p w14:paraId="4EA92D73">
      <w:pPr>
        <w:spacing w:line="360" w:lineRule="auto"/>
        <w:jc w:val="center"/>
        <w:rPr>
          <w:rFonts w:ascii="宋体"/>
          <w:b/>
          <w:bCs/>
          <w:color w:val="auto"/>
          <w:sz w:val="36"/>
          <w:szCs w:val="36"/>
          <w:highlight w:val="none"/>
        </w:rPr>
      </w:pPr>
    </w:p>
    <w:p w14:paraId="6CF6B2D0">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14:paraId="3969C453">
      <w:pPr>
        <w:pStyle w:val="12"/>
        <w:ind w:firstLine="723"/>
        <w:rPr>
          <w:rFonts w:cs="Times New Roman"/>
          <w:b/>
          <w:bCs/>
          <w:color w:val="auto"/>
          <w:sz w:val="36"/>
          <w:szCs w:val="36"/>
          <w:highlight w:val="none"/>
        </w:rPr>
      </w:pPr>
    </w:p>
    <w:p w14:paraId="7353D15F">
      <w:pPr>
        <w:pStyle w:val="58"/>
        <w:numPr>
          <w:ilvl w:val="0"/>
          <w:numId w:val="20"/>
        </w:numPr>
        <w:spacing w:before="0"/>
        <w:ind w:left="425" w:leftChars="0" w:hanging="425" w:firstLineChars="0"/>
        <w:rPr>
          <w:rFonts w:hint="eastAsia" w:ascii="宋体" w:hAnsi="宋体" w:cs="宋体"/>
          <w:color w:val="auto"/>
          <w:szCs w:val="24"/>
          <w:highlight w:val="none"/>
        </w:rPr>
      </w:pPr>
      <w:bookmarkStart w:id="97" w:name="_Toc3094"/>
      <w:r>
        <w:rPr>
          <w:rFonts w:hint="eastAsia" w:ascii="宋体" w:hAnsi="宋体" w:cs="宋体"/>
          <w:color w:val="auto"/>
          <w:szCs w:val="24"/>
          <w:highlight w:val="none"/>
        </w:rPr>
        <w:t>投标函（格式见附件）；</w:t>
      </w:r>
    </w:p>
    <w:p w14:paraId="2565E568">
      <w:pPr>
        <w:pStyle w:val="58"/>
        <w:numPr>
          <w:ilvl w:val="0"/>
          <w:numId w:val="20"/>
        </w:numPr>
        <w:spacing w:before="0"/>
        <w:ind w:left="425" w:leftChars="0" w:hanging="425" w:firstLineChars="0"/>
        <w:rPr>
          <w:rFonts w:hint="eastAsia" w:ascii="宋体" w:hAnsi="宋体" w:cs="宋体"/>
          <w:color w:val="auto"/>
          <w:szCs w:val="24"/>
          <w:highlight w:val="none"/>
        </w:rPr>
      </w:pPr>
      <w:r>
        <w:rPr>
          <w:rFonts w:hint="eastAsia" w:ascii="宋体" w:hAnsi="宋体" w:cs="宋体"/>
          <w:color w:val="auto"/>
          <w:szCs w:val="24"/>
          <w:highlight w:val="none"/>
        </w:rPr>
        <w:t>开标一览表（格式见附件）；</w:t>
      </w:r>
      <w:r>
        <w:rPr>
          <w:rFonts w:hint="eastAsia" w:ascii="宋体" w:hAnsi="宋体" w:cs="宋体"/>
          <w:color w:val="auto"/>
          <w:szCs w:val="24"/>
          <w:highlight w:val="none"/>
          <w:lang w:val="en-US" w:eastAsia="zh-CN"/>
        </w:rPr>
        <w:t xml:space="preserve">  </w:t>
      </w:r>
    </w:p>
    <w:p w14:paraId="1EAF1D61">
      <w:pPr>
        <w:pStyle w:val="58"/>
        <w:numPr>
          <w:ilvl w:val="0"/>
          <w:numId w:val="20"/>
        </w:numPr>
        <w:spacing w:before="0"/>
        <w:ind w:left="425" w:leftChars="0" w:hanging="425" w:firstLineChars="0"/>
        <w:rPr>
          <w:rFonts w:hint="eastAsia" w:ascii="宋体" w:hAnsi="宋体" w:cs="宋体"/>
          <w:color w:val="auto"/>
          <w:szCs w:val="24"/>
          <w:highlight w:val="none"/>
        </w:rPr>
      </w:pPr>
      <w:r>
        <w:rPr>
          <w:rFonts w:hint="eastAsia" w:ascii="宋体" w:hAnsi="宋体" w:cs="宋体"/>
          <w:color w:val="auto"/>
          <w:szCs w:val="24"/>
          <w:highlight w:val="none"/>
          <w:lang w:val="en-US" w:eastAsia="zh-CN"/>
        </w:rPr>
        <w:t xml:space="preserve">磋商报价明细表 </w:t>
      </w:r>
      <w:r>
        <w:rPr>
          <w:rFonts w:hint="eastAsia" w:ascii="宋体" w:hAnsi="宋体" w:cs="宋体"/>
          <w:color w:val="auto"/>
          <w:szCs w:val="24"/>
          <w:highlight w:val="none"/>
        </w:rPr>
        <w:t>（格式见附件）；</w:t>
      </w:r>
    </w:p>
    <w:p w14:paraId="67FA715D">
      <w:pPr>
        <w:pStyle w:val="58"/>
        <w:numPr>
          <w:ilvl w:val="0"/>
          <w:numId w:val="20"/>
        </w:numPr>
        <w:spacing w:before="0"/>
        <w:ind w:left="425" w:leftChars="0" w:hanging="425" w:firstLineChars="0"/>
        <w:rPr>
          <w:rFonts w:hint="eastAsia" w:ascii="宋体" w:hAnsi="宋体" w:cs="宋体"/>
          <w:color w:val="auto"/>
          <w:szCs w:val="24"/>
          <w:highlight w:val="none"/>
        </w:rPr>
      </w:pPr>
      <w:r>
        <w:rPr>
          <w:rFonts w:hint="eastAsia" w:ascii="宋体" w:hAnsi="宋体" w:cs="宋体"/>
          <w:color w:val="auto"/>
          <w:szCs w:val="24"/>
          <w:highlight w:val="none"/>
        </w:rPr>
        <w:t>中小企业声明函(如有)（格式见附件）；</w:t>
      </w:r>
    </w:p>
    <w:p w14:paraId="6B4933B5">
      <w:pPr>
        <w:pStyle w:val="58"/>
        <w:numPr>
          <w:ilvl w:val="0"/>
          <w:numId w:val="20"/>
        </w:numPr>
        <w:spacing w:before="0"/>
        <w:ind w:left="425" w:leftChars="0" w:hanging="425" w:firstLineChars="0"/>
        <w:rPr>
          <w:rFonts w:hint="eastAsia" w:ascii="宋体" w:hAnsi="宋体" w:cs="宋体"/>
          <w:color w:val="auto"/>
          <w:szCs w:val="24"/>
          <w:highlight w:val="none"/>
        </w:rPr>
      </w:pPr>
      <w:r>
        <w:rPr>
          <w:rFonts w:hint="eastAsia" w:ascii="宋体" w:hAnsi="宋体" w:cs="宋体"/>
          <w:color w:val="auto"/>
          <w:szCs w:val="24"/>
          <w:highlight w:val="none"/>
        </w:rPr>
        <w:t>残疾人福利性单位声明函(如有)（格式见附件）；</w:t>
      </w:r>
    </w:p>
    <w:p w14:paraId="375DBBDA">
      <w:pPr>
        <w:pStyle w:val="58"/>
        <w:numPr>
          <w:ilvl w:val="0"/>
          <w:numId w:val="20"/>
        </w:numPr>
        <w:spacing w:before="0"/>
        <w:ind w:left="425" w:leftChars="0" w:hanging="425" w:firstLineChars="0"/>
        <w:rPr>
          <w:rFonts w:hint="eastAsia" w:ascii="宋体" w:hAnsi="宋体" w:cs="宋体"/>
          <w:color w:val="auto"/>
          <w:szCs w:val="24"/>
          <w:highlight w:val="none"/>
        </w:rPr>
      </w:pPr>
      <w:r>
        <w:rPr>
          <w:rFonts w:hint="eastAsia" w:ascii="宋体" w:hAnsi="宋体" w:cs="宋体"/>
          <w:color w:val="auto"/>
          <w:szCs w:val="24"/>
          <w:highlight w:val="none"/>
        </w:rPr>
        <w:t>监狱企业证明文件(如有)（格式见附件）。</w:t>
      </w:r>
    </w:p>
    <w:p w14:paraId="44E563A1">
      <w:pPr>
        <w:pStyle w:val="58"/>
        <w:numPr>
          <w:ilvl w:val="0"/>
          <w:numId w:val="0"/>
        </w:numPr>
        <w:adjustRightInd w:val="0"/>
        <w:spacing w:before="0" w:line="360" w:lineRule="auto"/>
        <w:rPr>
          <w:rFonts w:hint="eastAsia" w:ascii="宋体" w:hAnsi="宋体" w:cs="宋体"/>
          <w:color w:val="auto"/>
          <w:szCs w:val="24"/>
          <w:highlight w:val="none"/>
        </w:rPr>
      </w:pPr>
    </w:p>
    <w:p w14:paraId="3DC6002E">
      <w:pPr>
        <w:pStyle w:val="58"/>
        <w:numPr>
          <w:ilvl w:val="0"/>
          <w:numId w:val="0"/>
        </w:numPr>
        <w:adjustRightInd w:val="0"/>
        <w:spacing w:before="0" w:line="360" w:lineRule="auto"/>
        <w:rPr>
          <w:rFonts w:hint="eastAsia" w:ascii="宋体" w:hAnsi="宋体" w:cs="宋体"/>
          <w:color w:val="auto"/>
          <w:szCs w:val="24"/>
          <w:highlight w:val="none"/>
        </w:rPr>
      </w:pPr>
    </w:p>
    <w:p w14:paraId="14DBF811">
      <w:pPr>
        <w:pStyle w:val="58"/>
        <w:numPr>
          <w:ilvl w:val="0"/>
          <w:numId w:val="0"/>
        </w:numPr>
        <w:adjustRightInd w:val="0"/>
        <w:spacing w:before="0" w:line="360" w:lineRule="auto"/>
        <w:rPr>
          <w:rFonts w:hint="eastAsia" w:ascii="宋体" w:hAnsi="宋体" w:cs="宋体"/>
          <w:color w:val="auto"/>
          <w:szCs w:val="24"/>
          <w:highlight w:val="none"/>
        </w:rPr>
      </w:pPr>
    </w:p>
    <w:p w14:paraId="6C385D58">
      <w:pPr>
        <w:pStyle w:val="58"/>
        <w:numPr>
          <w:ilvl w:val="0"/>
          <w:numId w:val="0"/>
        </w:numPr>
        <w:adjustRightInd w:val="0"/>
        <w:spacing w:before="0" w:line="360" w:lineRule="auto"/>
        <w:rPr>
          <w:rFonts w:hint="eastAsia" w:ascii="宋体" w:hAnsi="宋体" w:cs="宋体"/>
          <w:color w:val="auto"/>
          <w:szCs w:val="24"/>
          <w:highlight w:val="none"/>
        </w:rPr>
      </w:pPr>
    </w:p>
    <w:p w14:paraId="75DF7685">
      <w:pPr>
        <w:pStyle w:val="58"/>
        <w:numPr>
          <w:ilvl w:val="0"/>
          <w:numId w:val="0"/>
        </w:numPr>
        <w:adjustRightInd w:val="0"/>
        <w:spacing w:before="0" w:line="360" w:lineRule="auto"/>
        <w:rPr>
          <w:rFonts w:hint="eastAsia" w:ascii="宋体" w:hAnsi="宋体" w:cs="宋体"/>
          <w:color w:val="auto"/>
          <w:szCs w:val="24"/>
          <w:highlight w:val="none"/>
        </w:rPr>
      </w:pPr>
    </w:p>
    <w:p w14:paraId="370292A5">
      <w:pPr>
        <w:pStyle w:val="58"/>
        <w:numPr>
          <w:ilvl w:val="0"/>
          <w:numId w:val="0"/>
        </w:numPr>
        <w:adjustRightInd w:val="0"/>
        <w:spacing w:before="0" w:line="360" w:lineRule="auto"/>
        <w:rPr>
          <w:rFonts w:hint="eastAsia" w:ascii="宋体" w:hAnsi="宋体" w:cs="宋体"/>
          <w:color w:val="auto"/>
          <w:szCs w:val="24"/>
          <w:highlight w:val="none"/>
        </w:rPr>
      </w:pPr>
    </w:p>
    <w:p w14:paraId="641AC37C">
      <w:pPr>
        <w:pStyle w:val="58"/>
        <w:numPr>
          <w:ilvl w:val="0"/>
          <w:numId w:val="0"/>
        </w:numPr>
        <w:adjustRightInd w:val="0"/>
        <w:spacing w:before="0" w:line="360" w:lineRule="auto"/>
        <w:rPr>
          <w:rFonts w:hint="eastAsia" w:ascii="宋体" w:hAnsi="宋体" w:cs="宋体"/>
          <w:color w:val="auto"/>
          <w:szCs w:val="24"/>
          <w:highlight w:val="none"/>
        </w:rPr>
      </w:pPr>
    </w:p>
    <w:p w14:paraId="0D2963FD">
      <w:pPr>
        <w:pStyle w:val="58"/>
        <w:numPr>
          <w:ilvl w:val="0"/>
          <w:numId w:val="0"/>
        </w:numPr>
        <w:adjustRightInd w:val="0"/>
        <w:spacing w:before="0" w:line="360" w:lineRule="auto"/>
        <w:rPr>
          <w:rFonts w:hint="eastAsia" w:ascii="宋体" w:hAnsi="宋体" w:cs="宋体"/>
          <w:color w:val="auto"/>
          <w:szCs w:val="24"/>
          <w:highlight w:val="none"/>
        </w:rPr>
      </w:pPr>
    </w:p>
    <w:p w14:paraId="63DCE255">
      <w:pPr>
        <w:pStyle w:val="58"/>
        <w:numPr>
          <w:ilvl w:val="0"/>
          <w:numId w:val="0"/>
        </w:numPr>
        <w:adjustRightInd w:val="0"/>
        <w:spacing w:before="0" w:line="360" w:lineRule="auto"/>
        <w:rPr>
          <w:rFonts w:hint="eastAsia" w:ascii="宋体" w:hAnsi="宋体" w:cs="宋体"/>
          <w:color w:val="auto"/>
          <w:szCs w:val="24"/>
          <w:highlight w:val="none"/>
        </w:rPr>
      </w:pPr>
    </w:p>
    <w:p w14:paraId="6DF31A6F">
      <w:pPr>
        <w:pStyle w:val="58"/>
        <w:numPr>
          <w:ilvl w:val="0"/>
          <w:numId w:val="0"/>
        </w:numPr>
        <w:adjustRightInd w:val="0"/>
        <w:spacing w:before="0" w:line="360" w:lineRule="auto"/>
        <w:rPr>
          <w:rFonts w:hint="eastAsia" w:ascii="宋体" w:hAnsi="宋体" w:cs="宋体"/>
          <w:color w:val="auto"/>
          <w:szCs w:val="24"/>
          <w:highlight w:val="none"/>
        </w:rPr>
      </w:pPr>
    </w:p>
    <w:p w14:paraId="451510EA">
      <w:pPr>
        <w:pStyle w:val="58"/>
        <w:numPr>
          <w:ilvl w:val="0"/>
          <w:numId w:val="0"/>
        </w:numPr>
        <w:adjustRightInd w:val="0"/>
        <w:spacing w:before="0" w:line="360" w:lineRule="auto"/>
        <w:rPr>
          <w:rFonts w:hint="eastAsia" w:ascii="宋体" w:hAnsi="宋体" w:cs="宋体"/>
          <w:color w:val="auto"/>
          <w:szCs w:val="24"/>
          <w:highlight w:val="none"/>
        </w:rPr>
      </w:pPr>
    </w:p>
    <w:p w14:paraId="5972012A">
      <w:pPr>
        <w:pStyle w:val="58"/>
        <w:numPr>
          <w:ilvl w:val="0"/>
          <w:numId w:val="0"/>
        </w:numPr>
        <w:adjustRightInd w:val="0"/>
        <w:spacing w:before="0" w:line="360" w:lineRule="auto"/>
        <w:rPr>
          <w:rFonts w:hint="eastAsia" w:ascii="宋体" w:hAnsi="宋体" w:cs="宋体"/>
          <w:color w:val="auto"/>
          <w:szCs w:val="24"/>
          <w:highlight w:val="none"/>
        </w:rPr>
      </w:pPr>
    </w:p>
    <w:p w14:paraId="1064687C">
      <w:pPr>
        <w:pStyle w:val="58"/>
        <w:numPr>
          <w:ilvl w:val="0"/>
          <w:numId w:val="0"/>
        </w:numPr>
        <w:adjustRightInd w:val="0"/>
        <w:spacing w:before="0" w:line="360" w:lineRule="auto"/>
        <w:rPr>
          <w:rFonts w:hint="eastAsia" w:ascii="宋体" w:hAnsi="宋体" w:cs="宋体"/>
          <w:color w:val="auto"/>
          <w:szCs w:val="24"/>
          <w:highlight w:val="none"/>
        </w:rPr>
      </w:pPr>
    </w:p>
    <w:p w14:paraId="4DFFC8FA">
      <w:pPr>
        <w:pStyle w:val="58"/>
        <w:numPr>
          <w:ilvl w:val="0"/>
          <w:numId w:val="0"/>
        </w:numPr>
        <w:adjustRightInd w:val="0"/>
        <w:spacing w:before="0" w:line="360" w:lineRule="auto"/>
        <w:rPr>
          <w:rFonts w:hint="eastAsia" w:ascii="宋体" w:hAnsi="宋体" w:cs="宋体"/>
          <w:color w:val="auto"/>
          <w:szCs w:val="24"/>
          <w:highlight w:val="none"/>
        </w:rPr>
      </w:pPr>
    </w:p>
    <w:p w14:paraId="0451AEF5">
      <w:pPr>
        <w:pStyle w:val="58"/>
        <w:numPr>
          <w:ilvl w:val="0"/>
          <w:numId w:val="0"/>
        </w:numPr>
        <w:adjustRightInd w:val="0"/>
        <w:spacing w:before="0" w:line="360" w:lineRule="auto"/>
        <w:rPr>
          <w:rFonts w:hint="eastAsia" w:ascii="宋体" w:hAnsi="宋体" w:cs="宋体"/>
          <w:color w:val="auto"/>
          <w:szCs w:val="24"/>
          <w:highlight w:val="none"/>
        </w:rPr>
      </w:pPr>
    </w:p>
    <w:p w14:paraId="183709A9">
      <w:pPr>
        <w:pStyle w:val="58"/>
        <w:numPr>
          <w:ilvl w:val="0"/>
          <w:numId w:val="0"/>
        </w:numPr>
        <w:adjustRightInd w:val="0"/>
        <w:spacing w:before="0" w:line="360" w:lineRule="auto"/>
        <w:rPr>
          <w:rFonts w:hint="eastAsia" w:ascii="宋体" w:hAnsi="宋体" w:cs="宋体"/>
          <w:color w:val="auto"/>
          <w:szCs w:val="24"/>
          <w:highlight w:val="none"/>
        </w:rPr>
      </w:pPr>
    </w:p>
    <w:p w14:paraId="35B1D4A6">
      <w:pPr>
        <w:pStyle w:val="58"/>
        <w:numPr>
          <w:ilvl w:val="0"/>
          <w:numId w:val="0"/>
        </w:numPr>
        <w:adjustRightInd w:val="0"/>
        <w:spacing w:before="0" w:line="360" w:lineRule="auto"/>
        <w:rPr>
          <w:rFonts w:hint="eastAsia" w:ascii="宋体" w:hAnsi="宋体" w:cs="宋体"/>
          <w:color w:val="auto"/>
          <w:szCs w:val="24"/>
          <w:highlight w:val="none"/>
        </w:rPr>
      </w:pPr>
    </w:p>
    <w:p w14:paraId="7A9CF998">
      <w:pPr>
        <w:pStyle w:val="58"/>
        <w:numPr>
          <w:ilvl w:val="0"/>
          <w:numId w:val="0"/>
        </w:numPr>
        <w:adjustRightInd w:val="0"/>
        <w:spacing w:before="0" w:line="360" w:lineRule="auto"/>
        <w:rPr>
          <w:rFonts w:hint="eastAsia" w:ascii="宋体" w:hAnsi="宋体" w:cs="宋体"/>
          <w:color w:val="auto"/>
          <w:szCs w:val="24"/>
          <w:highlight w:val="none"/>
        </w:rPr>
      </w:pPr>
    </w:p>
    <w:p w14:paraId="3ABF4F59">
      <w:pPr>
        <w:rPr>
          <w:rFonts w:ascii="宋体"/>
          <w:b/>
          <w:bCs/>
          <w:color w:val="auto"/>
          <w:highlight w:val="none"/>
          <w:lang w:val="zh-CN"/>
        </w:rPr>
      </w:pPr>
      <w:r>
        <w:rPr>
          <w:rFonts w:hint="eastAsia" w:cs="宋体"/>
          <w:b/>
          <w:bCs/>
          <w:color w:val="auto"/>
          <w:sz w:val="24"/>
          <w:szCs w:val="24"/>
          <w:highlight w:val="none"/>
          <w:lang w:val="zh-CN"/>
        </w:rPr>
        <w:t>附件</w:t>
      </w:r>
      <w:bookmarkStart w:id="98" w:name="_Toc98731770"/>
      <w:bookmarkStart w:id="99" w:name="_Toc130094924"/>
      <w:r>
        <w:rPr>
          <w:rFonts w:hint="eastAsia" w:cs="宋体"/>
          <w:b/>
          <w:bCs/>
          <w:color w:val="auto"/>
          <w:sz w:val="24"/>
          <w:szCs w:val="24"/>
          <w:highlight w:val="none"/>
          <w:lang w:eastAsia="zh-CN"/>
        </w:rPr>
        <w:t>九</w:t>
      </w:r>
      <w:r>
        <w:rPr>
          <w:rFonts w:hint="eastAsia" w:cs="宋体"/>
          <w:b/>
          <w:bCs/>
          <w:color w:val="auto"/>
          <w:sz w:val="24"/>
          <w:szCs w:val="24"/>
          <w:highlight w:val="none"/>
        </w:rPr>
        <w:t>：</w:t>
      </w:r>
    </w:p>
    <w:p w14:paraId="4F85FEA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97"/>
      <w:bookmarkEnd w:id="98"/>
      <w:bookmarkEnd w:id="99"/>
    </w:p>
    <w:p w14:paraId="2A211D25">
      <w:pPr>
        <w:spacing w:line="360" w:lineRule="auto"/>
        <w:ind w:firstLine="480" w:firstLineChars="200"/>
        <w:rPr>
          <w:rFonts w:ascii="宋体"/>
          <w:color w:val="auto"/>
          <w:sz w:val="24"/>
          <w:szCs w:val="24"/>
          <w:highlight w:val="none"/>
          <w:u w:val="single"/>
        </w:rPr>
      </w:pPr>
    </w:p>
    <w:p w14:paraId="5FC8288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绍兴市上虞区商务局</w:t>
      </w:r>
      <w:r>
        <w:rPr>
          <w:rFonts w:hint="eastAsia" w:ascii="宋体" w:hAnsi="宋体" w:cs="宋体"/>
          <w:color w:val="auto"/>
          <w:sz w:val="24"/>
          <w:szCs w:val="24"/>
          <w:highlight w:val="none"/>
        </w:rPr>
        <w:t>：</w:t>
      </w:r>
    </w:p>
    <w:p w14:paraId="25BB9FF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浙江省成套工程有限公司：</w:t>
      </w:r>
    </w:p>
    <w:p w14:paraId="439F2D17">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37F9F32A">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4"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k9JBrSAAAABwEAAA8AAAAA&#10;AAAAAQAgAAAAIgAAAGRycy9kb3ducmV2LnhtbFBLAQIUABQAAAAIAIdO4kAo82PL4QEAANkDAAAO&#10;AAAAAAAAAAEAIAAAACEBAABkcnMvZTJvRG9jLnhtbFBLBQYAAAAABgAGAFkBAAB0BQ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238CAA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26A31EF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3442A61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4E5715F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2581630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57728B74">
      <w:pPr>
        <w:pStyle w:val="15"/>
        <w:snapToGrid w:val="0"/>
        <w:spacing w:line="360" w:lineRule="auto"/>
        <w:ind w:left="480"/>
        <w:rPr>
          <w:rFonts w:hAnsi="宋体"/>
          <w:color w:val="auto"/>
          <w:sz w:val="24"/>
          <w:szCs w:val="24"/>
          <w:highlight w:val="none"/>
        </w:rPr>
      </w:pPr>
      <w:r>
        <w:rPr>
          <w:rFonts w:hAnsi="宋体"/>
          <w:color w:val="auto"/>
          <w:sz w:val="24"/>
          <w:szCs w:val="24"/>
          <w:highlight w:val="none"/>
        </w:rPr>
        <w:t xml:space="preserve"> </w:t>
      </w:r>
    </w:p>
    <w:p w14:paraId="5CAB920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3362774B">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7416E65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5EEA5B5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5C74DBF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42BFDEC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签名（或签名章）：</w:t>
      </w:r>
      <w:r>
        <w:rPr>
          <w:rFonts w:ascii="宋体" w:hAnsi="宋体" w:cs="宋体"/>
          <w:color w:val="auto"/>
          <w:sz w:val="24"/>
          <w:szCs w:val="24"/>
          <w:highlight w:val="none"/>
        </w:rPr>
        <w:t xml:space="preserve">                       </w:t>
      </w:r>
    </w:p>
    <w:p w14:paraId="3B2409A8">
      <w:pPr>
        <w:spacing w:line="360" w:lineRule="auto"/>
        <w:ind w:left="3780" w:leftChars="18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F4194CE">
      <w:pPr>
        <w:pStyle w:val="5"/>
        <w:rPr>
          <w:rFonts w:hint="eastAsia" w:ascii="宋体" w:hAnsi="宋体" w:cs="宋体"/>
          <w:color w:val="auto"/>
          <w:sz w:val="24"/>
          <w:szCs w:val="24"/>
          <w:highlight w:val="none"/>
        </w:rPr>
      </w:pPr>
    </w:p>
    <w:p w14:paraId="2454C7BB">
      <w:pPr>
        <w:pStyle w:val="6"/>
        <w:rPr>
          <w:color w:val="auto"/>
          <w:highlight w:val="none"/>
        </w:rPr>
      </w:pPr>
    </w:p>
    <w:p w14:paraId="7694BD77">
      <w:pPr>
        <w:pStyle w:val="12"/>
        <w:rPr>
          <w:color w:val="auto"/>
        </w:rPr>
      </w:pPr>
    </w:p>
    <w:p w14:paraId="141D6AC9">
      <w:pPr>
        <w:rPr>
          <w:rFonts w:hint="eastAsia" w:cs="宋体"/>
          <w:b/>
          <w:bCs/>
          <w:color w:val="auto"/>
          <w:sz w:val="24"/>
          <w:szCs w:val="24"/>
          <w:highlight w:val="none"/>
          <w:lang w:val="zh-CN"/>
        </w:rPr>
      </w:pPr>
    </w:p>
    <w:p w14:paraId="709F2267">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rPr>
        <w:t>十：</w:t>
      </w:r>
    </w:p>
    <w:p w14:paraId="0BCFC79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p>
    <w:p w14:paraId="570DAB2A">
      <w:pPr>
        <w:pStyle w:val="15"/>
        <w:spacing w:line="360" w:lineRule="auto"/>
        <w:rPr>
          <w:rFonts w:hAnsi="宋体" w:cs="Times New Roman"/>
          <w:color w:val="auto"/>
          <w:sz w:val="24"/>
          <w:szCs w:val="24"/>
          <w:highlight w:val="none"/>
        </w:rPr>
      </w:pPr>
    </w:p>
    <w:p w14:paraId="7A4C30E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F648BA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27CB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05B0439D">
            <w:pPr>
              <w:pStyle w:val="15"/>
              <w:spacing w:line="360" w:lineRule="auto"/>
              <w:jc w:val="center"/>
              <w:rPr>
                <w:rFonts w:hint="eastAsia" w:hAnsi="宋体"/>
                <w:b/>
                <w:bCs/>
                <w:color w:val="auto"/>
                <w:sz w:val="24"/>
                <w:szCs w:val="24"/>
                <w:highlight w:val="none"/>
              </w:rPr>
            </w:pPr>
            <w:r>
              <w:rPr>
                <w:rFonts w:hint="eastAsia" w:hAnsi="宋体"/>
                <w:b/>
                <w:bCs/>
                <w:color w:val="auto"/>
                <w:sz w:val="24"/>
                <w:szCs w:val="24"/>
                <w:highlight w:val="none"/>
              </w:rPr>
              <w:t>最</w:t>
            </w:r>
            <w:r>
              <w:rPr>
                <w:rFonts w:hint="eastAsia" w:hAnsi="宋体"/>
                <w:b/>
                <w:bCs/>
                <w:color w:val="auto"/>
                <w:sz w:val="24"/>
                <w:szCs w:val="24"/>
                <w:highlight w:val="none"/>
                <w:lang w:val="en-US" w:eastAsia="zh-CN"/>
              </w:rPr>
              <w:t>低</w:t>
            </w:r>
            <w:r>
              <w:rPr>
                <w:rFonts w:hint="eastAsia" w:hAnsi="宋体"/>
                <w:b/>
                <w:bCs/>
                <w:color w:val="auto"/>
                <w:sz w:val="24"/>
                <w:szCs w:val="24"/>
                <w:highlight w:val="none"/>
              </w:rPr>
              <w:t>赔偿额度</w:t>
            </w:r>
          </w:p>
        </w:tc>
        <w:tc>
          <w:tcPr>
            <w:tcW w:w="6707" w:type="dxa"/>
            <w:vAlign w:val="center"/>
          </w:tcPr>
          <w:p w14:paraId="0B6A175C">
            <w:pPr>
              <w:pStyle w:val="15"/>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lang w:val="en-US" w:eastAsia="zh-CN"/>
              </w:rPr>
              <w:t xml:space="preserve"> </w:t>
            </w:r>
            <w:r>
              <w:rPr>
                <w:rFonts w:hint="eastAsia" w:hAnsi="宋体"/>
                <w:b/>
                <w:bCs/>
                <w:color w:val="auto"/>
                <w:sz w:val="24"/>
                <w:szCs w:val="24"/>
                <w:highlight w:val="none"/>
              </w:rPr>
              <w:t>（小写：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w:t>
            </w:r>
          </w:p>
        </w:tc>
      </w:tr>
      <w:tr w14:paraId="37CB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4458EE80">
            <w:pPr>
              <w:pStyle w:val="15"/>
              <w:spacing w:line="360" w:lineRule="auto"/>
              <w:jc w:val="center"/>
              <w:rPr>
                <w:rFonts w:hint="eastAsia" w:hAnsi="宋体"/>
                <w:b/>
                <w:bCs/>
                <w:color w:val="auto"/>
                <w:sz w:val="24"/>
                <w:szCs w:val="24"/>
                <w:highlight w:val="none"/>
              </w:rPr>
            </w:pPr>
            <w:r>
              <w:rPr>
                <w:rFonts w:hint="eastAsia" w:hAnsi="宋体"/>
                <w:b/>
                <w:bCs/>
                <w:color w:val="auto"/>
                <w:sz w:val="24"/>
                <w:szCs w:val="24"/>
                <w:highlight w:val="none"/>
                <w:lang w:eastAsia="zh-CN"/>
              </w:rPr>
              <w:t>最低赔付率</w:t>
            </w:r>
          </w:p>
        </w:tc>
        <w:tc>
          <w:tcPr>
            <w:tcW w:w="6707" w:type="dxa"/>
            <w:vAlign w:val="center"/>
          </w:tcPr>
          <w:p w14:paraId="24A2F06C">
            <w:pPr>
              <w:pStyle w:val="15"/>
              <w:spacing w:line="360" w:lineRule="auto"/>
              <w:jc w:val="center"/>
              <w:rPr>
                <w:rFonts w:hint="eastAsia" w:hAnsi="宋体"/>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lang w:val="en-US" w:eastAsia="zh-CN"/>
              </w:rPr>
              <w:t xml:space="preserve"> </w:t>
            </w:r>
            <w:r>
              <w:rPr>
                <w:rFonts w:hint="eastAsia" w:hAnsi="宋体"/>
                <w:b/>
                <w:bCs/>
                <w:color w:val="auto"/>
                <w:sz w:val="24"/>
                <w:szCs w:val="24"/>
                <w:highlight w:val="none"/>
              </w:rPr>
              <w:t>（小写：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w:t>
            </w:r>
          </w:p>
        </w:tc>
      </w:tr>
      <w:tr w14:paraId="6374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56E94A8B">
            <w:pPr>
              <w:widowControl/>
              <w:jc w:val="left"/>
              <w:rPr>
                <w:rFonts w:hAnsi="宋体"/>
                <w:b/>
                <w:bCs/>
                <w:color w:val="auto"/>
                <w:sz w:val="24"/>
                <w:szCs w:val="24"/>
                <w:highlight w:val="none"/>
              </w:rPr>
            </w:pPr>
            <w:r>
              <w:rPr>
                <w:rFonts w:hint="eastAsia" w:ascii="宋体" w:hAnsi="宋体" w:eastAsia="宋体" w:cs="宋体"/>
                <w:b/>
                <w:bCs/>
                <w:color w:val="auto"/>
                <w:sz w:val="24"/>
                <w:szCs w:val="24"/>
                <w:highlight w:val="none"/>
              </w:rPr>
              <w:t>投标报价应包含项目所需全部服务，不得缺漏，是履行合同的最终价格，包括</w:t>
            </w:r>
            <w:r>
              <w:rPr>
                <w:rFonts w:hint="eastAsia" w:hAnsi="宋体" w:cs="宋体"/>
                <w:b/>
                <w:bCs/>
                <w:color w:val="auto"/>
                <w:sz w:val="24"/>
                <w:szCs w:val="24"/>
                <w:highlight w:val="none"/>
                <w:lang w:eastAsia="zh-CN"/>
              </w:rPr>
              <w:t>服务内容</w:t>
            </w:r>
            <w:r>
              <w:rPr>
                <w:rFonts w:hint="eastAsia" w:ascii="宋体" w:hAnsi="宋体" w:eastAsia="宋体" w:cs="宋体"/>
                <w:b/>
                <w:bCs/>
                <w:color w:val="auto"/>
                <w:sz w:val="24"/>
                <w:szCs w:val="24"/>
                <w:highlight w:val="none"/>
              </w:rPr>
              <w:t>、税金、代理服务费及不可预见费用等一切费用。凡投标人在报价中未列明但又为本次采购所必备的项目或遗漏项目，采购方将一律视为已包括在合同价中，在合同执行中将不予考虑。</w:t>
            </w:r>
          </w:p>
        </w:tc>
      </w:tr>
    </w:tbl>
    <w:p w14:paraId="3C512F74">
      <w:pPr>
        <w:pStyle w:val="15"/>
        <w:spacing w:line="360" w:lineRule="auto"/>
        <w:rPr>
          <w:rFonts w:hAnsi="宋体" w:cs="Times New Roman"/>
          <w:color w:val="auto"/>
          <w:sz w:val="24"/>
          <w:szCs w:val="24"/>
          <w:highlight w:val="none"/>
        </w:rPr>
      </w:pPr>
    </w:p>
    <w:p w14:paraId="40EBF7FC">
      <w:pPr>
        <w:pStyle w:val="15"/>
        <w:spacing w:line="360" w:lineRule="auto"/>
        <w:rPr>
          <w:rFonts w:hAnsi="宋体" w:cs="Times New Roman"/>
          <w:color w:val="auto"/>
          <w:sz w:val="24"/>
          <w:szCs w:val="24"/>
          <w:highlight w:val="none"/>
        </w:rPr>
      </w:pPr>
    </w:p>
    <w:p w14:paraId="042D7125">
      <w:pPr>
        <w:pStyle w:val="15"/>
        <w:spacing w:line="360" w:lineRule="auto"/>
        <w:rPr>
          <w:rFonts w:hAnsi="宋体" w:cs="Times New Roman"/>
          <w:color w:val="auto"/>
          <w:sz w:val="24"/>
          <w:szCs w:val="24"/>
          <w:highlight w:val="none"/>
        </w:rPr>
      </w:pPr>
    </w:p>
    <w:p w14:paraId="2E9139C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签名（或签名章）：</w:t>
      </w:r>
      <w:r>
        <w:rPr>
          <w:rFonts w:ascii="宋体" w:hAnsi="宋体" w:cs="宋体"/>
          <w:color w:val="auto"/>
          <w:sz w:val="24"/>
          <w:szCs w:val="24"/>
          <w:highlight w:val="none"/>
        </w:rPr>
        <w:t xml:space="preserve">                       </w:t>
      </w:r>
    </w:p>
    <w:p w14:paraId="69B803F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925AE5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B09EF07">
      <w:pPr>
        <w:snapToGrid w:val="0"/>
        <w:spacing w:line="360" w:lineRule="auto"/>
        <w:ind w:firstLine="435"/>
        <w:rPr>
          <w:rFonts w:ascii="宋体"/>
          <w:color w:val="auto"/>
          <w:highlight w:val="none"/>
        </w:rPr>
      </w:pPr>
    </w:p>
    <w:p w14:paraId="1722581D">
      <w:pPr>
        <w:snapToGrid w:val="0"/>
        <w:spacing w:line="360" w:lineRule="auto"/>
        <w:ind w:firstLine="435"/>
        <w:rPr>
          <w:rFonts w:ascii="宋体"/>
          <w:color w:val="auto"/>
          <w:highlight w:val="none"/>
        </w:rPr>
      </w:pPr>
    </w:p>
    <w:p w14:paraId="3A8E5172">
      <w:pPr>
        <w:snapToGrid w:val="0"/>
        <w:spacing w:line="360" w:lineRule="auto"/>
        <w:ind w:firstLine="435"/>
        <w:rPr>
          <w:rFonts w:ascii="宋体"/>
          <w:color w:val="auto"/>
          <w:highlight w:val="none"/>
        </w:rPr>
      </w:pPr>
    </w:p>
    <w:p w14:paraId="6EA58586">
      <w:pPr>
        <w:snapToGrid w:val="0"/>
        <w:spacing w:line="360" w:lineRule="auto"/>
        <w:ind w:firstLine="435"/>
        <w:rPr>
          <w:rFonts w:ascii="宋体"/>
          <w:color w:val="auto"/>
          <w:highlight w:val="none"/>
        </w:rPr>
      </w:pPr>
    </w:p>
    <w:p w14:paraId="3306B56B">
      <w:pPr>
        <w:snapToGrid w:val="0"/>
        <w:spacing w:line="360" w:lineRule="auto"/>
        <w:ind w:firstLine="435"/>
        <w:rPr>
          <w:rFonts w:ascii="宋体"/>
          <w:color w:val="auto"/>
          <w:highlight w:val="none"/>
        </w:rPr>
      </w:pPr>
    </w:p>
    <w:p w14:paraId="0C302CF0">
      <w:pPr>
        <w:spacing w:line="360" w:lineRule="auto"/>
        <w:jc w:val="left"/>
        <w:rPr>
          <w:rFonts w:ascii="宋体"/>
          <w:b/>
          <w:bCs/>
          <w:color w:val="auto"/>
          <w:sz w:val="24"/>
          <w:szCs w:val="24"/>
          <w:highlight w:val="none"/>
          <w:lang w:val="zh-CN"/>
        </w:rPr>
      </w:pPr>
      <w:r>
        <w:rPr>
          <w:rFonts w:ascii="宋体"/>
          <w:color w:val="auto"/>
          <w:highlight w:val="none"/>
        </w:rPr>
        <w:br w:type="page"/>
      </w:r>
      <w:r>
        <w:rPr>
          <w:rFonts w:hint="eastAsia" w:ascii="宋体" w:hAnsi="宋体" w:cs="宋体"/>
          <w:b/>
          <w:bCs/>
          <w:color w:val="auto"/>
          <w:sz w:val="24"/>
          <w:szCs w:val="24"/>
          <w:highlight w:val="none"/>
          <w:lang w:val="zh-CN"/>
        </w:rPr>
        <w:t>附件十</w:t>
      </w:r>
      <w:r>
        <w:rPr>
          <w:rFonts w:hint="eastAsia" w:hAnsi="宋体" w:cs="宋体"/>
          <w:b/>
          <w:bCs/>
          <w:color w:val="auto"/>
          <w:sz w:val="24"/>
          <w:szCs w:val="24"/>
          <w:highlight w:val="none"/>
          <w:lang w:val="zh-CN"/>
        </w:rPr>
        <w:t>一</w:t>
      </w:r>
      <w:r>
        <w:rPr>
          <w:rFonts w:hint="eastAsia" w:ascii="宋体" w:hAnsi="宋体" w:cs="宋体"/>
          <w:b/>
          <w:bCs/>
          <w:color w:val="auto"/>
          <w:sz w:val="24"/>
          <w:szCs w:val="24"/>
          <w:highlight w:val="none"/>
          <w:lang w:val="zh-CN"/>
        </w:rPr>
        <w:t>：</w:t>
      </w:r>
    </w:p>
    <w:p w14:paraId="7A9BDD04">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63E18EB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4EA71A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8"/>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0"/>
        <w:gridCol w:w="915"/>
        <w:gridCol w:w="1875"/>
        <w:gridCol w:w="495"/>
        <w:gridCol w:w="498"/>
        <w:gridCol w:w="1147"/>
        <w:gridCol w:w="1123"/>
      </w:tblGrid>
      <w:tr w14:paraId="5917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restart"/>
            <w:vAlign w:val="center"/>
          </w:tcPr>
          <w:p w14:paraId="6CDAF2F7">
            <w:pPr>
              <w:pStyle w:val="15"/>
              <w:spacing w:line="360" w:lineRule="auto"/>
              <w:jc w:val="center"/>
              <w:rPr>
                <w:rFonts w:hAnsi="宋体"/>
                <w:color w:val="auto"/>
                <w:sz w:val="22"/>
                <w:szCs w:val="22"/>
                <w:highlight w:val="none"/>
              </w:rPr>
            </w:pPr>
            <w:r>
              <w:rPr>
                <w:rFonts w:hint="eastAsia" w:hAnsi="宋体"/>
                <w:color w:val="auto"/>
                <w:sz w:val="22"/>
                <w:szCs w:val="22"/>
                <w:highlight w:val="none"/>
              </w:rPr>
              <w:t>序</w:t>
            </w:r>
          </w:p>
          <w:p w14:paraId="44DBFEF4">
            <w:pPr>
              <w:pStyle w:val="15"/>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0" w:type="dxa"/>
            <w:vMerge w:val="restart"/>
            <w:vAlign w:val="center"/>
          </w:tcPr>
          <w:p w14:paraId="5BE1C887">
            <w:pPr>
              <w:pStyle w:val="15"/>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14:paraId="6EEDBF48">
            <w:pPr>
              <w:pStyle w:val="15"/>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5" w:type="dxa"/>
            <w:vMerge w:val="restart"/>
            <w:vAlign w:val="center"/>
          </w:tcPr>
          <w:p w14:paraId="346D9CBC">
            <w:pPr>
              <w:pStyle w:val="15"/>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14:paraId="0E46A81D">
            <w:pPr>
              <w:pStyle w:val="15"/>
              <w:spacing w:line="360" w:lineRule="auto"/>
              <w:jc w:val="center"/>
              <w:rPr>
                <w:rFonts w:hAnsi="宋体"/>
                <w:color w:val="auto"/>
                <w:sz w:val="22"/>
                <w:szCs w:val="22"/>
                <w:highlight w:val="none"/>
              </w:rPr>
            </w:pPr>
            <w:r>
              <w:rPr>
                <w:rFonts w:hint="eastAsia" w:hAnsi="宋体"/>
                <w:color w:val="auto"/>
                <w:sz w:val="22"/>
                <w:szCs w:val="22"/>
                <w:highlight w:val="none"/>
              </w:rPr>
              <w:t>单</w:t>
            </w:r>
          </w:p>
          <w:p w14:paraId="67273798">
            <w:pPr>
              <w:pStyle w:val="15"/>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14:paraId="25F27CEB">
            <w:pPr>
              <w:pStyle w:val="15"/>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0" w:type="dxa"/>
            <w:gridSpan w:val="2"/>
            <w:vAlign w:val="center"/>
          </w:tcPr>
          <w:p w14:paraId="5DD4FE54">
            <w:pPr>
              <w:pStyle w:val="15"/>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5AE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continue"/>
            <w:vAlign w:val="center"/>
          </w:tcPr>
          <w:p w14:paraId="61D3B9A6">
            <w:pPr>
              <w:pStyle w:val="15"/>
              <w:spacing w:line="360" w:lineRule="auto"/>
              <w:jc w:val="center"/>
              <w:rPr>
                <w:rFonts w:hAnsi="宋体"/>
                <w:color w:val="auto"/>
                <w:sz w:val="22"/>
                <w:szCs w:val="22"/>
                <w:highlight w:val="none"/>
              </w:rPr>
            </w:pPr>
          </w:p>
        </w:tc>
        <w:tc>
          <w:tcPr>
            <w:tcW w:w="2490" w:type="dxa"/>
            <w:vMerge w:val="continue"/>
            <w:vAlign w:val="center"/>
          </w:tcPr>
          <w:p w14:paraId="301D2BC7">
            <w:pPr>
              <w:pStyle w:val="15"/>
              <w:spacing w:line="360" w:lineRule="auto"/>
              <w:jc w:val="center"/>
              <w:rPr>
                <w:rFonts w:hAnsi="宋体"/>
                <w:color w:val="auto"/>
                <w:sz w:val="22"/>
                <w:szCs w:val="22"/>
                <w:highlight w:val="none"/>
              </w:rPr>
            </w:pPr>
          </w:p>
        </w:tc>
        <w:tc>
          <w:tcPr>
            <w:tcW w:w="915" w:type="dxa"/>
            <w:vMerge w:val="continue"/>
            <w:vAlign w:val="center"/>
          </w:tcPr>
          <w:p w14:paraId="2C94F331">
            <w:pPr>
              <w:pStyle w:val="15"/>
              <w:spacing w:line="360" w:lineRule="auto"/>
              <w:jc w:val="center"/>
              <w:rPr>
                <w:rFonts w:hAnsi="宋体"/>
                <w:color w:val="auto"/>
                <w:sz w:val="22"/>
                <w:szCs w:val="22"/>
                <w:highlight w:val="none"/>
              </w:rPr>
            </w:pPr>
          </w:p>
        </w:tc>
        <w:tc>
          <w:tcPr>
            <w:tcW w:w="1875" w:type="dxa"/>
            <w:vMerge w:val="continue"/>
            <w:vAlign w:val="center"/>
          </w:tcPr>
          <w:p w14:paraId="38A5EF30">
            <w:pPr>
              <w:pStyle w:val="15"/>
              <w:spacing w:line="360" w:lineRule="auto"/>
              <w:jc w:val="center"/>
              <w:rPr>
                <w:rFonts w:hAnsi="宋体"/>
                <w:color w:val="auto"/>
                <w:sz w:val="22"/>
                <w:szCs w:val="22"/>
                <w:highlight w:val="none"/>
              </w:rPr>
            </w:pPr>
          </w:p>
        </w:tc>
        <w:tc>
          <w:tcPr>
            <w:tcW w:w="495" w:type="dxa"/>
            <w:vMerge w:val="continue"/>
            <w:vAlign w:val="center"/>
          </w:tcPr>
          <w:p w14:paraId="3911C1EE">
            <w:pPr>
              <w:pStyle w:val="15"/>
              <w:spacing w:line="360" w:lineRule="auto"/>
              <w:jc w:val="center"/>
              <w:rPr>
                <w:rFonts w:hAnsi="宋体"/>
                <w:color w:val="auto"/>
                <w:sz w:val="22"/>
                <w:szCs w:val="22"/>
                <w:highlight w:val="none"/>
              </w:rPr>
            </w:pPr>
          </w:p>
        </w:tc>
        <w:tc>
          <w:tcPr>
            <w:tcW w:w="498" w:type="dxa"/>
            <w:vMerge w:val="continue"/>
            <w:vAlign w:val="center"/>
          </w:tcPr>
          <w:p w14:paraId="70C5FDF9">
            <w:pPr>
              <w:pStyle w:val="15"/>
              <w:spacing w:line="360" w:lineRule="auto"/>
              <w:jc w:val="center"/>
              <w:rPr>
                <w:rFonts w:hAnsi="宋体"/>
                <w:color w:val="auto"/>
                <w:sz w:val="22"/>
                <w:szCs w:val="22"/>
                <w:highlight w:val="none"/>
              </w:rPr>
            </w:pPr>
          </w:p>
        </w:tc>
        <w:tc>
          <w:tcPr>
            <w:tcW w:w="1147" w:type="dxa"/>
            <w:vAlign w:val="center"/>
          </w:tcPr>
          <w:p w14:paraId="689227F2">
            <w:pPr>
              <w:pStyle w:val="15"/>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3" w:type="dxa"/>
            <w:vAlign w:val="center"/>
          </w:tcPr>
          <w:p w14:paraId="4F981D98">
            <w:pPr>
              <w:pStyle w:val="15"/>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2854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24D7CE73">
            <w:pPr>
              <w:pStyle w:val="15"/>
              <w:jc w:val="center"/>
              <w:rPr>
                <w:rFonts w:hAnsi="宋体"/>
                <w:color w:val="auto"/>
                <w:sz w:val="22"/>
                <w:szCs w:val="22"/>
                <w:highlight w:val="none"/>
              </w:rPr>
            </w:pPr>
            <w:r>
              <w:rPr>
                <w:rFonts w:hint="eastAsia" w:hAnsi="宋体"/>
                <w:color w:val="auto"/>
                <w:sz w:val="22"/>
                <w:szCs w:val="22"/>
                <w:highlight w:val="none"/>
              </w:rPr>
              <w:t>1</w:t>
            </w:r>
          </w:p>
        </w:tc>
        <w:tc>
          <w:tcPr>
            <w:tcW w:w="2490" w:type="dxa"/>
            <w:vAlign w:val="center"/>
          </w:tcPr>
          <w:p w14:paraId="2D744D0F">
            <w:pPr>
              <w:pStyle w:val="15"/>
              <w:rPr>
                <w:rFonts w:hAnsi="宋体"/>
                <w:color w:val="auto"/>
                <w:sz w:val="22"/>
                <w:szCs w:val="22"/>
                <w:highlight w:val="none"/>
              </w:rPr>
            </w:pPr>
          </w:p>
        </w:tc>
        <w:tc>
          <w:tcPr>
            <w:tcW w:w="915" w:type="dxa"/>
            <w:vAlign w:val="center"/>
          </w:tcPr>
          <w:p w14:paraId="5C7F6075">
            <w:pPr>
              <w:pStyle w:val="15"/>
              <w:spacing w:line="360" w:lineRule="auto"/>
              <w:rPr>
                <w:rFonts w:hAnsi="宋体"/>
                <w:b/>
                <w:bCs/>
                <w:color w:val="auto"/>
                <w:sz w:val="22"/>
                <w:szCs w:val="22"/>
                <w:highlight w:val="none"/>
              </w:rPr>
            </w:pPr>
          </w:p>
        </w:tc>
        <w:tc>
          <w:tcPr>
            <w:tcW w:w="1875" w:type="dxa"/>
            <w:vAlign w:val="center"/>
          </w:tcPr>
          <w:p w14:paraId="14F88022">
            <w:pPr>
              <w:pStyle w:val="15"/>
              <w:spacing w:line="360" w:lineRule="auto"/>
              <w:rPr>
                <w:rFonts w:hAnsi="宋体"/>
                <w:b/>
                <w:bCs/>
                <w:color w:val="auto"/>
                <w:sz w:val="22"/>
                <w:szCs w:val="22"/>
                <w:highlight w:val="none"/>
              </w:rPr>
            </w:pPr>
          </w:p>
        </w:tc>
        <w:tc>
          <w:tcPr>
            <w:tcW w:w="495" w:type="dxa"/>
            <w:vAlign w:val="center"/>
          </w:tcPr>
          <w:p w14:paraId="42C80881">
            <w:pPr>
              <w:pStyle w:val="15"/>
              <w:spacing w:line="360" w:lineRule="auto"/>
              <w:rPr>
                <w:rFonts w:hAnsi="宋体"/>
                <w:b/>
                <w:bCs/>
                <w:color w:val="auto"/>
                <w:sz w:val="22"/>
                <w:szCs w:val="22"/>
                <w:highlight w:val="none"/>
              </w:rPr>
            </w:pPr>
          </w:p>
        </w:tc>
        <w:tc>
          <w:tcPr>
            <w:tcW w:w="498" w:type="dxa"/>
            <w:vAlign w:val="center"/>
          </w:tcPr>
          <w:p w14:paraId="7FD118DE">
            <w:pPr>
              <w:pStyle w:val="15"/>
              <w:spacing w:line="360" w:lineRule="auto"/>
              <w:rPr>
                <w:rFonts w:hAnsi="宋体"/>
                <w:b/>
                <w:bCs/>
                <w:color w:val="auto"/>
                <w:sz w:val="22"/>
                <w:szCs w:val="22"/>
                <w:highlight w:val="none"/>
              </w:rPr>
            </w:pPr>
          </w:p>
        </w:tc>
        <w:tc>
          <w:tcPr>
            <w:tcW w:w="1147" w:type="dxa"/>
          </w:tcPr>
          <w:p w14:paraId="429DB973">
            <w:pPr>
              <w:pStyle w:val="15"/>
              <w:spacing w:line="360" w:lineRule="auto"/>
              <w:rPr>
                <w:rFonts w:hAnsi="宋体"/>
                <w:color w:val="auto"/>
                <w:sz w:val="22"/>
                <w:szCs w:val="22"/>
                <w:highlight w:val="none"/>
              </w:rPr>
            </w:pPr>
          </w:p>
        </w:tc>
        <w:tc>
          <w:tcPr>
            <w:tcW w:w="1123" w:type="dxa"/>
          </w:tcPr>
          <w:p w14:paraId="02768DB7">
            <w:pPr>
              <w:pStyle w:val="15"/>
              <w:spacing w:line="360" w:lineRule="auto"/>
              <w:rPr>
                <w:rFonts w:hAnsi="宋体"/>
                <w:color w:val="auto"/>
                <w:sz w:val="22"/>
                <w:szCs w:val="22"/>
                <w:highlight w:val="none"/>
              </w:rPr>
            </w:pPr>
          </w:p>
        </w:tc>
      </w:tr>
      <w:tr w14:paraId="3C16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014549C2">
            <w:pPr>
              <w:pStyle w:val="15"/>
              <w:jc w:val="center"/>
              <w:rPr>
                <w:rFonts w:hAnsi="宋体"/>
                <w:color w:val="auto"/>
                <w:sz w:val="22"/>
                <w:szCs w:val="22"/>
                <w:highlight w:val="none"/>
              </w:rPr>
            </w:pPr>
            <w:r>
              <w:rPr>
                <w:rFonts w:hint="eastAsia" w:hAnsi="宋体"/>
                <w:color w:val="auto"/>
                <w:sz w:val="22"/>
                <w:szCs w:val="22"/>
                <w:highlight w:val="none"/>
              </w:rPr>
              <w:t>2</w:t>
            </w:r>
          </w:p>
        </w:tc>
        <w:tc>
          <w:tcPr>
            <w:tcW w:w="2490" w:type="dxa"/>
            <w:vAlign w:val="center"/>
          </w:tcPr>
          <w:p w14:paraId="2A94140A">
            <w:pPr>
              <w:pStyle w:val="15"/>
              <w:rPr>
                <w:rFonts w:hAnsi="宋体"/>
                <w:color w:val="auto"/>
                <w:sz w:val="22"/>
                <w:szCs w:val="22"/>
                <w:highlight w:val="none"/>
              </w:rPr>
            </w:pPr>
          </w:p>
        </w:tc>
        <w:tc>
          <w:tcPr>
            <w:tcW w:w="915" w:type="dxa"/>
            <w:vAlign w:val="center"/>
          </w:tcPr>
          <w:p w14:paraId="673546B7">
            <w:pPr>
              <w:pStyle w:val="15"/>
              <w:spacing w:line="360" w:lineRule="auto"/>
              <w:rPr>
                <w:rFonts w:hAnsi="宋体"/>
                <w:b/>
                <w:bCs/>
                <w:color w:val="auto"/>
                <w:sz w:val="22"/>
                <w:szCs w:val="22"/>
                <w:highlight w:val="none"/>
              </w:rPr>
            </w:pPr>
          </w:p>
        </w:tc>
        <w:tc>
          <w:tcPr>
            <w:tcW w:w="1875" w:type="dxa"/>
            <w:vAlign w:val="center"/>
          </w:tcPr>
          <w:p w14:paraId="575BE1FF">
            <w:pPr>
              <w:pStyle w:val="15"/>
              <w:spacing w:line="360" w:lineRule="auto"/>
              <w:rPr>
                <w:rFonts w:hAnsi="宋体"/>
                <w:b/>
                <w:bCs/>
                <w:color w:val="auto"/>
                <w:sz w:val="22"/>
                <w:szCs w:val="22"/>
                <w:highlight w:val="none"/>
              </w:rPr>
            </w:pPr>
          </w:p>
        </w:tc>
        <w:tc>
          <w:tcPr>
            <w:tcW w:w="495" w:type="dxa"/>
            <w:vAlign w:val="center"/>
          </w:tcPr>
          <w:p w14:paraId="65200923">
            <w:pPr>
              <w:pStyle w:val="15"/>
              <w:spacing w:line="360" w:lineRule="auto"/>
              <w:rPr>
                <w:rFonts w:hAnsi="宋体"/>
                <w:b/>
                <w:bCs/>
                <w:color w:val="auto"/>
                <w:sz w:val="22"/>
                <w:szCs w:val="22"/>
                <w:highlight w:val="none"/>
              </w:rPr>
            </w:pPr>
          </w:p>
        </w:tc>
        <w:tc>
          <w:tcPr>
            <w:tcW w:w="498" w:type="dxa"/>
            <w:vAlign w:val="center"/>
          </w:tcPr>
          <w:p w14:paraId="215B054D">
            <w:pPr>
              <w:pStyle w:val="15"/>
              <w:spacing w:line="360" w:lineRule="auto"/>
              <w:rPr>
                <w:rFonts w:hAnsi="宋体"/>
                <w:b/>
                <w:bCs/>
                <w:color w:val="auto"/>
                <w:sz w:val="22"/>
                <w:szCs w:val="22"/>
                <w:highlight w:val="none"/>
              </w:rPr>
            </w:pPr>
          </w:p>
        </w:tc>
        <w:tc>
          <w:tcPr>
            <w:tcW w:w="1147" w:type="dxa"/>
          </w:tcPr>
          <w:p w14:paraId="26360302">
            <w:pPr>
              <w:pStyle w:val="15"/>
              <w:spacing w:line="360" w:lineRule="auto"/>
              <w:rPr>
                <w:rFonts w:hAnsi="宋体"/>
                <w:color w:val="auto"/>
                <w:sz w:val="22"/>
                <w:szCs w:val="22"/>
                <w:highlight w:val="none"/>
              </w:rPr>
            </w:pPr>
          </w:p>
        </w:tc>
        <w:tc>
          <w:tcPr>
            <w:tcW w:w="1123" w:type="dxa"/>
          </w:tcPr>
          <w:p w14:paraId="40BE4DF7">
            <w:pPr>
              <w:pStyle w:val="15"/>
              <w:spacing w:line="360" w:lineRule="auto"/>
              <w:rPr>
                <w:rFonts w:hAnsi="宋体"/>
                <w:color w:val="auto"/>
                <w:sz w:val="22"/>
                <w:szCs w:val="22"/>
                <w:highlight w:val="none"/>
              </w:rPr>
            </w:pPr>
          </w:p>
        </w:tc>
      </w:tr>
      <w:tr w14:paraId="50E1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747EA769">
            <w:pPr>
              <w:pStyle w:val="15"/>
              <w:jc w:val="center"/>
              <w:rPr>
                <w:rFonts w:hAnsi="宋体"/>
                <w:color w:val="auto"/>
                <w:sz w:val="22"/>
                <w:szCs w:val="22"/>
                <w:highlight w:val="none"/>
              </w:rPr>
            </w:pPr>
            <w:r>
              <w:rPr>
                <w:rFonts w:hint="eastAsia" w:hAnsi="宋体"/>
                <w:color w:val="auto"/>
                <w:sz w:val="22"/>
                <w:szCs w:val="22"/>
                <w:highlight w:val="none"/>
              </w:rPr>
              <w:t>3</w:t>
            </w:r>
          </w:p>
        </w:tc>
        <w:tc>
          <w:tcPr>
            <w:tcW w:w="2490" w:type="dxa"/>
            <w:vAlign w:val="center"/>
          </w:tcPr>
          <w:p w14:paraId="38D15591">
            <w:pPr>
              <w:pStyle w:val="15"/>
              <w:rPr>
                <w:rFonts w:hAnsi="宋体"/>
                <w:color w:val="auto"/>
                <w:sz w:val="22"/>
                <w:szCs w:val="22"/>
                <w:highlight w:val="none"/>
              </w:rPr>
            </w:pPr>
          </w:p>
        </w:tc>
        <w:tc>
          <w:tcPr>
            <w:tcW w:w="915" w:type="dxa"/>
            <w:vAlign w:val="center"/>
          </w:tcPr>
          <w:p w14:paraId="73680425">
            <w:pPr>
              <w:pStyle w:val="15"/>
              <w:spacing w:line="360" w:lineRule="auto"/>
              <w:rPr>
                <w:rFonts w:hAnsi="宋体"/>
                <w:b/>
                <w:bCs/>
                <w:color w:val="auto"/>
                <w:sz w:val="22"/>
                <w:szCs w:val="22"/>
                <w:highlight w:val="none"/>
              </w:rPr>
            </w:pPr>
          </w:p>
        </w:tc>
        <w:tc>
          <w:tcPr>
            <w:tcW w:w="1875" w:type="dxa"/>
            <w:vAlign w:val="center"/>
          </w:tcPr>
          <w:p w14:paraId="203748CB">
            <w:pPr>
              <w:pStyle w:val="15"/>
              <w:spacing w:line="360" w:lineRule="auto"/>
              <w:rPr>
                <w:rFonts w:hAnsi="宋体"/>
                <w:b/>
                <w:bCs/>
                <w:color w:val="auto"/>
                <w:sz w:val="22"/>
                <w:szCs w:val="22"/>
                <w:highlight w:val="none"/>
              </w:rPr>
            </w:pPr>
          </w:p>
        </w:tc>
        <w:tc>
          <w:tcPr>
            <w:tcW w:w="495" w:type="dxa"/>
            <w:vAlign w:val="center"/>
          </w:tcPr>
          <w:p w14:paraId="4186AD28">
            <w:pPr>
              <w:pStyle w:val="15"/>
              <w:spacing w:line="360" w:lineRule="auto"/>
              <w:rPr>
                <w:rFonts w:hAnsi="宋体"/>
                <w:b/>
                <w:bCs/>
                <w:color w:val="auto"/>
                <w:sz w:val="22"/>
                <w:szCs w:val="22"/>
                <w:highlight w:val="none"/>
              </w:rPr>
            </w:pPr>
          </w:p>
        </w:tc>
        <w:tc>
          <w:tcPr>
            <w:tcW w:w="498" w:type="dxa"/>
            <w:vAlign w:val="center"/>
          </w:tcPr>
          <w:p w14:paraId="4456EFF1">
            <w:pPr>
              <w:pStyle w:val="15"/>
              <w:spacing w:line="360" w:lineRule="auto"/>
              <w:rPr>
                <w:rFonts w:hAnsi="宋体"/>
                <w:b/>
                <w:bCs/>
                <w:color w:val="auto"/>
                <w:sz w:val="22"/>
                <w:szCs w:val="22"/>
                <w:highlight w:val="none"/>
              </w:rPr>
            </w:pPr>
          </w:p>
        </w:tc>
        <w:tc>
          <w:tcPr>
            <w:tcW w:w="1147" w:type="dxa"/>
          </w:tcPr>
          <w:p w14:paraId="3287C654">
            <w:pPr>
              <w:pStyle w:val="15"/>
              <w:spacing w:line="360" w:lineRule="auto"/>
              <w:rPr>
                <w:rFonts w:hAnsi="宋体"/>
                <w:color w:val="auto"/>
                <w:sz w:val="22"/>
                <w:szCs w:val="22"/>
                <w:highlight w:val="none"/>
              </w:rPr>
            </w:pPr>
          </w:p>
        </w:tc>
        <w:tc>
          <w:tcPr>
            <w:tcW w:w="1123" w:type="dxa"/>
          </w:tcPr>
          <w:p w14:paraId="500056D9">
            <w:pPr>
              <w:pStyle w:val="15"/>
              <w:spacing w:line="360" w:lineRule="auto"/>
              <w:rPr>
                <w:rFonts w:hAnsi="宋体"/>
                <w:color w:val="auto"/>
                <w:sz w:val="22"/>
                <w:szCs w:val="22"/>
                <w:highlight w:val="none"/>
              </w:rPr>
            </w:pPr>
          </w:p>
        </w:tc>
      </w:tr>
      <w:tr w14:paraId="7C5B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4C09FA62">
            <w:pPr>
              <w:pStyle w:val="15"/>
              <w:jc w:val="center"/>
              <w:rPr>
                <w:rFonts w:hAnsi="宋体"/>
                <w:color w:val="auto"/>
                <w:sz w:val="22"/>
                <w:szCs w:val="22"/>
                <w:highlight w:val="none"/>
              </w:rPr>
            </w:pPr>
            <w:r>
              <w:rPr>
                <w:rFonts w:hint="eastAsia" w:hAnsi="宋体"/>
                <w:color w:val="auto"/>
                <w:sz w:val="22"/>
                <w:szCs w:val="22"/>
                <w:highlight w:val="none"/>
              </w:rPr>
              <w:t>4</w:t>
            </w:r>
          </w:p>
        </w:tc>
        <w:tc>
          <w:tcPr>
            <w:tcW w:w="2490" w:type="dxa"/>
            <w:vAlign w:val="center"/>
          </w:tcPr>
          <w:p w14:paraId="764FFAE8">
            <w:pPr>
              <w:pStyle w:val="15"/>
              <w:rPr>
                <w:rFonts w:hAnsi="宋体"/>
                <w:color w:val="auto"/>
                <w:sz w:val="22"/>
                <w:szCs w:val="22"/>
                <w:highlight w:val="none"/>
              </w:rPr>
            </w:pPr>
          </w:p>
        </w:tc>
        <w:tc>
          <w:tcPr>
            <w:tcW w:w="915" w:type="dxa"/>
            <w:vAlign w:val="center"/>
          </w:tcPr>
          <w:p w14:paraId="30DDDD51">
            <w:pPr>
              <w:pStyle w:val="15"/>
              <w:spacing w:line="360" w:lineRule="auto"/>
              <w:jc w:val="center"/>
              <w:rPr>
                <w:rFonts w:hAnsi="宋体"/>
                <w:color w:val="auto"/>
                <w:sz w:val="22"/>
                <w:szCs w:val="22"/>
                <w:highlight w:val="none"/>
              </w:rPr>
            </w:pPr>
          </w:p>
        </w:tc>
        <w:tc>
          <w:tcPr>
            <w:tcW w:w="1875" w:type="dxa"/>
            <w:vAlign w:val="center"/>
          </w:tcPr>
          <w:p w14:paraId="0305CFE6">
            <w:pPr>
              <w:pStyle w:val="15"/>
              <w:spacing w:line="360" w:lineRule="auto"/>
              <w:jc w:val="center"/>
              <w:rPr>
                <w:rFonts w:hAnsi="宋体"/>
                <w:color w:val="auto"/>
                <w:sz w:val="22"/>
                <w:szCs w:val="22"/>
                <w:highlight w:val="none"/>
              </w:rPr>
            </w:pPr>
          </w:p>
        </w:tc>
        <w:tc>
          <w:tcPr>
            <w:tcW w:w="495" w:type="dxa"/>
            <w:vAlign w:val="center"/>
          </w:tcPr>
          <w:p w14:paraId="1277797C">
            <w:pPr>
              <w:pStyle w:val="15"/>
              <w:spacing w:line="360" w:lineRule="auto"/>
              <w:jc w:val="center"/>
              <w:rPr>
                <w:rFonts w:hAnsi="宋体"/>
                <w:color w:val="auto"/>
                <w:sz w:val="22"/>
                <w:szCs w:val="22"/>
                <w:highlight w:val="none"/>
              </w:rPr>
            </w:pPr>
          </w:p>
        </w:tc>
        <w:tc>
          <w:tcPr>
            <w:tcW w:w="498" w:type="dxa"/>
            <w:vAlign w:val="center"/>
          </w:tcPr>
          <w:p w14:paraId="7F38F086">
            <w:pPr>
              <w:pStyle w:val="15"/>
              <w:spacing w:line="360" w:lineRule="auto"/>
              <w:jc w:val="center"/>
              <w:rPr>
                <w:rFonts w:hAnsi="宋体"/>
                <w:color w:val="auto"/>
                <w:sz w:val="22"/>
                <w:szCs w:val="22"/>
                <w:highlight w:val="none"/>
              </w:rPr>
            </w:pPr>
          </w:p>
        </w:tc>
        <w:tc>
          <w:tcPr>
            <w:tcW w:w="1147" w:type="dxa"/>
          </w:tcPr>
          <w:p w14:paraId="4FDBC4E4">
            <w:pPr>
              <w:pStyle w:val="15"/>
              <w:spacing w:line="360" w:lineRule="auto"/>
              <w:rPr>
                <w:rFonts w:hAnsi="宋体"/>
                <w:color w:val="auto"/>
                <w:sz w:val="22"/>
                <w:szCs w:val="22"/>
                <w:highlight w:val="none"/>
              </w:rPr>
            </w:pPr>
          </w:p>
        </w:tc>
        <w:tc>
          <w:tcPr>
            <w:tcW w:w="1123" w:type="dxa"/>
          </w:tcPr>
          <w:p w14:paraId="17A39243">
            <w:pPr>
              <w:pStyle w:val="15"/>
              <w:spacing w:line="360" w:lineRule="auto"/>
              <w:rPr>
                <w:rFonts w:hAnsi="宋体"/>
                <w:color w:val="auto"/>
                <w:sz w:val="22"/>
                <w:szCs w:val="22"/>
                <w:highlight w:val="none"/>
              </w:rPr>
            </w:pPr>
          </w:p>
        </w:tc>
      </w:tr>
      <w:tr w14:paraId="0D62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7DCDC508">
            <w:pPr>
              <w:pStyle w:val="15"/>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0" w:type="dxa"/>
            <w:vAlign w:val="center"/>
          </w:tcPr>
          <w:p w14:paraId="3ECB49AF">
            <w:pPr>
              <w:pStyle w:val="15"/>
              <w:spacing w:line="360" w:lineRule="auto"/>
              <w:rPr>
                <w:rFonts w:hAnsi="宋体"/>
                <w:color w:val="auto"/>
                <w:sz w:val="22"/>
                <w:szCs w:val="22"/>
                <w:highlight w:val="none"/>
              </w:rPr>
            </w:pPr>
          </w:p>
        </w:tc>
        <w:tc>
          <w:tcPr>
            <w:tcW w:w="915" w:type="dxa"/>
            <w:vAlign w:val="center"/>
          </w:tcPr>
          <w:p w14:paraId="3C3E3781">
            <w:pPr>
              <w:jc w:val="center"/>
              <w:rPr>
                <w:rFonts w:ascii="宋体" w:hAnsi="宋体" w:cs="宋体"/>
                <w:color w:val="auto"/>
                <w:sz w:val="22"/>
                <w:szCs w:val="22"/>
                <w:highlight w:val="none"/>
              </w:rPr>
            </w:pPr>
          </w:p>
        </w:tc>
        <w:tc>
          <w:tcPr>
            <w:tcW w:w="1875" w:type="dxa"/>
            <w:vAlign w:val="center"/>
          </w:tcPr>
          <w:p w14:paraId="190E6A12">
            <w:pPr>
              <w:jc w:val="center"/>
              <w:rPr>
                <w:rFonts w:ascii="宋体" w:hAnsi="宋体" w:cs="宋体"/>
                <w:color w:val="auto"/>
                <w:sz w:val="22"/>
                <w:szCs w:val="22"/>
                <w:highlight w:val="none"/>
              </w:rPr>
            </w:pPr>
          </w:p>
        </w:tc>
        <w:tc>
          <w:tcPr>
            <w:tcW w:w="495" w:type="dxa"/>
            <w:vAlign w:val="center"/>
          </w:tcPr>
          <w:p w14:paraId="78112E10">
            <w:pPr>
              <w:pStyle w:val="15"/>
              <w:spacing w:line="360" w:lineRule="auto"/>
              <w:jc w:val="center"/>
              <w:rPr>
                <w:rFonts w:hAnsi="宋体"/>
                <w:color w:val="auto"/>
                <w:sz w:val="22"/>
                <w:szCs w:val="22"/>
                <w:highlight w:val="none"/>
              </w:rPr>
            </w:pPr>
          </w:p>
        </w:tc>
        <w:tc>
          <w:tcPr>
            <w:tcW w:w="498" w:type="dxa"/>
            <w:vAlign w:val="center"/>
          </w:tcPr>
          <w:p w14:paraId="0066BD7A">
            <w:pPr>
              <w:pStyle w:val="15"/>
              <w:spacing w:line="360" w:lineRule="auto"/>
              <w:jc w:val="center"/>
              <w:rPr>
                <w:rFonts w:hAnsi="宋体"/>
                <w:color w:val="auto"/>
                <w:sz w:val="22"/>
                <w:szCs w:val="22"/>
                <w:highlight w:val="none"/>
              </w:rPr>
            </w:pPr>
          </w:p>
        </w:tc>
        <w:tc>
          <w:tcPr>
            <w:tcW w:w="1147" w:type="dxa"/>
          </w:tcPr>
          <w:p w14:paraId="586C3737">
            <w:pPr>
              <w:pStyle w:val="15"/>
              <w:spacing w:line="360" w:lineRule="auto"/>
              <w:rPr>
                <w:rFonts w:hAnsi="宋体"/>
                <w:color w:val="auto"/>
                <w:sz w:val="22"/>
                <w:szCs w:val="22"/>
                <w:highlight w:val="none"/>
              </w:rPr>
            </w:pPr>
          </w:p>
        </w:tc>
        <w:tc>
          <w:tcPr>
            <w:tcW w:w="1123" w:type="dxa"/>
          </w:tcPr>
          <w:p w14:paraId="32D59725">
            <w:pPr>
              <w:pStyle w:val="15"/>
              <w:spacing w:line="360" w:lineRule="auto"/>
              <w:rPr>
                <w:rFonts w:hAnsi="宋体"/>
                <w:color w:val="auto"/>
                <w:sz w:val="22"/>
                <w:szCs w:val="22"/>
                <w:highlight w:val="none"/>
              </w:rPr>
            </w:pPr>
          </w:p>
        </w:tc>
      </w:tr>
      <w:tr w14:paraId="54A0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tcPr>
          <w:p w14:paraId="4E089C72">
            <w:pPr>
              <w:pStyle w:val="15"/>
              <w:spacing w:line="360" w:lineRule="auto"/>
              <w:rPr>
                <w:rFonts w:hAnsi="宋体"/>
                <w:color w:val="auto"/>
                <w:sz w:val="22"/>
                <w:szCs w:val="22"/>
                <w:highlight w:val="none"/>
              </w:rPr>
            </w:pPr>
          </w:p>
        </w:tc>
        <w:tc>
          <w:tcPr>
            <w:tcW w:w="2490" w:type="dxa"/>
            <w:vAlign w:val="center"/>
          </w:tcPr>
          <w:p w14:paraId="25F2FFDC">
            <w:pPr>
              <w:pStyle w:val="15"/>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14:paraId="1C810FB2">
            <w:pPr>
              <w:jc w:val="center"/>
              <w:rPr>
                <w:rFonts w:ascii="宋体" w:hAnsi="宋体" w:cs="宋体"/>
                <w:color w:val="auto"/>
                <w:sz w:val="22"/>
                <w:szCs w:val="22"/>
                <w:highlight w:val="none"/>
              </w:rPr>
            </w:pPr>
          </w:p>
        </w:tc>
        <w:tc>
          <w:tcPr>
            <w:tcW w:w="1875" w:type="dxa"/>
            <w:vAlign w:val="center"/>
          </w:tcPr>
          <w:p w14:paraId="29F8C3BE">
            <w:pPr>
              <w:jc w:val="center"/>
              <w:rPr>
                <w:rFonts w:ascii="宋体" w:hAnsi="宋体" w:cs="宋体"/>
                <w:color w:val="auto"/>
                <w:sz w:val="22"/>
                <w:szCs w:val="22"/>
                <w:highlight w:val="none"/>
              </w:rPr>
            </w:pPr>
          </w:p>
        </w:tc>
        <w:tc>
          <w:tcPr>
            <w:tcW w:w="495" w:type="dxa"/>
            <w:vAlign w:val="center"/>
          </w:tcPr>
          <w:p w14:paraId="434C8C12">
            <w:pPr>
              <w:pStyle w:val="15"/>
              <w:spacing w:line="360" w:lineRule="auto"/>
              <w:jc w:val="center"/>
              <w:rPr>
                <w:rFonts w:hAnsi="宋体"/>
                <w:color w:val="auto"/>
                <w:sz w:val="22"/>
                <w:szCs w:val="22"/>
                <w:highlight w:val="none"/>
              </w:rPr>
            </w:pPr>
          </w:p>
        </w:tc>
        <w:tc>
          <w:tcPr>
            <w:tcW w:w="498" w:type="dxa"/>
            <w:vAlign w:val="center"/>
          </w:tcPr>
          <w:p w14:paraId="5A672B06">
            <w:pPr>
              <w:pStyle w:val="15"/>
              <w:spacing w:line="360" w:lineRule="auto"/>
              <w:jc w:val="center"/>
              <w:rPr>
                <w:rFonts w:hAnsi="宋体"/>
                <w:color w:val="auto"/>
                <w:sz w:val="22"/>
                <w:szCs w:val="22"/>
                <w:highlight w:val="none"/>
              </w:rPr>
            </w:pPr>
          </w:p>
        </w:tc>
        <w:tc>
          <w:tcPr>
            <w:tcW w:w="1147" w:type="dxa"/>
          </w:tcPr>
          <w:p w14:paraId="36FBC7C8">
            <w:pPr>
              <w:pStyle w:val="15"/>
              <w:spacing w:line="360" w:lineRule="auto"/>
              <w:rPr>
                <w:rFonts w:hAnsi="宋体"/>
                <w:color w:val="auto"/>
                <w:sz w:val="22"/>
                <w:szCs w:val="22"/>
                <w:highlight w:val="none"/>
              </w:rPr>
            </w:pPr>
          </w:p>
        </w:tc>
        <w:tc>
          <w:tcPr>
            <w:tcW w:w="1123" w:type="dxa"/>
          </w:tcPr>
          <w:p w14:paraId="08F0206D">
            <w:pPr>
              <w:pStyle w:val="15"/>
              <w:spacing w:line="360" w:lineRule="auto"/>
              <w:rPr>
                <w:rFonts w:hAnsi="宋体"/>
                <w:color w:val="auto"/>
                <w:sz w:val="22"/>
                <w:szCs w:val="22"/>
                <w:highlight w:val="none"/>
              </w:rPr>
            </w:pPr>
          </w:p>
        </w:tc>
      </w:tr>
      <w:tr w14:paraId="56DB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979" w:type="dxa"/>
            <w:gridSpan w:val="2"/>
            <w:vAlign w:val="center"/>
          </w:tcPr>
          <w:p w14:paraId="00F68C70">
            <w:pPr>
              <w:pStyle w:val="15"/>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3" w:type="dxa"/>
            <w:gridSpan w:val="6"/>
            <w:vAlign w:val="center"/>
          </w:tcPr>
          <w:p w14:paraId="4F31F3D0">
            <w:pPr>
              <w:pStyle w:val="15"/>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14:paraId="4839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32" w:type="dxa"/>
            <w:gridSpan w:val="8"/>
          </w:tcPr>
          <w:p w14:paraId="7C2D713F">
            <w:pPr>
              <w:pStyle w:val="15"/>
              <w:ind w:firstLine="480" w:firstLineChars="200"/>
              <w:rPr>
                <w:rFonts w:hAnsi="宋体"/>
                <w:color w:val="auto"/>
                <w:sz w:val="22"/>
                <w:szCs w:val="22"/>
                <w:highlight w:val="none"/>
              </w:rPr>
            </w:pPr>
            <w:r>
              <w:rPr>
                <w:rFonts w:hint="eastAsia" w:ascii="宋体" w:hAnsi="宋体" w:eastAsia="宋体" w:cs="宋体"/>
                <w:color w:val="auto"/>
                <w:sz w:val="24"/>
                <w:szCs w:val="24"/>
                <w:highlight w:val="none"/>
              </w:rPr>
              <w:t>本次报价应包含项目所需全部服务，不得缺漏，是履行合同的最终价格，包括</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、税金、代理服务费及不可预见费用等一切费用。凡投标人在报价中未列明但又为本次采购所必备的项目或遗漏项目，采购方将一律视为已包括在合同价中，在合同执行中将不予考虑。</w:t>
            </w:r>
          </w:p>
        </w:tc>
      </w:tr>
    </w:tbl>
    <w:p w14:paraId="6BF809E6">
      <w:pPr>
        <w:pStyle w:val="15"/>
        <w:spacing w:line="360" w:lineRule="auto"/>
        <w:ind w:firstLine="480" w:firstLineChars="200"/>
        <w:rPr>
          <w:rFonts w:hAnsi="宋体" w:cs="Times New Roman"/>
          <w:color w:val="auto"/>
          <w:sz w:val="24"/>
          <w:szCs w:val="24"/>
          <w:highlight w:val="none"/>
        </w:rPr>
      </w:pPr>
      <w:r>
        <w:rPr>
          <w:rFonts w:hint="eastAsia" w:hAnsi="宋体"/>
          <w:color w:val="auto"/>
          <w:sz w:val="24"/>
          <w:szCs w:val="24"/>
          <w:highlight w:val="none"/>
        </w:rPr>
        <w:t>注：内容可根据供应商实际情况自行调整。</w:t>
      </w:r>
    </w:p>
    <w:p w14:paraId="698CD43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签名（或签名章）：</w:t>
      </w:r>
      <w:r>
        <w:rPr>
          <w:rFonts w:ascii="宋体" w:hAnsi="宋体" w:cs="宋体"/>
          <w:color w:val="auto"/>
          <w:sz w:val="24"/>
          <w:szCs w:val="24"/>
          <w:highlight w:val="none"/>
        </w:rPr>
        <w:t xml:space="preserve">                       </w:t>
      </w:r>
    </w:p>
    <w:p w14:paraId="679F363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338FEAA">
      <w:pPr>
        <w:spacing w:line="360" w:lineRule="auto"/>
        <w:ind w:left="3780" w:leftChars="18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554CB07A">
      <w:pPr>
        <w:pStyle w:val="5"/>
        <w:rPr>
          <w:rFonts w:hint="eastAsia" w:ascii="宋体" w:hAnsi="宋体" w:cs="宋体"/>
          <w:color w:val="auto"/>
          <w:sz w:val="24"/>
          <w:szCs w:val="24"/>
          <w:highlight w:val="none"/>
        </w:rPr>
      </w:pPr>
    </w:p>
    <w:p w14:paraId="4820AB50">
      <w:pPr>
        <w:pStyle w:val="6"/>
        <w:rPr>
          <w:rFonts w:hint="eastAsia" w:ascii="宋体" w:hAnsi="宋体" w:cs="宋体"/>
          <w:color w:val="auto"/>
          <w:sz w:val="24"/>
          <w:szCs w:val="24"/>
          <w:highlight w:val="none"/>
        </w:rPr>
      </w:pPr>
    </w:p>
    <w:p w14:paraId="6A11A94E">
      <w:pPr>
        <w:pStyle w:val="12"/>
        <w:rPr>
          <w:rFonts w:hint="eastAsia" w:ascii="宋体" w:hAnsi="宋体" w:cs="宋体"/>
          <w:color w:val="auto"/>
          <w:sz w:val="24"/>
          <w:szCs w:val="24"/>
          <w:highlight w:val="none"/>
        </w:rPr>
      </w:pPr>
    </w:p>
    <w:p w14:paraId="703EAA49">
      <w:pPr>
        <w:pStyle w:val="27"/>
        <w:rPr>
          <w:rFonts w:hint="eastAsia" w:ascii="宋体" w:hAnsi="宋体" w:cs="宋体"/>
          <w:color w:val="auto"/>
          <w:sz w:val="24"/>
          <w:szCs w:val="24"/>
          <w:highlight w:val="none"/>
        </w:rPr>
      </w:pPr>
    </w:p>
    <w:p w14:paraId="541F365C">
      <w:pPr>
        <w:rPr>
          <w:rFonts w:hint="eastAsia" w:ascii="宋体" w:hAnsi="宋体" w:cs="宋体"/>
          <w:color w:val="auto"/>
          <w:sz w:val="24"/>
          <w:szCs w:val="24"/>
          <w:highlight w:val="none"/>
        </w:rPr>
      </w:pPr>
    </w:p>
    <w:p w14:paraId="19EB78E0">
      <w:pPr>
        <w:pStyle w:val="5"/>
        <w:rPr>
          <w:rFonts w:hint="eastAsia" w:ascii="宋体" w:hAnsi="宋体" w:cs="宋体"/>
          <w:color w:val="auto"/>
          <w:sz w:val="24"/>
          <w:szCs w:val="24"/>
          <w:highlight w:val="none"/>
        </w:rPr>
      </w:pPr>
    </w:p>
    <w:p w14:paraId="336D1A76">
      <w:pPr>
        <w:pStyle w:val="6"/>
        <w:rPr>
          <w:rFonts w:hint="eastAsia" w:ascii="宋体" w:hAnsi="宋体" w:cs="宋体"/>
          <w:color w:val="auto"/>
          <w:sz w:val="24"/>
          <w:szCs w:val="24"/>
          <w:highlight w:val="none"/>
        </w:rPr>
      </w:pPr>
    </w:p>
    <w:p w14:paraId="492C16C4">
      <w:pPr>
        <w:pStyle w:val="12"/>
        <w:rPr>
          <w:rFonts w:hint="eastAsia" w:ascii="宋体" w:hAnsi="宋体" w:cs="宋体"/>
          <w:color w:val="auto"/>
          <w:sz w:val="24"/>
          <w:szCs w:val="24"/>
          <w:highlight w:val="none"/>
        </w:rPr>
      </w:pPr>
    </w:p>
    <w:p w14:paraId="304A495D">
      <w:pPr>
        <w:pStyle w:val="27"/>
        <w:rPr>
          <w:rFonts w:hint="eastAsia" w:ascii="宋体" w:hAnsi="宋体" w:cs="宋体"/>
          <w:color w:val="auto"/>
          <w:sz w:val="24"/>
          <w:szCs w:val="24"/>
          <w:highlight w:val="none"/>
        </w:rPr>
      </w:pPr>
    </w:p>
    <w:p w14:paraId="096E0C30">
      <w:pPr>
        <w:rPr>
          <w:rFonts w:hint="eastAsia" w:ascii="宋体" w:hAnsi="宋体" w:cs="宋体"/>
          <w:color w:val="auto"/>
          <w:sz w:val="24"/>
          <w:szCs w:val="24"/>
          <w:highlight w:val="none"/>
        </w:rPr>
      </w:pPr>
    </w:p>
    <w:p w14:paraId="0C0E04FB">
      <w:pPr>
        <w:pStyle w:val="5"/>
        <w:rPr>
          <w:rFonts w:hint="eastAsia"/>
          <w:color w:val="auto"/>
        </w:rPr>
      </w:pPr>
    </w:p>
    <w:p w14:paraId="23924C38">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附件十二：</w:t>
      </w:r>
    </w:p>
    <w:p w14:paraId="09D23A98">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5E4EDF8B">
      <w:pPr>
        <w:widowControl/>
        <w:snapToGrid w:val="0"/>
        <w:spacing w:line="324" w:lineRule="auto"/>
        <w:ind w:firstLine="480" w:firstLineChars="200"/>
        <w:jc w:val="center"/>
        <w:rPr>
          <w:rFonts w:ascii="宋体"/>
          <w:color w:val="auto"/>
          <w:sz w:val="24"/>
          <w:szCs w:val="24"/>
          <w:highlight w:val="none"/>
        </w:rPr>
      </w:pPr>
      <w:r>
        <w:rPr>
          <w:rFonts w:hint="eastAsia" w:ascii="宋体" w:hAnsi="宋体" w:cs="宋体"/>
          <w:color w:val="auto"/>
          <w:sz w:val="24"/>
          <w:szCs w:val="24"/>
          <w:highlight w:val="none"/>
        </w:rPr>
        <w:t>【不属于中小企业的无需填写、递交】</w:t>
      </w:r>
    </w:p>
    <w:p w14:paraId="09EB1D8B">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1A31EC">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其他未列明行业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3109C1E0">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498AE710">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5284AD2">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0622FEDF">
      <w:pPr>
        <w:spacing w:line="288" w:lineRule="auto"/>
        <w:ind w:right="420" w:firstLine="4320" w:firstLineChars="1800"/>
        <w:rPr>
          <w:rFonts w:ascii="宋体" w:hAnsi="宋体" w:cs="宋体"/>
          <w:color w:val="auto"/>
          <w:sz w:val="24"/>
          <w:szCs w:val="24"/>
          <w:highlight w:val="none"/>
        </w:rPr>
      </w:pPr>
    </w:p>
    <w:p w14:paraId="5DE9D4A7">
      <w:pPr>
        <w:spacing w:line="288" w:lineRule="auto"/>
        <w:ind w:right="420" w:firstLine="4320" w:firstLineChars="1800"/>
        <w:rPr>
          <w:rFonts w:ascii="宋体" w:hAnsi="宋体" w:cs="宋体"/>
          <w:color w:val="auto"/>
          <w:sz w:val="24"/>
          <w:szCs w:val="24"/>
          <w:highlight w:val="none"/>
        </w:rPr>
      </w:pPr>
    </w:p>
    <w:p w14:paraId="328B37D8">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7A44E496">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295867B1">
      <w:pPr>
        <w:pStyle w:val="6"/>
        <w:spacing w:line="288" w:lineRule="auto"/>
        <w:rPr>
          <w:rFonts w:ascii="宋体" w:hAnsi="宋体" w:cs="宋体"/>
          <w:color w:val="auto"/>
          <w:sz w:val="24"/>
          <w:szCs w:val="24"/>
          <w:highlight w:val="none"/>
        </w:rPr>
      </w:pPr>
    </w:p>
    <w:p w14:paraId="15F6CF34">
      <w:pPr>
        <w:spacing w:line="288" w:lineRule="auto"/>
        <w:ind w:firstLine="480" w:firstLineChars="200"/>
        <w:jc w:val="left"/>
        <w:rPr>
          <w:rFonts w:ascii="宋体" w:hAnsi="宋体" w:cs="宋体"/>
          <w:color w:val="auto"/>
          <w:sz w:val="24"/>
          <w:szCs w:val="24"/>
          <w:highlight w:val="none"/>
        </w:rPr>
      </w:pPr>
    </w:p>
    <w:p w14:paraId="0107AB20">
      <w:pPr>
        <w:spacing w:line="288" w:lineRule="auto"/>
        <w:ind w:firstLine="480" w:firstLineChars="200"/>
        <w:jc w:val="left"/>
        <w:rPr>
          <w:rFonts w:ascii="宋体" w:hAnsi="宋体" w:cs="宋体"/>
          <w:color w:val="auto"/>
          <w:sz w:val="24"/>
          <w:szCs w:val="24"/>
          <w:highlight w:val="none"/>
        </w:rPr>
      </w:pPr>
    </w:p>
    <w:p w14:paraId="335CA1C6">
      <w:pPr>
        <w:spacing w:line="288" w:lineRule="auto"/>
        <w:ind w:firstLine="480" w:firstLineChars="200"/>
        <w:jc w:val="left"/>
        <w:rPr>
          <w:rFonts w:ascii="宋体" w:hAnsi="宋体" w:cs="宋体"/>
          <w:color w:val="auto"/>
          <w:sz w:val="24"/>
          <w:szCs w:val="24"/>
          <w:highlight w:val="none"/>
        </w:rPr>
      </w:pPr>
    </w:p>
    <w:p w14:paraId="64DB6D87">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43D9A3E6">
      <w:pPr>
        <w:widowControl/>
        <w:snapToGrid w:val="0"/>
        <w:spacing w:line="324" w:lineRule="auto"/>
        <w:ind w:firstLine="480" w:firstLineChars="200"/>
        <w:jc w:val="left"/>
        <w:rPr>
          <w:rFonts w:ascii="宋体"/>
          <w:color w:val="auto"/>
          <w:sz w:val="24"/>
          <w:szCs w:val="24"/>
          <w:highlight w:val="none"/>
        </w:rPr>
      </w:pPr>
    </w:p>
    <w:p w14:paraId="4C28F690">
      <w:pPr>
        <w:pStyle w:val="5"/>
        <w:spacing w:line="360" w:lineRule="auto"/>
        <w:jc w:val="center"/>
        <w:rPr>
          <w:rFonts w:hAnsi="宋体" w:cs="Times New Roman"/>
          <w:color w:val="auto"/>
          <w:sz w:val="24"/>
          <w:szCs w:val="24"/>
          <w:highlight w:val="none"/>
        </w:rPr>
      </w:pPr>
    </w:p>
    <w:p w14:paraId="1DF20AE5">
      <w:pPr>
        <w:pStyle w:val="5"/>
        <w:spacing w:line="360" w:lineRule="auto"/>
        <w:jc w:val="center"/>
        <w:rPr>
          <w:rFonts w:hAnsi="宋体" w:cs="Times New Roman"/>
          <w:color w:val="auto"/>
          <w:sz w:val="24"/>
          <w:szCs w:val="24"/>
          <w:highlight w:val="none"/>
        </w:rPr>
      </w:pPr>
    </w:p>
    <w:p w14:paraId="7D52EDBF">
      <w:pPr>
        <w:jc w:val="center"/>
        <w:rPr>
          <w:color w:val="auto"/>
          <w:highlight w:val="none"/>
          <w:lang w:val="zh-CN"/>
        </w:rPr>
      </w:pPr>
      <w:r>
        <w:rPr>
          <w:rFonts w:hAnsi="宋体"/>
          <w:color w:val="auto"/>
          <w:highlight w:val="none"/>
        </w:rPr>
        <w:br w:type="page"/>
      </w:r>
    </w:p>
    <w:p w14:paraId="39248B4A">
      <w:pPr>
        <w:rPr>
          <w:b/>
          <w:bCs/>
          <w:color w:val="auto"/>
          <w:sz w:val="24"/>
          <w:szCs w:val="24"/>
          <w:highlight w:val="none"/>
          <w:lang w:val="zh-CN"/>
        </w:rPr>
      </w:pPr>
      <w:r>
        <w:rPr>
          <w:rFonts w:hint="eastAsia" w:cs="宋体"/>
          <w:b/>
          <w:bCs/>
          <w:color w:val="auto"/>
          <w:sz w:val="24"/>
          <w:szCs w:val="24"/>
          <w:highlight w:val="none"/>
          <w:lang w:val="zh-CN"/>
        </w:rPr>
        <w:t>附件十三</w:t>
      </w:r>
      <w:r>
        <w:rPr>
          <w:rFonts w:hint="eastAsia" w:cs="宋体"/>
          <w:b/>
          <w:bCs/>
          <w:color w:val="auto"/>
          <w:sz w:val="24"/>
          <w:szCs w:val="24"/>
          <w:highlight w:val="none"/>
        </w:rPr>
        <w:t>：</w:t>
      </w:r>
    </w:p>
    <w:p w14:paraId="18EA74D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p>
    <w:p w14:paraId="1C0F87FB">
      <w:pPr>
        <w:widowControl/>
        <w:snapToGrid w:val="0"/>
        <w:spacing w:line="324" w:lineRule="auto"/>
        <w:ind w:firstLine="480" w:firstLineChars="200"/>
        <w:jc w:val="center"/>
        <w:rPr>
          <w:rFonts w:ascii="宋体"/>
          <w:color w:val="auto"/>
          <w:sz w:val="24"/>
          <w:szCs w:val="24"/>
          <w:highlight w:val="none"/>
        </w:rPr>
      </w:pPr>
      <w:r>
        <w:rPr>
          <w:rFonts w:hint="eastAsia" w:ascii="宋体" w:hAnsi="宋体" w:cs="宋体"/>
          <w:color w:val="auto"/>
          <w:sz w:val="24"/>
          <w:szCs w:val="24"/>
          <w:highlight w:val="none"/>
        </w:rPr>
        <w:t>【不属于残疾人福利性单位的无需填写、递交】</w:t>
      </w:r>
    </w:p>
    <w:p w14:paraId="774BB5A2">
      <w:pPr>
        <w:spacing w:line="588" w:lineRule="exact"/>
        <w:rPr>
          <w:rFonts w:ascii="宋体"/>
          <w:b/>
          <w:bCs/>
          <w:color w:val="auto"/>
          <w:spacing w:val="6"/>
          <w:sz w:val="30"/>
          <w:szCs w:val="30"/>
          <w:highlight w:val="none"/>
        </w:rPr>
      </w:pPr>
    </w:p>
    <w:p w14:paraId="038F4B13">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52CA1460">
      <w:pPr>
        <w:pStyle w:val="5"/>
        <w:rPr>
          <w:rFonts w:cs="Times New Roman"/>
          <w:color w:val="auto"/>
          <w:highlight w:val="none"/>
        </w:rPr>
      </w:pPr>
    </w:p>
    <w:p w14:paraId="7E4398BE">
      <w:pPr>
        <w:pStyle w:val="6"/>
        <w:rPr>
          <w:color w:val="auto"/>
          <w:highlight w:val="none"/>
        </w:rPr>
      </w:pPr>
    </w:p>
    <w:p w14:paraId="045851E9">
      <w:pPr>
        <w:spacing w:line="588" w:lineRule="exact"/>
        <w:rPr>
          <w:rFonts w:ascii="宋体"/>
          <w:color w:val="auto"/>
          <w:sz w:val="24"/>
          <w:szCs w:val="24"/>
          <w:highlight w:val="none"/>
        </w:rPr>
      </w:pPr>
    </w:p>
    <w:p w14:paraId="3CA0B01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4E8898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79C087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9B8148E">
      <w:pPr>
        <w:rPr>
          <w:b/>
          <w:bCs/>
          <w:color w:val="auto"/>
          <w:sz w:val="24"/>
          <w:szCs w:val="24"/>
          <w:highlight w:val="none"/>
          <w:lang w:val="zh-CN"/>
        </w:rPr>
      </w:pPr>
      <w:r>
        <w:rPr>
          <w:color w:val="auto"/>
          <w:sz w:val="24"/>
          <w:szCs w:val="24"/>
          <w:highlight w:val="none"/>
          <w:lang w:val="zh-CN"/>
        </w:rPr>
        <w:br w:type="page"/>
      </w:r>
      <w:r>
        <w:rPr>
          <w:rFonts w:hint="eastAsia" w:cs="宋体"/>
          <w:b/>
          <w:bCs/>
          <w:color w:val="auto"/>
          <w:sz w:val="24"/>
          <w:szCs w:val="24"/>
          <w:highlight w:val="none"/>
          <w:lang w:val="zh-CN"/>
        </w:rPr>
        <w:t>附件十四</w:t>
      </w:r>
      <w:r>
        <w:rPr>
          <w:rFonts w:hint="eastAsia" w:cs="宋体"/>
          <w:b/>
          <w:bCs/>
          <w:color w:val="auto"/>
          <w:sz w:val="24"/>
          <w:szCs w:val="24"/>
          <w:highlight w:val="none"/>
        </w:rPr>
        <w:t>：</w:t>
      </w:r>
    </w:p>
    <w:p w14:paraId="21B6FB5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p>
    <w:p w14:paraId="7DA54CCB">
      <w:pPr>
        <w:widowControl/>
        <w:snapToGri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【不属于监狱企业的无需填写、递交】</w:t>
      </w:r>
    </w:p>
    <w:p w14:paraId="0D48C118">
      <w:pPr>
        <w:widowControl/>
        <w:snapToGrid w:val="0"/>
        <w:spacing w:line="324" w:lineRule="auto"/>
        <w:jc w:val="center"/>
        <w:rPr>
          <w:rFonts w:ascii="宋体"/>
          <w:color w:val="auto"/>
          <w:sz w:val="24"/>
          <w:szCs w:val="24"/>
          <w:highlight w:val="none"/>
        </w:rPr>
      </w:pPr>
    </w:p>
    <w:p w14:paraId="38C8D137">
      <w:pPr>
        <w:spacing w:line="588" w:lineRule="exact"/>
        <w:ind w:firstLine="480" w:firstLineChars="200"/>
        <w:rPr>
          <w:rFonts w:ascii="宋体"/>
          <w:color w:val="auto"/>
          <w:sz w:val="24"/>
          <w:szCs w:val="24"/>
          <w:highlight w:val="none"/>
        </w:rPr>
      </w:pPr>
    </w:p>
    <w:p w14:paraId="18632239">
      <w:pPr>
        <w:adjustRightInd w:val="0"/>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0BE44E24">
      <w:pPr>
        <w:pStyle w:val="5"/>
        <w:rPr>
          <w:rFonts w:cs="Times New Roman"/>
          <w:color w:val="auto"/>
          <w:highlight w:val="none"/>
        </w:rPr>
      </w:pPr>
    </w:p>
    <w:p w14:paraId="7FA8AD19">
      <w:pPr>
        <w:pStyle w:val="6"/>
        <w:rPr>
          <w:color w:val="auto"/>
          <w:highlight w:val="none"/>
        </w:rPr>
      </w:pPr>
    </w:p>
    <w:p w14:paraId="56B6970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DE0A12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8046E6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711B2CE">
      <w:pPr>
        <w:rPr>
          <w:rFonts w:ascii="宋体" w:hAnsi="宋体" w:cs="宋体"/>
          <w:color w:val="auto"/>
          <w:sz w:val="24"/>
          <w:szCs w:val="24"/>
          <w:highlight w:val="none"/>
        </w:rPr>
      </w:pPr>
    </w:p>
    <w:p w14:paraId="59511BCC">
      <w:pPr>
        <w:spacing w:line="360" w:lineRule="auto"/>
        <w:ind w:left="3780" w:leftChars="1800" w:firstLine="480" w:firstLineChars="200"/>
        <w:rPr>
          <w:rFonts w:ascii="宋体" w:hAnsi="宋体" w:cs="宋体"/>
          <w:color w:val="auto"/>
          <w:sz w:val="24"/>
          <w:szCs w:val="24"/>
        </w:rPr>
      </w:pPr>
    </w:p>
    <w:p w14:paraId="7FACFBD9">
      <w:pPr>
        <w:rPr>
          <w:rFonts w:hint="eastAsia" w:ascii="宋体" w:hAnsi="宋体" w:eastAsia="宋体" w:cs="宋体"/>
          <w:b/>
          <w:bCs/>
          <w:color w:val="auto"/>
          <w:highlight w:val="none"/>
          <w:lang w:val="zh-CN"/>
        </w:rPr>
      </w:pPr>
      <w:r>
        <w:rPr>
          <w:rFonts w:hint="eastAsia" w:ascii="宋体" w:hAnsi="宋体" w:eastAsia="宋体" w:cs="宋体"/>
          <w:color w:val="auto"/>
          <w:sz w:val="24"/>
          <w:szCs w:val="24"/>
          <w:highlight w:val="none"/>
          <w:lang w:val="zh-CN"/>
        </w:rPr>
        <w:br w:type="page"/>
      </w:r>
      <w:bookmarkEnd w:id="93"/>
    </w:p>
    <w:p w14:paraId="00F13C28">
      <w:pPr>
        <w:pStyle w:val="6"/>
        <w:rPr>
          <w:rFonts w:hint="eastAsia" w:ascii="宋体" w:hAnsi="宋体" w:eastAsia="宋体" w:cs="宋体"/>
          <w:b/>
          <w:bCs/>
          <w:color w:val="auto"/>
          <w:highlight w:val="none"/>
          <w:lang w:val="zh-CN"/>
        </w:rPr>
      </w:pPr>
    </w:p>
    <w:p w14:paraId="37155395">
      <w:pPr>
        <w:rPr>
          <w:rFonts w:hint="eastAsia" w:ascii="宋体" w:hAnsi="宋体" w:eastAsia="宋体" w:cs="宋体"/>
          <w:b/>
          <w:bCs/>
          <w:color w:val="auto"/>
          <w:highlight w:val="none"/>
          <w:lang w:val="zh-CN"/>
        </w:rPr>
      </w:pPr>
    </w:p>
    <w:p w14:paraId="03F7310A">
      <w:pPr>
        <w:pStyle w:val="5"/>
        <w:rPr>
          <w:rFonts w:hint="eastAsia" w:ascii="宋体" w:hAnsi="宋体" w:eastAsia="宋体" w:cs="宋体"/>
          <w:b/>
          <w:bCs/>
          <w:color w:val="auto"/>
          <w:highlight w:val="none"/>
          <w:lang w:val="zh-CN"/>
        </w:rPr>
      </w:pPr>
    </w:p>
    <w:p w14:paraId="05A75420">
      <w:pPr>
        <w:pStyle w:val="6"/>
        <w:rPr>
          <w:rFonts w:hint="eastAsia" w:ascii="宋体" w:hAnsi="宋体" w:eastAsia="宋体" w:cs="宋体"/>
          <w:b/>
          <w:bCs/>
          <w:color w:val="auto"/>
          <w:highlight w:val="none"/>
          <w:lang w:val="zh-CN"/>
        </w:rPr>
      </w:pPr>
    </w:p>
    <w:p w14:paraId="60EE9759">
      <w:pPr>
        <w:rPr>
          <w:rFonts w:hint="eastAsia" w:ascii="宋体" w:hAnsi="宋体" w:eastAsia="宋体" w:cs="宋体"/>
          <w:b/>
          <w:bCs/>
          <w:color w:val="auto"/>
          <w:highlight w:val="none"/>
          <w:lang w:val="zh-CN"/>
        </w:rPr>
      </w:pPr>
    </w:p>
    <w:p w14:paraId="38A6FC94">
      <w:pPr>
        <w:pStyle w:val="6"/>
        <w:rPr>
          <w:rFonts w:hint="eastAsia" w:ascii="宋体" w:hAnsi="宋体" w:eastAsia="宋体" w:cs="宋体"/>
          <w:b/>
          <w:bCs/>
          <w:color w:val="auto"/>
          <w:highlight w:val="none"/>
          <w:lang w:val="zh-CN"/>
        </w:rPr>
      </w:pPr>
    </w:p>
    <w:p w14:paraId="04B8DEE7">
      <w:pPr>
        <w:rPr>
          <w:rFonts w:hint="eastAsia" w:ascii="宋体" w:hAnsi="宋体" w:eastAsia="宋体" w:cs="宋体"/>
          <w:b/>
          <w:bCs/>
          <w:color w:val="auto"/>
          <w:highlight w:val="none"/>
          <w:lang w:val="zh-CN"/>
        </w:rPr>
      </w:pPr>
    </w:p>
    <w:p w14:paraId="3930E779">
      <w:pPr>
        <w:pStyle w:val="6"/>
        <w:rPr>
          <w:rFonts w:hint="eastAsia" w:ascii="宋体" w:hAnsi="宋体" w:eastAsia="宋体" w:cs="宋体"/>
          <w:b/>
          <w:bCs/>
          <w:color w:val="auto"/>
          <w:highlight w:val="none"/>
          <w:lang w:val="zh-CN"/>
        </w:rPr>
      </w:pPr>
    </w:p>
    <w:p w14:paraId="22852845">
      <w:pPr>
        <w:rPr>
          <w:rFonts w:hint="eastAsia" w:ascii="宋体" w:hAnsi="宋体" w:eastAsia="宋体" w:cs="宋体"/>
          <w:b/>
          <w:bCs/>
          <w:color w:val="auto"/>
          <w:highlight w:val="none"/>
          <w:lang w:val="zh-CN"/>
        </w:rPr>
      </w:pPr>
    </w:p>
    <w:p w14:paraId="51EEE27E">
      <w:pPr>
        <w:pStyle w:val="6"/>
        <w:rPr>
          <w:rFonts w:hint="eastAsia" w:ascii="宋体" w:hAnsi="宋体" w:eastAsia="宋体" w:cs="宋体"/>
          <w:b/>
          <w:bCs/>
          <w:color w:val="auto"/>
          <w:highlight w:val="none"/>
          <w:lang w:val="zh-CN"/>
        </w:rPr>
      </w:pPr>
    </w:p>
    <w:p w14:paraId="4C2413BA">
      <w:pPr>
        <w:rPr>
          <w:rFonts w:hint="eastAsia" w:ascii="宋体" w:hAnsi="宋体" w:eastAsia="宋体" w:cs="宋体"/>
          <w:b/>
          <w:bCs/>
          <w:color w:val="auto"/>
          <w:highlight w:val="none"/>
          <w:lang w:val="zh-CN"/>
        </w:rPr>
      </w:pPr>
    </w:p>
    <w:p w14:paraId="3928B8A2">
      <w:pPr>
        <w:pStyle w:val="6"/>
        <w:rPr>
          <w:rFonts w:hint="eastAsia"/>
          <w:color w:val="auto"/>
          <w:lang w:val="zh-CN"/>
        </w:rPr>
      </w:pPr>
    </w:p>
    <w:p w14:paraId="1A6DFEDE">
      <w:pPr>
        <w:spacing w:line="360" w:lineRule="auto"/>
        <w:jc w:val="left"/>
        <w:rPr>
          <w:rFonts w:hint="eastAsia" w:ascii="宋体" w:hAnsi="宋体" w:eastAsia="宋体" w:cs="宋体"/>
          <w:b/>
          <w:bCs/>
          <w:color w:val="auto"/>
          <w:sz w:val="24"/>
          <w:szCs w:val="24"/>
          <w:highlight w:val="none"/>
          <w:lang w:val="zh-CN"/>
        </w:rPr>
      </w:pPr>
    </w:p>
    <w:p w14:paraId="34B93526">
      <w:pPr>
        <w:spacing w:line="360" w:lineRule="auto"/>
        <w:jc w:val="left"/>
        <w:rPr>
          <w:rFonts w:hint="eastAsia" w:ascii="宋体" w:hAnsi="宋体" w:eastAsia="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016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44609">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70F03B">
                          <w:pPr>
                            <w:pStyle w:val="18"/>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4570F03B">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EAAD9">
    <w:pPr>
      <w:pStyle w:val="18"/>
      <w:rPr>
        <w:rStyle w:val="3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3EDFF9FF">
                          <w:pPr>
                            <w:pStyle w:val="18"/>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3EDFF9FF">
                    <w:pPr>
                      <w:pStyle w:val="18"/>
                    </w:pPr>
                    <w:r>
                      <w:fldChar w:fldCharType="begin"/>
                    </w:r>
                    <w:r>
                      <w:instrText xml:space="preserve"> PAGE  \* MERGEFORMAT </w:instrText>
                    </w:r>
                    <w:r>
                      <w:fldChar w:fldCharType="separate"/>
                    </w:r>
                    <w:r>
                      <w:t>59</w:t>
                    </w:r>
                    <w:r>
                      <w:fldChar w:fldCharType="end"/>
                    </w:r>
                  </w:p>
                </w:txbxContent>
              </v:textbox>
            </v:shape>
          </w:pict>
        </mc:Fallback>
      </mc:AlternateContent>
    </w:r>
  </w:p>
  <w:p w14:paraId="6CFC3CB7">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A2957">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D436F"/>
    <w:multiLevelType w:val="singleLevel"/>
    <w:tmpl w:val="9E7D436F"/>
    <w:lvl w:ilvl="0" w:tentative="0">
      <w:start w:val="1"/>
      <w:numFmt w:val="chineseCounting"/>
      <w:suff w:val="nothing"/>
      <w:lvlText w:val="%1、"/>
      <w:lvlJc w:val="left"/>
      <w:rPr>
        <w:rFonts w:hint="eastAsia"/>
      </w:rPr>
    </w:lvl>
  </w:abstractNum>
  <w:abstractNum w:abstractNumId="1">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2">
    <w:nsid w:val="F4396F3A"/>
    <w:multiLevelType w:val="singleLevel"/>
    <w:tmpl w:val="F4396F3A"/>
    <w:lvl w:ilvl="0" w:tentative="0">
      <w:start w:val="2"/>
      <w:numFmt w:val="chineseCounting"/>
      <w:suff w:val="nothing"/>
      <w:lvlText w:val="%1、"/>
      <w:lvlJc w:val="left"/>
      <w:rPr>
        <w:rFonts w:hint="eastAsia"/>
      </w:rPr>
    </w:lvl>
  </w:abstractNum>
  <w:abstractNum w:abstractNumId="3">
    <w:nsid w:val="FA308CD8"/>
    <w:multiLevelType w:val="singleLevel"/>
    <w:tmpl w:val="FA308CD8"/>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5">
    <w:nsid w:val="0B1E7A5C"/>
    <w:multiLevelType w:val="singleLevel"/>
    <w:tmpl w:val="0B1E7A5C"/>
    <w:lvl w:ilvl="0" w:tentative="0">
      <w:start w:val="1"/>
      <w:numFmt w:val="decimalEnclosedCircleChinese"/>
      <w:suff w:val="nothing"/>
      <w:lvlText w:val="%1　"/>
      <w:lvlJc w:val="left"/>
      <w:pPr>
        <w:ind w:left="420" w:firstLine="400"/>
      </w:pPr>
      <w:rPr>
        <w:rFonts w:hint="eastAsia"/>
      </w:rPr>
    </w:lvl>
  </w:abstractNum>
  <w:abstractNum w:abstractNumId="6">
    <w:nsid w:val="12F353C5"/>
    <w:multiLevelType w:val="singleLevel"/>
    <w:tmpl w:val="12F353C5"/>
    <w:lvl w:ilvl="0" w:tentative="0">
      <w:start w:val="1"/>
      <w:numFmt w:val="chineseCounting"/>
      <w:suff w:val="nothing"/>
      <w:lvlText w:val="%1、"/>
      <w:lvlJc w:val="left"/>
      <w:rPr>
        <w:rFonts w:hint="eastAsia"/>
      </w:rPr>
    </w:lvl>
  </w:abstractNum>
  <w:abstractNum w:abstractNumId="7">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8">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9">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0">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1">
    <w:nsid w:val="31213A5A"/>
    <w:multiLevelType w:val="singleLevel"/>
    <w:tmpl w:val="31213A5A"/>
    <w:lvl w:ilvl="0" w:tentative="0">
      <w:start w:val="4"/>
      <w:numFmt w:val="chineseCounting"/>
      <w:suff w:val="nothing"/>
      <w:lvlText w:val="%1、"/>
      <w:lvlJc w:val="left"/>
      <w:rPr>
        <w:rFonts w:hint="eastAsia"/>
      </w:rPr>
    </w:lvl>
  </w:abstractNum>
  <w:abstractNum w:abstractNumId="12">
    <w:nsid w:val="3C2058EE"/>
    <w:multiLevelType w:val="multilevel"/>
    <w:tmpl w:val="3C2058E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42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4">
    <w:nsid w:val="466C6E1F"/>
    <w:multiLevelType w:val="multilevel"/>
    <w:tmpl w:val="466C6E1F"/>
    <w:lvl w:ilvl="0" w:tentative="0">
      <w:start w:val="1"/>
      <w:numFmt w:val="upperLetter"/>
      <w:pStyle w:val="7"/>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5">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6">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7">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8">
    <w:nsid w:val="7A1E2FCA"/>
    <w:multiLevelType w:val="multilevel"/>
    <w:tmpl w:val="7A1E2FCA"/>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4"/>
  </w:num>
  <w:num w:numId="2">
    <w:abstractNumId w:val="4"/>
  </w:num>
  <w:num w:numId="3">
    <w:abstractNumId w:val="16"/>
  </w:num>
  <w:num w:numId="4">
    <w:abstractNumId w:val="8"/>
  </w:num>
  <w:num w:numId="5">
    <w:abstractNumId w:val="19"/>
  </w:num>
  <w:num w:numId="6">
    <w:abstractNumId w:val="9"/>
  </w:num>
  <w:num w:numId="7">
    <w:abstractNumId w:val="17"/>
  </w:num>
  <w:num w:numId="8">
    <w:abstractNumId w:val="6"/>
  </w:num>
  <w:num w:numId="9">
    <w:abstractNumId w:val="7"/>
  </w:num>
  <w:num w:numId="10">
    <w:abstractNumId w:val="15"/>
  </w:num>
  <w:num w:numId="11">
    <w:abstractNumId w:val="13"/>
  </w:num>
  <w:num w:numId="12">
    <w:abstractNumId w:val="1"/>
  </w:num>
  <w:num w:numId="13">
    <w:abstractNumId w:val="10"/>
  </w:num>
  <w:num w:numId="14">
    <w:abstractNumId w:val="12"/>
  </w:num>
  <w:num w:numId="15">
    <w:abstractNumId w:val="18"/>
  </w:num>
  <w:num w:numId="16">
    <w:abstractNumId w:val="0"/>
  </w:num>
  <w:num w:numId="17">
    <w:abstractNumId w:val="11"/>
  </w:num>
  <w:num w:numId="18">
    <w:abstractNumId w:val="2"/>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Yjc2MzdjMzNlOTYwYmU2MzlkZjg2MzRhMDA5MTgifQ=="/>
  </w:docVars>
  <w:rsids>
    <w:rsidRoot w:val="5AA412FE"/>
    <w:rsid w:val="00003EF7"/>
    <w:rsid w:val="000122B4"/>
    <w:rsid w:val="00027C5B"/>
    <w:rsid w:val="00043EEC"/>
    <w:rsid w:val="00046957"/>
    <w:rsid w:val="0005045A"/>
    <w:rsid w:val="00066770"/>
    <w:rsid w:val="00084F39"/>
    <w:rsid w:val="00085ECB"/>
    <w:rsid w:val="000B3BC7"/>
    <w:rsid w:val="000D30BB"/>
    <w:rsid w:val="000F06EE"/>
    <w:rsid w:val="001039CA"/>
    <w:rsid w:val="0012684B"/>
    <w:rsid w:val="001339E2"/>
    <w:rsid w:val="00161E6F"/>
    <w:rsid w:val="00213CF6"/>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BD1729"/>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E7041C"/>
    <w:rsid w:val="00F47432"/>
    <w:rsid w:val="00F673E5"/>
    <w:rsid w:val="00FD3C5B"/>
    <w:rsid w:val="00FD77B5"/>
    <w:rsid w:val="010107C9"/>
    <w:rsid w:val="01044A81"/>
    <w:rsid w:val="014526C0"/>
    <w:rsid w:val="0149271B"/>
    <w:rsid w:val="01A77E95"/>
    <w:rsid w:val="01A86A05"/>
    <w:rsid w:val="01B77FDC"/>
    <w:rsid w:val="02710CE9"/>
    <w:rsid w:val="02851A7D"/>
    <w:rsid w:val="028B5EE0"/>
    <w:rsid w:val="028F657D"/>
    <w:rsid w:val="02A957DB"/>
    <w:rsid w:val="02C15155"/>
    <w:rsid w:val="02FB0AA9"/>
    <w:rsid w:val="02FB1EF4"/>
    <w:rsid w:val="03146882"/>
    <w:rsid w:val="034321D6"/>
    <w:rsid w:val="03A870EA"/>
    <w:rsid w:val="03E70B83"/>
    <w:rsid w:val="044134E4"/>
    <w:rsid w:val="049251C3"/>
    <w:rsid w:val="050E411D"/>
    <w:rsid w:val="052D21DD"/>
    <w:rsid w:val="059756BD"/>
    <w:rsid w:val="05F663F0"/>
    <w:rsid w:val="06046B53"/>
    <w:rsid w:val="06082700"/>
    <w:rsid w:val="064935A9"/>
    <w:rsid w:val="066C1A43"/>
    <w:rsid w:val="06C410C1"/>
    <w:rsid w:val="07010B40"/>
    <w:rsid w:val="07401E45"/>
    <w:rsid w:val="07893F2F"/>
    <w:rsid w:val="07FF7612"/>
    <w:rsid w:val="08D56A64"/>
    <w:rsid w:val="090B4CBB"/>
    <w:rsid w:val="099E2A5B"/>
    <w:rsid w:val="09A27D61"/>
    <w:rsid w:val="09AD0AEE"/>
    <w:rsid w:val="09B06C83"/>
    <w:rsid w:val="09D249E0"/>
    <w:rsid w:val="0ABC596C"/>
    <w:rsid w:val="0AF12519"/>
    <w:rsid w:val="0AFB449D"/>
    <w:rsid w:val="0B065E39"/>
    <w:rsid w:val="0B0C3424"/>
    <w:rsid w:val="0B7E72EA"/>
    <w:rsid w:val="0BE54EA7"/>
    <w:rsid w:val="0C00660B"/>
    <w:rsid w:val="0C7A6A78"/>
    <w:rsid w:val="0CB1248C"/>
    <w:rsid w:val="0D094597"/>
    <w:rsid w:val="0D352017"/>
    <w:rsid w:val="0DC018E5"/>
    <w:rsid w:val="0E090AFD"/>
    <w:rsid w:val="0E22642F"/>
    <w:rsid w:val="0E2D1637"/>
    <w:rsid w:val="0E802EB3"/>
    <w:rsid w:val="0EA5368B"/>
    <w:rsid w:val="0EC76B81"/>
    <w:rsid w:val="0EEA1524"/>
    <w:rsid w:val="0F0B3FC1"/>
    <w:rsid w:val="0F9E5390"/>
    <w:rsid w:val="102670BD"/>
    <w:rsid w:val="104145F9"/>
    <w:rsid w:val="10B64C1C"/>
    <w:rsid w:val="10BA6CED"/>
    <w:rsid w:val="10C9129C"/>
    <w:rsid w:val="10EC6512"/>
    <w:rsid w:val="11015514"/>
    <w:rsid w:val="113C27FB"/>
    <w:rsid w:val="1156040D"/>
    <w:rsid w:val="115644ED"/>
    <w:rsid w:val="11AF1066"/>
    <w:rsid w:val="11CF6577"/>
    <w:rsid w:val="11F55F82"/>
    <w:rsid w:val="120954BB"/>
    <w:rsid w:val="121A05A5"/>
    <w:rsid w:val="12313422"/>
    <w:rsid w:val="12792BFB"/>
    <w:rsid w:val="129F37E3"/>
    <w:rsid w:val="12E30368"/>
    <w:rsid w:val="12FC45DD"/>
    <w:rsid w:val="133920CC"/>
    <w:rsid w:val="13495BED"/>
    <w:rsid w:val="13781A27"/>
    <w:rsid w:val="13B61C81"/>
    <w:rsid w:val="141645BF"/>
    <w:rsid w:val="1497767E"/>
    <w:rsid w:val="14F43330"/>
    <w:rsid w:val="155D552F"/>
    <w:rsid w:val="15703332"/>
    <w:rsid w:val="157D7686"/>
    <w:rsid w:val="15830AE2"/>
    <w:rsid w:val="15A07E8D"/>
    <w:rsid w:val="15AC51FA"/>
    <w:rsid w:val="15BC6282"/>
    <w:rsid w:val="162B04E9"/>
    <w:rsid w:val="1648774C"/>
    <w:rsid w:val="16671B3B"/>
    <w:rsid w:val="16B952CB"/>
    <w:rsid w:val="16D01B7A"/>
    <w:rsid w:val="16EB43B2"/>
    <w:rsid w:val="174B7A0D"/>
    <w:rsid w:val="17D3547E"/>
    <w:rsid w:val="18A759BE"/>
    <w:rsid w:val="19061AA7"/>
    <w:rsid w:val="190D09AE"/>
    <w:rsid w:val="192F2FE5"/>
    <w:rsid w:val="194A559B"/>
    <w:rsid w:val="199D3F96"/>
    <w:rsid w:val="19B03AD9"/>
    <w:rsid w:val="1A156465"/>
    <w:rsid w:val="1A485F5E"/>
    <w:rsid w:val="1A686CC5"/>
    <w:rsid w:val="1AB84A87"/>
    <w:rsid w:val="1AFB0A1E"/>
    <w:rsid w:val="1B155261"/>
    <w:rsid w:val="1B4A7538"/>
    <w:rsid w:val="1B4F1500"/>
    <w:rsid w:val="1B6755DD"/>
    <w:rsid w:val="1B976E81"/>
    <w:rsid w:val="1BC45F57"/>
    <w:rsid w:val="1BDB27A5"/>
    <w:rsid w:val="1C177D71"/>
    <w:rsid w:val="1CC874BD"/>
    <w:rsid w:val="1CFF0A9F"/>
    <w:rsid w:val="1D1E7984"/>
    <w:rsid w:val="1DB9235F"/>
    <w:rsid w:val="1DC74A1D"/>
    <w:rsid w:val="1DDB508D"/>
    <w:rsid w:val="1E031779"/>
    <w:rsid w:val="1E157011"/>
    <w:rsid w:val="1E6019F9"/>
    <w:rsid w:val="1E8C459E"/>
    <w:rsid w:val="1E934307"/>
    <w:rsid w:val="1EDA1EFB"/>
    <w:rsid w:val="1F2B0346"/>
    <w:rsid w:val="1F431821"/>
    <w:rsid w:val="1F890C4B"/>
    <w:rsid w:val="1FCD59D3"/>
    <w:rsid w:val="1FD10B66"/>
    <w:rsid w:val="1FDA3069"/>
    <w:rsid w:val="1FE10863"/>
    <w:rsid w:val="20005C4C"/>
    <w:rsid w:val="20170735"/>
    <w:rsid w:val="202C4AF6"/>
    <w:rsid w:val="203D453F"/>
    <w:rsid w:val="205B73C3"/>
    <w:rsid w:val="20626028"/>
    <w:rsid w:val="20B44398"/>
    <w:rsid w:val="20D34487"/>
    <w:rsid w:val="20EB4820"/>
    <w:rsid w:val="215A3622"/>
    <w:rsid w:val="219416B8"/>
    <w:rsid w:val="21C31E07"/>
    <w:rsid w:val="21FF3D3B"/>
    <w:rsid w:val="220A1EFE"/>
    <w:rsid w:val="2227579B"/>
    <w:rsid w:val="2231339B"/>
    <w:rsid w:val="22514430"/>
    <w:rsid w:val="226704C8"/>
    <w:rsid w:val="22D7095E"/>
    <w:rsid w:val="22EB0109"/>
    <w:rsid w:val="231177A3"/>
    <w:rsid w:val="234B0952"/>
    <w:rsid w:val="23720885"/>
    <w:rsid w:val="24054003"/>
    <w:rsid w:val="243A0EE4"/>
    <w:rsid w:val="248E2E3A"/>
    <w:rsid w:val="25B14925"/>
    <w:rsid w:val="26451EEA"/>
    <w:rsid w:val="26704F2E"/>
    <w:rsid w:val="269A56FB"/>
    <w:rsid w:val="26B506EC"/>
    <w:rsid w:val="27210100"/>
    <w:rsid w:val="27DC3878"/>
    <w:rsid w:val="27E76477"/>
    <w:rsid w:val="28254CD6"/>
    <w:rsid w:val="286D4B1E"/>
    <w:rsid w:val="28AF339E"/>
    <w:rsid w:val="28C62F56"/>
    <w:rsid w:val="28DA203A"/>
    <w:rsid w:val="28E84A2F"/>
    <w:rsid w:val="28F0407A"/>
    <w:rsid w:val="290F208E"/>
    <w:rsid w:val="29124844"/>
    <w:rsid w:val="29152822"/>
    <w:rsid w:val="291A7D32"/>
    <w:rsid w:val="29320499"/>
    <w:rsid w:val="29655706"/>
    <w:rsid w:val="29693257"/>
    <w:rsid w:val="29837904"/>
    <w:rsid w:val="29AC284E"/>
    <w:rsid w:val="29B0557C"/>
    <w:rsid w:val="2A1A0F4E"/>
    <w:rsid w:val="2AB06233"/>
    <w:rsid w:val="2B3E2250"/>
    <w:rsid w:val="2BF7A349"/>
    <w:rsid w:val="2C1D57D4"/>
    <w:rsid w:val="2C263A29"/>
    <w:rsid w:val="2CAE51CD"/>
    <w:rsid w:val="2CCF49F6"/>
    <w:rsid w:val="2CE05BB9"/>
    <w:rsid w:val="2CF23945"/>
    <w:rsid w:val="2D346E5C"/>
    <w:rsid w:val="2D4A21B5"/>
    <w:rsid w:val="2D91275F"/>
    <w:rsid w:val="2DD52751"/>
    <w:rsid w:val="2E664953"/>
    <w:rsid w:val="2EB07460"/>
    <w:rsid w:val="2EB5699C"/>
    <w:rsid w:val="2F022232"/>
    <w:rsid w:val="2F6E3D48"/>
    <w:rsid w:val="300C303E"/>
    <w:rsid w:val="3036363E"/>
    <w:rsid w:val="30474804"/>
    <w:rsid w:val="30A901B1"/>
    <w:rsid w:val="30FB7A19"/>
    <w:rsid w:val="310261A7"/>
    <w:rsid w:val="31387D8F"/>
    <w:rsid w:val="315D4606"/>
    <w:rsid w:val="318D0B53"/>
    <w:rsid w:val="31F70D0A"/>
    <w:rsid w:val="32076543"/>
    <w:rsid w:val="32A75185"/>
    <w:rsid w:val="32E75E2A"/>
    <w:rsid w:val="32F53E43"/>
    <w:rsid w:val="33340B4D"/>
    <w:rsid w:val="335F41BA"/>
    <w:rsid w:val="338713C1"/>
    <w:rsid w:val="33B962F5"/>
    <w:rsid w:val="33BA34B0"/>
    <w:rsid w:val="34367DA9"/>
    <w:rsid w:val="34655594"/>
    <w:rsid w:val="3477488D"/>
    <w:rsid w:val="349413EA"/>
    <w:rsid w:val="349D2C44"/>
    <w:rsid w:val="34C20E1D"/>
    <w:rsid w:val="34C54BE3"/>
    <w:rsid w:val="34C574CF"/>
    <w:rsid w:val="34E041C0"/>
    <w:rsid w:val="350607E8"/>
    <w:rsid w:val="350D6182"/>
    <w:rsid w:val="3628478F"/>
    <w:rsid w:val="367C4935"/>
    <w:rsid w:val="36CE34E8"/>
    <w:rsid w:val="37020770"/>
    <w:rsid w:val="3703001E"/>
    <w:rsid w:val="37B838EA"/>
    <w:rsid w:val="387939C8"/>
    <w:rsid w:val="388E1F1E"/>
    <w:rsid w:val="3904514B"/>
    <w:rsid w:val="39606472"/>
    <w:rsid w:val="39706B79"/>
    <w:rsid w:val="39FB6A6E"/>
    <w:rsid w:val="39FC282B"/>
    <w:rsid w:val="3A164E28"/>
    <w:rsid w:val="3A3A5CC5"/>
    <w:rsid w:val="3A7B3A28"/>
    <w:rsid w:val="3A9C1064"/>
    <w:rsid w:val="3ACF16E5"/>
    <w:rsid w:val="3ACF398B"/>
    <w:rsid w:val="3AF143FE"/>
    <w:rsid w:val="3B1064BD"/>
    <w:rsid w:val="3B2C33D8"/>
    <w:rsid w:val="3B2C358C"/>
    <w:rsid w:val="3BE04637"/>
    <w:rsid w:val="3BF15362"/>
    <w:rsid w:val="3C17152E"/>
    <w:rsid w:val="3C6148B0"/>
    <w:rsid w:val="3C8B319B"/>
    <w:rsid w:val="3CD27730"/>
    <w:rsid w:val="3D066FD7"/>
    <w:rsid w:val="3D267363"/>
    <w:rsid w:val="3D390470"/>
    <w:rsid w:val="3D4D11D6"/>
    <w:rsid w:val="3D593B6E"/>
    <w:rsid w:val="3DC76F84"/>
    <w:rsid w:val="3DCE50EF"/>
    <w:rsid w:val="3DDF7E2A"/>
    <w:rsid w:val="3E05686D"/>
    <w:rsid w:val="3E062B0C"/>
    <w:rsid w:val="3E1918E3"/>
    <w:rsid w:val="3E3759DF"/>
    <w:rsid w:val="3E96513D"/>
    <w:rsid w:val="3E98229E"/>
    <w:rsid w:val="3EA64B1B"/>
    <w:rsid w:val="3EE902D6"/>
    <w:rsid w:val="3EEE2128"/>
    <w:rsid w:val="3F00274D"/>
    <w:rsid w:val="3F894898"/>
    <w:rsid w:val="3FB21F0F"/>
    <w:rsid w:val="40992A52"/>
    <w:rsid w:val="40E80A95"/>
    <w:rsid w:val="40FB3E72"/>
    <w:rsid w:val="410977E6"/>
    <w:rsid w:val="41131941"/>
    <w:rsid w:val="411E7DFD"/>
    <w:rsid w:val="41C50CBF"/>
    <w:rsid w:val="42234900"/>
    <w:rsid w:val="42310D45"/>
    <w:rsid w:val="425D450F"/>
    <w:rsid w:val="42914373"/>
    <w:rsid w:val="4297507F"/>
    <w:rsid w:val="42A44E8B"/>
    <w:rsid w:val="42DA32B5"/>
    <w:rsid w:val="42E47ABD"/>
    <w:rsid w:val="43393B20"/>
    <w:rsid w:val="43495ACF"/>
    <w:rsid w:val="436C497E"/>
    <w:rsid w:val="438579A6"/>
    <w:rsid w:val="43F54CF5"/>
    <w:rsid w:val="4487038E"/>
    <w:rsid w:val="448D6A38"/>
    <w:rsid w:val="44913E48"/>
    <w:rsid w:val="44B6424B"/>
    <w:rsid w:val="454D3269"/>
    <w:rsid w:val="4568626D"/>
    <w:rsid w:val="45F46FB0"/>
    <w:rsid w:val="46562959"/>
    <w:rsid w:val="467F690A"/>
    <w:rsid w:val="468346FF"/>
    <w:rsid w:val="468B637A"/>
    <w:rsid w:val="46B85F59"/>
    <w:rsid w:val="46C644C3"/>
    <w:rsid w:val="46DB1B02"/>
    <w:rsid w:val="46E961D3"/>
    <w:rsid w:val="476A6C24"/>
    <w:rsid w:val="47EF50CB"/>
    <w:rsid w:val="47F1203C"/>
    <w:rsid w:val="48621071"/>
    <w:rsid w:val="487B1097"/>
    <w:rsid w:val="48873289"/>
    <w:rsid w:val="492D7C31"/>
    <w:rsid w:val="494055B9"/>
    <w:rsid w:val="495C25B9"/>
    <w:rsid w:val="498B48F2"/>
    <w:rsid w:val="499A360F"/>
    <w:rsid w:val="499D0869"/>
    <w:rsid w:val="49A50688"/>
    <w:rsid w:val="49C12AD9"/>
    <w:rsid w:val="49C134CC"/>
    <w:rsid w:val="49F80755"/>
    <w:rsid w:val="4A1B668D"/>
    <w:rsid w:val="4A396CAF"/>
    <w:rsid w:val="4A3E14BB"/>
    <w:rsid w:val="4AD245F0"/>
    <w:rsid w:val="4B0C6773"/>
    <w:rsid w:val="4B1957B9"/>
    <w:rsid w:val="4B5C045F"/>
    <w:rsid w:val="4B674B1E"/>
    <w:rsid w:val="4B82567D"/>
    <w:rsid w:val="4B91641F"/>
    <w:rsid w:val="4BE44EED"/>
    <w:rsid w:val="4C347AA3"/>
    <w:rsid w:val="4C964BBF"/>
    <w:rsid w:val="4D1A4304"/>
    <w:rsid w:val="4D284DE2"/>
    <w:rsid w:val="4D700F72"/>
    <w:rsid w:val="4D782815"/>
    <w:rsid w:val="4D8D2223"/>
    <w:rsid w:val="4DBE4790"/>
    <w:rsid w:val="4DE4323A"/>
    <w:rsid w:val="4E1560C6"/>
    <w:rsid w:val="4E2B5EFB"/>
    <w:rsid w:val="4E835670"/>
    <w:rsid w:val="4EE96853"/>
    <w:rsid w:val="4EEF6B88"/>
    <w:rsid w:val="4EF549D4"/>
    <w:rsid w:val="4F8E227A"/>
    <w:rsid w:val="4FA72F38"/>
    <w:rsid w:val="4FFC17B4"/>
    <w:rsid w:val="50702768"/>
    <w:rsid w:val="50CF3D2E"/>
    <w:rsid w:val="50FE0AB7"/>
    <w:rsid w:val="51696EE6"/>
    <w:rsid w:val="516E1798"/>
    <w:rsid w:val="51BD5D57"/>
    <w:rsid w:val="51F03A65"/>
    <w:rsid w:val="525C5D72"/>
    <w:rsid w:val="52E22041"/>
    <w:rsid w:val="52FE55DB"/>
    <w:rsid w:val="536D782E"/>
    <w:rsid w:val="537961D3"/>
    <w:rsid w:val="53D224B3"/>
    <w:rsid w:val="53E87428"/>
    <w:rsid w:val="53FA1456"/>
    <w:rsid w:val="5447281C"/>
    <w:rsid w:val="549D5EDD"/>
    <w:rsid w:val="54A90D98"/>
    <w:rsid w:val="54E44556"/>
    <w:rsid w:val="54F65EBA"/>
    <w:rsid w:val="55AF412E"/>
    <w:rsid w:val="55D27624"/>
    <w:rsid w:val="56324628"/>
    <w:rsid w:val="56336B0D"/>
    <w:rsid w:val="567A6E51"/>
    <w:rsid w:val="56A42751"/>
    <w:rsid w:val="56A633F8"/>
    <w:rsid w:val="56B45E9F"/>
    <w:rsid w:val="56F203B4"/>
    <w:rsid w:val="57472D83"/>
    <w:rsid w:val="57747C3B"/>
    <w:rsid w:val="579A11F6"/>
    <w:rsid w:val="57B64F52"/>
    <w:rsid w:val="57FB19B1"/>
    <w:rsid w:val="57FC55AA"/>
    <w:rsid w:val="580928E7"/>
    <w:rsid w:val="583E1CF5"/>
    <w:rsid w:val="58501BF8"/>
    <w:rsid w:val="58551F7D"/>
    <w:rsid w:val="58AE4C17"/>
    <w:rsid w:val="58B31E84"/>
    <w:rsid w:val="595B76D2"/>
    <w:rsid w:val="5A8F5421"/>
    <w:rsid w:val="5AA412FE"/>
    <w:rsid w:val="5AAE70AA"/>
    <w:rsid w:val="5ABA7A19"/>
    <w:rsid w:val="5AC72F10"/>
    <w:rsid w:val="5B136F0D"/>
    <w:rsid w:val="5B56778E"/>
    <w:rsid w:val="5B840C5F"/>
    <w:rsid w:val="5B964D28"/>
    <w:rsid w:val="5BB71F8E"/>
    <w:rsid w:val="5BC44F00"/>
    <w:rsid w:val="5BDC07D1"/>
    <w:rsid w:val="5D002209"/>
    <w:rsid w:val="5D1A6C78"/>
    <w:rsid w:val="5D217374"/>
    <w:rsid w:val="5D487342"/>
    <w:rsid w:val="5D7960CD"/>
    <w:rsid w:val="5DE81AA6"/>
    <w:rsid w:val="5DE943DE"/>
    <w:rsid w:val="5E2B51A2"/>
    <w:rsid w:val="5E4E4E2C"/>
    <w:rsid w:val="5EB62375"/>
    <w:rsid w:val="5ECC7AFE"/>
    <w:rsid w:val="5EF679FF"/>
    <w:rsid w:val="5EF724E5"/>
    <w:rsid w:val="5F0E600B"/>
    <w:rsid w:val="5F436DCC"/>
    <w:rsid w:val="5F5B667A"/>
    <w:rsid w:val="5F6067D6"/>
    <w:rsid w:val="5FD125EC"/>
    <w:rsid w:val="603D2D4A"/>
    <w:rsid w:val="608A6D1A"/>
    <w:rsid w:val="60D51B08"/>
    <w:rsid w:val="610552EA"/>
    <w:rsid w:val="61162C50"/>
    <w:rsid w:val="613F6CAD"/>
    <w:rsid w:val="61490A69"/>
    <w:rsid w:val="617203D0"/>
    <w:rsid w:val="61EC0543"/>
    <w:rsid w:val="622320AD"/>
    <w:rsid w:val="62460B06"/>
    <w:rsid w:val="626A5FAC"/>
    <w:rsid w:val="626B7FC9"/>
    <w:rsid w:val="626C41FD"/>
    <w:rsid w:val="62F7205C"/>
    <w:rsid w:val="631840FD"/>
    <w:rsid w:val="634B16C2"/>
    <w:rsid w:val="638717D9"/>
    <w:rsid w:val="63A303DC"/>
    <w:rsid w:val="647D6B2F"/>
    <w:rsid w:val="64865437"/>
    <w:rsid w:val="64981C38"/>
    <w:rsid w:val="64A14715"/>
    <w:rsid w:val="64AA3487"/>
    <w:rsid w:val="64AE2EEE"/>
    <w:rsid w:val="64B672B1"/>
    <w:rsid w:val="64E71BB9"/>
    <w:rsid w:val="64F70EA9"/>
    <w:rsid w:val="64F90EBE"/>
    <w:rsid w:val="65293587"/>
    <w:rsid w:val="654F1A47"/>
    <w:rsid w:val="6559389C"/>
    <w:rsid w:val="65C03700"/>
    <w:rsid w:val="65EC15AB"/>
    <w:rsid w:val="666B40A1"/>
    <w:rsid w:val="671B6AB8"/>
    <w:rsid w:val="67996221"/>
    <w:rsid w:val="681770D1"/>
    <w:rsid w:val="681E7F53"/>
    <w:rsid w:val="68B46056"/>
    <w:rsid w:val="69610B03"/>
    <w:rsid w:val="69A14E77"/>
    <w:rsid w:val="69A714AC"/>
    <w:rsid w:val="69CC227F"/>
    <w:rsid w:val="6A1671DC"/>
    <w:rsid w:val="6A6C2E15"/>
    <w:rsid w:val="6AA36AD3"/>
    <w:rsid w:val="6AF74155"/>
    <w:rsid w:val="6B584AFC"/>
    <w:rsid w:val="6B59453E"/>
    <w:rsid w:val="6B730E18"/>
    <w:rsid w:val="6BE66EA4"/>
    <w:rsid w:val="6D137960"/>
    <w:rsid w:val="6D31158B"/>
    <w:rsid w:val="6D88336F"/>
    <w:rsid w:val="6DDE33AA"/>
    <w:rsid w:val="6E627A21"/>
    <w:rsid w:val="6E957640"/>
    <w:rsid w:val="6EE33674"/>
    <w:rsid w:val="6EE442D1"/>
    <w:rsid w:val="6F20011E"/>
    <w:rsid w:val="6F297E76"/>
    <w:rsid w:val="6F4C3024"/>
    <w:rsid w:val="6FA10C39"/>
    <w:rsid w:val="6FB40867"/>
    <w:rsid w:val="6FDF47DE"/>
    <w:rsid w:val="70B34FC2"/>
    <w:rsid w:val="70BA3726"/>
    <w:rsid w:val="70D016D0"/>
    <w:rsid w:val="7101188A"/>
    <w:rsid w:val="718D5813"/>
    <w:rsid w:val="719D2608"/>
    <w:rsid w:val="71A224E9"/>
    <w:rsid w:val="71D074AE"/>
    <w:rsid w:val="71E103E2"/>
    <w:rsid w:val="72147BE8"/>
    <w:rsid w:val="72310D3B"/>
    <w:rsid w:val="72741EBA"/>
    <w:rsid w:val="72EA0AEA"/>
    <w:rsid w:val="73253CFE"/>
    <w:rsid w:val="734A6100"/>
    <w:rsid w:val="73767D80"/>
    <w:rsid w:val="738854C1"/>
    <w:rsid w:val="739E4C23"/>
    <w:rsid w:val="73B1244F"/>
    <w:rsid w:val="73EB3D22"/>
    <w:rsid w:val="74064BED"/>
    <w:rsid w:val="7415373C"/>
    <w:rsid w:val="74494BE5"/>
    <w:rsid w:val="74533BD1"/>
    <w:rsid w:val="747948CE"/>
    <w:rsid w:val="74B92FE6"/>
    <w:rsid w:val="74E22169"/>
    <w:rsid w:val="75126D7A"/>
    <w:rsid w:val="75285314"/>
    <w:rsid w:val="75A65E27"/>
    <w:rsid w:val="75BA5477"/>
    <w:rsid w:val="769918E2"/>
    <w:rsid w:val="76BFAF13"/>
    <w:rsid w:val="76C81BF1"/>
    <w:rsid w:val="76EE29F1"/>
    <w:rsid w:val="771A12B8"/>
    <w:rsid w:val="77537603"/>
    <w:rsid w:val="77C436E5"/>
    <w:rsid w:val="785513ED"/>
    <w:rsid w:val="78937CF7"/>
    <w:rsid w:val="78973897"/>
    <w:rsid w:val="78D167C0"/>
    <w:rsid w:val="78FBF684"/>
    <w:rsid w:val="79096067"/>
    <w:rsid w:val="799C2E68"/>
    <w:rsid w:val="79ED6971"/>
    <w:rsid w:val="79FE2D83"/>
    <w:rsid w:val="7A057571"/>
    <w:rsid w:val="7A263419"/>
    <w:rsid w:val="7A96669D"/>
    <w:rsid w:val="7AA33536"/>
    <w:rsid w:val="7AE8472F"/>
    <w:rsid w:val="7B4D35F3"/>
    <w:rsid w:val="7B76251D"/>
    <w:rsid w:val="7B7D91F1"/>
    <w:rsid w:val="7B9E1ACE"/>
    <w:rsid w:val="7BCD5242"/>
    <w:rsid w:val="7BED0CD8"/>
    <w:rsid w:val="7BF37442"/>
    <w:rsid w:val="7BF88BF8"/>
    <w:rsid w:val="7BFE1E83"/>
    <w:rsid w:val="7CB7F70C"/>
    <w:rsid w:val="7CF32A66"/>
    <w:rsid w:val="7D1E303C"/>
    <w:rsid w:val="7D464221"/>
    <w:rsid w:val="7D673C72"/>
    <w:rsid w:val="7D6FFF83"/>
    <w:rsid w:val="7D71438E"/>
    <w:rsid w:val="7DB163E5"/>
    <w:rsid w:val="7DBF21A5"/>
    <w:rsid w:val="7DE93C59"/>
    <w:rsid w:val="7DFBF8B8"/>
    <w:rsid w:val="7E6D67B0"/>
    <w:rsid w:val="7E72183B"/>
    <w:rsid w:val="7E9F6C1F"/>
    <w:rsid w:val="7EFF7F74"/>
    <w:rsid w:val="7F3F6140"/>
    <w:rsid w:val="7F413799"/>
    <w:rsid w:val="7FAF2B89"/>
    <w:rsid w:val="7FB33084"/>
    <w:rsid w:val="7FF91A5C"/>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2"/>
    <w:qFormat/>
    <w:uiPriority w:val="99"/>
    <w:pPr>
      <w:keepNext/>
      <w:keepLines/>
      <w:spacing w:line="576" w:lineRule="auto"/>
      <w:outlineLvl w:val="0"/>
    </w:pPr>
    <w:rPr>
      <w:rFonts w:ascii="Calibri" w:hAnsi="Calibri" w:cs="Calibri"/>
      <w:b/>
      <w:bCs/>
      <w:kern w:val="44"/>
      <w:sz w:val="44"/>
      <w:szCs w:val="44"/>
    </w:rPr>
  </w:style>
  <w:style w:type="paragraph" w:styleId="5">
    <w:name w:val="heading 2"/>
    <w:basedOn w:val="1"/>
    <w:next w:val="6"/>
    <w:link w:val="43"/>
    <w:qFormat/>
    <w:uiPriority w:val="99"/>
    <w:pPr>
      <w:keepNext/>
      <w:spacing w:line="216" w:lineRule="auto"/>
      <w:outlineLvl w:val="1"/>
    </w:pPr>
    <w:rPr>
      <w:rFonts w:ascii="宋体" w:hAnsi="Calibri" w:cs="宋体"/>
      <w:b/>
      <w:bCs/>
      <w:sz w:val="28"/>
      <w:szCs w:val="28"/>
    </w:rPr>
  </w:style>
  <w:style w:type="paragraph" w:styleId="7">
    <w:name w:val="heading 3"/>
    <w:basedOn w:val="1"/>
    <w:next w:val="1"/>
    <w:link w:val="44"/>
    <w:qFormat/>
    <w:uiPriority w:val="99"/>
    <w:pPr>
      <w:keepNext/>
      <w:numPr>
        <w:ilvl w:val="0"/>
        <w:numId w:val="1"/>
      </w:numPr>
      <w:spacing w:line="216" w:lineRule="auto"/>
      <w:outlineLvl w:val="2"/>
    </w:pPr>
    <w:rPr>
      <w:rFonts w:ascii="宋体" w:hAnsi="Calibri" w:cs="宋体"/>
      <w:b/>
      <w:bCs/>
      <w:sz w:val="28"/>
      <w:szCs w:val="28"/>
    </w:rPr>
  </w:style>
  <w:style w:type="paragraph" w:styleId="8">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段落"/>
    <w:basedOn w:val="3"/>
    <w:qFormat/>
    <w:uiPriority w:val="0"/>
    <w:pPr>
      <w:ind w:firstLine="200"/>
    </w:pPr>
    <w:rPr>
      <w:rFonts w:ascii="Verdana" w:hAnsi="Verdana"/>
      <w:color w:val="000000"/>
      <w:shd w:val="clear" w:color="auto" w:fill="FFFFFF"/>
    </w:rPr>
  </w:style>
  <w:style w:type="paragraph" w:styleId="3">
    <w:name w:val="List Paragraph"/>
    <w:basedOn w:val="1"/>
    <w:qFormat/>
    <w:uiPriority w:val="1"/>
    <w:pPr>
      <w:ind w:firstLine="420" w:firstLineChars="200"/>
    </w:pPr>
    <w:rPr>
      <w:szCs w:val="24"/>
    </w:rPr>
  </w:style>
  <w:style w:type="paragraph" w:styleId="6">
    <w:name w:val="Normal Indent"/>
    <w:basedOn w:val="1"/>
    <w:next w:val="1"/>
    <w:qFormat/>
    <w:uiPriority w:val="99"/>
    <w:pPr>
      <w:ind w:firstLine="420"/>
    </w:pPr>
  </w:style>
  <w:style w:type="paragraph" w:styleId="9">
    <w:name w:val="annotation text"/>
    <w:basedOn w:val="1"/>
    <w:semiHidden/>
    <w:unhideWhenUsed/>
    <w:qFormat/>
    <w:uiPriority w:val="99"/>
    <w:pPr>
      <w:jc w:val="left"/>
    </w:pPr>
  </w:style>
  <w:style w:type="paragraph" w:styleId="10">
    <w:name w:val="Body Text"/>
    <w:basedOn w:val="1"/>
    <w:next w:val="11"/>
    <w:link w:val="45"/>
    <w:qFormat/>
    <w:uiPriority w:val="99"/>
  </w:style>
  <w:style w:type="paragraph" w:customStyle="1" w:styleId="11">
    <w:name w:val="正文首行缩进1"/>
    <w:basedOn w:val="1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styleId="12">
    <w:name w:val="Body Text Indent"/>
    <w:basedOn w:val="1"/>
    <w:next w:val="1"/>
    <w:link w:val="51"/>
    <w:qFormat/>
    <w:uiPriority w:val="99"/>
    <w:pPr>
      <w:adjustRightInd w:val="0"/>
      <w:spacing w:line="360" w:lineRule="auto"/>
      <w:ind w:firstLine="490"/>
      <w:jc w:val="left"/>
    </w:pPr>
    <w:rPr>
      <w:rFonts w:ascii="宋体" w:hAnsi="宋体" w:cs="宋体"/>
      <w:sz w:val="24"/>
      <w:szCs w:val="24"/>
    </w:rPr>
  </w:style>
  <w:style w:type="paragraph" w:styleId="13">
    <w:name w:val="Block Text"/>
    <w:basedOn w:val="1"/>
    <w:qFormat/>
    <w:uiPriority w:val="0"/>
    <w:pPr>
      <w:spacing w:before="120" w:line="360" w:lineRule="auto"/>
      <w:ind w:left="824" w:right="202"/>
    </w:pPr>
    <w:rPr>
      <w:rFonts w:ascii="宋体" w:hAnsi="宋体"/>
      <w:sz w:val="24"/>
      <w:szCs w:val="21"/>
    </w:rPr>
  </w:style>
  <w:style w:type="paragraph" w:styleId="14">
    <w:name w:val="toc 3"/>
    <w:basedOn w:val="1"/>
    <w:next w:val="1"/>
    <w:semiHidden/>
    <w:qFormat/>
    <w:uiPriority w:val="99"/>
    <w:pPr>
      <w:ind w:left="840" w:leftChars="400"/>
    </w:pPr>
  </w:style>
  <w:style w:type="paragraph" w:styleId="15">
    <w:name w:val="Plain Text"/>
    <w:basedOn w:val="1"/>
    <w:next w:val="1"/>
    <w:link w:val="52"/>
    <w:qFormat/>
    <w:uiPriority w:val="99"/>
    <w:rPr>
      <w:rFonts w:ascii="宋体" w:hAnsi="Courier New" w:cs="宋体"/>
    </w:rPr>
  </w:style>
  <w:style w:type="paragraph" w:styleId="16">
    <w:name w:val="Date"/>
    <w:basedOn w:val="1"/>
    <w:next w:val="1"/>
    <w:link w:val="53"/>
    <w:qFormat/>
    <w:uiPriority w:val="99"/>
    <w:pPr>
      <w:ind w:left="100" w:leftChars="2500"/>
    </w:pPr>
    <w:rPr>
      <w:rFonts w:ascii="宋体" w:hAnsi="宋体" w:cs="宋体"/>
      <w:color w:val="000000"/>
      <w:sz w:val="24"/>
      <w:szCs w:val="24"/>
    </w:rPr>
  </w:style>
  <w:style w:type="paragraph" w:styleId="17">
    <w:name w:val="Balloon Text"/>
    <w:basedOn w:val="1"/>
    <w:link w:val="54"/>
    <w:semiHidden/>
    <w:qFormat/>
    <w:uiPriority w:val="99"/>
    <w:rPr>
      <w:sz w:val="18"/>
      <w:szCs w:val="18"/>
    </w:rPr>
  </w:style>
  <w:style w:type="paragraph" w:styleId="18">
    <w:name w:val="footer"/>
    <w:basedOn w:val="1"/>
    <w:link w:val="55"/>
    <w:qFormat/>
    <w:uiPriority w:val="99"/>
    <w:pPr>
      <w:tabs>
        <w:tab w:val="center" w:pos="4153"/>
        <w:tab w:val="right" w:pos="8306"/>
      </w:tabs>
      <w:snapToGrid w:val="0"/>
      <w:jc w:val="left"/>
    </w:pPr>
    <w:rPr>
      <w:sz w:val="18"/>
      <w:szCs w:val="18"/>
    </w:rPr>
  </w:style>
  <w:style w:type="paragraph" w:styleId="19">
    <w:name w:val="header"/>
    <w:basedOn w:val="1"/>
    <w:link w:val="5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0">
    <w:name w:val="toc 1"/>
    <w:basedOn w:val="1"/>
    <w:next w:val="1"/>
    <w:semiHidden/>
    <w:qFormat/>
    <w:uiPriority w:val="99"/>
  </w:style>
  <w:style w:type="paragraph" w:styleId="21">
    <w:name w:val="toc 4"/>
    <w:basedOn w:val="1"/>
    <w:next w:val="1"/>
    <w:qFormat/>
    <w:uiPriority w:val="39"/>
    <w:pPr>
      <w:ind w:left="1260" w:leftChars="600"/>
    </w:pPr>
    <w:rPr>
      <w:szCs w:val="24"/>
    </w:rPr>
  </w:style>
  <w:style w:type="paragraph" w:styleId="22">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3">
    <w:name w:val="toc 2"/>
    <w:basedOn w:val="1"/>
    <w:next w:val="1"/>
    <w:semiHidden/>
    <w:qFormat/>
    <w:uiPriority w:val="99"/>
    <w:pPr>
      <w:ind w:left="420" w:leftChars="2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26">
    <w:name w:val="Body Text First Indent"/>
    <w:basedOn w:val="10"/>
    <w:next w:val="22"/>
    <w:link w:val="57"/>
    <w:qFormat/>
    <w:uiPriority w:val="99"/>
    <w:pPr>
      <w:ind w:firstLine="420" w:firstLineChars="100"/>
    </w:pPr>
  </w:style>
  <w:style w:type="paragraph" w:styleId="27">
    <w:name w:val="Body Text First Indent 2"/>
    <w:basedOn w:val="12"/>
    <w:next w:val="1"/>
    <w:qFormat/>
    <w:uiPriority w:val="0"/>
    <w:pPr>
      <w:ind w:firstLine="420"/>
    </w:pPr>
  </w:style>
  <w:style w:type="table" w:styleId="29">
    <w:name w:val="Table Grid"/>
    <w:basedOn w:val="28"/>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b/>
      <w:bCs/>
    </w:rPr>
  </w:style>
  <w:style w:type="character" w:styleId="32">
    <w:name w:val="page number"/>
    <w:basedOn w:val="30"/>
    <w:qFormat/>
    <w:uiPriority w:val="99"/>
  </w:style>
  <w:style w:type="character" w:styleId="33">
    <w:name w:val="Hyperlink"/>
    <w:basedOn w:val="30"/>
    <w:qFormat/>
    <w:uiPriority w:val="99"/>
    <w:rPr>
      <w:color w:val="0000FF"/>
      <w:u w:val="single"/>
    </w:rPr>
  </w:style>
  <w:style w:type="paragraph" w:styleId="34">
    <w:name w:val="Quote"/>
    <w:basedOn w:val="1"/>
    <w:next w:val="1"/>
    <w:qFormat/>
    <w:uiPriority w:val="0"/>
    <w:pPr>
      <w:wordWrap w:val="0"/>
      <w:spacing w:before="200" w:after="160"/>
      <w:ind w:left="864" w:right="864"/>
      <w:jc w:val="center"/>
    </w:pPr>
    <w:rPr>
      <w:i/>
    </w:rPr>
  </w:style>
  <w:style w:type="paragraph" w:customStyle="1" w:styleId="35">
    <w:name w:val="BodyText1I2"/>
    <w:basedOn w:val="36"/>
    <w:qFormat/>
    <w:uiPriority w:val="0"/>
    <w:pPr>
      <w:ind w:firstLine="420"/>
    </w:pPr>
    <w:rPr>
      <w:sz w:val="21"/>
    </w:rPr>
  </w:style>
  <w:style w:type="paragraph" w:customStyle="1" w:styleId="36">
    <w:name w:val="BodyTextIndent"/>
    <w:basedOn w:val="1"/>
    <w:next w:val="35"/>
    <w:qFormat/>
    <w:uiPriority w:val="0"/>
    <w:pPr>
      <w:spacing w:line="360" w:lineRule="auto"/>
      <w:ind w:firstLine="490"/>
      <w:jc w:val="left"/>
    </w:pPr>
    <w:rPr>
      <w:rFonts w:ascii="宋体" w:hAnsi="宋体"/>
      <w:sz w:val="24"/>
    </w:rPr>
  </w:style>
  <w:style w:type="paragraph" w:customStyle="1" w:styleId="37">
    <w:name w:val="Body Text First Indent1"/>
    <w:basedOn w:val="10"/>
    <w:qFormat/>
    <w:uiPriority w:val="0"/>
    <w:pPr>
      <w:tabs>
        <w:tab w:val="left" w:pos="1275"/>
      </w:tabs>
      <w:ind w:firstLine="420" w:firstLineChars="100"/>
    </w:pPr>
  </w:style>
  <w:style w:type="paragraph" w:customStyle="1" w:styleId="38">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39">
    <w:name w:val="表格文字"/>
    <w:basedOn w:val="12"/>
    <w:next w:val="10"/>
    <w:qFormat/>
    <w:uiPriority w:val="0"/>
    <w:pPr>
      <w:adjustRightInd w:val="0"/>
      <w:spacing w:line="420" w:lineRule="atLeast"/>
      <w:textAlignment w:val="baseline"/>
    </w:pPr>
  </w:style>
  <w:style w:type="paragraph" w:customStyle="1" w:styleId="40">
    <w:name w:val="正文缩进1"/>
    <w:basedOn w:val="1"/>
    <w:qFormat/>
    <w:uiPriority w:val="0"/>
    <w:pPr>
      <w:ind w:firstLine="420" w:firstLineChars="200"/>
    </w:pPr>
  </w:style>
  <w:style w:type="paragraph" w:customStyle="1" w:styleId="41">
    <w:name w:val="正文（首行缩进2字符）"/>
    <w:basedOn w:val="1"/>
    <w:qFormat/>
    <w:uiPriority w:val="0"/>
    <w:pPr>
      <w:spacing w:line="360" w:lineRule="auto"/>
      <w:ind w:firstLine="480" w:firstLineChars="200"/>
    </w:pPr>
    <w:rPr>
      <w:sz w:val="24"/>
      <w:szCs w:val="20"/>
    </w:rPr>
  </w:style>
  <w:style w:type="character" w:customStyle="1" w:styleId="42">
    <w:name w:val="标题 1 Char"/>
    <w:basedOn w:val="30"/>
    <w:link w:val="4"/>
    <w:qFormat/>
    <w:locked/>
    <w:uiPriority w:val="99"/>
    <w:rPr>
      <w:b/>
      <w:bCs/>
      <w:kern w:val="44"/>
      <w:sz w:val="44"/>
      <w:szCs w:val="44"/>
    </w:rPr>
  </w:style>
  <w:style w:type="character" w:customStyle="1" w:styleId="43">
    <w:name w:val="标题 2 Char"/>
    <w:basedOn w:val="30"/>
    <w:link w:val="5"/>
    <w:qFormat/>
    <w:locked/>
    <w:uiPriority w:val="99"/>
    <w:rPr>
      <w:rFonts w:ascii="宋体" w:cs="宋体"/>
      <w:b/>
      <w:bCs/>
      <w:kern w:val="2"/>
      <w:sz w:val="28"/>
      <w:szCs w:val="28"/>
    </w:rPr>
  </w:style>
  <w:style w:type="character" w:customStyle="1" w:styleId="44">
    <w:name w:val="标题 3 Char"/>
    <w:basedOn w:val="30"/>
    <w:link w:val="7"/>
    <w:qFormat/>
    <w:locked/>
    <w:uiPriority w:val="99"/>
    <w:rPr>
      <w:rFonts w:ascii="宋体" w:cs="宋体"/>
      <w:b/>
      <w:bCs/>
      <w:kern w:val="2"/>
      <w:sz w:val="28"/>
      <w:szCs w:val="28"/>
    </w:rPr>
  </w:style>
  <w:style w:type="character" w:customStyle="1" w:styleId="45">
    <w:name w:val="正文文本 Char"/>
    <w:basedOn w:val="30"/>
    <w:link w:val="10"/>
    <w:semiHidden/>
    <w:qFormat/>
    <w:uiPriority w:val="99"/>
    <w:rPr>
      <w:rFonts w:ascii="Times New Roman" w:hAnsi="Times New Roman"/>
      <w:szCs w:val="21"/>
    </w:rPr>
  </w:style>
  <w:style w:type="paragraph" w:customStyle="1" w:styleId="46">
    <w:name w:val="样式 表格正文 + 两端对齐"/>
    <w:basedOn w:val="1"/>
    <w:next w:val="47"/>
    <w:qFormat/>
    <w:uiPriority w:val="99"/>
    <w:pPr>
      <w:spacing w:line="300" w:lineRule="auto"/>
    </w:pPr>
    <w:rPr>
      <w:sz w:val="24"/>
      <w:szCs w:val="24"/>
    </w:rPr>
  </w:style>
  <w:style w:type="paragraph" w:customStyle="1" w:styleId="47">
    <w:name w:val="正文1"/>
    <w:basedOn w:val="1"/>
    <w:next w:val="48"/>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8">
    <w:name w:val="自动更正"/>
    <w:next w:val="4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xl39"/>
    <w:basedOn w:val="1"/>
    <w:next w:val="50"/>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0">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1">
    <w:name w:val="正文文本缩进 Char"/>
    <w:basedOn w:val="30"/>
    <w:link w:val="12"/>
    <w:semiHidden/>
    <w:qFormat/>
    <w:uiPriority w:val="99"/>
    <w:rPr>
      <w:rFonts w:ascii="Times New Roman" w:hAnsi="Times New Roman"/>
      <w:szCs w:val="21"/>
    </w:rPr>
  </w:style>
  <w:style w:type="character" w:customStyle="1" w:styleId="52">
    <w:name w:val="纯文本 Char"/>
    <w:basedOn w:val="30"/>
    <w:link w:val="15"/>
    <w:semiHidden/>
    <w:qFormat/>
    <w:uiPriority w:val="99"/>
    <w:rPr>
      <w:rFonts w:ascii="宋体" w:hAnsi="Courier New" w:cs="Courier New"/>
      <w:szCs w:val="21"/>
    </w:rPr>
  </w:style>
  <w:style w:type="character" w:customStyle="1" w:styleId="53">
    <w:name w:val="日期 Char"/>
    <w:basedOn w:val="30"/>
    <w:link w:val="16"/>
    <w:semiHidden/>
    <w:qFormat/>
    <w:uiPriority w:val="99"/>
    <w:rPr>
      <w:rFonts w:ascii="Times New Roman" w:hAnsi="Times New Roman"/>
      <w:szCs w:val="21"/>
    </w:rPr>
  </w:style>
  <w:style w:type="character" w:customStyle="1" w:styleId="54">
    <w:name w:val="批注框文本 Char"/>
    <w:basedOn w:val="30"/>
    <w:link w:val="17"/>
    <w:qFormat/>
    <w:locked/>
    <w:uiPriority w:val="99"/>
    <w:rPr>
      <w:kern w:val="2"/>
      <w:sz w:val="18"/>
      <w:szCs w:val="18"/>
    </w:rPr>
  </w:style>
  <w:style w:type="character" w:customStyle="1" w:styleId="55">
    <w:name w:val="页脚 Char"/>
    <w:basedOn w:val="30"/>
    <w:link w:val="18"/>
    <w:semiHidden/>
    <w:qFormat/>
    <w:uiPriority w:val="99"/>
    <w:rPr>
      <w:rFonts w:ascii="Times New Roman" w:hAnsi="Times New Roman"/>
      <w:sz w:val="18"/>
      <w:szCs w:val="18"/>
    </w:rPr>
  </w:style>
  <w:style w:type="character" w:customStyle="1" w:styleId="56">
    <w:name w:val="页眉 Char"/>
    <w:basedOn w:val="30"/>
    <w:link w:val="19"/>
    <w:semiHidden/>
    <w:qFormat/>
    <w:uiPriority w:val="99"/>
    <w:rPr>
      <w:rFonts w:ascii="Times New Roman" w:hAnsi="Times New Roman"/>
      <w:sz w:val="18"/>
      <w:szCs w:val="18"/>
    </w:rPr>
  </w:style>
  <w:style w:type="character" w:customStyle="1" w:styleId="57">
    <w:name w:val="正文首行缩进 Char"/>
    <w:basedOn w:val="45"/>
    <w:link w:val="26"/>
    <w:semiHidden/>
    <w:qFormat/>
    <w:uiPriority w:val="99"/>
    <w:rPr>
      <w:rFonts w:ascii="Times New Roman" w:hAnsi="Times New Roman"/>
      <w:szCs w:val="21"/>
    </w:rPr>
  </w:style>
  <w:style w:type="paragraph" w:customStyle="1" w:styleId="58">
    <w:name w:val="正文2"/>
    <w:basedOn w:val="1"/>
    <w:qFormat/>
    <w:uiPriority w:val="99"/>
    <w:pPr>
      <w:adjustRightInd w:val="0"/>
      <w:spacing w:before="156" w:line="360" w:lineRule="auto"/>
      <w:ind w:firstLine="510" w:firstLineChars="200"/>
    </w:pPr>
    <w:rPr>
      <w:sz w:val="24"/>
      <w:szCs w:val="24"/>
    </w:rPr>
  </w:style>
  <w:style w:type="paragraph" w:customStyle="1" w:styleId="59">
    <w:name w:val="List Paragraph1"/>
    <w:basedOn w:val="1"/>
    <w:qFormat/>
    <w:uiPriority w:val="99"/>
    <w:pPr>
      <w:widowControl/>
      <w:ind w:firstLine="420" w:firstLineChars="200"/>
      <w:jc w:val="left"/>
    </w:pPr>
    <w:rPr>
      <w:rFonts w:ascii="Calibri" w:hAnsi="Calibri" w:cs="Calibri"/>
    </w:rPr>
  </w:style>
  <w:style w:type="character" w:customStyle="1" w:styleId="60">
    <w:name w:val="style81"/>
    <w:qFormat/>
    <w:uiPriority w:val="99"/>
    <w:rPr>
      <w:sz w:val="20"/>
      <w:szCs w:val="20"/>
    </w:rPr>
  </w:style>
  <w:style w:type="paragraph" w:customStyle="1" w:styleId="61">
    <w:name w:val="列出段落1"/>
    <w:basedOn w:val="1"/>
    <w:qFormat/>
    <w:uiPriority w:val="99"/>
    <w:pPr>
      <w:ind w:firstLine="420"/>
      <w:jc w:val="left"/>
    </w:pPr>
  </w:style>
  <w:style w:type="paragraph" w:customStyle="1" w:styleId="62">
    <w:name w:val="表格"/>
    <w:basedOn w:val="1"/>
    <w:qFormat/>
    <w:uiPriority w:val="99"/>
    <w:pPr>
      <w:autoSpaceDE w:val="0"/>
      <w:autoSpaceDN w:val="0"/>
      <w:jc w:val="center"/>
      <w:textAlignment w:val="baseline"/>
    </w:pPr>
    <w:rPr>
      <w:color w:val="000000"/>
      <w:kern w:val="0"/>
    </w:rPr>
  </w:style>
  <w:style w:type="character" w:customStyle="1" w:styleId="63">
    <w:name w:val="02 Char"/>
    <w:link w:val="64"/>
    <w:qFormat/>
    <w:locked/>
    <w:uiPriority w:val="99"/>
    <w:rPr>
      <w:rFonts w:ascii="宋体" w:cs="宋体"/>
      <w:b/>
      <w:bCs/>
      <w:color w:val="FF0000"/>
      <w:kern w:val="2"/>
      <w:sz w:val="28"/>
      <w:szCs w:val="28"/>
    </w:rPr>
  </w:style>
  <w:style w:type="paragraph" w:customStyle="1" w:styleId="64">
    <w:name w:val="02"/>
    <w:basedOn w:val="5"/>
    <w:link w:val="63"/>
    <w:qFormat/>
    <w:uiPriority w:val="99"/>
    <w:pPr>
      <w:jc w:val="center"/>
    </w:pPr>
    <w:rPr>
      <w:color w:val="FF0000"/>
    </w:rPr>
  </w:style>
  <w:style w:type="character" w:customStyle="1" w:styleId="65">
    <w:name w:val="03 Char"/>
    <w:link w:val="66"/>
    <w:qFormat/>
    <w:locked/>
    <w:uiPriority w:val="99"/>
    <w:rPr>
      <w:rFonts w:ascii="宋体" w:cs="宋体"/>
      <w:b/>
      <w:bCs/>
      <w:kern w:val="2"/>
      <w:sz w:val="28"/>
      <w:szCs w:val="28"/>
    </w:rPr>
  </w:style>
  <w:style w:type="paragraph" w:customStyle="1" w:styleId="66">
    <w:name w:val="03"/>
    <w:basedOn w:val="7"/>
    <w:link w:val="65"/>
    <w:qFormat/>
    <w:uiPriority w:val="99"/>
    <w:pPr>
      <w:numPr>
        <w:ilvl w:val="0"/>
        <w:numId w:val="0"/>
      </w:numPr>
    </w:pPr>
  </w:style>
  <w:style w:type="character" w:customStyle="1" w:styleId="67">
    <w:name w:val="宋体小四 Char"/>
    <w:link w:val="68"/>
    <w:qFormat/>
    <w:locked/>
    <w:uiPriority w:val="99"/>
    <w:rPr>
      <w:rFonts w:ascii="宋体" w:eastAsia="宋体" w:cs="宋体"/>
      <w:kern w:val="2"/>
      <w:sz w:val="24"/>
      <w:szCs w:val="24"/>
    </w:rPr>
  </w:style>
  <w:style w:type="paragraph" w:customStyle="1" w:styleId="68">
    <w:name w:val="宋体小四"/>
    <w:basedOn w:val="1"/>
    <w:link w:val="67"/>
    <w:qFormat/>
    <w:uiPriority w:val="99"/>
    <w:pPr>
      <w:spacing w:line="360" w:lineRule="auto"/>
      <w:ind w:firstLine="480" w:firstLineChars="200"/>
    </w:pPr>
    <w:rPr>
      <w:rFonts w:ascii="宋体" w:hAnsi="宋体" w:cs="宋体"/>
      <w:sz w:val="24"/>
      <w:szCs w:val="24"/>
    </w:rPr>
  </w:style>
  <w:style w:type="character" w:customStyle="1" w:styleId="69">
    <w:name w:val="fontstyle01"/>
    <w:basedOn w:val="30"/>
    <w:qFormat/>
    <w:uiPriority w:val="99"/>
    <w:rPr>
      <w:rFonts w:ascii="宋体" w:eastAsia="宋体" w:cs="宋体"/>
      <w:color w:val="000000"/>
      <w:sz w:val="22"/>
      <w:szCs w:val="22"/>
    </w:rPr>
  </w:style>
  <w:style w:type="paragraph" w:customStyle="1" w:styleId="70">
    <w:name w:val="正文首行缩进2字符"/>
    <w:basedOn w:val="1"/>
    <w:qFormat/>
    <w:uiPriority w:val="99"/>
    <w:pPr>
      <w:spacing w:line="360" w:lineRule="auto"/>
      <w:ind w:firstLine="200" w:firstLineChars="200"/>
    </w:pPr>
  </w:style>
  <w:style w:type="paragraph" w:customStyle="1" w:styleId="71">
    <w:name w:val="居中表格内容标题"/>
    <w:basedOn w:val="72"/>
    <w:qFormat/>
    <w:uiPriority w:val="0"/>
    <w:pPr>
      <w:jc w:val="center"/>
    </w:pPr>
    <w:rPr>
      <w:b/>
    </w:rPr>
  </w:style>
  <w:style w:type="paragraph" w:customStyle="1" w:styleId="72">
    <w:name w:val="居中表格内容"/>
    <w:basedOn w:val="1"/>
    <w:next w:val="1"/>
    <w:qFormat/>
    <w:uiPriority w:val="0"/>
    <w:pPr>
      <w:jc w:val="left"/>
    </w:pPr>
    <w:rPr>
      <w:szCs w:val="28"/>
    </w:rPr>
  </w:style>
  <w:style w:type="paragraph" w:customStyle="1" w:styleId="73">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4">
    <w:name w:val="Body text|2"/>
    <w:basedOn w:val="1"/>
    <w:qFormat/>
    <w:uiPriority w:val="0"/>
    <w:pPr>
      <w:spacing w:line="360" w:lineRule="auto"/>
      <w:ind w:firstLine="660"/>
    </w:pPr>
    <w:rPr>
      <w:sz w:val="32"/>
      <w:szCs w:val="32"/>
      <w:lang w:val="zh-TW" w:eastAsia="zh-TW" w:bidi="zh-TW"/>
    </w:rPr>
  </w:style>
  <w:style w:type="character" w:customStyle="1" w:styleId="75">
    <w:name w:val="NormalCharacter"/>
    <w:semiHidden/>
    <w:qFormat/>
    <w:uiPriority w:val="0"/>
  </w:style>
  <w:style w:type="paragraph" w:customStyle="1" w:styleId="76">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7">
    <w:name w:val="xc正文"/>
    <w:basedOn w:val="1"/>
    <w:qFormat/>
    <w:uiPriority w:val="0"/>
    <w:pPr>
      <w:ind w:firstLine="200" w:firstLineChars="200"/>
    </w:pPr>
    <w:rPr>
      <w:szCs w:val="24"/>
    </w:rPr>
  </w:style>
  <w:style w:type="character" w:customStyle="1" w:styleId="78">
    <w:name w:val="fontstyle21"/>
    <w:qFormat/>
    <w:uiPriority w:val="0"/>
    <w:rPr>
      <w:rFonts w:hint="default" w:ascii="TimesNewRomanPSMT" w:hAnsi="TimesNewRomanPSMT"/>
      <w:color w:val="000000"/>
      <w:sz w:val="32"/>
      <w:szCs w:val="32"/>
    </w:rPr>
  </w:style>
  <w:style w:type="paragraph" w:customStyle="1" w:styleId="79">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0">
    <w:name w:val="_Style 76"/>
    <w:basedOn w:val="1"/>
    <w:next w:val="3"/>
    <w:qFormat/>
    <w:uiPriority w:val="34"/>
    <w:pPr>
      <w:ind w:firstLine="420" w:firstLineChars="200"/>
    </w:pPr>
    <w:rPr>
      <w:szCs w:val="24"/>
    </w:rPr>
  </w:style>
  <w:style w:type="paragraph" w:customStyle="1" w:styleId="81">
    <w:name w:val="纯文本1"/>
    <w:basedOn w:val="1"/>
    <w:qFormat/>
    <w:uiPriority w:val="0"/>
    <w:pPr>
      <w:ind w:firstLine="280" w:firstLineChars="100"/>
    </w:pPr>
    <w:rPr>
      <w:rFonts w:hAnsi="宋体" w:cs="Courier New"/>
    </w:rPr>
  </w:style>
  <w:style w:type="paragraph" w:customStyle="1" w:styleId="82">
    <w:name w:val="居中表名"/>
    <w:basedOn w:val="1"/>
    <w:next w:val="1"/>
    <w:qFormat/>
    <w:uiPriority w:val="0"/>
    <w:pPr>
      <w:jc w:val="center"/>
    </w:pPr>
    <w:rPr>
      <w:rFonts w:eastAsia="黑体"/>
      <w:b/>
      <w:szCs w:val="28"/>
    </w:rPr>
  </w:style>
  <w:style w:type="paragraph" w:customStyle="1" w:styleId="83">
    <w:name w:val="列表段落1"/>
    <w:basedOn w:val="1"/>
    <w:qFormat/>
    <w:uiPriority w:val="0"/>
    <w:pPr>
      <w:ind w:firstLine="420"/>
    </w:p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列出段落2"/>
    <w:basedOn w:val="1"/>
    <w:qFormat/>
    <w:uiPriority w:val="1"/>
    <w:pPr>
      <w:ind w:firstLine="420" w:firstLineChars="200"/>
    </w:pPr>
    <w:rPr>
      <w:szCs w:val="24"/>
    </w:rPr>
  </w:style>
  <w:style w:type="character" w:customStyle="1" w:styleId="86">
    <w:name w:val="font21"/>
    <w:qFormat/>
    <w:uiPriority w:val="0"/>
    <w:rPr>
      <w:rFonts w:hint="eastAsia" w:ascii="宋体" w:hAnsi="宋体" w:eastAsia="宋体" w:cs="宋体"/>
      <w:b/>
      <w:color w:val="FF0000"/>
      <w:sz w:val="24"/>
      <w:szCs w:val="24"/>
      <w:u w:val="none"/>
    </w:rPr>
  </w:style>
  <w:style w:type="paragraph" w:customStyle="1" w:styleId="87">
    <w:name w:val="样式6"/>
    <w:basedOn w:val="15"/>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8">
    <w:name w:val="Plain Text"/>
    <w:basedOn w:val="1"/>
    <w:qFormat/>
    <w:uiPriority w:val="0"/>
    <w:rPr>
      <w:rFonts w:hint="eastAsia" w:ascii="宋体" w:hAnsi="Courier New"/>
      <w:szCs w:val="20"/>
    </w:rPr>
  </w:style>
  <w:style w:type="paragraph" w:customStyle="1" w:styleId="89">
    <w:name w:val="p0"/>
    <w:basedOn w:val="1"/>
    <w:qFormat/>
    <w:uiPriority w:val="99"/>
    <w:pPr>
      <w:widowControl/>
    </w:pPr>
    <w:rPr>
      <w:kern w:val="0"/>
      <w:szCs w:val="21"/>
    </w:rPr>
  </w:style>
  <w:style w:type="character" w:customStyle="1" w:styleId="90">
    <w:name w:val="font01"/>
    <w:qFormat/>
    <w:uiPriority w:val="0"/>
    <w:rPr>
      <w:rFonts w:hint="eastAsia" w:ascii="宋体" w:hAnsi="宋体" w:eastAsia="宋体" w:cs="Arial"/>
      <w:snapToGrid w:val="0"/>
      <w:color w:val="000000"/>
      <w:kern w:val="0"/>
      <w:sz w:val="24"/>
      <w:szCs w:val="24"/>
      <w:u w:val="none"/>
    </w:rPr>
  </w:style>
  <w:style w:type="character" w:customStyle="1" w:styleId="91">
    <w:name w:val="font11"/>
    <w:basedOn w:val="30"/>
    <w:qFormat/>
    <w:uiPriority w:val="0"/>
    <w:rPr>
      <w:rFonts w:hint="eastAsia" w:ascii="宋体" w:hAnsi="宋体" w:eastAsia="宋体" w:cs="宋体"/>
      <w:color w:val="000000"/>
      <w:sz w:val="21"/>
      <w:szCs w:val="21"/>
      <w:u w:val="none"/>
    </w:rPr>
  </w:style>
  <w:style w:type="paragraph" w:customStyle="1" w:styleId="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54</Pages>
  <Words>24857</Words>
  <Characters>26301</Characters>
  <Lines>267</Lines>
  <Paragraphs>75</Paragraphs>
  <TotalTime>23</TotalTime>
  <ScaleCrop>false</ScaleCrop>
  <LinksUpToDate>false</LinksUpToDate>
  <CharactersWithSpaces>27634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hh</cp:lastModifiedBy>
  <cp:lastPrinted>2024-06-17T02:00:00Z</cp:lastPrinted>
  <dcterms:modified xsi:type="dcterms:W3CDTF">2024-09-12T07:08:09Z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611FF45C921A4FA1889B0996A737A3BF_13</vt:lpwstr>
  </property>
  <property fmtid="{D5CDD505-2E9C-101B-9397-08002B2CF9AE}" pid="4" name="commondata">
    <vt:lpwstr>eyJoZGlkIjoiNjY1YWU2ZTk2MGU1NDNlZGY5MzE0NzM2ODJlNDA4NTkifQ==</vt:lpwstr>
  </property>
</Properties>
</file>