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DECCD">
      <w:pPr>
        <w:pStyle w:val="2"/>
        <w:rPr>
          <w:rFonts w:hint="eastAsia" w:ascii="宋体" w:hAnsi="宋体" w:eastAsia="宋体" w:cs="宋体"/>
          <w:color w:val="auto"/>
          <w:highlight w:val="none"/>
        </w:rPr>
      </w:pPr>
    </w:p>
    <w:p w14:paraId="3E762593">
      <w:pPr>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44"/>
          <w:szCs w:val="44"/>
          <w:highlight w:val="none"/>
          <w:lang w:eastAsia="zh-CN"/>
        </w:rPr>
        <w:t>安全生产社会化服务项目</w:t>
      </w:r>
    </w:p>
    <w:p w14:paraId="3B948858">
      <w:pPr>
        <w:pStyle w:val="3"/>
        <w:rPr>
          <w:rFonts w:hint="eastAsia" w:ascii="宋体" w:hAnsi="宋体" w:eastAsia="宋体" w:cs="宋体"/>
          <w:b/>
          <w:bCs/>
          <w:color w:val="auto"/>
          <w:sz w:val="44"/>
          <w:szCs w:val="44"/>
          <w:highlight w:val="none"/>
        </w:rPr>
      </w:pPr>
    </w:p>
    <w:p w14:paraId="59048963">
      <w:pPr>
        <w:pStyle w:val="3"/>
        <w:rPr>
          <w:rFonts w:hint="eastAsia" w:ascii="宋体" w:hAnsi="宋体" w:eastAsia="宋体" w:cs="宋体"/>
          <w:b/>
          <w:bCs/>
          <w:color w:val="auto"/>
          <w:sz w:val="44"/>
          <w:szCs w:val="44"/>
          <w:highlight w:val="none"/>
        </w:rPr>
      </w:pPr>
    </w:p>
    <w:p w14:paraId="4ABC2935">
      <w:pPr>
        <w:pStyle w:val="4"/>
        <w:rPr>
          <w:rFonts w:hint="eastAsia"/>
          <w:color w:val="auto"/>
          <w:highlight w:val="none"/>
        </w:rPr>
      </w:pPr>
    </w:p>
    <w:p w14:paraId="7A86E38B">
      <w:pPr>
        <w:pStyle w:val="5"/>
        <w:rPr>
          <w:rFonts w:hint="eastAsia"/>
          <w:color w:val="auto"/>
          <w:highlight w:val="none"/>
        </w:rPr>
      </w:pPr>
    </w:p>
    <w:p w14:paraId="6A2E78C6">
      <w:pPr>
        <w:pStyle w:val="3"/>
        <w:rPr>
          <w:rFonts w:hint="eastAsia" w:ascii="宋体" w:hAnsi="宋体" w:eastAsia="宋体" w:cs="宋体"/>
          <w:b/>
          <w:bCs/>
          <w:color w:val="auto"/>
          <w:sz w:val="44"/>
          <w:szCs w:val="44"/>
          <w:highlight w:val="none"/>
        </w:rPr>
      </w:pPr>
    </w:p>
    <w:p w14:paraId="5B3E4C05">
      <w:pPr>
        <w:pStyle w:val="3"/>
        <w:rPr>
          <w:rFonts w:hint="eastAsia" w:ascii="宋体" w:hAnsi="宋体" w:eastAsia="宋体" w:cs="宋体"/>
          <w:b/>
          <w:bCs/>
          <w:color w:val="auto"/>
          <w:sz w:val="44"/>
          <w:szCs w:val="44"/>
          <w:highlight w:val="none"/>
        </w:rPr>
      </w:pPr>
    </w:p>
    <w:p w14:paraId="4B191CFA">
      <w:pPr>
        <w:pStyle w:val="3"/>
        <w:rPr>
          <w:rFonts w:hint="eastAsia" w:ascii="宋体" w:hAnsi="宋体" w:eastAsia="宋体" w:cs="宋体"/>
          <w:color w:val="auto"/>
          <w:highlight w:val="none"/>
        </w:rPr>
      </w:pPr>
    </w:p>
    <w:p w14:paraId="3E3AE9E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72"/>
          <w:szCs w:val="72"/>
          <w:highlight w:val="none"/>
        </w:rPr>
        <w:t>竞争性磋商文件</w:t>
      </w:r>
    </w:p>
    <w:p w14:paraId="2C609283">
      <w:pPr>
        <w:spacing w:line="360" w:lineRule="auto"/>
        <w:jc w:val="center"/>
        <w:rPr>
          <w:rFonts w:hint="eastAsia" w:ascii="宋体" w:hAnsi="宋体" w:eastAsia="宋体" w:cs="宋体"/>
          <w:b/>
          <w:bCs/>
          <w:color w:val="auto"/>
          <w:sz w:val="24"/>
          <w:szCs w:val="24"/>
          <w:highlight w:val="none"/>
        </w:rPr>
      </w:pPr>
    </w:p>
    <w:p w14:paraId="04166441">
      <w:pPr>
        <w:snapToGrid w:val="0"/>
        <w:spacing w:line="360" w:lineRule="auto"/>
        <w:ind w:firstLine="2301" w:firstLineChars="767"/>
        <w:jc w:val="left"/>
        <w:rPr>
          <w:rFonts w:hint="eastAsia"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val="en-US" w:eastAsia="zh-CN"/>
        </w:rPr>
        <w:t>ZJCTSY-2024-1209</w:t>
      </w:r>
    </w:p>
    <w:p w14:paraId="7F2A7223">
      <w:pPr>
        <w:snapToGrid w:val="0"/>
        <w:spacing w:line="360" w:lineRule="auto"/>
        <w:ind w:firstLine="2301" w:firstLineChars="767"/>
        <w:jc w:val="left"/>
        <w:rPr>
          <w:rFonts w:hint="eastAsia" w:ascii="宋体" w:hAnsi="宋体" w:eastAsia="宋体" w:cs="宋体"/>
          <w:color w:val="auto"/>
          <w:sz w:val="30"/>
          <w:szCs w:val="30"/>
          <w:highlight w:val="none"/>
        </w:rPr>
      </w:pPr>
    </w:p>
    <w:p w14:paraId="71245405">
      <w:pPr>
        <w:spacing w:line="360" w:lineRule="auto"/>
        <w:rPr>
          <w:rFonts w:hint="eastAsia" w:ascii="宋体" w:hAnsi="宋体" w:eastAsia="宋体" w:cs="宋体"/>
          <w:color w:val="auto"/>
          <w:sz w:val="28"/>
          <w:szCs w:val="28"/>
          <w:highlight w:val="none"/>
        </w:rPr>
      </w:pPr>
    </w:p>
    <w:p w14:paraId="17B808E2">
      <w:pPr>
        <w:spacing w:line="360" w:lineRule="auto"/>
        <w:jc w:val="center"/>
        <w:rPr>
          <w:rFonts w:hint="eastAsia" w:ascii="宋体" w:hAnsi="宋体" w:eastAsia="宋体" w:cs="宋体"/>
          <w:color w:val="auto"/>
          <w:sz w:val="24"/>
          <w:szCs w:val="24"/>
          <w:highlight w:val="none"/>
        </w:rPr>
      </w:pPr>
    </w:p>
    <w:p w14:paraId="3BFAC2AD">
      <w:pPr>
        <w:pStyle w:val="2"/>
        <w:rPr>
          <w:rFonts w:hint="eastAsia"/>
          <w:color w:val="auto"/>
          <w:highlight w:val="none"/>
        </w:rPr>
      </w:pPr>
    </w:p>
    <w:p w14:paraId="3635F0F7">
      <w:pPr>
        <w:spacing w:line="360" w:lineRule="auto"/>
        <w:jc w:val="center"/>
        <w:rPr>
          <w:rFonts w:hint="eastAsia" w:ascii="宋体" w:hAnsi="宋体" w:eastAsia="宋体" w:cs="宋体"/>
          <w:color w:val="auto"/>
          <w:sz w:val="24"/>
          <w:szCs w:val="24"/>
          <w:highlight w:val="none"/>
        </w:rPr>
      </w:pPr>
    </w:p>
    <w:p w14:paraId="6AEAC7B9">
      <w:pPr>
        <w:spacing w:line="360" w:lineRule="auto"/>
        <w:jc w:val="center"/>
        <w:rPr>
          <w:rFonts w:hint="eastAsia" w:ascii="宋体" w:hAnsi="宋体" w:eastAsia="宋体" w:cs="宋体"/>
          <w:color w:val="auto"/>
          <w:sz w:val="24"/>
          <w:szCs w:val="24"/>
          <w:highlight w:val="none"/>
        </w:rPr>
      </w:pPr>
    </w:p>
    <w:p w14:paraId="4AD71A98">
      <w:pPr>
        <w:spacing w:line="360" w:lineRule="auto"/>
        <w:jc w:val="center"/>
        <w:rPr>
          <w:rFonts w:hint="eastAsia" w:ascii="宋体" w:hAnsi="宋体" w:eastAsia="宋体" w:cs="宋体"/>
          <w:color w:val="auto"/>
          <w:sz w:val="24"/>
          <w:szCs w:val="24"/>
          <w:highlight w:val="none"/>
        </w:rPr>
      </w:pPr>
    </w:p>
    <w:p w14:paraId="3063E24E">
      <w:pPr>
        <w:spacing w:line="360" w:lineRule="auto"/>
        <w:jc w:val="center"/>
        <w:rPr>
          <w:rFonts w:hint="eastAsia" w:ascii="宋体" w:hAnsi="宋体" w:eastAsia="宋体" w:cs="宋体"/>
          <w:color w:val="auto"/>
          <w:sz w:val="24"/>
          <w:szCs w:val="24"/>
          <w:highlight w:val="none"/>
        </w:rPr>
      </w:pPr>
    </w:p>
    <w:p w14:paraId="16594179">
      <w:pPr>
        <w:snapToGrid w:val="0"/>
        <w:spacing w:line="360" w:lineRule="auto"/>
        <w:ind w:firstLine="1500" w:firstLineChars="500"/>
        <w:rPr>
          <w:rFonts w:hint="eastAsia" w:ascii="宋体" w:hAnsi="宋体" w:eastAsia="宋体" w:cs="宋体"/>
          <w:color w:val="auto"/>
          <w:highlight w:val="none"/>
          <w:u w:val="single"/>
          <w:lang w:eastAsia="zh-CN"/>
        </w:rPr>
      </w:pPr>
      <w:r>
        <w:rPr>
          <w:rFonts w:hint="eastAsia" w:ascii="宋体" w:hAnsi="宋体" w:eastAsia="宋体" w:cs="宋体"/>
          <w:color w:val="auto"/>
          <w:sz w:val="30"/>
          <w:szCs w:val="30"/>
          <w:highlight w:val="none"/>
        </w:rPr>
        <w:t>采 购 人：</w:t>
      </w:r>
      <w:r>
        <w:rPr>
          <w:rFonts w:hint="eastAsia" w:ascii="宋体" w:hAnsi="宋体" w:cs="宋体"/>
          <w:color w:val="auto"/>
          <w:sz w:val="30"/>
          <w:szCs w:val="30"/>
          <w:highlight w:val="none"/>
          <w:lang w:eastAsia="zh-CN"/>
        </w:rPr>
        <w:t>绍兴市上虞区道墟街道办事处</w:t>
      </w:r>
    </w:p>
    <w:p w14:paraId="08EBF03C">
      <w:pPr>
        <w:snapToGrid w:val="0"/>
        <w:spacing w:line="360" w:lineRule="auto"/>
        <w:ind w:firstLine="1500" w:firstLineChars="5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采购代理机构：</w:t>
      </w:r>
      <w:r>
        <w:rPr>
          <w:rFonts w:hint="eastAsia" w:ascii="宋体" w:hAnsi="宋体" w:cs="宋体"/>
          <w:color w:val="auto"/>
          <w:sz w:val="30"/>
          <w:szCs w:val="30"/>
          <w:highlight w:val="none"/>
          <w:lang w:eastAsia="zh-CN"/>
        </w:rPr>
        <w:t>浙江省成套工程有限公司</w:t>
      </w:r>
    </w:p>
    <w:p w14:paraId="14E1E6EC">
      <w:pPr>
        <w:jc w:val="center"/>
        <w:rPr>
          <w:rFonts w:hint="eastAsia" w:ascii="宋体" w:hAnsi="宋体" w:eastAsia="宋体" w:cs="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30"/>
          <w:szCs w:val="30"/>
          <w:highlight w:val="none"/>
        </w:rPr>
        <w:t>二</w:t>
      </w:r>
      <w:r>
        <w:rPr>
          <w:rFonts w:hint="eastAsia" w:ascii="宋体" w:hAnsi="宋体" w:cs="宋体"/>
          <w:color w:val="auto"/>
          <w:sz w:val="30"/>
          <w:szCs w:val="30"/>
          <w:highlight w:val="none"/>
          <w:lang w:val="en-US" w:eastAsia="zh-CN"/>
        </w:rPr>
        <w:t>〇二四</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四</w:t>
      </w:r>
      <w:r>
        <w:rPr>
          <w:rFonts w:hint="eastAsia" w:ascii="宋体" w:hAnsi="宋体" w:eastAsia="宋体" w:cs="宋体"/>
          <w:color w:val="auto"/>
          <w:sz w:val="30"/>
          <w:szCs w:val="30"/>
          <w:highlight w:val="none"/>
        </w:rPr>
        <w:t>月</w:t>
      </w:r>
    </w:p>
    <w:p w14:paraId="0C885904">
      <w:pPr>
        <w:spacing w:line="360" w:lineRule="auto"/>
        <w:jc w:val="center"/>
        <w:rPr>
          <w:rFonts w:hint="eastAsia" w:ascii="宋体" w:hAnsi="宋体" w:eastAsia="宋体" w:cs="宋体"/>
          <w:b/>
          <w:bCs/>
          <w:color w:val="auto"/>
          <w:sz w:val="32"/>
          <w:szCs w:val="32"/>
          <w:highlight w:val="none"/>
        </w:rPr>
      </w:pPr>
    </w:p>
    <w:p w14:paraId="15A9B51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14:paraId="2340C7F5">
      <w:pPr>
        <w:pStyle w:val="21"/>
        <w:tabs>
          <w:tab w:val="right" w:leader="dot" w:pos="8306"/>
        </w:tabs>
        <w:spacing w:line="360" w:lineRule="auto"/>
        <w:rPr>
          <w:rFonts w:hint="eastAsia" w:ascii="宋体" w:hAnsi="宋体" w:eastAsia="宋体" w:cs="宋体"/>
          <w:color w:val="auto"/>
          <w:sz w:val="28"/>
          <w:szCs w:val="28"/>
          <w:highlight w:val="none"/>
        </w:rPr>
      </w:pPr>
    </w:p>
    <w:p w14:paraId="22A82473">
      <w:pPr>
        <w:pStyle w:val="21"/>
        <w:tabs>
          <w:tab w:val="right" w:leader="dot" w:pos="8306"/>
        </w:tabs>
        <w:rPr>
          <w:rFonts w:hint="eastAsia" w:ascii="宋体" w:hAnsi="宋体" w:eastAsia="宋体" w:cs="宋体"/>
          <w:color w:val="auto"/>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"1-3"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_Toc30433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第一部分 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_Toc30433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77A606BA">
      <w:pPr>
        <w:pStyle w:val="21"/>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_Toc5238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第二部分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_Toc5238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1EE978C1">
      <w:pPr>
        <w:pStyle w:val="23"/>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_Toc7992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一、 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_Toc7992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6AC47358">
      <w:pPr>
        <w:pStyle w:val="23"/>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_Toc6940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二、 竞争性磋商文件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_Toc6940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610E2B06">
      <w:pPr>
        <w:pStyle w:val="23"/>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_Toc16098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三、 竞争性磋商响应文件的编写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_Toc16098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57B60E63">
      <w:pPr>
        <w:pStyle w:val="23"/>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_Toc2412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四、 响应文件的递交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306946DC">
      <w:pPr>
        <w:pStyle w:val="23"/>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_Toc21419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五、 磋商无效的情形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_Toc21419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147692F0">
      <w:pPr>
        <w:pStyle w:val="23"/>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_Toc21771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六、 采购中止的情形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_Toc21771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2E05CC7B">
      <w:pPr>
        <w:pStyle w:val="23"/>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_Toc22404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七、 确定成交供应商与签订合同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0BA6AF56">
      <w:pPr>
        <w:pStyle w:val="21"/>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_Toc1917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第三部分 采购内容及要求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2B158260">
      <w:pPr>
        <w:pStyle w:val="23"/>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_Toc12245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第一章 采购内容及要求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_Toc12245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228D344D">
      <w:pPr>
        <w:pStyle w:val="23"/>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_Toc12984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lang w:val="en-US" w:eastAsia="zh-CN"/>
        </w:rPr>
        <w:t>第二章 付款方式及要求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7F059FA0">
      <w:pPr>
        <w:pStyle w:val="21"/>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_Toc2107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第四部分 磋商原则及磋商方法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7228EEB4">
      <w:pPr>
        <w:pStyle w:val="23"/>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_Toc14171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一、 磋商原则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_Toc14171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177292AC">
      <w:pPr>
        <w:pStyle w:val="23"/>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_Toc31855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二、 磋商程序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_Toc31855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1AE4F830">
      <w:pPr>
        <w:pStyle w:val="23"/>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_Toc20874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三、 注意事项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4E8C5F8C">
      <w:pPr>
        <w:pStyle w:val="23"/>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_Toc21029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四、 评分细则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2C794B9F">
      <w:pPr>
        <w:pStyle w:val="21"/>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_Toc18878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第五部分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5F4275C1">
      <w:pPr>
        <w:pStyle w:val="21"/>
        <w:tabs>
          <w:tab w:val="right" w:leader="dot" w:pos="8306"/>
        </w:tabs>
        <w:rPr>
          <w:rFonts w:hint="eastAsia" w:ascii="宋体" w:hAnsi="宋体" w:eastAsia="宋体" w:cs="宋体"/>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_Toc19237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6"/>
          <w:highlight w:val="none"/>
        </w:rPr>
        <w:t>第六部分 应提交的有关格式范例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_Toc19237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szCs w:val="32"/>
          <w:highlight w:val="none"/>
        </w:rPr>
        <w:fldChar w:fldCharType="end"/>
      </w:r>
    </w:p>
    <w:p w14:paraId="0463427B">
      <w:pPr>
        <w:pStyle w:val="2"/>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Cs w:val="32"/>
          <w:highlight w:val="none"/>
        </w:rPr>
        <w:fldChar w:fldCharType="end"/>
      </w:r>
    </w:p>
    <w:p w14:paraId="621D82C6">
      <w:pPr>
        <w:rPr>
          <w:rFonts w:hint="eastAsia" w:ascii="宋体" w:hAnsi="宋体" w:eastAsia="宋体" w:cs="宋体"/>
          <w:color w:val="auto"/>
          <w:highlight w:val="none"/>
        </w:rPr>
      </w:pPr>
    </w:p>
    <w:p w14:paraId="565A24D8">
      <w:pPr>
        <w:rPr>
          <w:rFonts w:hint="eastAsia" w:ascii="宋体" w:hAnsi="宋体" w:eastAsia="宋体" w:cs="宋体"/>
          <w:color w:val="auto"/>
          <w:highlight w:val="none"/>
        </w:rPr>
      </w:pPr>
    </w:p>
    <w:p w14:paraId="403F502B">
      <w:pPr>
        <w:rPr>
          <w:rFonts w:hint="eastAsia" w:ascii="宋体" w:hAnsi="宋体" w:eastAsia="宋体" w:cs="宋体"/>
          <w:color w:val="auto"/>
          <w:highlight w:val="none"/>
        </w:rPr>
      </w:pPr>
    </w:p>
    <w:p w14:paraId="17D3ADFC">
      <w:pPr>
        <w:rPr>
          <w:rFonts w:hint="eastAsia" w:ascii="宋体" w:hAnsi="宋体" w:eastAsia="宋体" w:cs="宋体"/>
          <w:color w:val="auto"/>
          <w:highlight w:val="none"/>
        </w:rPr>
      </w:pPr>
    </w:p>
    <w:p w14:paraId="7ACF3D5F">
      <w:pPr>
        <w:tabs>
          <w:tab w:val="left" w:pos="3148"/>
        </w:tabs>
        <w:jc w:val="left"/>
        <w:rPr>
          <w:rFonts w:hint="eastAsia" w:ascii="宋体" w:hAnsi="宋体" w:eastAsia="宋体" w:cs="宋体"/>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highlight w:val="none"/>
        </w:rPr>
        <w:tab/>
      </w:r>
    </w:p>
    <w:p w14:paraId="50B48D99">
      <w:pPr>
        <w:pStyle w:val="9"/>
        <w:jc w:val="center"/>
        <w:rPr>
          <w:rFonts w:hint="eastAsia" w:ascii="宋体" w:hAnsi="宋体" w:eastAsia="宋体" w:cs="宋体"/>
          <w:color w:val="auto"/>
          <w:highlight w:val="none"/>
        </w:rPr>
      </w:pPr>
      <w:bookmarkStart w:id="0" w:name="_Toc32199"/>
      <w:bookmarkStart w:id="1" w:name="_Toc30433"/>
      <w:bookmarkStart w:id="2" w:name="_Toc31034"/>
      <w:bookmarkStart w:id="3" w:name="第二部分"/>
      <w:bookmarkStart w:id="4" w:name="_Toc91899870"/>
      <w:r>
        <w:rPr>
          <w:rFonts w:hint="eastAsia" w:ascii="宋体" w:hAnsi="宋体" w:eastAsia="宋体" w:cs="宋体"/>
          <w:color w:val="auto"/>
          <w:sz w:val="36"/>
          <w:szCs w:val="36"/>
          <w:highlight w:val="none"/>
        </w:rPr>
        <w:t>第一部分 磋商公告</w:t>
      </w:r>
      <w:bookmarkEnd w:id="0"/>
      <w:bookmarkEnd w:id="1"/>
      <w:bookmarkEnd w:id="2"/>
    </w:p>
    <w:p w14:paraId="0809ECD4">
      <w:pPr>
        <w:adjustRightInd w:val="0"/>
        <w:spacing w:line="360" w:lineRule="auto"/>
        <w:ind w:right="-313" w:rightChars="-149"/>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浙江省成套工程有限公司</w:t>
      </w:r>
      <w:r>
        <w:rPr>
          <w:rFonts w:hint="eastAsia" w:ascii="宋体" w:hAnsi="宋体" w:eastAsia="宋体" w:cs="宋体"/>
          <w:color w:val="auto"/>
          <w:sz w:val="28"/>
          <w:szCs w:val="28"/>
          <w:highlight w:val="none"/>
        </w:rPr>
        <w:t>关于</w:t>
      </w:r>
      <w:r>
        <w:rPr>
          <w:rFonts w:hint="eastAsia" w:ascii="宋体" w:hAnsi="宋体" w:cs="宋体"/>
          <w:color w:val="auto"/>
          <w:sz w:val="28"/>
          <w:szCs w:val="28"/>
          <w:highlight w:val="none"/>
          <w:lang w:eastAsia="zh-CN"/>
        </w:rPr>
        <w:t>绍兴市上虞区道墟街道办事处安全生产社会化服务项目</w:t>
      </w:r>
      <w:r>
        <w:rPr>
          <w:rFonts w:hint="eastAsia" w:ascii="宋体" w:hAnsi="宋体" w:eastAsia="宋体" w:cs="宋体"/>
          <w:color w:val="auto"/>
          <w:sz w:val="28"/>
          <w:szCs w:val="28"/>
          <w:highlight w:val="none"/>
        </w:rPr>
        <w:t>的竞争性磋商公告</w:t>
      </w:r>
    </w:p>
    <w:p w14:paraId="14B56E0F">
      <w:pPr>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公告日期：202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日</w:t>
      </w:r>
    </w:p>
    <w:p w14:paraId="10D41A23">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lang w:eastAsia="zh-CN"/>
        </w:rPr>
        <w:t>浙江省成套工程有限公司</w:t>
      </w:r>
      <w:r>
        <w:rPr>
          <w:rFonts w:hint="eastAsia" w:ascii="宋体" w:hAnsi="宋体" w:eastAsia="宋体" w:cs="宋体"/>
          <w:color w:val="auto"/>
          <w:sz w:val="24"/>
          <w:szCs w:val="24"/>
          <w:highlight w:val="none"/>
        </w:rPr>
        <w:t>受</w:t>
      </w:r>
      <w:r>
        <w:rPr>
          <w:rFonts w:hint="eastAsia" w:ascii="宋体" w:hAnsi="宋体" w:cs="宋体"/>
          <w:color w:val="auto"/>
          <w:sz w:val="24"/>
          <w:szCs w:val="24"/>
          <w:highlight w:val="none"/>
          <w:u w:val="single"/>
          <w:lang w:eastAsia="zh-CN"/>
        </w:rPr>
        <w:t>绍兴市上虞区道墟街道办事处</w:t>
      </w:r>
      <w:r>
        <w:rPr>
          <w:rFonts w:hint="eastAsia" w:ascii="宋体" w:hAnsi="宋体" w:eastAsia="宋体" w:cs="宋体"/>
          <w:color w:val="auto"/>
          <w:sz w:val="24"/>
          <w:szCs w:val="24"/>
          <w:highlight w:val="none"/>
        </w:rPr>
        <w:t>委托，现就</w:t>
      </w:r>
      <w:r>
        <w:rPr>
          <w:rFonts w:hint="eastAsia" w:ascii="宋体" w:hAnsi="宋体" w:cs="宋体"/>
          <w:color w:val="auto"/>
          <w:sz w:val="24"/>
          <w:szCs w:val="24"/>
          <w:highlight w:val="none"/>
          <w:u w:val="single"/>
          <w:lang w:eastAsia="zh-CN"/>
        </w:rPr>
        <w:t>安全生产社会化服务项目</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rPr>
        <w:t>竞争性磋商采购进行</w:t>
      </w:r>
      <w:r>
        <w:rPr>
          <w:rFonts w:hint="eastAsia" w:ascii="宋体" w:hAnsi="宋体" w:eastAsia="宋体" w:cs="宋体"/>
          <w:color w:val="auto"/>
          <w:sz w:val="24"/>
          <w:szCs w:val="24"/>
          <w:highlight w:val="none"/>
          <w:u w:val="single"/>
        </w:rPr>
        <w:t>竞争性磋商公告</w:t>
      </w:r>
      <w:r>
        <w:rPr>
          <w:rFonts w:hint="eastAsia" w:ascii="宋体" w:hAnsi="宋体" w:eastAsia="宋体" w:cs="宋体"/>
          <w:color w:val="auto"/>
          <w:sz w:val="24"/>
          <w:szCs w:val="24"/>
          <w:highlight w:val="none"/>
        </w:rPr>
        <w:t>，欢迎国内合格的供应商参加本次采购活动。</w:t>
      </w:r>
    </w:p>
    <w:p w14:paraId="13979043">
      <w:pPr>
        <w:adjustRightIn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一． 磋商项目编号：</w:t>
      </w:r>
      <w:r>
        <w:rPr>
          <w:rFonts w:hint="eastAsia" w:ascii="宋体" w:hAnsi="宋体" w:cs="宋体"/>
          <w:color w:val="auto"/>
          <w:sz w:val="24"/>
          <w:szCs w:val="24"/>
          <w:highlight w:val="none"/>
          <w:lang w:val="en-US" w:eastAsia="zh-CN"/>
        </w:rPr>
        <w:t xml:space="preserve">ZJCTSY-2024-1209  </w:t>
      </w:r>
    </w:p>
    <w:p w14:paraId="035E4113">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 采购组织类型：</w:t>
      </w:r>
      <w:r>
        <w:rPr>
          <w:rFonts w:hint="eastAsia" w:ascii="宋体" w:hAnsi="宋体" w:eastAsia="宋体" w:cs="宋体"/>
          <w:color w:val="auto"/>
          <w:sz w:val="24"/>
          <w:szCs w:val="24"/>
          <w:highlight w:val="none"/>
          <w:u w:val="single"/>
        </w:rPr>
        <w:t xml:space="preserve"> 分散采购（中介代理）</w:t>
      </w:r>
      <w:r>
        <w:rPr>
          <w:rFonts w:hint="eastAsia" w:ascii="宋体" w:hAnsi="宋体" w:eastAsia="宋体" w:cs="宋体"/>
          <w:color w:val="auto"/>
          <w:sz w:val="24"/>
          <w:szCs w:val="24"/>
          <w:highlight w:val="none"/>
        </w:rPr>
        <w:t xml:space="preserve"> </w:t>
      </w:r>
    </w:p>
    <w:p w14:paraId="1A49B4F4">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磋商项目概况:</w:t>
      </w:r>
    </w:p>
    <w:tbl>
      <w:tblPr>
        <w:tblStyle w:val="26"/>
        <w:tblW w:w="8973"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69"/>
        <w:gridCol w:w="1807"/>
        <w:gridCol w:w="645"/>
        <w:gridCol w:w="675"/>
        <w:gridCol w:w="1007"/>
        <w:gridCol w:w="2781"/>
        <w:gridCol w:w="941"/>
        <w:gridCol w:w="648"/>
      </w:tblGrid>
      <w:tr w14:paraId="2984F102">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469" w:type="dxa"/>
            <w:tcBorders>
              <w:top w:val="single" w:color="000000" w:sz="4" w:space="0"/>
            </w:tcBorders>
            <w:vAlign w:val="center"/>
          </w:tcPr>
          <w:p w14:paraId="057271CA">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07" w:type="dxa"/>
            <w:tcBorders>
              <w:top w:val="single" w:color="000000" w:sz="4" w:space="0"/>
            </w:tcBorders>
            <w:vAlign w:val="center"/>
          </w:tcPr>
          <w:p w14:paraId="1EDD7591">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5" w:type="dxa"/>
            <w:tcBorders>
              <w:top w:val="single" w:color="000000" w:sz="4" w:space="0"/>
            </w:tcBorders>
            <w:vAlign w:val="center"/>
          </w:tcPr>
          <w:p w14:paraId="48B86455">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75" w:type="dxa"/>
            <w:tcBorders>
              <w:top w:val="single" w:color="000000" w:sz="4" w:space="0"/>
            </w:tcBorders>
            <w:vAlign w:val="center"/>
          </w:tcPr>
          <w:p w14:paraId="399C5D56">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07" w:type="dxa"/>
            <w:tcBorders>
              <w:top w:val="single" w:color="000000" w:sz="4" w:space="0"/>
            </w:tcBorders>
            <w:vAlign w:val="center"/>
          </w:tcPr>
          <w:p w14:paraId="6CCF1B98">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预算金额(万元)</w:t>
            </w:r>
          </w:p>
        </w:tc>
        <w:tc>
          <w:tcPr>
            <w:tcW w:w="2781" w:type="dxa"/>
            <w:tcBorders>
              <w:top w:val="single" w:color="000000" w:sz="4" w:space="0"/>
            </w:tcBorders>
            <w:vAlign w:val="center"/>
          </w:tcPr>
          <w:p w14:paraId="7825C757">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简要规格描述或标项基本概况介绍</w:t>
            </w:r>
          </w:p>
        </w:tc>
        <w:tc>
          <w:tcPr>
            <w:tcW w:w="941" w:type="dxa"/>
            <w:tcBorders>
              <w:top w:val="single" w:color="000000" w:sz="4" w:space="0"/>
            </w:tcBorders>
            <w:vAlign w:val="center"/>
          </w:tcPr>
          <w:p w14:paraId="60396E8C">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最高限价(万元)</w:t>
            </w:r>
          </w:p>
        </w:tc>
        <w:tc>
          <w:tcPr>
            <w:tcW w:w="648" w:type="dxa"/>
            <w:tcBorders>
              <w:top w:val="single" w:color="000000" w:sz="4" w:space="0"/>
            </w:tcBorders>
            <w:vAlign w:val="center"/>
          </w:tcPr>
          <w:p w14:paraId="7F95C773">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4277308">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jc w:val="center"/>
        </w:trPr>
        <w:tc>
          <w:tcPr>
            <w:tcW w:w="469" w:type="dxa"/>
            <w:tcBorders>
              <w:bottom w:val="single" w:color="000000" w:sz="4" w:space="0"/>
            </w:tcBorders>
            <w:vAlign w:val="center"/>
          </w:tcPr>
          <w:p w14:paraId="35A021C2">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7" w:type="dxa"/>
            <w:tcBorders>
              <w:bottom w:val="single" w:color="000000" w:sz="4" w:space="0"/>
            </w:tcBorders>
            <w:vAlign w:val="center"/>
          </w:tcPr>
          <w:p w14:paraId="3CFFF7E8">
            <w:pPr>
              <w:pStyle w:val="16"/>
              <w:snapToGrid w:val="0"/>
              <w:spacing w:before="120" w:after="12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安全生产社会化服务项目</w:t>
            </w:r>
          </w:p>
        </w:tc>
        <w:tc>
          <w:tcPr>
            <w:tcW w:w="645" w:type="dxa"/>
            <w:tcBorders>
              <w:bottom w:val="single" w:color="000000" w:sz="4" w:space="0"/>
            </w:tcBorders>
            <w:vAlign w:val="center"/>
          </w:tcPr>
          <w:p w14:paraId="56F60CC2">
            <w:pPr>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675" w:type="dxa"/>
            <w:tcBorders>
              <w:bottom w:val="single" w:color="000000" w:sz="4" w:space="0"/>
            </w:tcBorders>
            <w:vAlign w:val="center"/>
          </w:tcPr>
          <w:p w14:paraId="73DBAACD">
            <w:pPr>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年</w:t>
            </w:r>
          </w:p>
        </w:tc>
        <w:tc>
          <w:tcPr>
            <w:tcW w:w="1007" w:type="dxa"/>
            <w:tcBorders>
              <w:bottom w:val="single" w:color="000000" w:sz="4" w:space="0"/>
            </w:tcBorders>
            <w:vAlign w:val="center"/>
          </w:tcPr>
          <w:p w14:paraId="18B03D68">
            <w:pPr>
              <w:widowControl/>
              <w:spacing w:before="100" w:after="100" w:line="312"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98</w:t>
            </w:r>
          </w:p>
        </w:tc>
        <w:tc>
          <w:tcPr>
            <w:tcW w:w="2781" w:type="dxa"/>
            <w:tcBorders>
              <w:bottom w:val="single" w:color="000000" w:sz="4" w:space="0"/>
            </w:tcBorders>
            <w:vAlign w:val="center"/>
          </w:tcPr>
          <w:p w14:paraId="6AB6A3D8">
            <w:pPr>
              <w:pStyle w:val="16"/>
              <w:snapToGrid w:val="0"/>
              <w:spacing w:before="120" w:after="12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街道所属辖区范围内217家工矿企业安全生产（消防安全）隐患排查、工业企业安全在线平台监管和企业台账资料指导等。</w:t>
            </w:r>
          </w:p>
        </w:tc>
        <w:tc>
          <w:tcPr>
            <w:tcW w:w="941" w:type="dxa"/>
            <w:tcBorders>
              <w:bottom w:val="single" w:color="000000" w:sz="4" w:space="0"/>
            </w:tcBorders>
            <w:vAlign w:val="center"/>
          </w:tcPr>
          <w:p w14:paraId="5D7CC2A7">
            <w:pPr>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98</w:t>
            </w:r>
          </w:p>
        </w:tc>
        <w:tc>
          <w:tcPr>
            <w:tcW w:w="648" w:type="dxa"/>
            <w:tcBorders>
              <w:bottom w:val="single" w:color="000000" w:sz="4" w:space="0"/>
            </w:tcBorders>
            <w:vAlign w:val="center"/>
          </w:tcPr>
          <w:p w14:paraId="57F2E4D1">
            <w:pPr>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32A2110E">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合格供应商资格要求:</w:t>
      </w:r>
    </w:p>
    <w:p w14:paraId="35B82065">
      <w:pPr>
        <w:numPr>
          <w:ilvl w:val="0"/>
          <w:numId w:val="2"/>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符合政府采购法第二十二条，且未被“信用中国”（www.creditchina.gov.cn）、中国政府采购网（www.ccgp.gov.cn）列入失信被执行人、重大税收违法案件当事人名单、政府采购严重违法失信行为记录名单。</w:t>
      </w:r>
    </w:p>
    <w:p w14:paraId="33AD5366">
      <w:pPr>
        <w:numPr>
          <w:ilvl w:val="0"/>
          <w:numId w:val="2"/>
        </w:numPr>
        <w:wordWrap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落实政府采购政策需满足的资格要求：</w:t>
      </w:r>
      <w:r>
        <w:rPr>
          <w:rFonts w:hint="eastAsia" w:ascii="宋体" w:hAnsi="宋体" w:cs="宋体"/>
          <w:color w:val="auto"/>
          <w:sz w:val="24"/>
          <w:highlight w:val="none"/>
        </w:rPr>
        <w:t>供应商为中小企业/小微企业</w:t>
      </w:r>
      <w:r>
        <w:rPr>
          <w:rFonts w:hint="eastAsia" w:ascii="宋体" w:hAnsi="宋体" w:cs="宋体"/>
          <w:color w:val="auto"/>
          <w:sz w:val="24"/>
          <w:szCs w:val="24"/>
          <w:highlight w:val="none"/>
        </w:rPr>
        <w:t>。</w:t>
      </w:r>
    </w:p>
    <w:p w14:paraId="19D86950">
      <w:pPr>
        <w:numPr>
          <w:ilvl w:val="0"/>
          <w:numId w:val="0"/>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 xml:space="preserve">不接受 </w:t>
      </w:r>
      <w:r>
        <w:rPr>
          <w:rFonts w:hint="eastAsia" w:ascii="宋体" w:hAnsi="宋体" w:eastAsia="宋体" w:cs="宋体"/>
          <w:color w:val="auto"/>
          <w:sz w:val="24"/>
          <w:szCs w:val="24"/>
          <w:highlight w:val="none"/>
        </w:rPr>
        <w:t>联合体参加磋商。</w:t>
      </w:r>
    </w:p>
    <w:p w14:paraId="6D90FFF1">
      <w:pPr>
        <w:numPr>
          <w:ilvl w:val="0"/>
          <w:numId w:val="0"/>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sz w:val="24"/>
          <w:szCs w:val="24"/>
          <w:highlight w:val="none"/>
        </w:rPr>
        <w:t>本项目采用资格后审的审查方式，由磋商小组负责审查。</w:t>
      </w:r>
    </w:p>
    <w:p w14:paraId="30A62978">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五．获取磋商文件</w:t>
      </w:r>
    </w:p>
    <w:p w14:paraId="6C812B8D">
      <w:pPr>
        <w:numPr>
          <w:ilvl w:val="0"/>
          <w:numId w:val="3"/>
        </w:numPr>
        <w:adjustRightInd w:val="0"/>
        <w:spacing w:line="360" w:lineRule="auto"/>
        <w:ind w:firstLine="480" w:firstLineChars="200"/>
        <w:rPr>
          <w:rFonts w:hint="eastAsia" w:ascii="宋体" w:hAnsi="宋体" w:eastAsia="宋体" w:cs="宋体"/>
          <w:color w:val="auto"/>
          <w:sz w:val="24"/>
          <w:szCs w:val="24"/>
          <w:highlight w:val="none"/>
        </w:rPr>
      </w:pPr>
      <w:bookmarkStart w:id="5" w:name="报名开始时间1"/>
      <w:r>
        <w:rPr>
          <w:rFonts w:hint="eastAsia" w:ascii="宋体" w:hAnsi="宋体" w:eastAsia="宋体" w:cs="宋体"/>
          <w:color w:val="auto"/>
          <w:sz w:val="24"/>
          <w:szCs w:val="24"/>
          <w:highlight w:val="none"/>
        </w:rPr>
        <w:t>获取磋商文件时间:</w:t>
      </w:r>
      <w:bookmarkEnd w:id="5"/>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none"/>
        </w:rPr>
        <w:t>日</w:t>
      </w:r>
      <w:r>
        <w:rPr>
          <w:rFonts w:hint="eastAsia" w:ascii="宋体" w:hAnsi="宋体" w:eastAsia="宋体" w:cs="宋体"/>
          <w:color w:val="auto"/>
          <w:sz w:val="24"/>
          <w:szCs w:val="24"/>
          <w:highlight w:val="none"/>
          <w:u w:val="single"/>
        </w:rPr>
        <w:t>09:30</w:t>
      </w:r>
      <w:r>
        <w:rPr>
          <w:rFonts w:hint="eastAsia" w:ascii="宋体" w:hAnsi="宋体" w:eastAsia="宋体" w:cs="宋体"/>
          <w:color w:val="auto"/>
          <w:sz w:val="24"/>
          <w:szCs w:val="24"/>
          <w:highlight w:val="none"/>
        </w:rPr>
        <w:t>之前获取。</w:t>
      </w:r>
    </w:p>
    <w:p w14:paraId="33C2AB1B">
      <w:pPr>
        <w:numPr>
          <w:ilvl w:val="0"/>
          <w:numId w:val="3"/>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获取磋商文件方式：供应商登陆政采云平台http://www.zcygov.cn/，在线申请获取磋商文件（进入“项目采购”应用，在获取采购文件菜单中选择项目，申请获取采购文件）。</w:t>
      </w:r>
    </w:p>
    <w:p w14:paraId="2D29150C">
      <w:pPr>
        <w:numPr>
          <w:ilvl w:val="0"/>
          <w:numId w:val="3"/>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w:t>
      </w:r>
    </w:p>
    <w:p w14:paraId="43840E54">
      <w:pPr>
        <w:numPr>
          <w:ilvl w:val="0"/>
          <w:numId w:val="4"/>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将拒绝接受未获取磋商文件供应商的响应文件。</w:t>
      </w:r>
    </w:p>
    <w:p w14:paraId="63FFAD19">
      <w:pPr>
        <w:numPr>
          <w:ilvl w:val="0"/>
          <w:numId w:val="4"/>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磋商文件及更正补充公告请自行登录浙江政府采购网或绍兴市上虞区公共资源交易中心网站，在采购公告页面中下载。</w:t>
      </w:r>
    </w:p>
    <w:p w14:paraId="01DA42F3">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六．投标与开标注意事项：</w:t>
      </w:r>
    </w:p>
    <w:p w14:paraId="10C5F898">
      <w:pPr>
        <w:numPr>
          <w:ilvl w:val="0"/>
          <w:numId w:val="5"/>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w:t>
      </w:r>
      <w:r>
        <w:rPr>
          <w:rFonts w:hint="eastAsia" w:ascii="宋体" w:hAnsi="宋体" w:eastAsia="宋体" w:cs="宋体"/>
          <w:b/>
          <w:bCs/>
          <w:color w:val="auto"/>
          <w:sz w:val="24"/>
          <w:szCs w:val="24"/>
          <w:highlight w:val="none"/>
        </w:rPr>
        <w:t>网上投标</w:t>
      </w:r>
      <w:r>
        <w:rPr>
          <w:rFonts w:hint="eastAsia" w:ascii="宋体" w:hAnsi="宋体" w:eastAsia="宋体" w:cs="宋体"/>
          <w:color w:val="auto"/>
          <w:sz w:val="24"/>
          <w:szCs w:val="24"/>
          <w:highlight w:val="none"/>
        </w:rPr>
        <w:t>，采用电子投标文件，若供应商参与投标，自行承担投标一切费用。</w:t>
      </w:r>
    </w:p>
    <w:p w14:paraId="688A5960">
      <w:pPr>
        <w:numPr>
          <w:ilvl w:val="0"/>
          <w:numId w:val="5"/>
        </w:numPr>
        <w:wordWrap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3F65BDE6">
      <w:pPr>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0D9C3902">
      <w:pPr>
        <w:autoSpaceDE w:val="0"/>
        <w:autoSpaceDN w:val="0"/>
        <w:spacing w:line="360" w:lineRule="auto"/>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69422DA1">
      <w:pP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《CA管理学习专题》：</w:t>
      </w:r>
    </w:p>
    <w:p w14:paraId="4C95F3D6">
      <w:pP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https://edu.zcygov.cn/luban/ca?utm=web-government-front.380aac0a.0.0.fc2b6aa0b6e211ebbdb0dd007730dd44</w:t>
      </w:r>
    </w:p>
    <w:p w14:paraId="5E189895">
      <w:pPr>
        <w:adjustRightIn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《CA驱动和申领流程》:</w:t>
      </w:r>
    </w:p>
    <w:p w14:paraId="762B4E29">
      <w:pPr>
        <w:adjustRightInd w:val="0"/>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http://zfcg.czt.zj.gov.cn/bidClientTemplate/2019-05-27/12945.html</w:t>
      </w:r>
    </w:p>
    <w:p w14:paraId="453653E1">
      <w:pPr>
        <w:numPr>
          <w:ilvl w:val="0"/>
          <w:numId w:val="5"/>
        </w:num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投标文件制作：</w:t>
      </w:r>
    </w:p>
    <w:p w14:paraId="5AAA99F3">
      <w:pPr>
        <w:keepNext w:val="0"/>
        <w:keepLines w:val="0"/>
        <w:pageBreakBefore w:val="0"/>
        <w:widowControl w:val="0"/>
        <w:numPr>
          <w:ilvl w:val="0"/>
          <w:numId w:val="6"/>
        </w:numP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w:t>
      </w:r>
    </w:p>
    <w:p w14:paraId="6A8F6DD1">
      <w:pPr>
        <w:keepNext w:val="0"/>
        <w:keepLines w:val="0"/>
        <w:pageBreakBefore w:val="0"/>
        <w:widowControl w:val="0"/>
        <w:numPr>
          <w:ilvl w:val="0"/>
          <w:numId w:val="6"/>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投标人通过“政采云”平台电子投标工具制作投标文件。</w:t>
      </w:r>
    </w:p>
    <w:p w14:paraId="35207B0D">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《电子投标工具》：</w:t>
      </w:r>
    </w:p>
    <w:p w14:paraId="52C989E3">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http://zfcg.czt.zj.gov.cn/bidClientTemplate/2019-09-24/12975.html</w:t>
      </w:r>
    </w:p>
    <w:p w14:paraId="24F7CF93">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《供应商-政府采购项目电子交易操作指南》：(需登录账号后查看)</w:t>
      </w:r>
    </w:p>
    <w:p w14:paraId="708B2E5A">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https://service.zcygov.cn/#/knowledges/tree?tag=AG1DtGwBFdiHxlNdhY0r</w:t>
      </w:r>
    </w:p>
    <w:p w14:paraId="09730632">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4.供应商在法定质疑期内应一次性提出针对同一采购程序环节的质疑。</w:t>
      </w:r>
    </w:p>
    <w:p w14:paraId="0A9A90E5">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5.投标人可指派授权代表递交备份文件，授权代表递交备份文件需携带法定代表人授权书原件，于投标截止时间前到达开标地点递交。</w:t>
      </w:r>
    </w:p>
    <w:p w14:paraId="7D607B24">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6.特别提醒</w:t>
      </w:r>
    </w:p>
    <w:p w14:paraId="624BF173">
      <w:pPr>
        <w:keepNext w:val="0"/>
        <w:keepLines w:val="0"/>
        <w:pageBreakBefore w:val="0"/>
        <w:widowControl w:val="0"/>
        <w:numPr>
          <w:ilvl w:val="0"/>
          <w:numId w:val="7"/>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14:paraId="3D51AE70">
      <w:pPr>
        <w:keepNext w:val="0"/>
        <w:keepLines w:val="0"/>
        <w:pageBreakBefore w:val="0"/>
        <w:widowControl w:val="0"/>
        <w:numPr>
          <w:ilvl w:val="0"/>
          <w:numId w:val="7"/>
        </w:numPr>
        <w:kinsoku/>
        <w:wordWrap w:val="0"/>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sz w:val="24"/>
          <w:szCs w:val="24"/>
          <w:highlight w:val="none"/>
          <w:lang w:eastAsia="zh-CN"/>
        </w:rPr>
        <w:t>。</w:t>
      </w:r>
    </w:p>
    <w:p w14:paraId="36657AF6">
      <w:pPr>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七．磋商响应截止时间及要求：</w:t>
      </w:r>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20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09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分整</w:t>
      </w:r>
      <w:r>
        <w:rPr>
          <w:rFonts w:hint="eastAsia" w:ascii="宋体" w:hAnsi="宋体" w:eastAsia="宋体" w:cs="宋体"/>
          <w:color w:val="auto"/>
          <w:kern w:val="0"/>
          <w:sz w:val="24"/>
          <w:szCs w:val="24"/>
          <w:highlight w:val="none"/>
        </w:rPr>
        <w:t>之前将电子磋商响应文件上传到“政采云”平台。</w:t>
      </w:r>
    </w:p>
    <w:p w14:paraId="266732A9">
      <w:pPr>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八．递交首次响应文件时间及地点：</w:t>
      </w:r>
      <w:bookmarkStart w:id="6" w:name="B30_开标地点"/>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20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09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分整在</w:t>
      </w:r>
      <w:r>
        <w:rPr>
          <w:rFonts w:hint="eastAsia" w:ascii="宋体" w:hAnsi="宋体" w:cs="宋体"/>
          <w:color w:val="auto"/>
          <w:sz w:val="24"/>
          <w:szCs w:val="24"/>
          <w:highlight w:val="none"/>
          <w:lang w:eastAsia="zh-CN"/>
        </w:rPr>
        <w:t>浙江省成套工程有限公司</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绍兴市</w:t>
      </w:r>
      <w:r>
        <w:rPr>
          <w:rFonts w:hint="eastAsia" w:ascii="宋体" w:hAnsi="宋体" w:eastAsia="宋体" w:cs="宋体"/>
          <w:color w:val="auto"/>
          <w:sz w:val="24"/>
          <w:szCs w:val="24"/>
          <w:highlight w:val="none"/>
        </w:rPr>
        <w:t>上虞区</w:t>
      </w:r>
      <w:r>
        <w:rPr>
          <w:rFonts w:hint="eastAsia" w:ascii="宋体" w:hAnsi="宋体" w:cs="宋体"/>
          <w:color w:val="auto"/>
          <w:sz w:val="24"/>
          <w:szCs w:val="24"/>
          <w:highlight w:val="none"/>
          <w:lang w:val="en-US" w:eastAsia="zh-CN"/>
        </w:rPr>
        <w:t>财富广场6号楼902）开标室</w:t>
      </w:r>
      <w:r>
        <w:rPr>
          <w:rFonts w:hint="eastAsia" w:ascii="宋体" w:hAnsi="宋体" w:eastAsia="宋体" w:cs="宋体"/>
          <w:color w:val="auto"/>
          <w:sz w:val="24"/>
          <w:szCs w:val="24"/>
          <w:highlight w:val="none"/>
        </w:rPr>
        <w:t>开标。</w:t>
      </w:r>
      <w:bookmarkEnd w:id="6"/>
    </w:p>
    <w:p w14:paraId="2ACBEB70">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开标时间后30分钟内（</w:t>
      </w:r>
      <w:r>
        <w:rPr>
          <w:rFonts w:hint="eastAsia" w:ascii="宋体" w:hAnsi="宋体" w:eastAsia="宋体" w:cs="宋体"/>
          <w:color w:val="auto"/>
          <w:sz w:val="24"/>
          <w:szCs w:val="24"/>
          <w:highlight w:val="none"/>
          <w:lang w:eastAsia="zh-CN"/>
        </w:rPr>
        <w:t>当日</w:t>
      </w:r>
      <w:r>
        <w:rPr>
          <w:rFonts w:hint="eastAsia" w:ascii="宋体" w:hAnsi="宋体" w:eastAsia="宋体" w:cs="宋体"/>
          <w:color w:val="auto"/>
          <w:sz w:val="24"/>
          <w:szCs w:val="24"/>
          <w:highlight w:val="none"/>
        </w:rPr>
        <w:t>10 : 00 前）供应商可以登录“政采云”平台，用“项目采购-开标评标”功能进行解密响应文件。若供应商在规定时间内（</w:t>
      </w:r>
      <w:r>
        <w:rPr>
          <w:rFonts w:hint="eastAsia" w:ascii="宋体" w:hAnsi="宋体" w:eastAsia="宋体" w:cs="宋体"/>
          <w:color w:val="auto"/>
          <w:sz w:val="24"/>
          <w:szCs w:val="24"/>
          <w:highlight w:val="none"/>
          <w:lang w:eastAsia="zh-CN"/>
        </w:rPr>
        <w:t>当日</w:t>
      </w:r>
      <w:r>
        <w:rPr>
          <w:rFonts w:hint="eastAsia" w:ascii="宋体" w:hAnsi="宋体" w:eastAsia="宋体" w:cs="宋体"/>
          <w:color w:val="auto"/>
          <w:sz w:val="24"/>
          <w:szCs w:val="24"/>
          <w:highlight w:val="none"/>
        </w:rPr>
        <w:t>10 : 00 前）解密失败，则由采购代理机构工作人员上传供应商提供的备份文件。备份文件（后缀名为.bfbs）须存储在U盘中，与上传的电子磋商响应文件一致，用信封进行密封并盖章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color w:val="auto"/>
          <w:sz w:val="24"/>
          <w:szCs w:val="24"/>
          <w:highlight w:val="none"/>
        </w:rPr>
        <w:t>，由授权代表在磋商响应截止时间前递交至开标地点。若电子磋商响应文件正常解锁，则U盘退还给供应商；若解锁失败，则由采购代理机构将U盘中的备份文件上传，该U盘将由采购代理机构保存。</w:t>
      </w:r>
    </w:p>
    <w:p w14:paraId="0C92374B">
      <w:pPr>
        <w:adjustRightIn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本次开标不提供现场视频。</w:t>
      </w:r>
    </w:p>
    <w:p w14:paraId="2B476994">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九．磋商保证金：无</w:t>
      </w:r>
    </w:p>
    <w:p w14:paraId="296A3711">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十．公告期限：3个工作日</w:t>
      </w:r>
    </w:p>
    <w:p w14:paraId="3309DA2B">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十一．联系方式：</w:t>
      </w:r>
    </w:p>
    <w:p w14:paraId="62B8CB42">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1．采购代理机构名称：</w:t>
      </w:r>
      <w:r>
        <w:rPr>
          <w:rFonts w:hint="eastAsia" w:ascii="宋体" w:hAnsi="宋体" w:cs="宋体"/>
          <w:color w:val="auto"/>
          <w:sz w:val="24"/>
          <w:szCs w:val="24"/>
          <w:highlight w:val="none"/>
          <w:lang w:eastAsia="zh-CN"/>
        </w:rPr>
        <w:t>浙江省成套工程有限公司</w:t>
      </w:r>
    </w:p>
    <w:p w14:paraId="1BC05A7A">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eastAsia="zh-CN"/>
        </w:rPr>
        <w:t>项建海</w:t>
      </w:r>
      <w:r>
        <w:rPr>
          <w:rFonts w:hint="eastAsia" w:ascii="宋体" w:hAnsi="宋体" w:eastAsia="宋体" w:cs="宋体"/>
          <w:color w:val="auto"/>
          <w:sz w:val="24"/>
          <w:szCs w:val="24"/>
          <w:highlight w:val="none"/>
        </w:rPr>
        <w:t xml:space="preserve">              </w:t>
      </w:r>
    </w:p>
    <w:p w14:paraId="17D828E2">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cs="宋体"/>
          <w:color w:val="auto"/>
          <w:sz w:val="24"/>
          <w:szCs w:val="24"/>
          <w:highlight w:val="none"/>
          <w:lang w:val="en-US" w:eastAsia="zh-CN"/>
        </w:rPr>
        <w:t>13819570604</w:t>
      </w:r>
      <w:r>
        <w:rPr>
          <w:rFonts w:hint="eastAsia" w:ascii="宋体" w:hAnsi="宋体" w:eastAsia="宋体" w:cs="宋体"/>
          <w:color w:val="auto"/>
          <w:sz w:val="24"/>
          <w:szCs w:val="24"/>
          <w:highlight w:val="none"/>
        </w:rPr>
        <w:t xml:space="preserve">         </w:t>
      </w:r>
    </w:p>
    <w:p w14:paraId="5AB9984E">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eastAsia="zh-CN"/>
        </w:rPr>
        <w:t>章建锋</w:t>
      </w:r>
      <w:r>
        <w:rPr>
          <w:rFonts w:hint="eastAsia" w:ascii="宋体" w:hAnsi="宋体" w:eastAsia="宋体" w:cs="宋体"/>
          <w:color w:val="auto"/>
          <w:sz w:val="24"/>
          <w:szCs w:val="24"/>
          <w:highlight w:val="none"/>
        </w:rPr>
        <w:t xml:space="preserve">            </w:t>
      </w:r>
    </w:p>
    <w:p w14:paraId="0D9EA75C">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质疑联系方式：13372401551     </w:t>
      </w:r>
    </w:p>
    <w:p w14:paraId="6331794B">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地址：绍兴市上虞区</w:t>
      </w:r>
      <w:r>
        <w:rPr>
          <w:rFonts w:hint="eastAsia" w:ascii="宋体" w:hAnsi="宋体" w:cs="宋体"/>
          <w:color w:val="auto"/>
          <w:sz w:val="24"/>
          <w:szCs w:val="24"/>
          <w:highlight w:val="none"/>
          <w:lang w:val="en-US" w:eastAsia="zh-CN"/>
        </w:rPr>
        <w:t>财富广场6号楼902</w:t>
      </w:r>
      <w:r>
        <w:rPr>
          <w:rFonts w:hint="eastAsia" w:ascii="宋体" w:hAnsi="宋体" w:eastAsia="宋体" w:cs="宋体"/>
          <w:color w:val="auto"/>
          <w:sz w:val="24"/>
          <w:szCs w:val="24"/>
          <w:highlight w:val="none"/>
        </w:rPr>
        <w:t xml:space="preserve">  </w:t>
      </w:r>
    </w:p>
    <w:p w14:paraId="76676068">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2．采购人名称：</w:t>
      </w:r>
      <w:r>
        <w:rPr>
          <w:rFonts w:hint="eastAsia" w:ascii="宋体" w:hAnsi="宋体" w:cs="宋体"/>
          <w:color w:val="auto"/>
          <w:sz w:val="24"/>
          <w:szCs w:val="24"/>
          <w:highlight w:val="none"/>
          <w:lang w:eastAsia="zh-CN"/>
        </w:rPr>
        <w:t>绍兴市上虞区道墟街道办事处</w:t>
      </w:r>
      <w:r>
        <w:rPr>
          <w:rFonts w:hint="eastAsia" w:ascii="宋体" w:hAnsi="宋体" w:eastAsia="宋体" w:cs="宋体"/>
          <w:color w:val="auto"/>
          <w:sz w:val="24"/>
          <w:szCs w:val="24"/>
          <w:highlight w:val="none"/>
        </w:rPr>
        <w:t xml:space="preserve">  </w:t>
      </w:r>
    </w:p>
    <w:p w14:paraId="19F80571">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朱芳</w:t>
      </w:r>
    </w:p>
    <w:p w14:paraId="2846FF3B">
      <w:pPr>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项目联系方式（询问）：0575-82041687</w:t>
      </w:r>
    </w:p>
    <w:p w14:paraId="45F50C36">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r>
        <w:rPr>
          <w:rFonts w:hint="eastAsia" w:ascii="宋体" w:hAnsi="宋体" w:cs="宋体"/>
          <w:color w:val="auto"/>
          <w:sz w:val="24"/>
          <w:szCs w:val="24"/>
          <w:highlight w:val="none"/>
          <w:lang w:val="en-US" w:eastAsia="zh-CN"/>
        </w:rPr>
        <w:t>王先生</w:t>
      </w:r>
      <w:r>
        <w:rPr>
          <w:rFonts w:hint="eastAsia" w:ascii="宋体" w:hAnsi="宋体" w:cs="宋体"/>
          <w:color w:val="auto"/>
          <w:sz w:val="24"/>
          <w:szCs w:val="24"/>
          <w:highlight w:val="none"/>
          <w:lang w:val="en-US" w:eastAsia="zh-CN"/>
        </w:rPr>
        <w:t xml:space="preserve"> </w:t>
      </w:r>
    </w:p>
    <w:p w14:paraId="471F4F21">
      <w:pPr>
        <w:adjustRightIn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质疑联</w:t>
      </w:r>
      <w:r>
        <w:rPr>
          <w:rFonts w:hint="eastAsia" w:ascii="宋体" w:hAnsi="宋体" w:cs="宋体"/>
          <w:color w:val="auto"/>
          <w:sz w:val="24"/>
          <w:szCs w:val="24"/>
          <w:highlight w:val="none"/>
          <w:lang w:val="en-US" w:eastAsia="zh-CN"/>
        </w:rPr>
        <w:t xml:space="preserve">系方式：0575-82517129 </w:t>
      </w:r>
    </w:p>
    <w:p w14:paraId="5F708F77">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绍兴市上虞区道墟街道办事处</w:t>
      </w:r>
      <w:r>
        <w:rPr>
          <w:rFonts w:hint="eastAsia" w:ascii="宋体" w:hAnsi="宋体" w:eastAsia="宋体" w:cs="宋体"/>
          <w:color w:val="auto"/>
          <w:sz w:val="24"/>
          <w:szCs w:val="24"/>
          <w:highlight w:val="none"/>
        </w:rPr>
        <w:t xml:space="preserve"> </w:t>
      </w:r>
    </w:p>
    <w:p w14:paraId="5B39E508">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3．同级政府采购监督管理部门名称：上虞区财政局政府采购监管科</w:t>
      </w:r>
    </w:p>
    <w:p w14:paraId="10AFB519">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联系人：谷先生</w:t>
      </w:r>
    </w:p>
    <w:p w14:paraId="3C5F26E1">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监督投诉电话：0575-82130212</w:t>
      </w:r>
    </w:p>
    <w:p w14:paraId="226DCB93">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传真：0575-821</w:t>
      </w:r>
      <w:r>
        <w:rPr>
          <w:rFonts w:hint="eastAsia" w:ascii="宋体" w:hAnsi="宋体" w:eastAsia="宋体" w:cs="宋体"/>
          <w:color w:val="auto"/>
          <w:sz w:val="24"/>
          <w:szCs w:val="24"/>
          <w:highlight w:val="none"/>
          <w:lang w:val="en-US" w:eastAsia="zh-CN"/>
        </w:rPr>
        <w:t>54859</w:t>
      </w:r>
    </w:p>
    <w:p w14:paraId="7FC98B1E">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地址：绍兴市上虞区体育场路18号</w:t>
      </w:r>
    </w:p>
    <w:p w14:paraId="461E226F">
      <w:pPr>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bookmarkStart w:id="7" w:name="_Toc29834"/>
      <w:bookmarkStart w:id="8" w:name="_Toc5238"/>
      <w:bookmarkStart w:id="9" w:name="_Toc546"/>
      <w:r>
        <w:rPr>
          <w:rStyle w:val="40"/>
          <w:rFonts w:hint="eastAsia" w:ascii="宋体" w:hAnsi="宋体" w:eastAsia="宋体" w:cs="宋体"/>
          <w:color w:val="auto"/>
          <w:sz w:val="36"/>
          <w:szCs w:val="36"/>
          <w:highlight w:val="none"/>
        </w:rPr>
        <w:t>第二部分</w:t>
      </w:r>
      <w:bookmarkEnd w:id="3"/>
      <w:r>
        <w:rPr>
          <w:rStyle w:val="40"/>
          <w:rFonts w:hint="eastAsia" w:ascii="宋体" w:hAnsi="宋体" w:eastAsia="宋体" w:cs="宋体"/>
          <w:color w:val="auto"/>
          <w:sz w:val="36"/>
          <w:szCs w:val="36"/>
          <w:highlight w:val="none"/>
        </w:rPr>
        <w:t xml:space="preserve"> </w:t>
      </w:r>
      <w:bookmarkEnd w:id="4"/>
      <w:r>
        <w:rPr>
          <w:rStyle w:val="40"/>
          <w:rFonts w:hint="eastAsia" w:ascii="宋体" w:hAnsi="宋体" w:eastAsia="宋体" w:cs="宋体"/>
          <w:color w:val="auto"/>
          <w:sz w:val="36"/>
          <w:szCs w:val="36"/>
          <w:highlight w:val="none"/>
        </w:rPr>
        <w:t>供应商须知</w:t>
      </w:r>
      <w:bookmarkEnd w:id="7"/>
      <w:bookmarkEnd w:id="8"/>
      <w:bookmarkEnd w:id="9"/>
    </w:p>
    <w:p w14:paraId="402A109B">
      <w:pPr>
        <w:widowControl/>
        <w:adjustRightInd w:val="0"/>
        <w:snapToGrid w:val="0"/>
        <w:spacing w:line="360" w:lineRule="auto"/>
        <w:jc w:val="center"/>
        <w:rPr>
          <w:rFonts w:hint="eastAsia" w:ascii="宋体" w:hAnsi="宋体" w:eastAsia="宋体" w:cs="宋体"/>
          <w:b/>
          <w:bCs/>
          <w:snapToGrid w:val="0"/>
          <w:color w:val="auto"/>
          <w:kern w:val="0"/>
          <w:sz w:val="32"/>
          <w:szCs w:val="32"/>
          <w:highlight w:val="none"/>
        </w:rPr>
      </w:pPr>
      <w:r>
        <w:rPr>
          <w:rFonts w:hint="eastAsia" w:ascii="宋体" w:hAnsi="宋体" w:eastAsia="宋体" w:cs="宋体"/>
          <w:b/>
          <w:bCs/>
          <w:snapToGrid w:val="0"/>
          <w:color w:val="auto"/>
          <w:kern w:val="0"/>
          <w:sz w:val="30"/>
          <w:szCs w:val="30"/>
          <w:highlight w:val="none"/>
        </w:rPr>
        <w:t>供应商须知前附表</w:t>
      </w:r>
    </w:p>
    <w:tbl>
      <w:tblPr>
        <w:tblStyle w:val="26"/>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758004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7F998881">
            <w:pP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序号</w:t>
            </w:r>
          </w:p>
        </w:tc>
        <w:tc>
          <w:tcPr>
            <w:tcW w:w="1800" w:type="dxa"/>
            <w:tcBorders>
              <w:top w:val="double" w:color="auto" w:sz="4" w:space="0"/>
            </w:tcBorders>
            <w:vAlign w:val="center"/>
          </w:tcPr>
          <w:p w14:paraId="225C45BF">
            <w:pP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项目</w:t>
            </w:r>
          </w:p>
        </w:tc>
        <w:tc>
          <w:tcPr>
            <w:tcW w:w="6682" w:type="dxa"/>
            <w:tcBorders>
              <w:top w:val="double" w:color="auto" w:sz="4" w:space="0"/>
            </w:tcBorders>
            <w:vAlign w:val="center"/>
          </w:tcPr>
          <w:p w14:paraId="09B01838">
            <w:pP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内容</w:t>
            </w:r>
          </w:p>
        </w:tc>
      </w:tr>
      <w:tr w14:paraId="1DDF42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48075965">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p>
        </w:tc>
        <w:tc>
          <w:tcPr>
            <w:tcW w:w="1800" w:type="dxa"/>
            <w:vAlign w:val="center"/>
          </w:tcPr>
          <w:p w14:paraId="2C6CEE1A">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项目名称</w:t>
            </w:r>
          </w:p>
        </w:tc>
        <w:tc>
          <w:tcPr>
            <w:tcW w:w="6682" w:type="dxa"/>
            <w:vAlign w:val="center"/>
          </w:tcPr>
          <w:p w14:paraId="3878CB35">
            <w:pPr>
              <w:snapToGrid w:val="0"/>
              <w:ind w:firstLine="420" w:firstLineChars="200"/>
              <w:rPr>
                <w:rFonts w:hint="eastAsia" w:ascii="宋体" w:hAnsi="宋体" w:eastAsia="宋体" w:cs="宋体"/>
                <w:snapToGrid w:val="0"/>
                <w:color w:val="auto"/>
                <w:kern w:val="0"/>
                <w:highlight w:val="none"/>
                <w:lang w:eastAsia="zh-CN"/>
              </w:rPr>
            </w:pPr>
            <w:r>
              <w:rPr>
                <w:rFonts w:hint="eastAsia" w:ascii="宋体" w:hAnsi="宋体" w:cs="宋体"/>
                <w:snapToGrid w:val="0"/>
                <w:color w:val="auto"/>
                <w:kern w:val="0"/>
                <w:highlight w:val="none"/>
                <w:lang w:eastAsia="zh-CN"/>
              </w:rPr>
              <w:t>安全生产社会化服务项目</w:t>
            </w:r>
          </w:p>
        </w:tc>
      </w:tr>
      <w:tr w14:paraId="0A2A32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5C5D6E44">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w:t>
            </w:r>
          </w:p>
        </w:tc>
        <w:tc>
          <w:tcPr>
            <w:tcW w:w="1800" w:type="dxa"/>
            <w:vAlign w:val="center"/>
          </w:tcPr>
          <w:p w14:paraId="152931E4">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服务周期</w:t>
            </w:r>
          </w:p>
        </w:tc>
        <w:tc>
          <w:tcPr>
            <w:tcW w:w="6682" w:type="dxa"/>
            <w:vAlign w:val="center"/>
          </w:tcPr>
          <w:p w14:paraId="19A6797F">
            <w:pPr>
              <w:ind w:firstLine="422" w:firstLineChars="200"/>
              <w:rPr>
                <w:rFonts w:hint="eastAsia" w:ascii="宋体" w:hAnsi="宋体" w:eastAsia="宋体" w:cs="宋体"/>
                <w:color w:val="auto"/>
                <w:highlight w:val="none"/>
              </w:rPr>
            </w:pPr>
            <w:r>
              <w:rPr>
                <w:rFonts w:hint="eastAsia" w:ascii="宋体" w:hAnsi="宋体" w:eastAsia="宋体" w:cs="宋体"/>
                <w:b/>
                <w:bCs/>
                <w:snapToGrid w:val="0"/>
                <w:color w:val="auto"/>
                <w:kern w:val="0"/>
                <w:highlight w:val="none"/>
              </w:rPr>
              <w:t>自合同签订之日起至合同履行完毕</w:t>
            </w:r>
          </w:p>
        </w:tc>
      </w:tr>
      <w:tr w14:paraId="45EDAF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5F9A0A04">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w:t>
            </w:r>
          </w:p>
        </w:tc>
        <w:tc>
          <w:tcPr>
            <w:tcW w:w="1800" w:type="dxa"/>
            <w:vAlign w:val="center"/>
          </w:tcPr>
          <w:p w14:paraId="673E7BDE">
            <w:pPr>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最高限价</w:t>
            </w:r>
          </w:p>
        </w:tc>
        <w:tc>
          <w:tcPr>
            <w:tcW w:w="6682" w:type="dxa"/>
            <w:vAlign w:val="center"/>
          </w:tcPr>
          <w:p w14:paraId="1F58920A">
            <w:pPr>
              <w:snapToGrid w:val="0"/>
              <w:ind w:firstLine="420" w:firstLineChars="200"/>
              <w:rPr>
                <w:rFonts w:hint="eastAsia" w:ascii="宋体" w:hAnsi="宋体" w:eastAsia="宋体" w:cs="宋体"/>
                <w:b/>
                <w:bCs/>
                <w:snapToGrid w:val="0"/>
                <w:color w:val="auto"/>
                <w:kern w:val="0"/>
                <w:highlight w:val="none"/>
              </w:rPr>
            </w:pPr>
            <w:r>
              <w:rPr>
                <w:rFonts w:hint="eastAsia" w:ascii="宋体" w:hAnsi="宋体" w:eastAsia="宋体" w:cs="宋体"/>
                <w:color w:val="auto"/>
                <w:highlight w:val="none"/>
              </w:rPr>
              <w:t>本项目最高限价人民币</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98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w:t>
            </w:r>
          </w:p>
        </w:tc>
      </w:tr>
      <w:tr w14:paraId="255AFC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0AAB157">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4</w:t>
            </w:r>
          </w:p>
        </w:tc>
        <w:tc>
          <w:tcPr>
            <w:tcW w:w="1800" w:type="dxa"/>
            <w:vAlign w:val="center"/>
          </w:tcPr>
          <w:p w14:paraId="5C33E82E">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资格审查方式</w:t>
            </w:r>
          </w:p>
        </w:tc>
        <w:tc>
          <w:tcPr>
            <w:tcW w:w="6682" w:type="dxa"/>
            <w:vAlign w:val="center"/>
          </w:tcPr>
          <w:p w14:paraId="19AFF668">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资格审查是指开标后，磋商小组将依据法律法规和磋商文件的规定对供应商的资格进行审查。</w:t>
            </w:r>
          </w:p>
        </w:tc>
      </w:tr>
      <w:tr w14:paraId="565643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21D9B2AF">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w:t>
            </w:r>
          </w:p>
        </w:tc>
        <w:tc>
          <w:tcPr>
            <w:tcW w:w="1800" w:type="dxa"/>
            <w:vAlign w:val="center"/>
          </w:tcPr>
          <w:p w14:paraId="40340F60">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踏勘现场</w:t>
            </w:r>
          </w:p>
        </w:tc>
        <w:tc>
          <w:tcPr>
            <w:tcW w:w="6682" w:type="dxa"/>
            <w:vAlign w:val="center"/>
          </w:tcPr>
          <w:p w14:paraId="0F94B255">
            <w:pPr>
              <w:snapToGrid w:val="0"/>
              <w:ind w:firstLine="42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highlight w:val="none"/>
              </w:rPr>
              <w:t>本项目不组织现场踏勘</w:t>
            </w:r>
          </w:p>
        </w:tc>
      </w:tr>
      <w:tr w14:paraId="583C7A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50DF535">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w:t>
            </w:r>
          </w:p>
        </w:tc>
        <w:tc>
          <w:tcPr>
            <w:tcW w:w="1800" w:type="dxa"/>
            <w:vAlign w:val="center"/>
          </w:tcPr>
          <w:p w14:paraId="3CA2879E">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询问</w:t>
            </w:r>
          </w:p>
        </w:tc>
        <w:tc>
          <w:tcPr>
            <w:tcW w:w="6682" w:type="dxa"/>
            <w:vAlign w:val="center"/>
          </w:tcPr>
          <w:p w14:paraId="0183E1D2">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259F65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ECC825F">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w:t>
            </w:r>
          </w:p>
        </w:tc>
        <w:tc>
          <w:tcPr>
            <w:tcW w:w="1800" w:type="dxa"/>
            <w:vAlign w:val="center"/>
          </w:tcPr>
          <w:p w14:paraId="29C1570C">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磋商文件的澄清与修改</w:t>
            </w:r>
          </w:p>
        </w:tc>
        <w:tc>
          <w:tcPr>
            <w:tcW w:w="6682" w:type="dxa"/>
            <w:vAlign w:val="center"/>
          </w:tcPr>
          <w:p w14:paraId="43E2B786">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采购单位可以对已发出的磋商文件进行必要澄清或者修改，澄清或者修改的内容可能影响响应文件编制的，应当在提交首次响应文件截</w:t>
            </w:r>
            <w:r>
              <w:rPr>
                <w:rFonts w:hint="eastAsia" w:ascii="宋体" w:hAnsi="宋体" w:eastAsia="宋体" w:cs="宋体"/>
                <w:snapToGrid w:val="0"/>
                <w:color w:val="auto"/>
                <w:kern w:val="0"/>
                <w:highlight w:val="none"/>
                <w:lang w:val="en-US" w:eastAsia="zh-CN"/>
              </w:rPr>
              <w:t>止</w:t>
            </w:r>
            <w:r>
              <w:rPr>
                <w:rFonts w:hint="eastAsia" w:ascii="宋体" w:hAnsi="宋体" w:eastAsia="宋体" w:cs="宋体"/>
                <w:snapToGrid w:val="0"/>
                <w:color w:val="auto"/>
                <w:kern w:val="0"/>
                <w:highlight w:val="none"/>
              </w:rPr>
              <w:t>时间至少5日前，在磋商公告发布的媒体上发布更正公告。本项目磋商文件和补充（答疑、澄清）、修改文件等请自行登录浙江政府采购网或绍兴市上虞区公共资源交易中心网站查看。</w:t>
            </w:r>
          </w:p>
        </w:tc>
      </w:tr>
      <w:tr w14:paraId="04DC05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82E16F4">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8</w:t>
            </w:r>
          </w:p>
        </w:tc>
        <w:tc>
          <w:tcPr>
            <w:tcW w:w="1800" w:type="dxa"/>
            <w:vAlign w:val="center"/>
          </w:tcPr>
          <w:p w14:paraId="448C906F">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磋商响应文件组成</w:t>
            </w:r>
          </w:p>
        </w:tc>
        <w:tc>
          <w:tcPr>
            <w:tcW w:w="6682" w:type="dxa"/>
            <w:vAlign w:val="center"/>
          </w:tcPr>
          <w:p w14:paraId="00F1BF9E">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供应商向采购人递交的响应文件由资格文件、商务技术文件、报价文件三部分组成。</w:t>
            </w:r>
          </w:p>
        </w:tc>
      </w:tr>
      <w:tr w14:paraId="3B1638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6EF1F212">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w:t>
            </w:r>
          </w:p>
        </w:tc>
        <w:tc>
          <w:tcPr>
            <w:tcW w:w="1800" w:type="dxa"/>
            <w:vAlign w:val="center"/>
          </w:tcPr>
          <w:p w14:paraId="130F9F44">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评标办法</w:t>
            </w:r>
          </w:p>
        </w:tc>
        <w:tc>
          <w:tcPr>
            <w:tcW w:w="6682" w:type="dxa"/>
            <w:vAlign w:val="center"/>
          </w:tcPr>
          <w:p w14:paraId="1AAFEA04">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综合评分法</w:t>
            </w:r>
          </w:p>
        </w:tc>
      </w:tr>
      <w:tr w14:paraId="54AD09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52964D9">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w:t>
            </w:r>
          </w:p>
        </w:tc>
        <w:tc>
          <w:tcPr>
            <w:tcW w:w="1800" w:type="dxa"/>
            <w:vAlign w:val="center"/>
          </w:tcPr>
          <w:p w14:paraId="60EBFA9C">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磋商响应文件递交地址及截止时间</w:t>
            </w:r>
          </w:p>
        </w:tc>
        <w:tc>
          <w:tcPr>
            <w:tcW w:w="6682" w:type="dxa"/>
            <w:vAlign w:val="center"/>
          </w:tcPr>
          <w:p w14:paraId="265F3553">
            <w:pPr>
              <w:snapToGrid w:val="0"/>
              <w:ind w:firstLine="420" w:firstLineChars="200"/>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详见磋商公告</w:t>
            </w:r>
          </w:p>
        </w:tc>
      </w:tr>
      <w:tr w14:paraId="144C1A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ABFE6D4">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w:t>
            </w:r>
          </w:p>
        </w:tc>
        <w:tc>
          <w:tcPr>
            <w:tcW w:w="1800" w:type="dxa"/>
            <w:vAlign w:val="center"/>
          </w:tcPr>
          <w:p w14:paraId="53FFB9CF">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开标时间、地点</w:t>
            </w:r>
          </w:p>
        </w:tc>
        <w:tc>
          <w:tcPr>
            <w:tcW w:w="6682" w:type="dxa"/>
            <w:vAlign w:val="center"/>
          </w:tcPr>
          <w:p w14:paraId="116CB976">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开标时间：</w:t>
            </w:r>
            <w:r>
              <w:rPr>
                <w:rFonts w:hint="eastAsia" w:ascii="宋体" w:hAnsi="宋体" w:eastAsia="宋体" w:cs="宋体"/>
                <w:color w:val="auto"/>
                <w:kern w:val="0"/>
                <w:highlight w:val="none"/>
              </w:rPr>
              <w:t>详见磋商公告</w:t>
            </w:r>
          </w:p>
          <w:p w14:paraId="06FB94A4">
            <w:pPr>
              <w:snapToGrid w:val="0"/>
              <w:ind w:firstLine="420" w:firstLineChars="200"/>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t>开标地点：</w:t>
            </w:r>
            <w:r>
              <w:rPr>
                <w:rFonts w:hint="eastAsia" w:ascii="宋体" w:hAnsi="宋体" w:eastAsia="宋体" w:cs="宋体"/>
                <w:color w:val="auto"/>
                <w:kern w:val="0"/>
                <w:highlight w:val="none"/>
              </w:rPr>
              <w:t>详见磋商公告</w:t>
            </w:r>
          </w:p>
        </w:tc>
      </w:tr>
      <w:tr w14:paraId="764354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E4F7D1C">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12</w:t>
            </w:r>
          </w:p>
        </w:tc>
        <w:tc>
          <w:tcPr>
            <w:tcW w:w="1800" w:type="dxa"/>
            <w:vAlign w:val="center"/>
          </w:tcPr>
          <w:p w14:paraId="387E4B42">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磋商响应文件有效期</w:t>
            </w:r>
          </w:p>
        </w:tc>
        <w:tc>
          <w:tcPr>
            <w:tcW w:w="6682" w:type="dxa"/>
            <w:vAlign w:val="center"/>
          </w:tcPr>
          <w:p w14:paraId="5DE78F07">
            <w:pPr>
              <w:snapToGrid w:val="0"/>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响应文件有效期为从提交响应文件的截止之日起90天。供应商的响应文件中承诺的响应文件有效期少于磋商文件中载明的响应文件有效期的，磋商无效。</w:t>
            </w:r>
          </w:p>
        </w:tc>
      </w:tr>
      <w:tr w14:paraId="09B406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648" w:type="dxa"/>
            <w:vAlign w:val="center"/>
          </w:tcPr>
          <w:p w14:paraId="547F06DE">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13</w:t>
            </w:r>
          </w:p>
        </w:tc>
        <w:tc>
          <w:tcPr>
            <w:tcW w:w="1800" w:type="dxa"/>
            <w:vAlign w:val="center"/>
          </w:tcPr>
          <w:p w14:paraId="3CA96AB6">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履约保证金</w:t>
            </w:r>
          </w:p>
        </w:tc>
        <w:tc>
          <w:tcPr>
            <w:tcW w:w="6682" w:type="dxa"/>
            <w:vAlign w:val="center"/>
          </w:tcPr>
          <w:p w14:paraId="446B8FD8">
            <w:pPr>
              <w:pStyle w:val="16"/>
              <w:snapToGrid w:val="0"/>
              <w:spacing w:line="360" w:lineRule="exact"/>
              <w:ind w:firstLine="420" w:firstLineChars="200"/>
              <w:rPr>
                <w:rFonts w:hint="eastAsia" w:hAnsi="宋体" w:cs="宋体"/>
                <w:bCs/>
                <w:color w:val="auto"/>
                <w:kern w:val="0"/>
              </w:rPr>
            </w:pPr>
            <w:r>
              <w:rPr>
                <w:rFonts w:hint="eastAsia" w:hAnsi="宋体" w:cs="宋体"/>
                <w:bCs/>
                <w:color w:val="auto"/>
                <w:kern w:val="0"/>
              </w:rPr>
              <w:t>中标人在收到中标通知书后，需向采购人提供合同总价</w:t>
            </w:r>
            <w:r>
              <w:rPr>
                <w:rFonts w:hint="eastAsia" w:hAnsi="宋体" w:cs="宋体"/>
                <w:bCs/>
                <w:color w:val="auto"/>
                <w:kern w:val="0"/>
                <w:u w:val="single"/>
              </w:rPr>
              <w:t>　1　</w:t>
            </w:r>
            <w:r>
              <w:rPr>
                <w:rFonts w:hint="eastAsia" w:hAnsi="宋体" w:cs="宋体"/>
                <w:bCs/>
                <w:color w:val="auto"/>
                <w:kern w:val="0"/>
              </w:rPr>
              <w:t>%的履约保证金，在中标人与采购人签订合同前递交。（投标人应当以支票、汇票、本票或者金融机构、保险公司、担保机构出具的保函等非现金形式提交）</w:t>
            </w:r>
          </w:p>
          <w:p w14:paraId="4F625F7D">
            <w:pPr>
              <w:widowControl/>
              <w:ind w:firstLine="420" w:firstLineChars="200"/>
              <w:jc w:val="left"/>
              <w:rPr>
                <w:rFonts w:hint="eastAsia" w:ascii="宋体" w:hAnsi="宋体" w:eastAsia="宋体" w:cs="宋体"/>
                <w:color w:val="auto"/>
                <w:kern w:val="0"/>
                <w:highlight w:val="none"/>
                <w:lang w:val="en-US" w:eastAsia="zh-CN"/>
              </w:rPr>
            </w:pPr>
            <w:r>
              <w:rPr>
                <w:rFonts w:hint="eastAsia" w:hAnsi="宋体" w:cs="宋体"/>
                <w:bCs/>
                <w:color w:val="auto"/>
                <w:kern w:val="0"/>
              </w:rPr>
              <w:t>采购人在合同履行完毕后予以退还其履约保证金（不计息）</w:t>
            </w:r>
            <w:r>
              <w:rPr>
                <w:rFonts w:hint="eastAsia" w:hAnsi="宋体"/>
                <w:color w:val="auto"/>
                <w:kern w:val="0"/>
              </w:rPr>
              <w:t>。</w:t>
            </w:r>
          </w:p>
        </w:tc>
      </w:tr>
      <w:tr w14:paraId="7650D6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B185BFA">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14</w:t>
            </w:r>
          </w:p>
        </w:tc>
        <w:tc>
          <w:tcPr>
            <w:tcW w:w="1800" w:type="dxa"/>
            <w:vAlign w:val="center"/>
          </w:tcPr>
          <w:p w14:paraId="45D8BB2C">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磋商公告及成交结果公告发布媒体</w:t>
            </w:r>
          </w:p>
        </w:tc>
        <w:tc>
          <w:tcPr>
            <w:tcW w:w="6682" w:type="dxa"/>
            <w:vAlign w:val="center"/>
          </w:tcPr>
          <w:p w14:paraId="06920874">
            <w:pPr>
              <w:pStyle w:val="16"/>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浙江省政府采购网、 绍兴市上虞区公共资源交易中心网站</w:t>
            </w:r>
          </w:p>
        </w:tc>
      </w:tr>
      <w:tr w14:paraId="3294A1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B5B4105">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800" w:type="dxa"/>
            <w:vAlign w:val="center"/>
          </w:tcPr>
          <w:p w14:paraId="5754B4F8">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质疑</w:t>
            </w:r>
          </w:p>
        </w:tc>
        <w:tc>
          <w:tcPr>
            <w:tcW w:w="6682" w:type="dxa"/>
            <w:vAlign w:val="center"/>
          </w:tcPr>
          <w:p w14:paraId="24F53F37">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根据《中华人民共和国政府采购法》第五十二条、《中华人民共和国政府采购法实施条例》第五十三条、《浙江省政府采购供应商质疑处理办法》的规定：</w:t>
            </w:r>
          </w:p>
          <w:p w14:paraId="512C0E0A">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认为磋商文件使自己的权益受到损害的，可以在磋商文件公告期限届满之日起7个工作日内，以书面形式向采购人和采购代理机构提出质疑。供应商在法定质疑期内应一次性提出针对同一采购程序环节的质疑。</w:t>
            </w:r>
          </w:p>
          <w:p w14:paraId="56F3DA51">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供应商如认为采购过程使自身的合法权益受到损害的，应于各采购程序环节结束之日起七个工作日内以书面形式向采购机构提出质疑；</w:t>
            </w:r>
          </w:p>
          <w:p w14:paraId="3547EC01">
            <w:pPr>
              <w:snapToGrid w:val="0"/>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color w:val="auto"/>
                <w:highlight w:val="none"/>
              </w:rPr>
              <w:t>供应商如认为中标结果使自身的合法权益受到损害的，应于中标或者成交结果公告期限届满之日起七个工作日内以书面形式向采购机构提出质疑</w:t>
            </w:r>
            <w:r>
              <w:rPr>
                <w:rFonts w:hint="eastAsia" w:ascii="宋体" w:hAnsi="宋体" w:eastAsia="宋体" w:cs="宋体"/>
                <w:snapToGrid w:val="0"/>
                <w:color w:val="auto"/>
                <w:kern w:val="0"/>
                <w:highlight w:val="none"/>
              </w:rPr>
              <w:t>。</w:t>
            </w:r>
          </w:p>
        </w:tc>
      </w:tr>
      <w:tr w14:paraId="1DF8EA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4D88E2E">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16</w:t>
            </w:r>
          </w:p>
        </w:tc>
        <w:tc>
          <w:tcPr>
            <w:tcW w:w="1800" w:type="dxa"/>
            <w:vAlign w:val="center"/>
          </w:tcPr>
          <w:p w14:paraId="05E77424">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投诉</w:t>
            </w:r>
          </w:p>
        </w:tc>
        <w:tc>
          <w:tcPr>
            <w:tcW w:w="6682" w:type="dxa"/>
            <w:vAlign w:val="center"/>
          </w:tcPr>
          <w:p w14:paraId="01B30DD5">
            <w:pPr>
              <w:snapToGrid w:val="0"/>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38659F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6A884E3">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17</w:t>
            </w:r>
          </w:p>
        </w:tc>
        <w:tc>
          <w:tcPr>
            <w:tcW w:w="1800" w:type="dxa"/>
            <w:vAlign w:val="center"/>
          </w:tcPr>
          <w:p w14:paraId="585AB756">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特别说明</w:t>
            </w:r>
          </w:p>
        </w:tc>
        <w:tc>
          <w:tcPr>
            <w:tcW w:w="6682" w:type="dxa"/>
            <w:vAlign w:val="center"/>
          </w:tcPr>
          <w:p w14:paraId="4DCFCF10">
            <w:pPr>
              <w:pStyle w:val="16"/>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14:paraId="36EEFF37">
            <w:pPr>
              <w:pStyle w:val="16"/>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074DBEE2">
            <w:pPr>
              <w:pStyle w:val="16"/>
              <w:snapToGrid w:val="0"/>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质疑、投诉人未按前列进行质疑、投诉（申诉），均属于扰乱政府采购市场不良行为。</w:t>
            </w:r>
          </w:p>
          <w:p w14:paraId="12717E8A">
            <w:pPr>
              <w:pStyle w:val="16"/>
              <w:snapToGrid w:val="0"/>
              <w:ind w:firstLine="420" w:firstLineChars="200"/>
              <w:jc w:val="left"/>
              <w:rPr>
                <w:rFonts w:hint="eastAsia" w:ascii="宋体" w:hAnsi="宋体" w:eastAsia="宋体" w:cs="宋体"/>
                <w:b/>
                <w:bCs/>
                <w:color w:val="auto"/>
                <w:kern w:val="0"/>
                <w:highlight w:val="none"/>
              </w:rPr>
            </w:pPr>
            <w:r>
              <w:rPr>
                <w:rFonts w:hint="eastAsia" w:ascii="宋体" w:hAnsi="宋体" w:eastAsia="宋体" w:cs="宋体"/>
                <w:color w:val="auto"/>
                <w:kern w:val="0"/>
                <w:highlight w:val="none"/>
              </w:rPr>
              <w:t>磋商文件中凡标注“</w:t>
            </w:r>
            <w:r>
              <w:rPr>
                <w:rFonts w:hint="eastAsia" w:ascii="宋体" w:hAnsi="宋体" w:eastAsia="宋体" w:cs="宋体"/>
                <w:color w:val="auto"/>
                <w:highlight w:val="none"/>
              </w:rPr>
              <w:t>★</w:t>
            </w:r>
            <w:r>
              <w:rPr>
                <w:rFonts w:hint="eastAsia" w:ascii="宋体" w:hAnsi="宋体" w:eastAsia="宋体" w:cs="宋体"/>
                <w:color w:val="auto"/>
                <w:kern w:val="0"/>
                <w:highlight w:val="none"/>
              </w:rPr>
              <w:t>”的条款均为实质性要求，不响应的响应文件将作无效标处理。</w:t>
            </w:r>
          </w:p>
        </w:tc>
      </w:tr>
      <w:tr w14:paraId="259BFE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1D765DF9">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18</w:t>
            </w:r>
          </w:p>
        </w:tc>
        <w:tc>
          <w:tcPr>
            <w:tcW w:w="1800" w:type="dxa"/>
            <w:vAlign w:val="center"/>
          </w:tcPr>
          <w:p w14:paraId="4080C8C8">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支</w:t>
            </w:r>
          </w:p>
          <w:p w14:paraId="51E00C0B">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持</w:t>
            </w:r>
          </w:p>
          <w:p w14:paraId="03D46E96">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中</w:t>
            </w:r>
          </w:p>
          <w:p w14:paraId="32515A28">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小</w:t>
            </w:r>
          </w:p>
          <w:p w14:paraId="40BAF16C">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企</w:t>
            </w:r>
          </w:p>
          <w:p w14:paraId="242EDA8A">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业</w:t>
            </w:r>
          </w:p>
          <w:p w14:paraId="0C8A1B27">
            <w:pPr>
              <w:snapToGrid w:val="0"/>
              <w:jc w:val="center"/>
              <w:rPr>
                <w:rFonts w:hint="eastAsia" w:ascii="宋体" w:hAnsi="宋体" w:eastAsia="宋体" w:cs="宋体"/>
                <w:color w:val="auto"/>
                <w:highlight w:val="none"/>
              </w:rPr>
            </w:pPr>
          </w:p>
        </w:tc>
        <w:tc>
          <w:tcPr>
            <w:tcW w:w="6682" w:type="dxa"/>
            <w:vAlign w:val="center"/>
          </w:tcPr>
          <w:p w14:paraId="6B57954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27790C2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符合中小企业划分标准的个体工商户，在政府采购活动中视同中小企业。</w:t>
            </w:r>
          </w:p>
          <w:p w14:paraId="3603E350">
            <w:pPr>
              <w:bidi w:val="0"/>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1D54137A">
            <w:pPr>
              <w:bidi w:val="0"/>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在服务采购项目中，服务由小微企业承接，即提供服务的人员为小微企业依照《中华人民共和国劳动合同法》订立劳动合同的从业人员。</w:t>
            </w:r>
          </w:p>
          <w:p w14:paraId="7A036C64">
            <w:pPr>
              <w:bidi w:val="0"/>
              <w:ind w:firstLine="420" w:firstLineChars="200"/>
              <w:rPr>
                <w:rFonts w:hint="eastAsia" w:ascii="宋体" w:hAnsi="宋体" w:eastAsia="宋体" w:cs="宋体"/>
                <w:color w:val="auto"/>
                <w:highlight w:val="none"/>
              </w:rPr>
            </w:pPr>
            <w:bookmarkStart w:id="10" w:name="_Toc16526"/>
            <w:r>
              <w:rPr>
                <w:rFonts w:hint="eastAsia" w:ascii="宋体" w:hAnsi="宋体" w:eastAsia="宋体" w:cs="宋体"/>
                <w:color w:val="auto"/>
                <w:highlight w:val="none"/>
              </w:rPr>
              <w:t>联合体各方均为小型、微型企业的，联合体视同为小型、微型企业。</w:t>
            </w:r>
            <w:bookmarkEnd w:id="10"/>
          </w:p>
          <w:p w14:paraId="4A096C7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26021E9">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财政部</w:t>
            </w:r>
            <w:r>
              <w:rPr>
                <w:rFonts w:hint="eastAsia" w:ascii="宋体" w:hAnsi="宋体" w:eastAsia="宋体" w:cs="宋体"/>
                <w:color w:val="auto"/>
                <w:sz w:val="21"/>
                <w:szCs w:val="21"/>
                <w:highlight w:val="none"/>
              </w:rPr>
              <w:t>的《关于进一步加大政府采购支持中小企业力度的通知》（</w:t>
            </w:r>
            <w:r>
              <w:rPr>
                <w:rFonts w:hint="eastAsia" w:ascii="宋体" w:hAnsi="宋体" w:eastAsia="宋体" w:cs="宋体"/>
                <w:color w:val="auto"/>
                <w:sz w:val="21"/>
                <w:szCs w:val="21"/>
                <w:highlight w:val="none"/>
                <w:lang w:val="en-US" w:eastAsia="zh-CN"/>
              </w:rPr>
              <w:t>财库</w:t>
            </w:r>
            <w:r>
              <w:rPr>
                <w:rFonts w:hint="eastAsia" w:ascii="宋体" w:hAnsi="宋体" w:eastAsia="宋体" w:cs="宋体"/>
                <w:color w:val="auto"/>
                <w:sz w:val="21"/>
                <w:szCs w:val="21"/>
                <w:highlight w:val="none"/>
              </w:rPr>
              <w:t>〔2022〕</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给予扣除，用扣除后的价格参加评审。</w:t>
            </w:r>
          </w:p>
          <w:p w14:paraId="2FB59E13">
            <w:pPr>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组成联合体或者接受分包的小微企业与联合体内其他企业、分包企业之间存在直接控股、管理关系的，不享受价格扣除优惠政策。</w:t>
            </w:r>
          </w:p>
        </w:tc>
      </w:tr>
      <w:tr w14:paraId="02977D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4513382C">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19</w:t>
            </w:r>
          </w:p>
        </w:tc>
        <w:tc>
          <w:tcPr>
            <w:tcW w:w="1800" w:type="dxa"/>
            <w:vAlign w:val="center"/>
          </w:tcPr>
          <w:p w14:paraId="36CBF47C">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招标代理服务费</w:t>
            </w:r>
          </w:p>
        </w:tc>
        <w:tc>
          <w:tcPr>
            <w:tcW w:w="6682" w:type="dxa"/>
            <w:vAlign w:val="center"/>
          </w:tcPr>
          <w:p w14:paraId="45B58D2B">
            <w:pPr>
              <w:autoSpaceDN w:val="0"/>
              <w:spacing w:line="340" w:lineRule="exac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招标代理服务费由成交供应商支付，按下列服务招标计算方式</w:t>
            </w:r>
            <w:r>
              <w:rPr>
                <w:rFonts w:hint="eastAsia" w:ascii="宋体" w:hAnsi="宋体" w:cs="宋体"/>
                <w:snapToGrid w:val="0"/>
                <w:color w:val="auto"/>
                <w:kern w:val="0"/>
                <w:highlight w:val="none"/>
                <w:lang w:eastAsia="zh-CN"/>
              </w:rPr>
              <w:t>按累进制</w:t>
            </w:r>
            <w:r>
              <w:rPr>
                <w:rFonts w:hint="eastAsia" w:ascii="宋体" w:hAnsi="宋体" w:eastAsia="宋体" w:cs="宋体"/>
                <w:snapToGrid w:val="0"/>
                <w:color w:val="auto"/>
                <w:kern w:val="0"/>
                <w:highlight w:val="none"/>
              </w:rPr>
              <w:t>计取。</w:t>
            </w:r>
          </w:p>
          <w:tbl>
            <w:tblPr>
              <w:tblStyle w:val="26"/>
              <w:tblW w:w="4741"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14:paraId="2C0A5C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3AC34C19">
                  <w:pPr>
                    <w:jc w:val="center"/>
                    <w:rPr>
                      <w:rFonts w:hint="eastAsia" w:ascii="宋体" w:hAnsi="宋体" w:eastAsia="宋体" w:cs="宋体"/>
                      <w:color w:val="auto"/>
                      <w:highlight w:val="none"/>
                    </w:rPr>
                  </w:pPr>
                  <w:r>
                    <w:rPr>
                      <w:rFonts w:hint="eastAsia" w:ascii="宋体" w:hAnsi="宋体" w:eastAsia="宋体" w:cs="宋体"/>
                      <w:color w:val="auto"/>
                      <w:highlight w:val="none"/>
                    </w:rPr>
                    <w:t>服务类型 中标金额（万元）</w:t>
                  </w:r>
                </w:p>
              </w:tc>
              <w:tc>
                <w:tcPr>
                  <w:tcW w:w="1300" w:type="dxa"/>
                  <w:tcBorders>
                    <w:top w:val="outset" w:color="auto" w:sz="6" w:space="0"/>
                    <w:left w:val="outset" w:color="auto" w:sz="6" w:space="0"/>
                    <w:bottom w:val="outset" w:color="auto" w:sz="6" w:space="0"/>
                    <w:right w:val="outset" w:color="auto" w:sz="6" w:space="0"/>
                  </w:tcBorders>
                  <w:vAlign w:val="center"/>
                </w:tcPr>
                <w:p w14:paraId="3F48FB62">
                  <w:pPr>
                    <w:pStyle w:val="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300" w:type="dxa"/>
                  <w:tcBorders>
                    <w:top w:val="outset" w:color="auto" w:sz="6" w:space="0"/>
                    <w:left w:val="outset" w:color="auto" w:sz="6" w:space="0"/>
                    <w:bottom w:val="outset" w:color="auto" w:sz="6" w:space="0"/>
                    <w:right w:val="outset" w:color="auto" w:sz="6" w:space="0"/>
                  </w:tcBorders>
                  <w:vAlign w:val="center"/>
                </w:tcPr>
                <w:p w14:paraId="5D8B7529">
                  <w:pPr>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260" w:type="dxa"/>
                  <w:tcBorders>
                    <w:top w:val="outset" w:color="auto" w:sz="6" w:space="0"/>
                    <w:left w:val="outset" w:color="auto" w:sz="6" w:space="0"/>
                    <w:bottom w:val="outset" w:color="auto" w:sz="6" w:space="0"/>
                    <w:right w:val="outset" w:color="auto" w:sz="6" w:space="0"/>
                  </w:tcBorders>
                  <w:vAlign w:val="center"/>
                </w:tcPr>
                <w:p w14:paraId="470F1B24">
                  <w:pPr>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133B23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33E13FB8">
                  <w:pPr>
                    <w:jc w:val="center"/>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300" w:type="dxa"/>
                  <w:tcBorders>
                    <w:top w:val="outset" w:color="auto" w:sz="6" w:space="0"/>
                    <w:left w:val="outset" w:color="auto" w:sz="6" w:space="0"/>
                    <w:bottom w:val="outset" w:color="auto" w:sz="6" w:space="0"/>
                    <w:right w:val="outset" w:color="auto" w:sz="6" w:space="0"/>
                  </w:tcBorders>
                  <w:vAlign w:val="center"/>
                </w:tcPr>
                <w:p w14:paraId="1B9F1949">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00" w:type="dxa"/>
                  <w:tcBorders>
                    <w:top w:val="outset" w:color="auto" w:sz="6" w:space="0"/>
                    <w:left w:val="outset" w:color="auto" w:sz="6" w:space="0"/>
                    <w:bottom w:val="outset" w:color="auto" w:sz="6" w:space="0"/>
                    <w:right w:val="outset" w:color="auto" w:sz="6" w:space="0"/>
                  </w:tcBorders>
                  <w:vAlign w:val="center"/>
                </w:tcPr>
                <w:p w14:paraId="29C9A554">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60" w:type="dxa"/>
                  <w:tcBorders>
                    <w:top w:val="outset" w:color="auto" w:sz="6" w:space="0"/>
                    <w:left w:val="outset" w:color="auto" w:sz="6" w:space="0"/>
                    <w:bottom w:val="outset" w:color="auto" w:sz="6" w:space="0"/>
                    <w:right w:val="outset" w:color="auto" w:sz="6" w:space="0"/>
                  </w:tcBorders>
                  <w:vAlign w:val="center"/>
                </w:tcPr>
                <w:p w14:paraId="043AA058">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167251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222D3A54">
                  <w:pPr>
                    <w:jc w:val="center"/>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300" w:type="dxa"/>
                  <w:tcBorders>
                    <w:top w:val="outset" w:color="auto" w:sz="6" w:space="0"/>
                    <w:left w:val="outset" w:color="auto" w:sz="6" w:space="0"/>
                    <w:bottom w:val="outset" w:color="auto" w:sz="6" w:space="0"/>
                    <w:right w:val="outset" w:color="auto" w:sz="6" w:space="0"/>
                  </w:tcBorders>
                  <w:vAlign w:val="center"/>
                </w:tcPr>
                <w:p w14:paraId="34C3C7D3">
                  <w:pPr>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300" w:type="dxa"/>
                  <w:tcBorders>
                    <w:top w:val="outset" w:color="auto" w:sz="6" w:space="0"/>
                    <w:left w:val="outset" w:color="auto" w:sz="6" w:space="0"/>
                    <w:bottom w:val="outset" w:color="auto" w:sz="6" w:space="0"/>
                    <w:right w:val="outset" w:color="auto" w:sz="6" w:space="0"/>
                  </w:tcBorders>
                  <w:vAlign w:val="center"/>
                </w:tcPr>
                <w:p w14:paraId="1D480056">
                  <w:pPr>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60" w:type="dxa"/>
                  <w:tcBorders>
                    <w:top w:val="outset" w:color="auto" w:sz="6" w:space="0"/>
                    <w:left w:val="outset" w:color="auto" w:sz="6" w:space="0"/>
                    <w:bottom w:val="outset" w:color="auto" w:sz="6" w:space="0"/>
                    <w:right w:val="outset" w:color="auto" w:sz="6" w:space="0"/>
                  </w:tcBorders>
                  <w:vAlign w:val="center"/>
                </w:tcPr>
                <w:p w14:paraId="45CC1F50">
                  <w:pPr>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5B8D9E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683086AA">
                  <w:pPr>
                    <w:jc w:val="center"/>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300" w:type="dxa"/>
                  <w:tcBorders>
                    <w:top w:val="outset" w:color="auto" w:sz="6" w:space="0"/>
                    <w:left w:val="outset" w:color="auto" w:sz="6" w:space="0"/>
                    <w:bottom w:val="outset" w:color="auto" w:sz="6" w:space="0"/>
                    <w:right w:val="outset" w:color="auto" w:sz="6" w:space="0"/>
                  </w:tcBorders>
                  <w:vAlign w:val="center"/>
                </w:tcPr>
                <w:p w14:paraId="2736537B">
                  <w:pPr>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00" w:type="dxa"/>
                  <w:tcBorders>
                    <w:top w:val="outset" w:color="auto" w:sz="6" w:space="0"/>
                    <w:left w:val="outset" w:color="auto" w:sz="6" w:space="0"/>
                    <w:bottom w:val="outset" w:color="auto" w:sz="6" w:space="0"/>
                    <w:right w:val="outset" w:color="auto" w:sz="6" w:space="0"/>
                  </w:tcBorders>
                  <w:vAlign w:val="center"/>
                </w:tcPr>
                <w:p w14:paraId="499ABBF0">
                  <w:pPr>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260" w:type="dxa"/>
                  <w:tcBorders>
                    <w:top w:val="outset" w:color="auto" w:sz="6" w:space="0"/>
                    <w:left w:val="outset" w:color="auto" w:sz="6" w:space="0"/>
                    <w:bottom w:val="outset" w:color="auto" w:sz="6" w:space="0"/>
                    <w:right w:val="outset" w:color="auto" w:sz="6" w:space="0"/>
                  </w:tcBorders>
                  <w:vAlign w:val="center"/>
                </w:tcPr>
                <w:p w14:paraId="77BEEF38">
                  <w:pPr>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64AAE5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7BB9923F">
                  <w:pPr>
                    <w:jc w:val="center"/>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300" w:type="dxa"/>
                  <w:tcBorders>
                    <w:top w:val="outset" w:color="auto" w:sz="6" w:space="0"/>
                    <w:left w:val="outset" w:color="auto" w:sz="6" w:space="0"/>
                    <w:bottom w:val="outset" w:color="auto" w:sz="6" w:space="0"/>
                    <w:right w:val="outset" w:color="auto" w:sz="6" w:space="0"/>
                  </w:tcBorders>
                  <w:vAlign w:val="center"/>
                </w:tcPr>
                <w:p w14:paraId="0CCA4E33">
                  <w:pPr>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300" w:type="dxa"/>
                  <w:tcBorders>
                    <w:top w:val="outset" w:color="auto" w:sz="6" w:space="0"/>
                    <w:left w:val="outset" w:color="auto" w:sz="6" w:space="0"/>
                    <w:bottom w:val="outset" w:color="auto" w:sz="6" w:space="0"/>
                    <w:right w:val="outset" w:color="auto" w:sz="6" w:space="0"/>
                  </w:tcBorders>
                  <w:vAlign w:val="center"/>
                </w:tcPr>
                <w:p w14:paraId="473567F9">
                  <w:pP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260" w:type="dxa"/>
                  <w:tcBorders>
                    <w:top w:val="outset" w:color="auto" w:sz="6" w:space="0"/>
                    <w:left w:val="outset" w:color="auto" w:sz="6" w:space="0"/>
                    <w:bottom w:val="outset" w:color="auto" w:sz="6" w:space="0"/>
                    <w:right w:val="outset" w:color="auto" w:sz="6" w:space="0"/>
                  </w:tcBorders>
                  <w:vAlign w:val="center"/>
                </w:tcPr>
                <w:p w14:paraId="19D66C64">
                  <w:pPr>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00BCF4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6BCF83E9">
                  <w:pPr>
                    <w:jc w:val="center"/>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300" w:type="dxa"/>
                  <w:tcBorders>
                    <w:top w:val="outset" w:color="auto" w:sz="6" w:space="0"/>
                    <w:left w:val="outset" w:color="auto" w:sz="6" w:space="0"/>
                    <w:bottom w:val="outset" w:color="auto" w:sz="6" w:space="0"/>
                    <w:right w:val="outset" w:color="auto" w:sz="6" w:space="0"/>
                  </w:tcBorders>
                  <w:vAlign w:val="center"/>
                </w:tcPr>
                <w:p w14:paraId="491B6028">
                  <w:pP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00" w:type="dxa"/>
                  <w:tcBorders>
                    <w:top w:val="outset" w:color="auto" w:sz="6" w:space="0"/>
                    <w:left w:val="outset" w:color="auto" w:sz="6" w:space="0"/>
                    <w:bottom w:val="outset" w:color="auto" w:sz="6" w:space="0"/>
                    <w:right w:val="outset" w:color="auto" w:sz="6" w:space="0"/>
                  </w:tcBorders>
                  <w:vAlign w:val="center"/>
                </w:tcPr>
                <w:p w14:paraId="45EAF276">
                  <w:pPr>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260" w:type="dxa"/>
                  <w:tcBorders>
                    <w:top w:val="outset" w:color="auto" w:sz="6" w:space="0"/>
                    <w:left w:val="outset" w:color="auto" w:sz="6" w:space="0"/>
                    <w:bottom w:val="outset" w:color="auto" w:sz="6" w:space="0"/>
                    <w:right w:val="outset" w:color="auto" w:sz="6" w:space="0"/>
                  </w:tcBorders>
                  <w:vAlign w:val="center"/>
                </w:tcPr>
                <w:p w14:paraId="677BB9B5">
                  <w:pPr>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3087F9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7A3136D2">
                  <w:pPr>
                    <w:jc w:val="center"/>
                    <w:rPr>
                      <w:rFonts w:hint="eastAsia" w:ascii="宋体" w:hAnsi="宋体" w:eastAsia="宋体" w:cs="宋体"/>
                      <w:color w:val="auto"/>
                      <w:highlight w:val="none"/>
                    </w:rPr>
                  </w:pPr>
                  <w:r>
                    <w:rPr>
                      <w:rFonts w:hint="eastAsia" w:ascii="宋体" w:hAnsi="宋体" w:eastAsia="宋体" w:cs="宋体"/>
                      <w:color w:val="auto"/>
                      <w:highlight w:val="none"/>
                    </w:rPr>
                    <w:t>10000——100000</w:t>
                  </w:r>
                </w:p>
              </w:tc>
              <w:tc>
                <w:tcPr>
                  <w:tcW w:w="1300" w:type="dxa"/>
                  <w:tcBorders>
                    <w:top w:val="outset" w:color="auto" w:sz="6" w:space="0"/>
                    <w:left w:val="outset" w:color="auto" w:sz="6" w:space="0"/>
                    <w:bottom w:val="outset" w:color="auto" w:sz="6" w:space="0"/>
                    <w:right w:val="outset" w:color="auto" w:sz="6" w:space="0"/>
                  </w:tcBorders>
                  <w:vAlign w:val="center"/>
                </w:tcPr>
                <w:p w14:paraId="0E82BCB7">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00" w:type="dxa"/>
                  <w:tcBorders>
                    <w:top w:val="outset" w:color="auto" w:sz="6" w:space="0"/>
                    <w:left w:val="outset" w:color="auto" w:sz="6" w:space="0"/>
                    <w:bottom w:val="outset" w:color="auto" w:sz="6" w:space="0"/>
                    <w:right w:val="outset" w:color="auto" w:sz="6" w:space="0"/>
                  </w:tcBorders>
                  <w:vAlign w:val="center"/>
                </w:tcPr>
                <w:p w14:paraId="5AA3A3BD">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260" w:type="dxa"/>
                  <w:tcBorders>
                    <w:top w:val="outset" w:color="auto" w:sz="6" w:space="0"/>
                    <w:left w:val="outset" w:color="auto" w:sz="6" w:space="0"/>
                    <w:bottom w:val="outset" w:color="auto" w:sz="6" w:space="0"/>
                    <w:right w:val="outset" w:color="auto" w:sz="6" w:space="0"/>
                  </w:tcBorders>
                  <w:vAlign w:val="center"/>
                </w:tcPr>
                <w:p w14:paraId="021637FC">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r>
            <w:tr w14:paraId="33F5DE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4044" w:type="dxa"/>
                  <w:tcBorders>
                    <w:top w:val="outset" w:color="auto" w:sz="6" w:space="0"/>
                    <w:left w:val="outset" w:color="auto" w:sz="6" w:space="0"/>
                    <w:bottom w:val="outset" w:color="auto" w:sz="6" w:space="0"/>
                    <w:right w:val="outset" w:color="auto" w:sz="6" w:space="0"/>
                  </w:tcBorders>
                  <w:vAlign w:val="center"/>
                </w:tcPr>
                <w:p w14:paraId="27F46F0D">
                  <w:pPr>
                    <w:jc w:val="center"/>
                    <w:rPr>
                      <w:rFonts w:hint="eastAsia" w:ascii="宋体" w:hAnsi="宋体" w:eastAsia="宋体" w:cs="宋体"/>
                      <w:color w:val="auto"/>
                      <w:highlight w:val="none"/>
                    </w:rPr>
                  </w:pPr>
                  <w:r>
                    <w:rPr>
                      <w:rFonts w:hint="eastAsia" w:ascii="宋体" w:hAnsi="宋体" w:eastAsia="宋体" w:cs="宋体"/>
                      <w:color w:val="auto"/>
                      <w:highlight w:val="none"/>
                    </w:rPr>
                    <w:t>1000000以上</w:t>
                  </w:r>
                </w:p>
              </w:tc>
              <w:tc>
                <w:tcPr>
                  <w:tcW w:w="1300" w:type="dxa"/>
                  <w:tcBorders>
                    <w:top w:val="outset" w:color="auto" w:sz="6" w:space="0"/>
                    <w:left w:val="outset" w:color="auto" w:sz="6" w:space="0"/>
                    <w:bottom w:val="outset" w:color="auto" w:sz="6" w:space="0"/>
                    <w:right w:val="outset" w:color="auto" w:sz="6" w:space="0"/>
                  </w:tcBorders>
                  <w:vAlign w:val="center"/>
                </w:tcPr>
                <w:p w14:paraId="313ACC25">
                  <w:pPr>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c>
                <w:tcPr>
                  <w:tcW w:w="1300" w:type="dxa"/>
                  <w:tcBorders>
                    <w:top w:val="outset" w:color="auto" w:sz="6" w:space="0"/>
                    <w:left w:val="outset" w:color="auto" w:sz="6" w:space="0"/>
                    <w:bottom w:val="outset" w:color="auto" w:sz="6" w:space="0"/>
                    <w:right w:val="outset" w:color="auto" w:sz="6" w:space="0"/>
                  </w:tcBorders>
                  <w:vAlign w:val="center"/>
                </w:tcPr>
                <w:p w14:paraId="6E8B6D3C">
                  <w:pPr>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c>
                <w:tcPr>
                  <w:tcW w:w="1260" w:type="dxa"/>
                  <w:tcBorders>
                    <w:top w:val="outset" w:color="auto" w:sz="6" w:space="0"/>
                    <w:left w:val="outset" w:color="auto" w:sz="6" w:space="0"/>
                    <w:bottom w:val="outset" w:color="auto" w:sz="6" w:space="0"/>
                    <w:right w:val="outset" w:color="auto" w:sz="6" w:space="0"/>
                  </w:tcBorders>
                  <w:vAlign w:val="center"/>
                </w:tcPr>
                <w:p w14:paraId="3347AE0A">
                  <w:pPr>
                    <w:jc w:val="center"/>
                    <w:rPr>
                      <w:rFonts w:hint="eastAsia" w:ascii="宋体" w:hAnsi="宋体" w:eastAsia="宋体" w:cs="宋体"/>
                      <w:color w:val="auto"/>
                      <w:highlight w:val="none"/>
                    </w:rPr>
                  </w:pPr>
                  <w:r>
                    <w:rPr>
                      <w:rFonts w:hint="eastAsia" w:ascii="宋体" w:hAnsi="宋体" w:eastAsia="宋体" w:cs="宋体"/>
                      <w:color w:val="auto"/>
                      <w:highlight w:val="none"/>
                    </w:rPr>
                    <w:t>0.01％</w:t>
                  </w:r>
                </w:p>
              </w:tc>
            </w:tr>
          </w:tbl>
          <w:p w14:paraId="79218280">
            <w:pPr>
              <w:spacing w:line="340" w:lineRule="exact"/>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结算方式及时间为：在领取中标通知书前由成交供应商一次性向采购代理机构付清。</w:t>
            </w:r>
          </w:p>
        </w:tc>
      </w:tr>
      <w:tr w14:paraId="0D91A6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4FF30609">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20</w:t>
            </w:r>
          </w:p>
        </w:tc>
        <w:tc>
          <w:tcPr>
            <w:tcW w:w="1800" w:type="dxa"/>
            <w:vAlign w:val="center"/>
          </w:tcPr>
          <w:p w14:paraId="3AF7D6B5">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是否允许分包</w:t>
            </w:r>
          </w:p>
        </w:tc>
        <w:tc>
          <w:tcPr>
            <w:tcW w:w="6682" w:type="dxa"/>
            <w:vAlign w:val="center"/>
          </w:tcPr>
          <w:p w14:paraId="61F5A26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u w:val="single"/>
              </w:rPr>
              <w:t>不允许</w:t>
            </w:r>
            <w:r>
              <w:rPr>
                <w:rFonts w:hint="eastAsia" w:ascii="宋体" w:hAnsi="宋体" w:eastAsia="宋体" w:cs="宋体"/>
                <w:color w:val="auto"/>
                <w:highlight w:val="none"/>
              </w:rPr>
              <w:t>分包</w:t>
            </w:r>
          </w:p>
        </w:tc>
      </w:tr>
      <w:tr w14:paraId="381111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39B95FA0">
            <w:pPr>
              <w:snapToGrid w:val="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21</w:t>
            </w:r>
          </w:p>
        </w:tc>
        <w:tc>
          <w:tcPr>
            <w:tcW w:w="1800" w:type="dxa"/>
            <w:tcBorders>
              <w:top w:val="single" w:color="auto" w:sz="4" w:space="0"/>
            </w:tcBorders>
            <w:vAlign w:val="center"/>
          </w:tcPr>
          <w:p w14:paraId="35C2D0BA">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是否提供演示</w:t>
            </w:r>
          </w:p>
        </w:tc>
        <w:tc>
          <w:tcPr>
            <w:tcW w:w="6682" w:type="dxa"/>
            <w:tcBorders>
              <w:top w:val="single" w:color="auto" w:sz="4" w:space="0"/>
            </w:tcBorders>
            <w:vAlign w:val="center"/>
          </w:tcPr>
          <w:p w14:paraId="6BBA1EEF">
            <w:pPr>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u w:val="single"/>
                <w:lang w:val="en-US" w:eastAsia="zh-CN"/>
              </w:rPr>
              <w:t>不</w:t>
            </w:r>
            <w:r>
              <w:rPr>
                <w:rFonts w:hint="eastAsia" w:ascii="宋体" w:hAnsi="宋体" w:eastAsia="宋体" w:cs="宋体"/>
                <w:color w:val="auto"/>
                <w:sz w:val="21"/>
                <w:szCs w:val="21"/>
                <w:highlight w:val="none"/>
                <w:u w:val="single"/>
              </w:rPr>
              <w:t>需要</w:t>
            </w:r>
            <w:r>
              <w:rPr>
                <w:rFonts w:hint="eastAsia" w:ascii="宋体" w:hAnsi="宋体" w:eastAsia="宋体" w:cs="宋体"/>
                <w:color w:val="auto"/>
                <w:sz w:val="21"/>
                <w:szCs w:val="21"/>
                <w:highlight w:val="none"/>
              </w:rPr>
              <w:t>提供演示。</w:t>
            </w:r>
          </w:p>
        </w:tc>
      </w:tr>
      <w:tr w14:paraId="59EEED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restart"/>
            <w:vAlign w:val="center"/>
          </w:tcPr>
          <w:p w14:paraId="5425D9BA">
            <w:pPr>
              <w:snapToGrid w:val="0"/>
              <w:jc w:val="center"/>
              <w:rPr>
                <w:rFonts w:hint="eastAsia"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lang w:val="en-US" w:eastAsia="zh-CN"/>
              </w:rPr>
              <w:t>22</w:t>
            </w:r>
          </w:p>
        </w:tc>
        <w:tc>
          <w:tcPr>
            <w:tcW w:w="1800" w:type="dxa"/>
            <w:vMerge w:val="restart"/>
            <w:tcBorders>
              <w:top w:val="single" w:color="auto" w:sz="4" w:space="0"/>
            </w:tcBorders>
            <w:vAlign w:val="center"/>
          </w:tcPr>
          <w:p w14:paraId="60BA62A7">
            <w:pPr>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预付款</w:t>
            </w:r>
          </w:p>
          <w:p w14:paraId="6D871B6A">
            <w:pPr>
              <w:snapToGrid w:val="0"/>
              <w:jc w:val="center"/>
              <w:rPr>
                <w:rFonts w:hint="eastAsia" w:ascii="宋体" w:hAnsi="宋体" w:eastAsia="宋体" w:cs="宋体"/>
                <w:color w:val="auto"/>
                <w:highlight w:val="none"/>
              </w:rPr>
            </w:pPr>
          </w:p>
        </w:tc>
        <w:tc>
          <w:tcPr>
            <w:tcW w:w="6682" w:type="dxa"/>
            <w:tcBorders>
              <w:top w:val="single" w:color="auto" w:sz="4" w:space="0"/>
            </w:tcBorders>
            <w:vAlign w:val="center"/>
          </w:tcPr>
          <w:p w14:paraId="7ADCCAB3">
            <w:pPr>
              <w:tabs>
                <w:tab w:val="left" w:pos="256"/>
              </w:tabs>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本项目涉及预付款，预付款比例为</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50</w:t>
            </w:r>
            <w:r>
              <w:rPr>
                <w:rFonts w:hint="eastAsia" w:ascii="宋体" w:hAnsi="宋体" w:eastAsia="宋体" w:cs="宋体"/>
                <w:color w:val="auto"/>
                <w:highlight w:val="none"/>
                <w:u w:val="single"/>
                <w:lang w:val="en-US" w:eastAsia="zh-CN"/>
              </w:rPr>
              <w:t xml:space="preserve"> %</w:t>
            </w:r>
          </w:p>
        </w:tc>
      </w:tr>
      <w:tr w14:paraId="236EBF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continue"/>
            <w:vAlign w:val="center"/>
          </w:tcPr>
          <w:p w14:paraId="6EBEE2ED">
            <w:pPr>
              <w:snapToGrid w:val="0"/>
              <w:jc w:val="center"/>
              <w:rPr>
                <w:rFonts w:hint="eastAsia" w:ascii="宋体" w:hAnsi="宋体" w:eastAsia="宋体" w:cs="宋体"/>
                <w:snapToGrid w:val="0"/>
                <w:color w:val="auto"/>
                <w:kern w:val="0"/>
                <w:highlight w:val="none"/>
              </w:rPr>
            </w:pPr>
          </w:p>
        </w:tc>
        <w:tc>
          <w:tcPr>
            <w:tcW w:w="1800" w:type="dxa"/>
            <w:vMerge w:val="continue"/>
            <w:vAlign w:val="center"/>
          </w:tcPr>
          <w:p w14:paraId="32D30038">
            <w:pPr>
              <w:snapToGrid w:val="0"/>
              <w:jc w:val="center"/>
              <w:rPr>
                <w:rFonts w:hint="eastAsia" w:ascii="宋体" w:hAnsi="宋体" w:eastAsia="宋体" w:cs="宋体"/>
                <w:color w:val="auto"/>
                <w:highlight w:val="none"/>
              </w:rPr>
            </w:pPr>
          </w:p>
        </w:tc>
        <w:tc>
          <w:tcPr>
            <w:tcW w:w="6682" w:type="dxa"/>
            <w:tcBorders>
              <w:top w:val="single" w:color="auto" w:sz="4" w:space="0"/>
            </w:tcBorders>
            <w:vAlign w:val="center"/>
          </w:tcPr>
          <w:p w14:paraId="41901FEA">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根据《浙江省财政厅关于进一步发挥政府采购政策功能全力推动经济稳进提质的通知》[浙财采监〔2022）3号]文件第二条第五点关于“进一步提高政府采购预付款比例”的规定：</w:t>
            </w:r>
          </w:p>
          <w:p w14:paraId="136E08D8">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1、采购单位应当在政府采购合同中约定预付款；</w:t>
            </w:r>
          </w:p>
          <w:p w14:paraId="0FAF3E46">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43C150F8">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3、本项目涉及投标人为大型企业，或者以人工投入为主且实行按月定期结算支付款项的，预付款可低于上述比例或者不约定预付款（相应字样应在合同中体现）。</w:t>
            </w:r>
          </w:p>
          <w:p w14:paraId="219DDC75">
            <w:pP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4、在签订合同时，中标人明确表示无需预付款或者主动要求降低预付款比例的，应提交相应申请函经采购人确认后，可不适用前述规定。</w:t>
            </w:r>
          </w:p>
        </w:tc>
      </w:tr>
      <w:tr w14:paraId="7E8FCD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0158923">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3</w:t>
            </w:r>
          </w:p>
        </w:tc>
        <w:tc>
          <w:tcPr>
            <w:tcW w:w="1800" w:type="dxa"/>
            <w:vAlign w:val="center"/>
          </w:tcPr>
          <w:p w14:paraId="6D7D58A8">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供应商信用信息查询渠道及截止时点、信用信息查询记录和证据留存的具体方式、信用信息的使用规则</w:t>
            </w:r>
          </w:p>
        </w:tc>
        <w:tc>
          <w:tcPr>
            <w:tcW w:w="6682" w:type="dxa"/>
            <w:vAlign w:val="center"/>
          </w:tcPr>
          <w:p w14:paraId="0550778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1、查询渠道：信用中国（网址：http://www.creditchina.gov.cn）、中国政府采购网(网址：http://www.ccgp.gov.cn）。</w:t>
            </w:r>
          </w:p>
          <w:p w14:paraId="25BCFBD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2、截止时点：开标后评标前。</w:t>
            </w:r>
          </w:p>
          <w:p w14:paraId="79C7273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3、信用信息查询记录和证据留存的具体方式：由采购组织机构在规定查询时间内打印信用信息查询记录并归入项目档案。</w:t>
            </w:r>
          </w:p>
          <w:p w14:paraId="764B255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55E61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7DE8F82">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4</w:t>
            </w:r>
          </w:p>
        </w:tc>
        <w:tc>
          <w:tcPr>
            <w:tcW w:w="1800" w:type="dxa"/>
            <w:vAlign w:val="center"/>
          </w:tcPr>
          <w:p w14:paraId="69F4F427">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金融支持</w:t>
            </w:r>
          </w:p>
        </w:tc>
        <w:tc>
          <w:tcPr>
            <w:tcW w:w="6682" w:type="dxa"/>
            <w:vAlign w:val="center"/>
          </w:tcPr>
          <w:p w14:paraId="4AEC593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为支持和促进中小企业发展，进一步发挥政府采购政策功能，企业若有融资意向，可登陆政采云平台融资服务（https://jinrong.zcygov.cn/），查看相应融资政策文件及各相关银行服务方案。</w:t>
            </w:r>
          </w:p>
        </w:tc>
      </w:tr>
      <w:tr w14:paraId="30218D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527A25A8">
            <w:pPr>
              <w:snapToGrid w:val="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5</w:t>
            </w:r>
          </w:p>
        </w:tc>
        <w:tc>
          <w:tcPr>
            <w:tcW w:w="1800" w:type="dxa"/>
            <w:tcBorders>
              <w:bottom w:val="double" w:color="auto" w:sz="4" w:space="0"/>
            </w:tcBorders>
            <w:vAlign w:val="center"/>
          </w:tcPr>
          <w:p w14:paraId="76BCCCDC">
            <w:pPr>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682" w:type="dxa"/>
            <w:tcBorders>
              <w:bottom w:val="double" w:color="auto" w:sz="4" w:space="0"/>
            </w:tcBorders>
            <w:vAlign w:val="center"/>
          </w:tcPr>
          <w:p w14:paraId="57F9C034">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本磋商文件要求提供的身份证复印件皆需提供正反面，否则按不提供处理。</w:t>
            </w:r>
          </w:p>
          <w:p w14:paraId="2BBCFEB9">
            <w:pPr>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lang w:val="en-US" w:eastAsia="zh-CN"/>
              </w:rPr>
              <w:t>2、本项目货物如涉及柴油动力移动源，柴油动力移动源应当符合低排放要求。</w:t>
            </w:r>
          </w:p>
        </w:tc>
      </w:tr>
    </w:tbl>
    <w:p w14:paraId="463A6ECB">
      <w:pPr>
        <w:pStyle w:val="3"/>
        <w:spacing w:line="360" w:lineRule="auto"/>
        <w:rPr>
          <w:rFonts w:hint="eastAsia" w:ascii="宋体" w:hAnsi="宋体" w:eastAsia="宋体" w:cs="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sz w:val="24"/>
          <w:szCs w:val="24"/>
          <w:highlight w:val="none"/>
        </w:rPr>
        <w:t>注：以上内容如有变化将另行通知。如通知其中某一内容发生变化，其余未提及的将不作变动。</w:t>
      </w:r>
    </w:p>
    <w:p w14:paraId="544766A0">
      <w:pPr>
        <w:pStyle w:val="2"/>
        <w:numPr>
          <w:ilvl w:val="0"/>
          <w:numId w:val="8"/>
        </w:numPr>
        <w:spacing w:line="33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11" w:name="_Toc7992"/>
      <w:bookmarkStart w:id="12" w:name="_Toc25187"/>
      <w:r>
        <w:rPr>
          <w:rFonts w:hint="eastAsia" w:ascii="宋体" w:hAnsi="宋体" w:eastAsia="宋体" w:cs="宋体"/>
          <w:color w:val="auto"/>
          <w:highlight w:val="none"/>
        </w:rPr>
        <w:t>总则</w:t>
      </w:r>
      <w:bookmarkEnd w:id="11"/>
      <w:bookmarkEnd w:id="12"/>
    </w:p>
    <w:p w14:paraId="6EC8F5E1">
      <w:pPr>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47126437">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1、适用范围</w:t>
      </w:r>
    </w:p>
    <w:p w14:paraId="225A2471">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1.1本次磋商工作仅适用于</w:t>
      </w:r>
      <w:r>
        <w:rPr>
          <w:rFonts w:hint="eastAsia" w:ascii="宋体" w:hAnsi="宋体" w:cs="宋体"/>
          <w:color w:val="auto"/>
          <w:sz w:val="24"/>
          <w:szCs w:val="24"/>
          <w:highlight w:val="none"/>
          <w:u w:val="single"/>
          <w:lang w:eastAsia="zh-CN"/>
        </w:rPr>
        <w:t>安全生产社会化服务项目</w:t>
      </w:r>
      <w:r>
        <w:rPr>
          <w:rFonts w:hint="eastAsia" w:ascii="宋体" w:hAnsi="宋体" w:eastAsia="宋体" w:cs="宋体"/>
          <w:color w:val="auto"/>
          <w:sz w:val="24"/>
          <w:szCs w:val="24"/>
          <w:highlight w:val="none"/>
        </w:rPr>
        <w:t>。</w:t>
      </w:r>
    </w:p>
    <w:p w14:paraId="05546BF9">
      <w:pPr>
        <w:pStyle w:val="6"/>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1.2本项目采购方式采用竞争性磋商方式。</w:t>
      </w:r>
    </w:p>
    <w:p w14:paraId="1629165B">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14:paraId="30EAF732">
      <w:pPr>
        <w:spacing w:line="336"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采购人”系指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绍兴市上虞区道墟街道办事处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。采购人委托</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浙江省成套工程有限公司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为本项目采购代理机构。</w:t>
      </w:r>
    </w:p>
    <w:p w14:paraId="01BED31E">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2.2“磋商供应商”系指响应本次采购，参加本次竞争性磋商的供应商。</w:t>
      </w:r>
    </w:p>
    <w:p w14:paraId="7C92E636">
      <w:pPr>
        <w:spacing w:line="336"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zh-CN"/>
        </w:rPr>
        <w:t>“服务”系指</w:t>
      </w:r>
      <w:r>
        <w:rPr>
          <w:rFonts w:hint="eastAsia" w:ascii="宋体" w:hAnsi="宋体" w:eastAsia="宋体" w:cs="宋体"/>
          <w:color w:val="auto"/>
          <w:sz w:val="24"/>
          <w:szCs w:val="24"/>
          <w:highlight w:val="none"/>
        </w:rPr>
        <w:t>磋商供应商按合同规定，须承担的服务的义务</w:t>
      </w:r>
      <w:r>
        <w:rPr>
          <w:rFonts w:hint="eastAsia" w:ascii="宋体" w:hAnsi="宋体" w:eastAsia="宋体" w:cs="宋体"/>
          <w:color w:val="auto"/>
          <w:sz w:val="24"/>
          <w:szCs w:val="24"/>
          <w:highlight w:val="none"/>
          <w:lang w:val="zh-CN"/>
        </w:rPr>
        <w:t>。</w:t>
      </w:r>
    </w:p>
    <w:p w14:paraId="63D68906">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3、采购项目概况</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p>
    <w:p w14:paraId="4E6060D8">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详见竞争性磋商公告相关内容，主要要求参见本文件第</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部分。</w:t>
      </w:r>
    </w:p>
    <w:p w14:paraId="21E67BED">
      <w:pPr>
        <w:adjustRightIn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4、合格的磋商供应商</w:t>
      </w:r>
    </w:p>
    <w:p w14:paraId="2BF87111">
      <w:pPr>
        <w:spacing w:line="336" w:lineRule="auto"/>
        <w:ind w:firstLine="480" w:firstLineChars="200"/>
        <w:rPr>
          <w:rFonts w:hint="eastAsia" w:ascii="宋体" w:hAnsi="宋体" w:eastAsia="宋体" w:cs="宋体"/>
          <w:color w:val="auto"/>
          <w:sz w:val="24"/>
          <w:szCs w:val="24"/>
          <w:highlight w:val="none"/>
        </w:rPr>
      </w:pPr>
      <w:bookmarkStart w:id="13" w:name="_Toc209520993"/>
      <w:bookmarkStart w:id="14" w:name="_Toc197163261"/>
      <w:bookmarkStart w:id="15" w:name="_Toc209504018"/>
      <w:bookmarkStart w:id="16" w:name="_Toc209435242"/>
      <w:bookmarkStart w:id="17" w:name="_Toc193523219"/>
      <w:bookmarkStart w:id="18" w:name="_Toc207946571"/>
      <w:bookmarkStart w:id="19" w:name="_Toc197053926"/>
      <w:bookmarkStart w:id="20" w:name="_Toc193538208"/>
      <w:bookmarkStart w:id="21" w:name="_Toc211412066"/>
      <w:bookmarkStart w:id="22" w:name="_Toc208287611"/>
      <w:bookmarkStart w:id="23" w:name="_Toc197657950"/>
      <w:bookmarkStart w:id="24" w:name="_Toc204683265"/>
      <w:bookmarkStart w:id="25" w:name="_Toc208913145"/>
      <w:bookmarkStart w:id="26" w:name="_Toc197156227"/>
      <w:r>
        <w:rPr>
          <w:rFonts w:hint="eastAsia" w:ascii="宋体" w:hAnsi="宋体" w:eastAsia="宋体" w:cs="宋体"/>
          <w:color w:val="auto"/>
          <w:sz w:val="24"/>
          <w:szCs w:val="24"/>
          <w:highlight w:val="none"/>
        </w:rPr>
        <w:t>详见竞争性磋商采购公告磋商供应商的资格要求规定。</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C2FA5A6">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5、磋商费用</w:t>
      </w:r>
    </w:p>
    <w:p w14:paraId="1C9D6F65">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磋商供应商应承担其参加磋商所涉及的一切费用，不管结果如何，采购人对上述费用不负任何责任。</w:t>
      </w:r>
    </w:p>
    <w:p w14:paraId="6EA2FFC8">
      <w:pPr>
        <w:pStyle w:val="2"/>
        <w:numPr>
          <w:ilvl w:val="0"/>
          <w:numId w:val="8"/>
        </w:numPr>
        <w:spacing w:line="336" w:lineRule="auto"/>
        <w:jc w:val="center"/>
        <w:rPr>
          <w:rFonts w:hint="eastAsia" w:ascii="宋体" w:hAnsi="宋体" w:eastAsia="宋体" w:cs="宋体"/>
          <w:color w:val="auto"/>
          <w:highlight w:val="none"/>
        </w:rPr>
      </w:pPr>
      <w:bookmarkStart w:id="27" w:name="_Toc416992151"/>
      <w:bookmarkStart w:id="28" w:name="_Toc32689"/>
      <w:bookmarkStart w:id="29" w:name="_Toc25923"/>
      <w:r>
        <w:rPr>
          <w:rFonts w:hint="eastAsia" w:ascii="宋体" w:hAnsi="宋体" w:eastAsia="宋体" w:cs="宋体"/>
          <w:color w:val="auto"/>
          <w:highlight w:val="none"/>
        </w:rPr>
        <w:t xml:space="preserve"> </w:t>
      </w:r>
      <w:bookmarkStart w:id="30" w:name="_Toc11814"/>
      <w:bookmarkStart w:id="31" w:name="_Toc6940"/>
      <w:r>
        <w:rPr>
          <w:rFonts w:hint="eastAsia" w:ascii="宋体" w:hAnsi="宋体" w:eastAsia="宋体" w:cs="宋体"/>
          <w:color w:val="auto"/>
          <w:highlight w:val="none"/>
        </w:rPr>
        <w:t>竞争性磋商文件</w:t>
      </w:r>
      <w:bookmarkEnd w:id="27"/>
      <w:bookmarkEnd w:id="28"/>
      <w:bookmarkEnd w:id="29"/>
      <w:bookmarkEnd w:id="30"/>
      <w:bookmarkEnd w:id="31"/>
    </w:p>
    <w:p w14:paraId="52DF151F">
      <w:pPr>
        <w:adjustRightIn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6、磋商文件的组成</w:t>
      </w:r>
    </w:p>
    <w:p w14:paraId="755E85F2">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6.1本磋商文件包括目录所示内容及所有按本须知发出的补充资料（如果有）。</w:t>
      </w:r>
    </w:p>
    <w:p w14:paraId="73837E20">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6.2除上述所列内容外，采购人及采购代理机构的任何工作人员对磋商供应商所作的任何口头解释、介绍、答复，只能供磋商供应商参考，对采购人和磋商供应商无任何约束力。</w:t>
      </w:r>
    </w:p>
    <w:p w14:paraId="5F46C77B">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6.3磋商供应商应仔细阅读磋商文件的所有内容，按照文件要求提交响应文件，并保证所提交的全部资料的真实性。不按磋商文件的要求提供的响应文件和资料，可能导致磋商被拒绝。</w:t>
      </w:r>
    </w:p>
    <w:p w14:paraId="71F30DD1">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71B43F2F">
      <w:pPr>
        <w:adjustRightInd w:val="0"/>
        <w:spacing w:line="336"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7、磋商文件的澄清与修改</w:t>
      </w:r>
    </w:p>
    <w:p w14:paraId="6BC333FA">
      <w:pPr>
        <w:pStyle w:val="4"/>
        <w:keepNext w:val="0"/>
        <w:keepLines w:val="0"/>
        <w:pageBreakBefore w:val="0"/>
        <w:widowControl w:val="0"/>
        <w:kinsoku/>
        <w:wordWrap/>
        <w:overflowPunct/>
        <w:topLinePunct w:val="0"/>
        <w:autoSpaceDE/>
        <w:autoSpaceDN/>
        <w:bidi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583659B3">
      <w:pPr>
        <w:pStyle w:val="4"/>
        <w:keepNext w:val="0"/>
        <w:keepLines w:val="0"/>
        <w:pageBreakBefore w:val="0"/>
        <w:widowControl w:val="0"/>
        <w:kinsoku/>
        <w:wordWrap/>
        <w:overflowPunct/>
        <w:topLinePunct w:val="0"/>
        <w:autoSpaceDE/>
        <w:autoSpaceDN/>
        <w:bidi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7.2磋商供应商要求解释或澄清的问题应以书面形式，并加盖公章、写明日期。</w:t>
      </w:r>
    </w:p>
    <w:p w14:paraId="289FD9BE">
      <w:pPr>
        <w:keepNext w:val="0"/>
        <w:keepLines w:val="0"/>
        <w:pageBreakBefore w:val="0"/>
        <w:widowControl w:val="0"/>
        <w:kinsoku/>
        <w:wordWrap/>
        <w:overflowPunct/>
        <w:topLinePunct w:val="0"/>
        <w:autoSpaceDE/>
        <w:autoSpaceDN/>
        <w:bidi w:val="0"/>
        <w:adjustRightInd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7.3提交响应文件截止之日前，采购人、采购代理机构或者磋商小组可以对已发出的磋商文件进行必要的澄清或者修改，澄清或者修改的内容作为磋商文件的组成部分。</w:t>
      </w:r>
    </w:p>
    <w:p w14:paraId="2B68B1DE">
      <w:pPr>
        <w:keepNext w:val="0"/>
        <w:keepLines w:val="0"/>
        <w:pageBreakBefore w:val="0"/>
        <w:widowControl w:val="0"/>
        <w:kinsoku/>
        <w:wordWrap/>
        <w:overflowPunct/>
        <w:topLinePunct w:val="0"/>
        <w:autoSpaceDE/>
        <w:autoSpaceDN/>
        <w:bidi w:val="0"/>
        <w:adjustRightInd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7.4竞争性磋商文件的澄清修改文件及更正补充公告，请自行登录浙江政府采购网或绍兴市上虞区公共资源交易中心网站，在采购公告页面中下载。</w:t>
      </w:r>
    </w:p>
    <w:p w14:paraId="3D9321B2">
      <w:pPr>
        <w:keepNext w:val="0"/>
        <w:keepLines w:val="0"/>
        <w:pageBreakBefore w:val="0"/>
        <w:widowControl w:val="0"/>
        <w:kinsoku/>
        <w:wordWrap/>
        <w:overflowPunct/>
        <w:topLinePunct w:val="0"/>
        <w:autoSpaceDE/>
        <w:autoSpaceDN/>
        <w:bidi w:val="0"/>
        <w:adjustRightInd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14:paraId="4C74623B">
      <w:pPr>
        <w:keepNext w:val="0"/>
        <w:keepLines w:val="0"/>
        <w:pageBreakBefore w:val="0"/>
        <w:widowControl w:val="0"/>
        <w:kinsoku/>
        <w:wordWrap/>
        <w:overflowPunct/>
        <w:topLinePunct w:val="0"/>
        <w:autoSpaceDE/>
        <w:autoSpaceDN/>
        <w:bidi w:val="0"/>
        <w:adjustRightInd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7.6竞争性磋商文件澄清、答复、修改、补充的内容为竞争性磋商文件的组成部分。</w:t>
      </w:r>
    </w:p>
    <w:p w14:paraId="7C8ED860">
      <w:pPr>
        <w:pStyle w:val="3"/>
        <w:keepNext w:val="0"/>
        <w:keepLines w:val="0"/>
        <w:pageBreakBefore w:val="0"/>
        <w:widowControl w:val="0"/>
        <w:kinsoku/>
        <w:wordWrap/>
        <w:overflowPunct/>
        <w:topLinePunct w:val="0"/>
        <w:autoSpaceDE/>
        <w:autoSpaceDN/>
        <w:bidi w:val="0"/>
        <w:snapToGrid/>
        <w:spacing w:line="336" w:lineRule="auto"/>
        <w:ind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7.7磋商文件发售截止日后，经采购人同意后购买磋商文件的磋商供应商不得对磋商文件和补充文件提出答疑或质疑。</w:t>
      </w:r>
    </w:p>
    <w:p w14:paraId="42FD7C8F">
      <w:pPr>
        <w:pStyle w:val="2"/>
        <w:numPr>
          <w:ilvl w:val="0"/>
          <w:numId w:val="8"/>
        </w:numPr>
        <w:spacing w:line="336" w:lineRule="auto"/>
        <w:jc w:val="center"/>
        <w:rPr>
          <w:rFonts w:hint="eastAsia" w:ascii="宋体" w:hAnsi="宋体" w:eastAsia="宋体" w:cs="宋体"/>
          <w:color w:val="auto"/>
          <w:highlight w:val="none"/>
        </w:rPr>
      </w:pPr>
      <w:bookmarkStart w:id="32" w:name="_Toc18702"/>
      <w:bookmarkStart w:id="33" w:name="_Toc11093"/>
      <w:bookmarkStart w:id="34" w:name="_Toc1828"/>
      <w:bookmarkStart w:id="35" w:name="_Toc26027"/>
      <w:bookmarkStart w:id="36" w:name="_Toc10810"/>
      <w:bookmarkStart w:id="37" w:name="_Toc7126"/>
      <w:bookmarkStart w:id="38" w:name="_Toc23975"/>
      <w:bookmarkStart w:id="39" w:name="_Toc11692"/>
      <w:bookmarkStart w:id="40" w:name="_Toc1729"/>
      <w:bookmarkStart w:id="41" w:name="_Toc31748"/>
      <w:bookmarkStart w:id="42" w:name="_Toc8860"/>
      <w:bookmarkStart w:id="43" w:name="_Toc10669"/>
      <w:bookmarkStart w:id="44" w:name="_Toc391298957"/>
      <w:bookmarkStart w:id="45" w:name="_Toc26603"/>
      <w:bookmarkStart w:id="46" w:name="_Toc11669"/>
      <w:bookmarkStart w:id="47" w:name="_Toc6273"/>
      <w:bookmarkStart w:id="48" w:name="_Toc6457"/>
      <w:bookmarkStart w:id="49" w:name="_Toc24622"/>
      <w:bookmarkStart w:id="50" w:name="_Toc1202"/>
      <w:bookmarkStart w:id="51" w:name="_Toc14650"/>
      <w:bookmarkStart w:id="52" w:name="_Toc6079"/>
      <w:bookmarkStart w:id="53" w:name="_Toc23135"/>
      <w:r>
        <w:rPr>
          <w:rFonts w:hint="eastAsia" w:ascii="宋体" w:hAnsi="宋体" w:eastAsia="宋体" w:cs="宋体"/>
          <w:color w:val="auto"/>
          <w:highlight w:val="none"/>
        </w:rPr>
        <w:t xml:space="preserve"> </w:t>
      </w:r>
      <w:bookmarkStart w:id="54" w:name="_Toc16098"/>
      <w:bookmarkStart w:id="55" w:name="_Toc11515"/>
      <w:r>
        <w:rPr>
          <w:rFonts w:hint="eastAsia" w:ascii="宋体" w:hAnsi="宋体" w:eastAsia="宋体" w:cs="宋体"/>
          <w:color w:val="auto"/>
          <w:highlight w:val="none"/>
        </w:rPr>
        <w:t>竞争性磋商响应文件的编写</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64D96BE">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8、要求</w:t>
      </w:r>
    </w:p>
    <w:p w14:paraId="6E070AE3">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4FBA6883">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8.2报价</w:t>
      </w:r>
    </w:p>
    <w:p w14:paraId="6B5C272C">
      <w:pPr>
        <w:spacing w:line="336" w:lineRule="auto"/>
        <w:ind w:firstLine="480" w:firstLineChars="200"/>
        <w:rPr>
          <w:rFonts w:hint="eastAsia" w:ascii="宋体" w:hAnsi="宋体" w:eastAsia="宋体" w:cs="宋体"/>
          <w:b/>
          <w:bCs/>
          <w:color w:val="auto"/>
          <w:sz w:val="24"/>
          <w:szCs w:val="24"/>
          <w:highlight w:val="none"/>
          <w:shd w:val="clear" w:color="FFFFFF" w:fill="D9D9D9"/>
        </w:rPr>
      </w:pPr>
      <w:r>
        <w:rPr>
          <w:rFonts w:hint="eastAsia" w:ascii="宋体" w:hAnsi="宋体" w:eastAsia="宋体" w:cs="宋体"/>
          <w:color w:val="auto"/>
          <w:sz w:val="24"/>
          <w:szCs w:val="24"/>
          <w:highlight w:val="none"/>
        </w:rPr>
        <w:t>8.2.1本次报价非一次性报价，报价币种为人民币。在磋商后根据磋商情况（包括细化采购方案和要求，增补部分采购内容等），供应商须二次报价（最终报价），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如果供应商在规定时间30分钟内未提交第二次报价，视该供应商放弃本次投标，作无效标处理</w:t>
      </w:r>
      <w:r>
        <w:rPr>
          <w:rFonts w:hint="eastAsia" w:ascii="宋体" w:hAnsi="宋体" w:eastAsia="宋体" w:cs="宋体"/>
          <w:color w:val="auto"/>
          <w:sz w:val="24"/>
          <w:szCs w:val="24"/>
          <w:highlight w:val="none"/>
        </w:rPr>
        <w:t>。</w:t>
      </w:r>
    </w:p>
    <w:p w14:paraId="5D012E9E">
      <w:pPr>
        <w:pStyle w:val="56"/>
        <w:tabs>
          <w:tab w:val="left" w:pos="0"/>
        </w:tabs>
        <w:spacing w:line="336"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8.2.2投标报价应包含项目所需全部服务，不得缺漏，是履行合同的最终价格，包括</w:t>
      </w:r>
      <w:r>
        <w:rPr>
          <w:rFonts w:hint="eastAsia" w:ascii="宋体" w:hAnsi="宋体" w:cs="宋体"/>
          <w:color w:val="auto"/>
          <w:highlight w:val="none"/>
          <w:u w:val="single"/>
          <w:lang w:eastAsia="zh-CN"/>
        </w:rPr>
        <w:t>服务内容</w:t>
      </w:r>
      <w:r>
        <w:rPr>
          <w:rFonts w:hint="eastAsia" w:ascii="宋体" w:hAnsi="宋体" w:eastAsia="宋体" w:cs="宋体"/>
          <w:color w:val="auto"/>
          <w:highlight w:val="none"/>
          <w:u w:val="single"/>
        </w:rPr>
        <w:t>、税金、代理服务费及不可预见费用等一切费用。</w:t>
      </w:r>
      <w:r>
        <w:rPr>
          <w:rFonts w:hint="eastAsia" w:ascii="宋体" w:hAnsi="宋体" w:eastAsia="宋体" w:cs="宋体"/>
          <w:color w:val="auto"/>
          <w:highlight w:val="none"/>
        </w:rPr>
        <w:t>投标报价为供应商所能承受的最低、最终报价，供应商不得再要求追加任何费用。</w:t>
      </w:r>
    </w:p>
    <w:p w14:paraId="465937A0">
      <w:pPr>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1025810B">
      <w:pPr>
        <w:spacing w:line="336"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8.2.3供应商的报价作为供应商计算单价或总价的依据，应是完成技术文件中的所有要求，不得以任何理由予以重复，供应商对报价若有说明应在报价一览表备注处注明。任何有选择的报价方案及价格将不予接受。</w:t>
      </w:r>
    </w:p>
    <w:p w14:paraId="65F6E118">
      <w:pPr>
        <w:pStyle w:val="16"/>
        <w:spacing w:line="336"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9、响应文件的组成</w:t>
      </w:r>
      <w:r>
        <w:rPr>
          <w:rFonts w:hint="eastAsia" w:ascii="宋体" w:hAnsi="宋体" w:eastAsia="宋体" w:cs="宋体"/>
          <w:b/>
          <w:bCs/>
          <w:color w:val="auto"/>
          <w:sz w:val="24"/>
          <w:szCs w:val="24"/>
          <w:highlight w:val="none"/>
          <w:u w:val="single"/>
        </w:rPr>
        <w:t>（供应商应根据采购文件的要求提供相应的内容且设置关联定位，供应商可查看《供应商-政府采购项目电子交易操作指南》进行操作：https://help.zcygov.cn/web/site_2/2018/12-28/2573.html）</w:t>
      </w:r>
    </w:p>
    <w:p w14:paraId="697DA598">
      <w:pPr>
        <w:pStyle w:val="56"/>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响应文件应当包括以下主要内容：资格文件、商务技术文件、报价文件。</w:t>
      </w:r>
    </w:p>
    <w:p w14:paraId="42C44BFE">
      <w:pPr>
        <w:pStyle w:val="56"/>
        <w:numPr>
          <w:ilvl w:val="0"/>
          <w:numId w:val="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资格文件包括以下内容：</w:t>
      </w:r>
    </w:p>
    <w:p w14:paraId="64B473C6">
      <w:pPr>
        <w:pStyle w:val="56"/>
        <w:numPr>
          <w:ilvl w:val="0"/>
          <w:numId w:val="10"/>
        </w:numPr>
        <w:spacing w:before="0" w:line="336" w:lineRule="auto"/>
        <w:ind w:firstLine="480"/>
        <w:rPr>
          <w:rFonts w:hint="eastAsia" w:cs="宋体" w:asciiTheme="minorEastAsia" w:hAnsiTheme="minorEastAsia" w:eastAsiaTheme="minorEastAsia"/>
          <w:color w:val="auto"/>
          <w:lang w:val="en-US" w:eastAsia="zh-CN" w:bidi="ar-SA"/>
        </w:rPr>
      </w:pPr>
      <w:r>
        <w:rPr>
          <w:rFonts w:hint="eastAsia" w:cs="宋体" w:asciiTheme="minorEastAsia" w:hAnsiTheme="minorEastAsia" w:eastAsiaTheme="minorEastAsia"/>
          <w:color w:val="auto"/>
          <w:lang w:val="en-US" w:eastAsia="zh-CN" w:bidi="ar-SA"/>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6747BDBE">
      <w:pPr>
        <w:pStyle w:val="56"/>
        <w:numPr>
          <w:ilvl w:val="0"/>
          <w:numId w:val="10"/>
        </w:numPr>
        <w:spacing w:before="0" w:line="336" w:lineRule="auto"/>
        <w:ind w:firstLine="480"/>
        <w:rPr>
          <w:rFonts w:hint="eastAsia" w:cs="宋体" w:asciiTheme="minorEastAsia" w:hAnsiTheme="minorEastAsia" w:eastAsiaTheme="minorEastAsia"/>
          <w:color w:val="auto"/>
          <w:lang w:val="en-US" w:eastAsia="zh-CN" w:bidi="ar-SA"/>
        </w:rPr>
      </w:pPr>
      <w:r>
        <w:rPr>
          <w:rFonts w:hint="eastAsia" w:cs="宋体" w:asciiTheme="minorEastAsia" w:hAnsiTheme="minorEastAsia" w:eastAsiaTheme="minorEastAsia"/>
          <w:color w:val="auto"/>
          <w:lang w:val="en-US" w:eastAsia="zh-CN" w:bidi="ar-SA"/>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0D8AD17C">
      <w:pPr>
        <w:pStyle w:val="56"/>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19D4F664">
      <w:pPr>
        <w:pStyle w:val="56"/>
        <w:numPr>
          <w:ilvl w:val="0"/>
          <w:numId w:val="10"/>
        </w:numPr>
        <w:spacing w:before="0" w:line="336" w:lineRule="auto"/>
        <w:ind w:firstLine="480"/>
        <w:rPr>
          <w:rFonts w:hint="eastAsia" w:cs="宋体" w:asciiTheme="minorEastAsia" w:hAnsiTheme="minorEastAsia" w:eastAsiaTheme="minorEastAsia"/>
          <w:color w:val="auto"/>
          <w:lang w:val="en-US" w:eastAsia="zh-CN" w:bidi="ar-SA"/>
        </w:rPr>
      </w:pPr>
      <w:r>
        <w:rPr>
          <w:rFonts w:hint="eastAsia" w:cs="宋体" w:asciiTheme="minorEastAsia" w:hAnsiTheme="minorEastAsia" w:eastAsiaTheme="minorEastAsia"/>
          <w:color w:val="auto"/>
          <w:lang w:val="en-US" w:eastAsia="zh-CN" w:bidi="ar-SA"/>
        </w:rPr>
        <w:t>具有履行合同所必需的产品和专业技术能力的承诺函；</w:t>
      </w:r>
    </w:p>
    <w:p w14:paraId="7A7DFC17">
      <w:pPr>
        <w:pStyle w:val="56"/>
        <w:numPr>
          <w:ilvl w:val="0"/>
          <w:numId w:val="10"/>
        </w:numPr>
        <w:spacing w:before="0" w:line="336" w:lineRule="auto"/>
        <w:ind w:firstLine="480"/>
        <w:rPr>
          <w:rFonts w:hint="eastAsia" w:ascii="宋体" w:hAnsi="宋体" w:eastAsia="宋体" w:cs="宋体"/>
          <w:color w:val="auto"/>
          <w:kern w:val="2"/>
          <w:sz w:val="24"/>
          <w:szCs w:val="24"/>
          <w:highlight w:val="none"/>
          <w:lang w:val="en-US" w:eastAsia="zh-CN" w:bidi="ar-SA"/>
        </w:rPr>
      </w:pPr>
      <w:r>
        <w:rPr>
          <w:rFonts w:hint="eastAsia" w:cs="宋体" w:asciiTheme="minorEastAsia" w:hAnsiTheme="minorEastAsia" w:eastAsiaTheme="minorEastAsia"/>
          <w:color w:val="auto"/>
          <w:lang w:val="en-US" w:eastAsia="zh-CN" w:bidi="ar-SA"/>
        </w:rPr>
        <w:t>投标人承诺函（格式见附件）。</w:t>
      </w:r>
    </w:p>
    <w:p w14:paraId="3B3BED80">
      <w:pPr>
        <w:pStyle w:val="56"/>
        <w:numPr>
          <w:ilvl w:val="0"/>
          <w:numId w:val="10"/>
        </w:numPr>
        <w:spacing w:before="0" w:line="336" w:lineRule="auto"/>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中小企业声明函（格式见附件）； </w:t>
      </w:r>
    </w:p>
    <w:p w14:paraId="3C1B7991">
      <w:pPr>
        <w:pStyle w:val="56"/>
        <w:numPr>
          <w:ilvl w:val="0"/>
          <w:numId w:val="10"/>
        </w:numPr>
        <w:spacing w:before="0" w:line="336" w:lineRule="auto"/>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残疾人福利性单位声明函(如有)（格式见附件）；</w:t>
      </w:r>
    </w:p>
    <w:p w14:paraId="79D7B5E6">
      <w:pPr>
        <w:pStyle w:val="56"/>
        <w:numPr>
          <w:ilvl w:val="0"/>
          <w:numId w:val="10"/>
        </w:numPr>
        <w:spacing w:before="0" w:line="336" w:lineRule="auto"/>
        <w:ind w:firstLine="480"/>
        <w:rPr>
          <w:rFonts w:hint="eastAsia" w:ascii="宋体" w:hAnsi="宋体" w:cs="宋体"/>
          <w:color w:val="auto"/>
          <w:highlight w:val="none"/>
          <w:lang w:eastAsia="zh-CN"/>
        </w:rPr>
      </w:pPr>
      <w:r>
        <w:rPr>
          <w:rFonts w:hint="eastAsia" w:ascii="宋体" w:hAnsi="宋体" w:eastAsia="宋体" w:cs="宋体"/>
          <w:color w:val="auto"/>
          <w:kern w:val="2"/>
          <w:sz w:val="24"/>
          <w:szCs w:val="24"/>
          <w:highlight w:val="none"/>
          <w:lang w:val="en-US" w:eastAsia="zh-CN" w:bidi="ar-SA"/>
        </w:rPr>
        <w:t>监狱企业证明文件(如有)（格式见附件）。</w:t>
      </w:r>
    </w:p>
    <w:p w14:paraId="34810806">
      <w:pPr>
        <w:pStyle w:val="56"/>
        <w:numPr>
          <w:ilvl w:val="0"/>
          <w:numId w:val="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商务技术文件，本次磋商需要供应商提供以下项所列的技术文件：</w:t>
      </w:r>
    </w:p>
    <w:p w14:paraId="2F6EB051">
      <w:pPr>
        <w:pStyle w:val="56"/>
        <w:numPr>
          <w:ilvl w:val="0"/>
          <w:numId w:val="11"/>
        </w:numPr>
        <w:spacing w:before="0" w:line="336"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评分对应表（格式见附件，主要用于评委对应评分内容）</w:t>
      </w:r>
    </w:p>
    <w:p w14:paraId="2CCA3FB1">
      <w:pPr>
        <w:pStyle w:val="56"/>
        <w:numPr>
          <w:ilvl w:val="0"/>
          <w:numId w:val="11"/>
        </w:numPr>
        <w:spacing w:before="0" w:line="336"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供应商商务技术文件中资信分自评表（格式见附件）；</w:t>
      </w:r>
    </w:p>
    <w:p w14:paraId="65016A8F">
      <w:pPr>
        <w:pStyle w:val="56"/>
        <w:numPr>
          <w:ilvl w:val="0"/>
          <w:numId w:val="11"/>
        </w:numPr>
        <w:spacing w:before="0" w:line="336"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磋商项目明细清单（格式见附件）；</w:t>
      </w:r>
    </w:p>
    <w:p w14:paraId="05A331D1">
      <w:pPr>
        <w:pStyle w:val="56"/>
        <w:numPr>
          <w:ilvl w:val="0"/>
          <w:numId w:val="11"/>
        </w:numPr>
        <w:spacing w:before="0" w:line="336"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技术响应及建议表（格式见附件）；</w:t>
      </w:r>
    </w:p>
    <w:p w14:paraId="75DB18A7">
      <w:pPr>
        <w:pStyle w:val="56"/>
        <w:numPr>
          <w:ilvl w:val="0"/>
          <w:numId w:val="11"/>
        </w:numPr>
        <w:spacing w:before="0" w:line="336"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商务响应表（格式见附件）；</w:t>
      </w:r>
    </w:p>
    <w:p w14:paraId="5332960B">
      <w:pPr>
        <w:pStyle w:val="56"/>
        <w:numPr>
          <w:ilvl w:val="0"/>
          <w:numId w:val="11"/>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现状分析</w:t>
      </w:r>
      <w:r>
        <w:rPr>
          <w:rFonts w:hint="eastAsia" w:ascii="宋体" w:hAnsi="宋体" w:cs="宋体"/>
          <w:color w:val="auto"/>
          <w:sz w:val="24"/>
          <w:szCs w:val="24"/>
          <w:lang w:eastAsia="zh-CN"/>
        </w:rPr>
        <w:t>；</w:t>
      </w:r>
    </w:p>
    <w:p w14:paraId="2B80096E">
      <w:pPr>
        <w:pStyle w:val="56"/>
        <w:numPr>
          <w:ilvl w:val="0"/>
          <w:numId w:val="11"/>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技术方案</w:t>
      </w:r>
      <w:r>
        <w:rPr>
          <w:rFonts w:hint="eastAsia" w:ascii="宋体" w:hAnsi="宋体" w:cs="宋体"/>
          <w:color w:val="auto"/>
          <w:sz w:val="24"/>
          <w:szCs w:val="24"/>
          <w:lang w:eastAsia="zh-CN"/>
        </w:rPr>
        <w:t>；</w:t>
      </w:r>
    </w:p>
    <w:p w14:paraId="01D69A5F">
      <w:pPr>
        <w:pStyle w:val="56"/>
        <w:numPr>
          <w:ilvl w:val="0"/>
          <w:numId w:val="11"/>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重点、难点及解决措施</w:t>
      </w:r>
      <w:r>
        <w:rPr>
          <w:rFonts w:hint="eastAsia" w:ascii="宋体" w:hAnsi="宋体" w:cs="宋体"/>
          <w:color w:val="auto"/>
          <w:sz w:val="24"/>
          <w:szCs w:val="24"/>
          <w:lang w:eastAsia="zh-CN"/>
        </w:rPr>
        <w:t>；</w:t>
      </w:r>
    </w:p>
    <w:p w14:paraId="4BF09519">
      <w:pPr>
        <w:pStyle w:val="56"/>
        <w:numPr>
          <w:ilvl w:val="0"/>
          <w:numId w:val="11"/>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进度安排</w:t>
      </w:r>
      <w:r>
        <w:rPr>
          <w:rFonts w:hint="eastAsia" w:ascii="宋体" w:hAnsi="宋体" w:cs="宋体"/>
          <w:color w:val="auto"/>
          <w:sz w:val="24"/>
          <w:szCs w:val="24"/>
          <w:lang w:eastAsia="zh-CN"/>
        </w:rPr>
        <w:t>；</w:t>
      </w:r>
    </w:p>
    <w:p w14:paraId="767F08D6">
      <w:pPr>
        <w:pStyle w:val="56"/>
        <w:numPr>
          <w:ilvl w:val="0"/>
          <w:numId w:val="11"/>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质量保证</w:t>
      </w:r>
      <w:r>
        <w:rPr>
          <w:rFonts w:hint="eastAsia" w:ascii="宋体" w:hAnsi="宋体" w:cs="宋体"/>
          <w:color w:val="auto"/>
          <w:sz w:val="24"/>
          <w:szCs w:val="24"/>
          <w:lang w:eastAsia="zh-CN"/>
        </w:rPr>
        <w:t>；</w:t>
      </w:r>
    </w:p>
    <w:p w14:paraId="09B9D233">
      <w:pPr>
        <w:pStyle w:val="56"/>
        <w:numPr>
          <w:ilvl w:val="0"/>
          <w:numId w:val="11"/>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特殊时期的应急保障措施</w:t>
      </w:r>
      <w:r>
        <w:rPr>
          <w:rFonts w:hint="eastAsia" w:ascii="宋体" w:hAnsi="宋体" w:cs="宋体"/>
          <w:color w:val="auto"/>
          <w:sz w:val="24"/>
          <w:szCs w:val="24"/>
          <w:lang w:eastAsia="zh-CN"/>
        </w:rPr>
        <w:t>；</w:t>
      </w:r>
    </w:p>
    <w:p w14:paraId="7124C2BD">
      <w:pPr>
        <w:pStyle w:val="56"/>
        <w:numPr>
          <w:ilvl w:val="0"/>
          <w:numId w:val="11"/>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人员配备</w:t>
      </w:r>
      <w:r>
        <w:rPr>
          <w:rFonts w:hint="eastAsia" w:ascii="宋体" w:hAnsi="宋体" w:cs="宋体"/>
          <w:color w:val="auto"/>
          <w:sz w:val="24"/>
          <w:szCs w:val="24"/>
          <w:lang w:eastAsia="zh-CN"/>
        </w:rPr>
        <w:t>；</w:t>
      </w:r>
    </w:p>
    <w:p w14:paraId="47049BD3">
      <w:pPr>
        <w:pStyle w:val="56"/>
        <w:numPr>
          <w:ilvl w:val="0"/>
          <w:numId w:val="11"/>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安全作业培训</w:t>
      </w:r>
      <w:r>
        <w:rPr>
          <w:rFonts w:hint="eastAsia" w:ascii="宋体" w:hAnsi="宋体" w:cs="宋体"/>
          <w:color w:val="auto"/>
          <w:sz w:val="24"/>
          <w:szCs w:val="24"/>
          <w:lang w:eastAsia="zh-CN"/>
        </w:rPr>
        <w:t>；</w:t>
      </w:r>
    </w:p>
    <w:p w14:paraId="6D1E0D15">
      <w:pPr>
        <w:pStyle w:val="56"/>
        <w:numPr>
          <w:ilvl w:val="0"/>
          <w:numId w:val="11"/>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内部管理制度</w:t>
      </w:r>
      <w:r>
        <w:rPr>
          <w:rFonts w:hint="eastAsia" w:ascii="宋体" w:hAnsi="宋体" w:cs="宋体"/>
          <w:color w:val="auto"/>
          <w:sz w:val="24"/>
          <w:szCs w:val="24"/>
          <w:lang w:eastAsia="zh-CN"/>
        </w:rPr>
        <w:t>；</w:t>
      </w:r>
    </w:p>
    <w:p w14:paraId="3C89DEA7">
      <w:pPr>
        <w:pStyle w:val="56"/>
        <w:numPr>
          <w:ilvl w:val="0"/>
          <w:numId w:val="11"/>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服务承诺</w:t>
      </w:r>
      <w:r>
        <w:rPr>
          <w:rFonts w:hint="eastAsia" w:ascii="宋体" w:hAnsi="宋体" w:cs="宋体"/>
          <w:color w:val="auto"/>
          <w:sz w:val="24"/>
          <w:szCs w:val="24"/>
          <w:lang w:eastAsia="zh-CN"/>
        </w:rPr>
        <w:t>；</w:t>
      </w:r>
    </w:p>
    <w:p w14:paraId="7B86AA95">
      <w:pPr>
        <w:pStyle w:val="56"/>
        <w:numPr>
          <w:ilvl w:val="0"/>
          <w:numId w:val="11"/>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合理化建议</w:t>
      </w:r>
      <w:r>
        <w:rPr>
          <w:rFonts w:hint="eastAsia" w:ascii="宋体" w:hAnsi="宋体" w:cs="宋体"/>
          <w:color w:val="auto"/>
          <w:sz w:val="24"/>
          <w:szCs w:val="24"/>
          <w:lang w:eastAsia="zh-CN"/>
        </w:rPr>
        <w:t>；</w:t>
      </w:r>
    </w:p>
    <w:p w14:paraId="7492AAA0">
      <w:pPr>
        <w:pStyle w:val="56"/>
        <w:numPr>
          <w:ilvl w:val="0"/>
          <w:numId w:val="11"/>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企业业绩</w:t>
      </w:r>
      <w:r>
        <w:rPr>
          <w:rFonts w:hint="eastAsia" w:ascii="宋体" w:hAnsi="宋体" w:cs="宋体"/>
          <w:color w:val="auto"/>
          <w:sz w:val="24"/>
          <w:szCs w:val="24"/>
          <w:lang w:eastAsia="zh-CN"/>
        </w:rPr>
        <w:t>；</w:t>
      </w:r>
    </w:p>
    <w:p w14:paraId="1C4D15C1">
      <w:pPr>
        <w:pStyle w:val="56"/>
        <w:numPr>
          <w:ilvl w:val="0"/>
          <w:numId w:val="11"/>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人员证书</w:t>
      </w:r>
      <w:r>
        <w:rPr>
          <w:rFonts w:hint="eastAsia" w:ascii="宋体" w:hAnsi="宋体" w:cs="宋体"/>
          <w:color w:val="auto"/>
          <w:sz w:val="24"/>
          <w:szCs w:val="24"/>
          <w:lang w:eastAsia="zh-CN"/>
        </w:rPr>
        <w:t>；</w:t>
      </w:r>
    </w:p>
    <w:p w14:paraId="098AD0C8">
      <w:pPr>
        <w:pStyle w:val="56"/>
        <w:numPr>
          <w:ilvl w:val="0"/>
          <w:numId w:val="11"/>
        </w:numPr>
        <w:spacing w:before="0" w:line="336" w:lineRule="auto"/>
        <w:ind w:firstLine="480"/>
        <w:rPr>
          <w:rFonts w:asciiTheme="minorEastAsia" w:hAnsiTheme="minorEastAsia" w:eastAsiaTheme="minorEastAsia"/>
          <w:color w:val="auto"/>
        </w:rPr>
      </w:pPr>
      <w:r>
        <w:rPr>
          <w:rFonts w:hint="eastAsia" w:ascii="宋体" w:hAnsi="宋体" w:cs="宋体"/>
          <w:color w:val="auto"/>
          <w:sz w:val="24"/>
          <w:szCs w:val="24"/>
        </w:rPr>
        <w:t>企业证书</w:t>
      </w:r>
      <w:r>
        <w:rPr>
          <w:rFonts w:hint="eastAsia" w:ascii="宋体" w:hAnsi="宋体" w:cs="宋体"/>
          <w:color w:val="auto"/>
          <w:sz w:val="24"/>
          <w:szCs w:val="24"/>
          <w:lang w:eastAsia="zh-CN"/>
        </w:rPr>
        <w:t>；</w:t>
      </w:r>
    </w:p>
    <w:p w14:paraId="2F141D06">
      <w:pPr>
        <w:pStyle w:val="56"/>
        <w:numPr>
          <w:ilvl w:val="0"/>
          <w:numId w:val="11"/>
        </w:numPr>
        <w:spacing w:before="0" w:line="336"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供应商认为需要的其他文件资料。</w:t>
      </w:r>
    </w:p>
    <w:p w14:paraId="3AE41EC0">
      <w:pPr>
        <w:pStyle w:val="56"/>
        <w:tabs>
          <w:tab w:val="left" w:pos="0"/>
        </w:tabs>
        <w:spacing w:before="0" w:line="336"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注：以上内容应与评标办法中内容具有一致性。</w:t>
      </w:r>
    </w:p>
    <w:p w14:paraId="586E56CD">
      <w:pPr>
        <w:pStyle w:val="56"/>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1FFD3B52">
      <w:pPr>
        <w:pStyle w:val="56"/>
        <w:tabs>
          <w:tab w:val="left" w:pos="0"/>
        </w:tabs>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eastAsia="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22522CD8">
      <w:pPr>
        <w:pStyle w:val="56"/>
        <w:numPr>
          <w:ilvl w:val="0"/>
          <w:numId w:val="9"/>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报价文件包括以下内容：</w:t>
      </w:r>
    </w:p>
    <w:p w14:paraId="35C710FC">
      <w:pPr>
        <w:pStyle w:val="56"/>
        <w:numPr>
          <w:ilvl w:val="0"/>
          <w:numId w:val="12"/>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磋商函（格式见附件）；</w:t>
      </w:r>
    </w:p>
    <w:p w14:paraId="2E5802B6">
      <w:pPr>
        <w:pStyle w:val="56"/>
        <w:numPr>
          <w:ilvl w:val="0"/>
          <w:numId w:val="12"/>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报价一览表（格式见附件）；</w:t>
      </w:r>
    </w:p>
    <w:p w14:paraId="49581023">
      <w:pPr>
        <w:pStyle w:val="56"/>
        <w:numPr>
          <w:ilvl w:val="0"/>
          <w:numId w:val="12"/>
        </w:numPr>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磋商报价明细表（格式见附件）</w:t>
      </w:r>
      <w:r>
        <w:rPr>
          <w:rFonts w:hint="eastAsia" w:ascii="宋体" w:hAnsi="宋体" w:cs="宋体"/>
          <w:color w:val="auto"/>
          <w:highlight w:val="none"/>
          <w:lang w:eastAsia="zh-CN"/>
        </w:rPr>
        <w:t>；</w:t>
      </w:r>
    </w:p>
    <w:p w14:paraId="5C564950">
      <w:pPr>
        <w:pStyle w:val="56"/>
        <w:spacing w:before="0" w:line="336" w:lineRule="auto"/>
        <w:ind w:firstLine="241" w:firstLineChars="1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注：“资格文件”、“商务技术文件”、“报价文件”须分3个PDF格式分别导入。</w:t>
      </w:r>
    </w:p>
    <w:p w14:paraId="5477CB7B">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10、响应文件有效期</w:t>
      </w:r>
    </w:p>
    <w:p w14:paraId="45CC63B9">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 响应文件未在磋商响应截止时间前完成传输的或者未按时解密的，视为放弃磋商；响应文件解密失败后未提供备份文件或者备份文件也出现异常情况无法进行评审的，亦视为放弃磋商。</w:t>
      </w:r>
    </w:p>
    <w:p w14:paraId="2FBB33C7">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 响应文件上传后，自磋商响应截止日期起，在前附表所列的磋商响应文件有效期内有效。</w:t>
      </w:r>
    </w:p>
    <w:p w14:paraId="37E377D2">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 在原定有效期满之前，如果出现特殊情况，采购代理机构可以以书面形式向磋商供应商提出延长磋商有效期的要求，磋商供应商对此须以书面形式予以答复。</w:t>
      </w:r>
    </w:p>
    <w:p w14:paraId="66D8C32A">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11、供应商如有下列情况之一者列入不良行为记录：</w:t>
      </w:r>
    </w:p>
    <w:p w14:paraId="36F97FDC">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11.1 供应商在磋商响应文件有效期内撤回投标的；</w:t>
      </w:r>
    </w:p>
    <w:p w14:paraId="2D60DE51">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11.2 供应商或中标候选人放弃中标或中标候选人资格的；</w:t>
      </w:r>
    </w:p>
    <w:p w14:paraId="5B9599AA">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11.3 擅自修改或拒绝接受已经确认的条款；</w:t>
      </w:r>
    </w:p>
    <w:p w14:paraId="5993B077">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11.4 成交供应商未按规定与采购人签订合同；</w:t>
      </w:r>
    </w:p>
    <w:p w14:paraId="34F8782C">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11.5 供应商采取提供虚假资料等不正当手段的；</w:t>
      </w:r>
    </w:p>
    <w:p w14:paraId="3BADAC30">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11.6 供应商在投标过程中串通投标的。</w:t>
      </w:r>
    </w:p>
    <w:p w14:paraId="4DB8051B">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12、响应文件的编制和签署</w:t>
      </w:r>
    </w:p>
    <w:p w14:paraId="51193F6D">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 按磋商文件9.1条、9.2条、9.3条要求提供的各种文件，响应文件分为资格文件、商务技术文件和报价文件三部分。</w:t>
      </w:r>
    </w:p>
    <w:p w14:paraId="59766976">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 响应文件须按附件格式要求进行电子签章，供应商应写全称。（电子磋商响应文件中所须加盖公章部分均应采用电子签章）</w:t>
      </w:r>
    </w:p>
    <w:p w14:paraId="400FED6D">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12.3 全套响应文件应无涂改和行间插字，除非这些删改是根据采购代理机构要求进行，或者是供应商造成的必须修改的错误。所修改处应由法定代表人或其授权代表签字盖章予以确认。</w:t>
      </w:r>
    </w:p>
    <w:p w14:paraId="156AA859">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12.4 由于字迹模糊或表达不清引起的后果由供应商负责。</w:t>
      </w:r>
    </w:p>
    <w:p w14:paraId="47791DF7">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13、响应文件的形式</w:t>
      </w:r>
    </w:p>
    <w:p w14:paraId="59E3BAC6">
      <w:pPr>
        <w:pStyle w:val="56"/>
        <w:keepNext w:val="0"/>
        <w:keepLines w:val="0"/>
        <w:pageBreakBefore w:val="0"/>
        <w:widowControl w:val="0"/>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响应文件为电子磋商响应文件，电子磋商响应文件按“政采云供应商项目采购-电子招投标操作指南”及本磋商文件要求制作、加密传输。</w:t>
      </w:r>
    </w:p>
    <w:p w14:paraId="70A60665">
      <w:pPr>
        <w:pStyle w:val="2"/>
        <w:numPr>
          <w:ilvl w:val="0"/>
          <w:numId w:val="8"/>
        </w:numPr>
        <w:spacing w:line="336" w:lineRule="auto"/>
        <w:jc w:val="center"/>
        <w:rPr>
          <w:rFonts w:hint="eastAsia" w:ascii="宋体" w:hAnsi="宋体" w:eastAsia="宋体" w:cs="宋体"/>
          <w:color w:val="auto"/>
          <w:highlight w:val="none"/>
        </w:rPr>
      </w:pPr>
      <w:bookmarkStart w:id="56" w:name="_Toc1420"/>
      <w:r>
        <w:rPr>
          <w:rFonts w:hint="eastAsia" w:ascii="宋体" w:hAnsi="宋体" w:eastAsia="宋体" w:cs="宋体"/>
          <w:color w:val="auto"/>
          <w:highlight w:val="none"/>
        </w:rPr>
        <w:t xml:space="preserve"> </w:t>
      </w:r>
      <w:bookmarkStart w:id="57" w:name="_Toc2412"/>
      <w:bookmarkStart w:id="58" w:name="_Toc21266"/>
      <w:r>
        <w:rPr>
          <w:rFonts w:hint="eastAsia" w:ascii="宋体" w:hAnsi="宋体" w:eastAsia="宋体" w:cs="宋体"/>
          <w:color w:val="auto"/>
          <w:highlight w:val="none"/>
        </w:rPr>
        <w:t>响应文件的递交</w:t>
      </w:r>
      <w:bookmarkEnd w:id="56"/>
      <w:bookmarkEnd w:id="57"/>
      <w:bookmarkEnd w:id="58"/>
    </w:p>
    <w:p w14:paraId="6F36C734">
      <w:pPr>
        <w:pStyle w:val="16"/>
        <w:spacing w:line="336"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14、磋商响应截止期</w:t>
      </w:r>
    </w:p>
    <w:p w14:paraId="1EE9357B">
      <w:pPr>
        <w:pStyle w:val="56"/>
        <w:keepNext w:val="0"/>
        <w:keepLines w:val="0"/>
        <w:pageBreakBefore w:val="0"/>
        <w:widowControl w:val="0"/>
        <w:numPr>
          <w:ilvl w:val="0"/>
          <w:numId w:val="0"/>
        </w:numPr>
        <w:tabs>
          <w:tab w:val="left" w:pos="0"/>
        </w:tabs>
        <w:kinsoku/>
        <w:wordWrap/>
        <w:overflowPunct/>
        <w:topLinePunct w:val="0"/>
        <w:autoSpaceDE/>
        <w:autoSpaceDN/>
        <w:bidi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 xml:space="preserve">14.1 </w:t>
      </w:r>
      <w:r>
        <w:rPr>
          <w:rFonts w:hint="eastAsia" w:ascii="宋体" w:hAnsi="宋体" w:eastAsia="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57672A95">
      <w:pPr>
        <w:pStyle w:val="56"/>
        <w:keepNext w:val="0"/>
        <w:keepLines w:val="0"/>
        <w:pageBreakBefore w:val="0"/>
        <w:widowControl w:val="0"/>
        <w:numPr>
          <w:ilvl w:val="0"/>
          <w:numId w:val="0"/>
        </w:numPr>
        <w:tabs>
          <w:tab w:val="left" w:pos="0"/>
        </w:tabs>
        <w:kinsoku/>
        <w:wordWrap/>
        <w:overflowPunct/>
        <w:topLinePunct w:val="0"/>
        <w:autoSpaceDE/>
        <w:autoSpaceDN/>
        <w:bidi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 xml:space="preserve">14.2 </w:t>
      </w:r>
      <w:r>
        <w:rPr>
          <w:rFonts w:hint="eastAsia" w:ascii="宋体" w:hAnsi="宋体" w:eastAsia="宋体" w:cs="宋体"/>
          <w:color w:val="auto"/>
          <w:highlight w:val="none"/>
        </w:rPr>
        <w:t>采购人因故推迟磋商响应截止时间，将以公告形式通知。在这种情况下，采购人和供应商的权利和义务将受到新的截止时间的约束。</w:t>
      </w:r>
    </w:p>
    <w:p w14:paraId="69D4096F">
      <w:pPr>
        <w:pStyle w:val="16"/>
        <w:keepNext w:val="0"/>
        <w:keepLines w:val="0"/>
        <w:pageBreakBefore w:val="0"/>
        <w:widowControl w:val="0"/>
        <w:kinsoku/>
        <w:wordWrap/>
        <w:overflowPunct/>
        <w:topLinePunct w:val="0"/>
        <w:autoSpaceDE/>
        <w:autoSpaceDN/>
        <w:bidi w:val="0"/>
        <w:snapToGrid/>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15、响应文件的修改、撤销</w:t>
      </w:r>
    </w:p>
    <w:p w14:paraId="60D22DAC">
      <w:pPr>
        <w:pStyle w:val="16"/>
        <w:keepNext w:val="0"/>
        <w:keepLines w:val="0"/>
        <w:pageBreakBefore w:val="0"/>
        <w:widowControl w:val="0"/>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17DF43FF">
      <w:pPr>
        <w:pStyle w:val="2"/>
        <w:numPr>
          <w:ilvl w:val="0"/>
          <w:numId w:val="8"/>
        </w:numPr>
        <w:spacing w:line="33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59" w:name="_Toc24120"/>
      <w:bookmarkStart w:id="60" w:name="_Toc21419"/>
      <w:r>
        <w:rPr>
          <w:rFonts w:hint="eastAsia" w:ascii="宋体" w:hAnsi="宋体" w:eastAsia="宋体" w:cs="宋体"/>
          <w:color w:val="auto"/>
          <w:highlight w:val="none"/>
        </w:rPr>
        <w:t>磋商无效的情形</w:t>
      </w:r>
      <w:bookmarkEnd w:id="59"/>
      <w:bookmarkEnd w:id="60"/>
    </w:p>
    <w:p w14:paraId="6E30F1C7">
      <w:pPr>
        <w:pStyle w:val="16"/>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16、无效响应</w:t>
      </w:r>
    </w:p>
    <w:p w14:paraId="04935C63">
      <w:pPr>
        <w:pStyle w:val="16"/>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5B99624C">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16.1未按照磋商文件规定要求签署、盖章的；</w:t>
      </w:r>
    </w:p>
    <w:p w14:paraId="636C2B26">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16.2《法定代表人授权书》填写不全、错误、未加盖供应商公章（公章和签字或盖章缺一不可）； </w:t>
      </w:r>
    </w:p>
    <w:p w14:paraId="5FE904A6">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16.3个体工商户的身份证明与营业执照不一致的；</w:t>
      </w:r>
    </w:p>
    <w:p w14:paraId="42C62AC9">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16.4响应文件中的磋商函未加盖供应商的企业公章或填写不全的；</w:t>
      </w:r>
    </w:p>
    <w:p w14:paraId="36D9785A">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16.5报价一经涂改，未在涂改处加盖投标单位公章或者未经法定代表人或其授权代表签字或盖章的；</w:t>
      </w:r>
    </w:p>
    <w:p w14:paraId="360BE666">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16.6因未按规定的格式填写，内容不全或主要实质性内容字迹模糊辨认不清,经评标委员会认定为无法评审的；</w:t>
      </w:r>
    </w:p>
    <w:p w14:paraId="37F53FD4">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16.7出现同一标的物或本次采购产品(服务)内的主要产品(重要组成部分)出现技术、商务描述不一致或前后描述不一致，经评标委员会认定后为无法评审的；</w:t>
      </w:r>
    </w:p>
    <w:p w14:paraId="5499E733">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16.8响应详细配置清单响应表不真实填写或弄虚作假的；改变磋商文件提供的清单中的计量单位、工程数量；</w:t>
      </w:r>
    </w:p>
    <w:p w14:paraId="57773F7F">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16.9对采购产品技术规格未详细应答，致使其技术文件无法评审的；</w:t>
      </w:r>
    </w:p>
    <w:p w14:paraId="51E2128A">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16.10响应文件有采购方不能接受的条件；</w:t>
      </w:r>
    </w:p>
    <w:p w14:paraId="1DECDF8C">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0172A73D">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16.12磋商报价超过预算金额或最高限价的；</w:t>
      </w:r>
    </w:p>
    <w:p w14:paraId="24AB6858">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16.13响应文件“商务技术文件资料”部分中出现《报价一览表》或《磋商报价明细表》相关内容的；</w:t>
      </w:r>
    </w:p>
    <w:p w14:paraId="2D73833F">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16.14评标委员会认定有重大偏差或实质性不响应磋商文件要求的，即“★”的关键性指标及技术参数要求负偏离或缺漏；</w:t>
      </w:r>
    </w:p>
    <w:p w14:paraId="0D57468A">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16.15供应商拒绝按磋商文件规定的修正原则对响应文件进行修改的；</w:t>
      </w:r>
    </w:p>
    <w:p w14:paraId="21EA86A2">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16.16有下列情形之一的，视为供应商串通投标，其投标无效：</w:t>
      </w:r>
    </w:p>
    <w:p w14:paraId="579E0DEF">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16.16.1不同供应商的响应文件由同一单位或者个人编制；</w:t>
      </w:r>
    </w:p>
    <w:p w14:paraId="6CE0F698">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16.16.2不同供应商委托同一单位或者个人办理投标事宜；</w:t>
      </w:r>
    </w:p>
    <w:p w14:paraId="19321AB8">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16.16.3不同供应商的响应文件载明的项目管理成员或者联系人员为同一人；</w:t>
      </w:r>
    </w:p>
    <w:p w14:paraId="29C50BB5">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16.16.4不同供应商的响应文件异常一致或者投标报价呈规律性差异；</w:t>
      </w:r>
    </w:p>
    <w:p w14:paraId="41A8B52C">
      <w:pPr>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16.16.5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14:paraId="71A3557B">
      <w:pPr>
        <w:tabs>
          <w:tab w:val="left" w:pos="3870"/>
          <w:tab w:val="left" w:pos="4085"/>
        </w:tabs>
        <w:snapToGrid w:val="0"/>
        <w:spacing w:line="336"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其他违反法律、法规的情形。</w:t>
      </w:r>
    </w:p>
    <w:p w14:paraId="79BFCABE">
      <w:pPr>
        <w:pStyle w:val="2"/>
        <w:numPr>
          <w:ilvl w:val="0"/>
          <w:numId w:val="8"/>
        </w:numPr>
        <w:spacing w:line="33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61" w:name="_Toc21752"/>
      <w:bookmarkStart w:id="62" w:name="_Toc21771"/>
      <w:r>
        <w:rPr>
          <w:rFonts w:hint="eastAsia" w:ascii="宋体" w:hAnsi="宋体" w:eastAsia="宋体" w:cs="宋体"/>
          <w:color w:val="auto"/>
          <w:highlight w:val="none"/>
        </w:rPr>
        <w:t>采购中止的情形</w:t>
      </w:r>
      <w:bookmarkEnd w:id="61"/>
      <w:bookmarkEnd w:id="62"/>
    </w:p>
    <w:p w14:paraId="47D1FB22">
      <w:pPr>
        <w:pStyle w:val="16"/>
        <w:keepNext w:val="0"/>
        <w:keepLines w:val="0"/>
        <w:pageBreakBefore w:val="0"/>
        <w:widowControl w:val="0"/>
        <w:kinsoku/>
        <w:wordWrap/>
        <w:overflowPunct/>
        <w:topLinePunct w:val="0"/>
        <w:autoSpaceDE/>
        <w:autoSpaceDN/>
        <w:bidi w:val="0"/>
        <w:snapToGrid/>
        <w:spacing w:line="336"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w:t>
      </w:r>
      <w:r>
        <w:rPr>
          <w:rFonts w:hint="eastAsia" w:ascii="宋体" w:hAnsi="宋体" w:eastAsia="宋体" w:cs="宋体"/>
          <w:b/>
          <w:bCs/>
          <w:color w:val="auto"/>
          <w:sz w:val="24"/>
          <w:szCs w:val="24"/>
          <w:highlight w:val="none"/>
          <w:lang w:val="zh-CN"/>
        </w:rPr>
        <w:t>中止电子交易活动和</w:t>
      </w:r>
      <w:r>
        <w:rPr>
          <w:rFonts w:hint="eastAsia" w:ascii="宋体" w:hAnsi="宋体" w:eastAsia="宋体" w:cs="宋体"/>
          <w:b/>
          <w:bCs/>
          <w:color w:val="auto"/>
          <w:sz w:val="24"/>
          <w:szCs w:val="24"/>
          <w:highlight w:val="none"/>
        </w:rPr>
        <w:t>重新组织采购</w:t>
      </w:r>
    </w:p>
    <w:p w14:paraId="658EFCF5">
      <w:pPr>
        <w:pStyle w:val="56"/>
        <w:keepNext w:val="0"/>
        <w:keepLines w:val="0"/>
        <w:pageBreakBefore w:val="0"/>
        <w:widowControl w:val="0"/>
        <w:tabs>
          <w:tab w:val="left" w:pos="0"/>
        </w:tabs>
        <w:kinsoku/>
        <w:wordWrap/>
        <w:overflowPunct/>
        <w:topLinePunct w:val="0"/>
        <w:autoSpaceDE/>
        <w:autoSpaceDN/>
        <w:bidi w:val="0"/>
        <w:snapToGrid/>
        <w:spacing w:before="0" w:line="336" w:lineRule="auto"/>
        <w:ind w:left="0" w:leftChars="0"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17.1</w:t>
      </w:r>
      <w:r>
        <w:rPr>
          <w:rFonts w:hint="eastAsia" w:ascii="宋体" w:hAnsi="宋体" w:eastAsia="宋体" w:cs="宋体"/>
          <w:color w:val="auto"/>
          <w:highlight w:val="none"/>
          <w:lang w:val="zh-CN"/>
        </w:rPr>
        <w:t>采购过程中出现以下情形，导致电子交易平台无法正常运行，或者无法保证电子交易的公平、公正和安全时，采购组织机构可中止电子交易活动：</w:t>
      </w:r>
    </w:p>
    <w:p w14:paraId="277379BB">
      <w:pPr>
        <w:keepNext w:val="0"/>
        <w:keepLines w:val="0"/>
        <w:pageBreakBefore w:val="0"/>
        <w:widowControl w:val="0"/>
        <w:numPr>
          <w:ilvl w:val="0"/>
          <w:numId w:val="13"/>
        </w:numP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电子交易平台发生故障而无法登录访问的； </w:t>
      </w:r>
    </w:p>
    <w:p w14:paraId="3769D7DD">
      <w:pPr>
        <w:keepNext w:val="0"/>
        <w:keepLines w:val="0"/>
        <w:pageBreakBefore w:val="0"/>
        <w:widowControl w:val="0"/>
        <w:numPr>
          <w:ilvl w:val="0"/>
          <w:numId w:val="13"/>
        </w:numP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电子交易平台应用或数据库出现错误，不能进行正常操作的；</w:t>
      </w:r>
    </w:p>
    <w:p w14:paraId="35309AAB">
      <w:pPr>
        <w:keepNext w:val="0"/>
        <w:keepLines w:val="0"/>
        <w:pageBreakBefore w:val="0"/>
        <w:widowControl w:val="0"/>
        <w:numPr>
          <w:ilvl w:val="0"/>
          <w:numId w:val="13"/>
        </w:numP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电子交易平台发现严重安全漏洞，有潜在泄密危险的；</w:t>
      </w:r>
    </w:p>
    <w:p w14:paraId="250C9B41">
      <w:pPr>
        <w:keepNext w:val="0"/>
        <w:keepLines w:val="0"/>
        <w:pageBreakBefore w:val="0"/>
        <w:widowControl w:val="0"/>
        <w:numPr>
          <w:ilvl w:val="0"/>
          <w:numId w:val="13"/>
        </w:numP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病毒发作导致不能进行正常操作的； </w:t>
      </w:r>
    </w:p>
    <w:p w14:paraId="7FD35CE5">
      <w:pPr>
        <w:keepNext w:val="0"/>
        <w:keepLines w:val="0"/>
        <w:pageBreakBefore w:val="0"/>
        <w:widowControl w:val="0"/>
        <w:numPr>
          <w:ilvl w:val="0"/>
          <w:numId w:val="13"/>
        </w:numPr>
        <w:tabs>
          <w:tab w:val="left" w:pos="0"/>
        </w:tabs>
        <w:kinsoku/>
        <w:wordWrap/>
        <w:overflowPunct/>
        <w:topLinePunct w:val="0"/>
        <w:autoSpaceDE/>
        <w:autoSpaceDN/>
        <w:bidi w:val="0"/>
        <w:snapToGrid/>
        <w:spacing w:line="33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其他无法保证电子交易的公平、公正和安全的情况。</w:t>
      </w:r>
    </w:p>
    <w:p w14:paraId="30A46C9D">
      <w:pPr>
        <w:pStyle w:val="56"/>
        <w:keepNext w:val="0"/>
        <w:keepLines w:val="0"/>
        <w:pageBreakBefore w:val="0"/>
        <w:widowControl w:val="0"/>
        <w:tabs>
          <w:tab w:val="left" w:pos="0"/>
        </w:tabs>
        <w:kinsoku/>
        <w:wordWrap/>
        <w:overflowPunct/>
        <w:topLinePunct w:val="0"/>
        <w:autoSpaceDE/>
        <w:autoSpaceDN/>
        <w:bidi w:val="0"/>
        <w:snapToGrid/>
        <w:spacing w:before="0" w:line="336"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0CA338B1">
      <w:pPr>
        <w:pStyle w:val="2"/>
        <w:numPr>
          <w:ilvl w:val="0"/>
          <w:numId w:val="8"/>
        </w:numPr>
        <w:spacing w:line="33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63" w:name="_Toc22404"/>
      <w:bookmarkStart w:id="64" w:name="_Toc14029"/>
      <w:r>
        <w:rPr>
          <w:rFonts w:hint="eastAsia" w:ascii="宋体" w:hAnsi="宋体" w:eastAsia="宋体" w:cs="宋体"/>
          <w:color w:val="auto"/>
          <w:highlight w:val="none"/>
        </w:rPr>
        <w:t>确定成交供应商与签订合同</w:t>
      </w:r>
      <w:bookmarkEnd w:id="63"/>
      <w:bookmarkEnd w:id="64"/>
    </w:p>
    <w:p w14:paraId="1892D73B">
      <w:pPr>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18、推荐成交候选供应商</w:t>
      </w:r>
    </w:p>
    <w:p w14:paraId="1C2585C9">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14:paraId="1B13A3DA">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采购代理机构应当在评审结束后2个工作日内将评审报告送采购人确认。</w:t>
      </w:r>
    </w:p>
    <w:p w14:paraId="24B2FE08">
      <w:pPr>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19、确定成交供应商</w:t>
      </w:r>
    </w:p>
    <w:p w14:paraId="7146E32F">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911A78F">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19.2采购人或者采购代理机构应当在成交供应商确定后2个工作日内，在省级以上财政部门指定的政府采购信息发布媒体上公告成交结果，同时向成交供应商发出成交通知书。</w:t>
      </w:r>
    </w:p>
    <w:p w14:paraId="6B99133E">
      <w:pPr>
        <w:adjustRightIn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20、签订合同</w:t>
      </w:r>
    </w:p>
    <w:p w14:paraId="0D32BA86">
      <w:pPr>
        <w:pStyle w:val="56"/>
        <w:snapToGrid w:val="0"/>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20.1. 采购人与成交供应商应当在成交通知书发出之日起30日内，按照磋商文件确定的合同文本以及采购标的、规格型号、采购金额、采购数量、技术和服务要求等事项签订政府采购合同。</w:t>
      </w:r>
    </w:p>
    <w:p w14:paraId="3BF54B64">
      <w:pPr>
        <w:pStyle w:val="56"/>
        <w:snapToGrid w:val="0"/>
        <w:spacing w:before="0"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0BACE16A">
      <w:pPr>
        <w:adjustRightInd w:val="0"/>
        <w:snapToGrid w:val="0"/>
        <w:spacing w:line="336"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21、解释权</w:t>
      </w:r>
    </w:p>
    <w:p w14:paraId="5B95FCAE">
      <w:pPr>
        <w:adjustRightIn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绍兴市上虞区道墟街道办事处</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浙江省成套工程有限公司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56F27A8">
      <w:pPr>
        <w:pStyle w:val="9"/>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65" w:name="_Toc1917"/>
      <w:bookmarkStart w:id="66" w:name="_Toc21248"/>
      <w:r>
        <w:rPr>
          <w:rFonts w:hint="eastAsia" w:ascii="宋体" w:hAnsi="宋体" w:eastAsia="宋体" w:cs="宋体"/>
          <w:color w:val="auto"/>
          <w:sz w:val="36"/>
          <w:szCs w:val="36"/>
          <w:highlight w:val="none"/>
        </w:rPr>
        <w:t>第三部分 采购内容及要求</w:t>
      </w:r>
      <w:bookmarkEnd w:id="65"/>
      <w:bookmarkEnd w:id="66"/>
    </w:p>
    <w:p w14:paraId="0299A8B2">
      <w:pPr>
        <w:pStyle w:val="2"/>
        <w:jc w:val="center"/>
        <w:rPr>
          <w:rFonts w:hint="eastAsia" w:ascii="宋体" w:hAnsi="宋体" w:eastAsia="宋体" w:cs="宋体"/>
          <w:color w:val="auto"/>
          <w:highlight w:val="none"/>
        </w:rPr>
      </w:pPr>
      <w:bookmarkStart w:id="67" w:name="_Toc25073"/>
      <w:bookmarkStart w:id="68" w:name="_Toc12245"/>
      <w:bookmarkStart w:id="69" w:name="_Toc15284"/>
      <w:r>
        <w:rPr>
          <w:rFonts w:hint="eastAsia" w:ascii="宋体" w:hAnsi="宋体" w:eastAsia="宋体" w:cs="宋体"/>
          <w:color w:val="auto"/>
          <w:highlight w:val="none"/>
        </w:rPr>
        <w:t xml:space="preserve">第一章 </w:t>
      </w:r>
      <w:bookmarkStart w:id="70" w:name="_Toc506107120"/>
      <w:r>
        <w:rPr>
          <w:rFonts w:hint="eastAsia" w:ascii="宋体" w:hAnsi="宋体" w:eastAsia="宋体" w:cs="宋体"/>
          <w:color w:val="auto"/>
          <w:highlight w:val="none"/>
        </w:rPr>
        <w:t>采购内容及要求</w:t>
      </w:r>
      <w:bookmarkEnd w:id="67"/>
      <w:bookmarkEnd w:id="68"/>
      <w:bookmarkEnd w:id="70"/>
    </w:p>
    <w:p w14:paraId="0A2D75FA">
      <w:pPr>
        <w:spacing w:line="460" w:lineRule="exact"/>
        <w:ind w:firstLine="482"/>
        <w:rPr>
          <w:rFonts w:hint="eastAsia" w:ascii="宋体" w:hAnsi="宋体" w:cs="黑体"/>
          <w:b/>
          <w:color w:val="auto"/>
          <w:kern w:val="1"/>
          <w:sz w:val="24"/>
          <w:shd w:val="clear" w:color="auto" w:fill="FEFEFE"/>
        </w:rPr>
      </w:pPr>
      <w:bookmarkStart w:id="71" w:name="_Toc20154"/>
      <w:bookmarkStart w:id="72" w:name="_Toc383594466"/>
      <w:bookmarkStart w:id="73" w:name="_Toc339877854"/>
      <w:bookmarkStart w:id="74" w:name="_Toc388866625"/>
      <w:bookmarkStart w:id="75" w:name="_Toc370460889"/>
      <w:bookmarkStart w:id="76" w:name="_Toc370912322"/>
      <w:r>
        <w:rPr>
          <w:rFonts w:ascii="宋体" w:hAnsi="宋体" w:cs="黑体"/>
          <w:b/>
          <w:color w:val="auto"/>
          <w:kern w:val="1"/>
          <w:sz w:val="24"/>
          <w:shd w:val="clear" w:color="auto" w:fill="FEFEFE"/>
        </w:rPr>
        <w:t>一、项目</w:t>
      </w:r>
      <w:r>
        <w:rPr>
          <w:rFonts w:hint="eastAsia" w:ascii="宋体" w:hAnsi="宋体" w:cs="黑体"/>
          <w:b/>
          <w:color w:val="auto"/>
          <w:kern w:val="1"/>
          <w:sz w:val="24"/>
          <w:shd w:val="clear" w:color="auto" w:fill="FEFEFE"/>
        </w:rPr>
        <w:t>背景</w:t>
      </w:r>
    </w:p>
    <w:p w14:paraId="4EAD828D">
      <w:pPr>
        <w:tabs>
          <w:tab w:val="left" w:pos="360"/>
          <w:tab w:val="left" w:pos="540"/>
        </w:tabs>
        <w:spacing w:line="460" w:lineRule="exact"/>
        <w:ind w:firstLine="480"/>
        <w:rPr>
          <w:rFonts w:ascii="宋体" w:hAnsi="宋体" w:cs="宋体"/>
          <w:color w:val="auto"/>
          <w:kern w:val="1"/>
          <w:sz w:val="24"/>
        </w:rPr>
      </w:pPr>
      <w:r>
        <w:rPr>
          <w:rFonts w:ascii="宋体" w:hAnsi="宋体" w:cs="宋体"/>
          <w:color w:val="auto"/>
          <w:kern w:val="1"/>
          <w:sz w:val="24"/>
        </w:rPr>
        <w:t>为进一步加强安全生产基础工作，提高安全监管效能，增强企业生产安全事故防范能力，根据《绍兴市人民政府办公厅转发省安监局关于推进安全生产社会化服务工作的意见的通知》（浙政办发[2016]7号）及绍兴市安监局文件精神，结合</w:t>
      </w:r>
      <w:r>
        <w:rPr>
          <w:rFonts w:hint="eastAsia" w:ascii="宋体" w:hAnsi="宋体" w:cs="宋体"/>
          <w:color w:val="auto"/>
          <w:kern w:val="1"/>
          <w:sz w:val="24"/>
        </w:rPr>
        <w:t>道墟街道</w:t>
      </w:r>
      <w:r>
        <w:rPr>
          <w:rFonts w:ascii="宋体" w:hAnsi="宋体" w:cs="宋体"/>
          <w:color w:val="auto"/>
          <w:kern w:val="1"/>
          <w:sz w:val="24"/>
        </w:rPr>
        <w:t>安全生产管理实际情况，就开展安全生产（消防）社会化服务要求如下：</w:t>
      </w:r>
    </w:p>
    <w:p w14:paraId="0140A036">
      <w:pPr>
        <w:spacing w:line="460" w:lineRule="exact"/>
        <w:ind w:firstLine="482"/>
        <w:rPr>
          <w:rFonts w:ascii="宋体" w:hAnsi="宋体" w:cs="黑体"/>
          <w:b/>
          <w:color w:val="auto"/>
          <w:kern w:val="1"/>
          <w:sz w:val="24"/>
          <w:shd w:val="clear" w:color="auto" w:fill="FEFEFE"/>
        </w:rPr>
      </w:pPr>
      <w:r>
        <w:rPr>
          <w:rFonts w:hint="eastAsia" w:ascii="宋体" w:hAnsi="宋体" w:cs="黑体"/>
          <w:b/>
          <w:color w:val="auto"/>
          <w:kern w:val="1"/>
          <w:sz w:val="24"/>
          <w:shd w:val="clear" w:color="auto" w:fill="FEFEFE"/>
        </w:rPr>
        <w:t>二</w:t>
      </w:r>
      <w:r>
        <w:rPr>
          <w:rFonts w:ascii="宋体" w:hAnsi="宋体" w:cs="黑体"/>
          <w:b/>
          <w:color w:val="auto"/>
          <w:kern w:val="1"/>
          <w:sz w:val="24"/>
          <w:shd w:val="clear" w:color="auto" w:fill="FEFEFE"/>
        </w:rPr>
        <w:t>、总体原则</w:t>
      </w:r>
    </w:p>
    <w:p w14:paraId="631D3002">
      <w:pPr>
        <w:tabs>
          <w:tab w:val="left" w:pos="360"/>
          <w:tab w:val="left" w:pos="540"/>
        </w:tabs>
        <w:spacing w:line="460" w:lineRule="exact"/>
        <w:rPr>
          <w:rFonts w:ascii="宋体" w:hAnsi="宋体" w:cs="宋体"/>
          <w:color w:val="auto"/>
          <w:kern w:val="1"/>
          <w:sz w:val="24"/>
        </w:rPr>
      </w:pPr>
      <w:r>
        <w:rPr>
          <w:rFonts w:ascii="宋体" w:hAnsi="宋体" w:cs="宋体"/>
          <w:color w:val="auto"/>
          <w:kern w:val="1"/>
          <w:sz w:val="24"/>
        </w:rPr>
        <w:t xml:space="preserve">    倡导“科技兴安”安全发展理念，借鉴国外发达国家在安全生产方面成熟经验，充分利用安全生产中介机构在技术、人才、服务等方面的优势，采用有偿技术服务外包的模式，由安全生产社会化服务中介机构协助</w:t>
      </w:r>
      <w:r>
        <w:rPr>
          <w:rFonts w:hint="eastAsia" w:ascii="宋体" w:hAnsi="宋体" w:cs="宋体"/>
          <w:color w:val="auto"/>
          <w:kern w:val="1"/>
          <w:sz w:val="24"/>
        </w:rPr>
        <w:t>街道</w:t>
      </w:r>
      <w:r>
        <w:rPr>
          <w:rFonts w:ascii="宋体" w:hAnsi="宋体" w:cs="宋体"/>
          <w:color w:val="auto"/>
          <w:kern w:val="1"/>
          <w:sz w:val="24"/>
        </w:rPr>
        <w:t>安监部门及网格员通过开展</w:t>
      </w:r>
      <w:r>
        <w:rPr>
          <w:rFonts w:hint="eastAsia" w:ascii="宋体" w:hAnsi="宋体" w:cs="宋体"/>
          <w:color w:val="auto"/>
          <w:kern w:val="1"/>
          <w:sz w:val="24"/>
        </w:rPr>
        <w:t>日常安全</w:t>
      </w:r>
      <w:r>
        <w:rPr>
          <w:rFonts w:ascii="宋体" w:hAnsi="宋体" w:cs="宋体"/>
          <w:color w:val="auto"/>
          <w:kern w:val="1"/>
          <w:sz w:val="24"/>
        </w:rPr>
        <w:t>巡查等相关服务工作，帮助、引导企业开展事故隐患排查，促进本</w:t>
      </w:r>
      <w:r>
        <w:rPr>
          <w:rFonts w:hint="eastAsia" w:ascii="宋体" w:hAnsi="宋体" w:cs="宋体"/>
          <w:color w:val="auto"/>
          <w:kern w:val="1"/>
          <w:sz w:val="24"/>
        </w:rPr>
        <w:t>街道</w:t>
      </w:r>
      <w:r>
        <w:rPr>
          <w:rFonts w:ascii="宋体" w:hAnsi="宋体" w:cs="宋体"/>
          <w:color w:val="auto"/>
          <w:kern w:val="1"/>
          <w:sz w:val="24"/>
        </w:rPr>
        <w:t>辖区内安全生产稳定向好。</w:t>
      </w:r>
    </w:p>
    <w:p w14:paraId="5F44B19B">
      <w:pPr>
        <w:spacing w:line="460" w:lineRule="exact"/>
        <w:ind w:firstLine="472"/>
        <w:rPr>
          <w:rFonts w:ascii="宋体" w:hAnsi="宋体" w:cs="宋体"/>
          <w:b/>
          <w:color w:val="auto"/>
          <w:kern w:val="1"/>
          <w:sz w:val="24"/>
          <w:shd w:val="clear" w:color="auto" w:fill="FEFEFE"/>
        </w:rPr>
      </w:pPr>
      <w:r>
        <w:rPr>
          <w:rFonts w:hint="eastAsia" w:ascii="宋体" w:hAnsi="宋体" w:cs="黑体"/>
          <w:b/>
          <w:color w:val="auto"/>
          <w:kern w:val="1"/>
          <w:sz w:val="24"/>
          <w:shd w:val="clear" w:color="auto" w:fill="FEFEFE"/>
        </w:rPr>
        <w:t>三</w:t>
      </w:r>
      <w:r>
        <w:rPr>
          <w:rFonts w:ascii="宋体" w:hAnsi="宋体" w:cs="黑体"/>
          <w:b/>
          <w:color w:val="auto"/>
          <w:kern w:val="1"/>
          <w:sz w:val="24"/>
          <w:shd w:val="clear" w:color="auto" w:fill="FEFEFE"/>
        </w:rPr>
        <w:t>、目标任务</w:t>
      </w:r>
    </w:p>
    <w:p w14:paraId="0D57FBE9">
      <w:pPr>
        <w:spacing w:line="460" w:lineRule="exact"/>
        <w:ind w:firstLine="480"/>
        <w:rPr>
          <w:color w:val="auto"/>
          <w:kern w:val="1"/>
          <w:sz w:val="24"/>
          <w:shd w:val="clear" w:color="auto" w:fill="FEFEFE"/>
        </w:rPr>
      </w:pPr>
      <w:r>
        <w:rPr>
          <w:color w:val="auto"/>
          <w:kern w:val="1"/>
          <w:sz w:val="24"/>
          <w:shd w:val="clear" w:color="auto" w:fill="FEFEFE"/>
        </w:rPr>
        <w:t>全面推广安全生产社会化服务，引导社会力量参与安全生产工作，有效发挥专业机构、专家力量在防范遏制重特大事故方面的积极作用。通过开展政府购买服务，提升</w:t>
      </w:r>
      <w:r>
        <w:rPr>
          <w:rFonts w:hint="eastAsia"/>
          <w:color w:val="auto"/>
          <w:kern w:val="1"/>
          <w:sz w:val="24"/>
          <w:shd w:val="clear" w:color="auto" w:fill="FEFEFE"/>
        </w:rPr>
        <w:t>街道</w:t>
      </w:r>
      <w:r>
        <w:rPr>
          <w:color w:val="auto"/>
          <w:kern w:val="1"/>
          <w:sz w:val="24"/>
          <w:shd w:val="clear" w:color="auto" w:fill="FEFEFE"/>
        </w:rPr>
        <w:t>安全生产保障能力和监管实力；通过辖区内所有企业开展社会化服务，增强企业安全管理水平，提升事故防范能力，推动企业全面落实安全生产主体责任。</w:t>
      </w:r>
    </w:p>
    <w:p w14:paraId="73902321">
      <w:pPr>
        <w:spacing w:line="460" w:lineRule="exact"/>
        <w:ind w:firstLine="480"/>
        <w:rPr>
          <w:b/>
          <w:color w:val="auto"/>
          <w:kern w:val="1"/>
          <w:sz w:val="24"/>
        </w:rPr>
      </w:pPr>
      <w:r>
        <w:rPr>
          <w:rFonts w:hint="eastAsia"/>
          <w:b/>
          <w:color w:val="auto"/>
          <w:kern w:val="1"/>
          <w:sz w:val="24"/>
        </w:rPr>
        <w:t>四</w:t>
      </w:r>
      <w:r>
        <w:rPr>
          <w:b/>
          <w:color w:val="auto"/>
          <w:kern w:val="1"/>
          <w:sz w:val="24"/>
        </w:rPr>
        <w:t>、服务单位类型、数量及要求</w:t>
      </w:r>
    </w:p>
    <w:tbl>
      <w:tblPr>
        <w:tblStyle w:val="26"/>
        <w:tblW w:w="9072" w:type="dxa"/>
        <w:tblInd w:w="250" w:type="dxa"/>
        <w:tblLayout w:type="fixed"/>
        <w:tblCellMar>
          <w:top w:w="0" w:type="dxa"/>
          <w:left w:w="108" w:type="dxa"/>
          <w:bottom w:w="0" w:type="dxa"/>
          <w:right w:w="108" w:type="dxa"/>
        </w:tblCellMar>
      </w:tblPr>
      <w:tblGrid>
        <w:gridCol w:w="2897"/>
        <w:gridCol w:w="1507"/>
        <w:gridCol w:w="4668"/>
      </w:tblGrid>
      <w:tr w14:paraId="1F00BB52">
        <w:tblPrEx>
          <w:tblCellMar>
            <w:top w:w="0" w:type="dxa"/>
            <w:left w:w="108" w:type="dxa"/>
            <w:bottom w:w="0" w:type="dxa"/>
            <w:right w:w="108" w:type="dxa"/>
          </w:tblCellMar>
        </w:tblPrEx>
        <w:trPr>
          <w:trHeight w:val="696" w:hRule="atLeast"/>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6FC32445">
            <w:pPr>
              <w:jc w:val="center"/>
              <w:rPr>
                <w:rFonts w:hint="eastAsia" w:ascii="宋体" w:hAnsi="宋体" w:cs="宋体"/>
                <w:color w:val="auto"/>
                <w:kern w:val="1"/>
                <w:sz w:val="24"/>
              </w:rPr>
            </w:pPr>
            <w:r>
              <w:rPr>
                <w:rFonts w:hint="eastAsia" w:ascii="宋体" w:hAnsi="宋体" w:cs="宋体"/>
                <w:color w:val="auto"/>
                <w:kern w:val="1"/>
                <w:sz w:val="24"/>
              </w:rPr>
              <w:t>单位类型</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14:paraId="4BDDDCE9">
            <w:pPr>
              <w:jc w:val="center"/>
              <w:rPr>
                <w:rFonts w:hint="eastAsia" w:ascii="宋体" w:hAnsi="宋体" w:cs="宋体"/>
                <w:color w:val="auto"/>
                <w:kern w:val="1"/>
                <w:sz w:val="24"/>
              </w:rPr>
            </w:pPr>
            <w:r>
              <w:rPr>
                <w:rFonts w:hint="eastAsia" w:ascii="宋体" w:hAnsi="宋体" w:cs="宋体"/>
                <w:color w:val="auto"/>
                <w:kern w:val="1"/>
                <w:sz w:val="24"/>
              </w:rPr>
              <w:t>数量（家）</w:t>
            </w:r>
          </w:p>
        </w:tc>
        <w:tc>
          <w:tcPr>
            <w:tcW w:w="4668" w:type="dxa"/>
            <w:tcBorders>
              <w:top w:val="single" w:color="000000" w:sz="4" w:space="0"/>
              <w:left w:val="single" w:color="000000" w:sz="4" w:space="0"/>
              <w:bottom w:val="single" w:color="000000" w:sz="4" w:space="0"/>
              <w:right w:val="single" w:color="000000" w:sz="4" w:space="0"/>
            </w:tcBorders>
            <w:noWrap w:val="0"/>
            <w:vAlign w:val="center"/>
          </w:tcPr>
          <w:p w14:paraId="53FF4ADF">
            <w:pPr>
              <w:jc w:val="center"/>
              <w:rPr>
                <w:rFonts w:hint="eastAsia" w:ascii="宋体" w:hAnsi="宋体" w:cs="宋体"/>
                <w:color w:val="auto"/>
                <w:kern w:val="1"/>
                <w:sz w:val="24"/>
              </w:rPr>
            </w:pPr>
            <w:r>
              <w:rPr>
                <w:rFonts w:hint="eastAsia" w:ascii="宋体" w:hAnsi="宋体" w:cs="宋体"/>
                <w:color w:val="auto"/>
                <w:kern w:val="1"/>
                <w:sz w:val="24"/>
              </w:rPr>
              <w:t>服务要求</w:t>
            </w:r>
          </w:p>
        </w:tc>
      </w:tr>
      <w:tr w14:paraId="5C6DD70E">
        <w:tblPrEx>
          <w:tblCellMar>
            <w:top w:w="0" w:type="dxa"/>
            <w:left w:w="108" w:type="dxa"/>
            <w:bottom w:w="0" w:type="dxa"/>
            <w:right w:w="108" w:type="dxa"/>
          </w:tblCellMar>
        </w:tblPrEx>
        <w:trPr>
          <w:trHeight w:val="696" w:hRule="atLeast"/>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1F3FCFCF">
            <w:pPr>
              <w:jc w:val="center"/>
              <w:rPr>
                <w:rFonts w:hint="eastAsia" w:ascii="宋体" w:hAnsi="宋体" w:cs="宋体"/>
                <w:color w:val="auto"/>
                <w:kern w:val="1"/>
                <w:sz w:val="24"/>
              </w:rPr>
            </w:pPr>
            <w:r>
              <w:rPr>
                <w:rFonts w:hint="eastAsia" w:ascii="宋体" w:hAnsi="宋体" w:cs="宋体"/>
                <w:color w:val="auto"/>
                <w:kern w:val="1"/>
                <w:sz w:val="24"/>
              </w:rPr>
              <w:t>规上企业</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14:paraId="195E5C9D">
            <w:pPr>
              <w:jc w:val="center"/>
              <w:rPr>
                <w:rFonts w:hint="default" w:ascii="宋体" w:hAnsi="宋体" w:eastAsia="宋体" w:cs="宋体"/>
                <w:color w:val="auto"/>
                <w:kern w:val="1"/>
                <w:sz w:val="24"/>
                <w:lang w:val="en-US" w:eastAsia="zh-CN"/>
              </w:rPr>
            </w:pPr>
            <w:r>
              <w:rPr>
                <w:rFonts w:hint="eastAsia" w:ascii="宋体" w:hAnsi="宋体" w:cs="宋体"/>
                <w:color w:val="auto"/>
                <w:kern w:val="1"/>
                <w:sz w:val="24"/>
                <w:lang w:val="en-US" w:eastAsia="zh-CN"/>
              </w:rPr>
              <w:t>45</w:t>
            </w:r>
          </w:p>
        </w:tc>
        <w:tc>
          <w:tcPr>
            <w:tcW w:w="4668" w:type="dxa"/>
            <w:tcBorders>
              <w:top w:val="single" w:color="000000" w:sz="4" w:space="0"/>
              <w:left w:val="single" w:color="000000" w:sz="4" w:space="0"/>
              <w:bottom w:val="single" w:color="000000" w:sz="4" w:space="0"/>
              <w:right w:val="single" w:color="000000" w:sz="4" w:space="0"/>
            </w:tcBorders>
            <w:noWrap w:val="0"/>
            <w:vAlign w:val="center"/>
          </w:tcPr>
          <w:p w14:paraId="27B7D024">
            <w:pPr>
              <w:jc w:val="center"/>
              <w:rPr>
                <w:rFonts w:hint="eastAsia" w:ascii="宋体" w:hAnsi="宋体" w:cs="宋体"/>
                <w:color w:val="auto"/>
                <w:kern w:val="1"/>
                <w:sz w:val="24"/>
              </w:rPr>
            </w:pPr>
            <w:r>
              <w:rPr>
                <w:rFonts w:hint="eastAsia" w:ascii="宋体" w:hAnsi="宋体" w:cs="宋体"/>
                <w:color w:val="auto"/>
                <w:kern w:val="1"/>
                <w:sz w:val="24"/>
                <w:lang w:eastAsia="zh-CN"/>
              </w:rPr>
              <w:t>每</w:t>
            </w:r>
            <w:r>
              <w:rPr>
                <w:rFonts w:hint="eastAsia" w:ascii="宋体" w:hAnsi="宋体" w:cs="宋体"/>
                <w:color w:val="auto"/>
                <w:kern w:val="1"/>
                <w:sz w:val="24"/>
                <w:lang w:val="en-US" w:eastAsia="zh-CN"/>
              </w:rPr>
              <w:t>两月</w:t>
            </w:r>
            <w:r>
              <w:rPr>
                <w:rFonts w:hint="eastAsia" w:ascii="宋体" w:hAnsi="宋体" w:cs="宋体"/>
                <w:color w:val="auto"/>
                <w:kern w:val="1"/>
                <w:sz w:val="24"/>
              </w:rPr>
              <w:t>排查</w:t>
            </w:r>
            <w:r>
              <w:rPr>
                <w:rFonts w:hint="eastAsia" w:ascii="宋体" w:hAnsi="宋体" w:cs="宋体"/>
                <w:color w:val="auto"/>
                <w:kern w:val="1"/>
                <w:sz w:val="24"/>
                <w:lang w:val="en-US" w:eastAsia="zh-CN"/>
              </w:rPr>
              <w:t>一次</w:t>
            </w:r>
            <w:r>
              <w:rPr>
                <w:rFonts w:hint="eastAsia" w:ascii="宋体" w:hAnsi="宋体" w:cs="宋体"/>
                <w:color w:val="auto"/>
                <w:kern w:val="1"/>
                <w:sz w:val="24"/>
              </w:rPr>
              <w:t>，一年共</w:t>
            </w:r>
            <w:r>
              <w:rPr>
                <w:rFonts w:hint="eastAsia" w:ascii="宋体" w:hAnsi="宋体" w:cs="宋体"/>
                <w:color w:val="auto"/>
                <w:kern w:val="1"/>
                <w:sz w:val="24"/>
                <w:lang w:val="en-US" w:eastAsia="zh-CN"/>
              </w:rPr>
              <w:t>6</w:t>
            </w:r>
            <w:r>
              <w:rPr>
                <w:rFonts w:hint="eastAsia" w:ascii="宋体" w:hAnsi="宋体" w:cs="宋体"/>
                <w:color w:val="auto"/>
                <w:kern w:val="1"/>
                <w:sz w:val="24"/>
              </w:rPr>
              <w:t>次</w:t>
            </w:r>
          </w:p>
        </w:tc>
      </w:tr>
      <w:tr w14:paraId="013815B0">
        <w:tblPrEx>
          <w:tblCellMar>
            <w:top w:w="0" w:type="dxa"/>
            <w:left w:w="108" w:type="dxa"/>
            <w:bottom w:w="0" w:type="dxa"/>
            <w:right w:w="108" w:type="dxa"/>
          </w:tblCellMar>
        </w:tblPrEx>
        <w:trPr>
          <w:trHeight w:val="606" w:hRule="atLeast"/>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69B353CA">
            <w:pPr>
              <w:jc w:val="center"/>
              <w:rPr>
                <w:rFonts w:hint="eastAsia" w:ascii="宋体" w:hAnsi="宋体" w:cs="宋体"/>
                <w:color w:val="auto"/>
                <w:kern w:val="1"/>
                <w:sz w:val="24"/>
              </w:rPr>
            </w:pPr>
            <w:r>
              <w:rPr>
                <w:rFonts w:hint="eastAsia" w:ascii="宋体" w:hAnsi="宋体" w:cs="宋体"/>
                <w:color w:val="auto"/>
                <w:kern w:val="1"/>
                <w:sz w:val="24"/>
              </w:rPr>
              <w:t>规下企业</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14:paraId="4256FD95">
            <w:pPr>
              <w:jc w:val="center"/>
              <w:rPr>
                <w:rFonts w:hint="default" w:ascii="宋体" w:hAnsi="宋体" w:eastAsia="宋体" w:cs="宋体"/>
                <w:color w:val="auto"/>
                <w:kern w:val="1"/>
                <w:sz w:val="24"/>
                <w:lang w:val="en-US" w:eastAsia="zh-CN"/>
              </w:rPr>
            </w:pPr>
            <w:r>
              <w:rPr>
                <w:rFonts w:hint="eastAsia" w:ascii="宋体" w:hAnsi="宋体" w:cs="宋体"/>
                <w:color w:val="auto"/>
                <w:kern w:val="1"/>
                <w:sz w:val="24"/>
                <w:lang w:val="en-US" w:eastAsia="zh-CN"/>
              </w:rPr>
              <w:t>172</w:t>
            </w:r>
          </w:p>
        </w:tc>
        <w:tc>
          <w:tcPr>
            <w:tcW w:w="4668" w:type="dxa"/>
            <w:tcBorders>
              <w:top w:val="single" w:color="000000" w:sz="4" w:space="0"/>
              <w:left w:val="single" w:color="000000" w:sz="4" w:space="0"/>
              <w:bottom w:val="single" w:color="000000" w:sz="4" w:space="0"/>
              <w:right w:val="single" w:color="000000" w:sz="4" w:space="0"/>
            </w:tcBorders>
            <w:noWrap w:val="0"/>
            <w:vAlign w:val="center"/>
          </w:tcPr>
          <w:p w14:paraId="73D69FB3">
            <w:pPr>
              <w:jc w:val="center"/>
              <w:rPr>
                <w:rFonts w:hint="eastAsia" w:ascii="宋体" w:hAnsi="宋体" w:cs="宋体"/>
                <w:color w:val="auto"/>
                <w:kern w:val="1"/>
                <w:sz w:val="24"/>
              </w:rPr>
            </w:pPr>
            <w:r>
              <w:rPr>
                <w:rFonts w:hint="eastAsia" w:ascii="宋体" w:hAnsi="宋体" w:cs="宋体"/>
                <w:color w:val="auto"/>
                <w:kern w:val="1"/>
                <w:sz w:val="24"/>
              </w:rPr>
              <w:t>每季度排查一次，一年共4次</w:t>
            </w:r>
          </w:p>
        </w:tc>
      </w:tr>
    </w:tbl>
    <w:p w14:paraId="4CF68C3A">
      <w:pPr>
        <w:spacing w:line="460" w:lineRule="exact"/>
        <w:ind w:firstLine="241" w:firstLineChars="100"/>
        <w:rPr>
          <w:rFonts w:ascii="宋体" w:hAnsi="宋体" w:cs="宋体"/>
          <w:color w:val="auto"/>
          <w:kern w:val="1"/>
          <w:sz w:val="24"/>
          <w:shd w:val="clear" w:color="auto" w:fill="FEFEFE"/>
        </w:rPr>
      </w:pPr>
      <w:r>
        <w:rPr>
          <w:rFonts w:ascii="宋体" w:hAnsi="宋体" w:cs="黑体"/>
          <w:b/>
          <w:color w:val="auto"/>
          <w:kern w:val="1"/>
          <w:sz w:val="24"/>
          <w:shd w:val="clear" w:color="auto" w:fill="FEFEFE"/>
        </w:rPr>
        <w:t xml:space="preserve"> </w:t>
      </w:r>
      <w:r>
        <w:rPr>
          <w:rFonts w:hint="eastAsia" w:ascii="宋体" w:hAnsi="宋体" w:cs="黑体"/>
          <w:b/>
          <w:color w:val="auto"/>
          <w:kern w:val="1"/>
          <w:sz w:val="24"/>
          <w:shd w:val="clear" w:color="auto" w:fill="FEFEFE"/>
        </w:rPr>
        <w:t>五</w:t>
      </w:r>
      <w:r>
        <w:rPr>
          <w:rFonts w:ascii="宋体" w:hAnsi="宋体" w:cs="黑体"/>
          <w:b/>
          <w:color w:val="auto"/>
          <w:kern w:val="1"/>
          <w:sz w:val="24"/>
          <w:shd w:val="clear" w:color="auto" w:fill="FEFEFE"/>
        </w:rPr>
        <w:t>、服务内容</w:t>
      </w:r>
    </w:p>
    <w:p w14:paraId="40EFEF7C">
      <w:pPr>
        <w:spacing w:line="460" w:lineRule="exact"/>
        <w:ind w:firstLine="240"/>
        <w:rPr>
          <w:rFonts w:ascii="宋体" w:hAnsi="宋体" w:cs="宋体"/>
          <w:color w:val="auto"/>
          <w:kern w:val="1"/>
          <w:sz w:val="24"/>
        </w:rPr>
      </w:pPr>
      <w:r>
        <w:rPr>
          <w:rFonts w:ascii="宋体" w:hAnsi="宋体" w:cs="宋体"/>
          <w:color w:val="auto"/>
          <w:kern w:val="1"/>
          <w:sz w:val="24"/>
        </w:rPr>
        <w:t>1.指导、督促单位安管员完成单位自查工作；</w:t>
      </w:r>
    </w:p>
    <w:p w14:paraId="4844196C">
      <w:pPr>
        <w:spacing w:line="460" w:lineRule="exact"/>
        <w:ind w:firstLine="240"/>
        <w:rPr>
          <w:rFonts w:ascii="宋体" w:hAnsi="宋体" w:cs="宋体"/>
          <w:color w:val="auto"/>
          <w:kern w:val="1"/>
          <w:sz w:val="24"/>
        </w:rPr>
      </w:pPr>
      <w:r>
        <w:rPr>
          <w:rFonts w:ascii="宋体" w:hAnsi="宋体" w:cs="宋体"/>
          <w:color w:val="auto"/>
          <w:kern w:val="1"/>
          <w:sz w:val="24"/>
        </w:rPr>
        <w:t>2.</w:t>
      </w:r>
      <w:r>
        <w:rPr>
          <w:rFonts w:hint="eastAsia" w:ascii="宋体" w:hAnsi="宋体" w:cs="宋体"/>
          <w:color w:val="auto"/>
          <w:kern w:val="1"/>
          <w:sz w:val="24"/>
        </w:rPr>
        <w:t>按服务要求</w:t>
      </w:r>
      <w:r>
        <w:rPr>
          <w:rFonts w:ascii="宋体" w:hAnsi="宋体" w:cs="宋体"/>
          <w:color w:val="auto"/>
          <w:kern w:val="1"/>
          <w:sz w:val="24"/>
        </w:rPr>
        <w:t>完成</w:t>
      </w:r>
      <w:r>
        <w:rPr>
          <w:rFonts w:hint="eastAsia" w:ascii="宋体" w:hAnsi="宋体" w:cs="宋体"/>
          <w:color w:val="auto"/>
          <w:kern w:val="1"/>
          <w:sz w:val="24"/>
        </w:rPr>
        <w:t>日常安全排查，并建立“一企一档”安全管理台账</w:t>
      </w:r>
      <w:r>
        <w:rPr>
          <w:rFonts w:ascii="宋体" w:hAnsi="宋体" w:cs="宋体"/>
          <w:color w:val="auto"/>
          <w:kern w:val="1"/>
          <w:sz w:val="24"/>
        </w:rPr>
        <w:t>；</w:t>
      </w:r>
    </w:p>
    <w:p w14:paraId="4EB78BA5">
      <w:pPr>
        <w:spacing w:line="460" w:lineRule="exact"/>
        <w:ind w:firstLine="240"/>
        <w:rPr>
          <w:rFonts w:ascii="宋体" w:hAnsi="宋体" w:cs="宋体"/>
          <w:color w:val="auto"/>
          <w:kern w:val="1"/>
          <w:sz w:val="24"/>
        </w:rPr>
      </w:pPr>
      <w:r>
        <w:rPr>
          <w:rFonts w:ascii="宋体" w:hAnsi="宋体" w:cs="宋体"/>
          <w:color w:val="auto"/>
          <w:kern w:val="1"/>
          <w:sz w:val="24"/>
        </w:rPr>
        <w:t>3.按要求填写隐患检查表，对存在的隐患提出整改方案，要求单位签字确认；</w:t>
      </w:r>
    </w:p>
    <w:p w14:paraId="33F8CFC8">
      <w:pPr>
        <w:spacing w:line="460" w:lineRule="exact"/>
        <w:ind w:firstLine="240"/>
        <w:rPr>
          <w:rFonts w:ascii="宋体" w:hAnsi="宋体" w:cs="宋体"/>
          <w:color w:val="auto"/>
          <w:kern w:val="1"/>
          <w:sz w:val="24"/>
        </w:rPr>
      </w:pPr>
      <w:r>
        <w:rPr>
          <w:rFonts w:ascii="宋体" w:hAnsi="宋体" w:cs="宋体"/>
          <w:color w:val="auto"/>
          <w:kern w:val="1"/>
          <w:sz w:val="24"/>
        </w:rPr>
        <w:t>4.督促指导隐患单位进行隐患整改并</w:t>
      </w:r>
      <w:r>
        <w:rPr>
          <w:rFonts w:hint="eastAsia" w:ascii="宋体" w:hAnsi="宋体" w:cs="宋体"/>
          <w:color w:val="auto"/>
          <w:kern w:val="1"/>
          <w:sz w:val="24"/>
        </w:rPr>
        <w:t>编制“隐患整改报告”</w:t>
      </w:r>
      <w:r>
        <w:rPr>
          <w:rFonts w:ascii="宋体" w:hAnsi="宋体" w:cs="宋体"/>
          <w:color w:val="auto"/>
          <w:kern w:val="1"/>
          <w:sz w:val="24"/>
        </w:rPr>
        <w:t>；</w:t>
      </w:r>
    </w:p>
    <w:p w14:paraId="41B6389A">
      <w:pPr>
        <w:spacing w:line="460" w:lineRule="exact"/>
        <w:ind w:firstLine="240"/>
        <w:rPr>
          <w:rFonts w:ascii="宋体" w:hAnsi="宋体" w:cs="宋体"/>
          <w:color w:val="auto"/>
          <w:kern w:val="1"/>
          <w:sz w:val="24"/>
        </w:rPr>
      </w:pPr>
      <w:r>
        <w:rPr>
          <w:rFonts w:ascii="宋体" w:hAnsi="宋体" w:cs="宋体"/>
          <w:color w:val="auto"/>
          <w:kern w:val="1"/>
          <w:sz w:val="24"/>
        </w:rPr>
        <w:t>5.接受</w:t>
      </w:r>
      <w:r>
        <w:rPr>
          <w:rFonts w:hint="eastAsia" w:ascii="宋体" w:hAnsi="宋体" w:cs="宋体"/>
          <w:color w:val="auto"/>
          <w:kern w:val="1"/>
          <w:sz w:val="24"/>
        </w:rPr>
        <w:t>街道</w:t>
      </w:r>
      <w:r>
        <w:rPr>
          <w:rFonts w:ascii="宋体" w:hAnsi="宋体" w:cs="宋体"/>
          <w:color w:val="auto"/>
          <w:kern w:val="1"/>
          <w:sz w:val="24"/>
        </w:rPr>
        <w:t>委托对单位上报的隐患整改情况进行审核，完成隐患的闭环清零管理；</w:t>
      </w:r>
    </w:p>
    <w:p w14:paraId="4582BEC5">
      <w:pPr>
        <w:spacing w:line="460" w:lineRule="exact"/>
        <w:ind w:firstLine="240"/>
        <w:rPr>
          <w:rFonts w:ascii="宋体" w:hAnsi="宋体" w:cs="宋体"/>
          <w:color w:val="auto"/>
          <w:kern w:val="1"/>
          <w:sz w:val="24"/>
        </w:rPr>
      </w:pPr>
      <w:r>
        <w:rPr>
          <w:rFonts w:ascii="宋体" w:hAnsi="宋体" w:cs="宋体"/>
          <w:color w:val="auto"/>
          <w:kern w:val="1"/>
          <w:sz w:val="24"/>
        </w:rPr>
        <w:t>6.指导企业规范做好安全生产台账，制度上墙工作；</w:t>
      </w:r>
    </w:p>
    <w:p w14:paraId="6F8D0076">
      <w:pPr>
        <w:spacing w:line="460" w:lineRule="exact"/>
        <w:ind w:firstLine="240"/>
        <w:rPr>
          <w:rFonts w:hint="eastAsia" w:ascii="宋体" w:hAnsi="宋体" w:cs="宋体"/>
          <w:color w:val="auto"/>
          <w:kern w:val="1"/>
          <w:sz w:val="24"/>
        </w:rPr>
      </w:pPr>
      <w:r>
        <w:rPr>
          <w:rFonts w:ascii="宋体" w:hAnsi="宋体" w:cs="宋体"/>
          <w:color w:val="auto"/>
          <w:kern w:val="1"/>
          <w:sz w:val="24"/>
        </w:rPr>
        <w:t>7.每年集中式的开展不少于一次的消防培训和消防演练</w:t>
      </w:r>
      <w:r>
        <w:rPr>
          <w:rFonts w:hint="eastAsia" w:ascii="宋体" w:hAnsi="宋体" w:cs="宋体"/>
          <w:color w:val="auto"/>
          <w:kern w:val="1"/>
          <w:sz w:val="24"/>
        </w:rPr>
        <w:t>；</w:t>
      </w:r>
    </w:p>
    <w:p w14:paraId="3660F43D">
      <w:pPr>
        <w:spacing w:line="460" w:lineRule="exact"/>
        <w:ind w:firstLine="240"/>
        <w:rPr>
          <w:rFonts w:ascii="宋体" w:hAnsi="宋体" w:cs="宋体"/>
          <w:color w:val="auto"/>
          <w:kern w:val="1"/>
          <w:sz w:val="24"/>
        </w:rPr>
      </w:pPr>
      <w:r>
        <w:rPr>
          <w:rFonts w:ascii="宋体" w:hAnsi="宋体" w:cs="宋体"/>
          <w:color w:val="auto"/>
          <w:kern w:val="1"/>
          <w:sz w:val="24"/>
        </w:rPr>
        <w:t>8.</w:t>
      </w:r>
      <w:r>
        <w:rPr>
          <w:rFonts w:hint="eastAsia" w:ascii="宋体" w:hAnsi="宋体" w:cs="宋体"/>
          <w:color w:val="auto"/>
          <w:kern w:val="1"/>
          <w:sz w:val="24"/>
        </w:rPr>
        <w:t>对道墟街道办事处</w:t>
      </w:r>
      <w:r>
        <w:rPr>
          <w:rFonts w:hint="eastAsia" w:ascii="宋体" w:hAnsi="宋体" w:eastAsia="宋体" w:cs="宋体"/>
          <w:color w:val="auto"/>
          <w:kern w:val="1"/>
          <w:sz w:val="24"/>
        </w:rPr>
        <w:t>及</w:t>
      </w:r>
      <w:r>
        <w:rPr>
          <w:rFonts w:hint="eastAsia" w:ascii="宋体" w:hAnsi="宋体" w:eastAsia="宋体" w:cs="宋体"/>
          <w:color w:val="auto"/>
          <w:kern w:val="1"/>
          <w:sz w:val="24"/>
          <w:lang w:val="en-US" w:eastAsia="zh-CN"/>
        </w:rPr>
        <w:t>45</w:t>
      </w:r>
      <w:r>
        <w:rPr>
          <w:rFonts w:hint="eastAsia" w:ascii="宋体" w:hAnsi="宋体" w:eastAsia="宋体" w:cs="宋体"/>
          <w:color w:val="auto"/>
          <w:kern w:val="1"/>
          <w:sz w:val="24"/>
        </w:rPr>
        <w:t>家规</w:t>
      </w:r>
      <w:r>
        <w:rPr>
          <w:rFonts w:hint="eastAsia" w:ascii="宋体" w:hAnsi="宋体" w:cs="宋体"/>
          <w:color w:val="auto"/>
          <w:kern w:val="1"/>
          <w:sz w:val="24"/>
        </w:rPr>
        <w:t>上企业</w:t>
      </w:r>
      <w:r>
        <w:rPr>
          <w:rFonts w:hint="eastAsia" w:ascii="宋体" w:hAnsi="宋体" w:cs="宋体"/>
          <w:color w:val="auto"/>
          <w:kern w:val="1"/>
          <w:sz w:val="24"/>
          <w:lang w:val="en-US" w:eastAsia="zh-CN"/>
        </w:rPr>
        <w:t>和172规下企业</w:t>
      </w:r>
      <w:r>
        <w:rPr>
          <w:rFonts w:hint="eastAsia" w:ascii="宋体" w:hAnsi="宋体" w:cs="宋体"/>
          <w:color w:val="auto"/>
          <w:kern w:val="1"/>
          <w:sz w:val="24"/>
        </w:rPr>
        <w:t>免费提供</w:t>
      </w:r>
      <w:r>
        <w:rPr>
          <w:rFonts w:hint="eastAsia" w:ascii="宋体" w:hAnsi="宋体" w:cs="宋体"/>
          <w:color w:val="auto"/>
          <w:kern w:val="1"/>
          <w:sz w:val="24"/>
          <w:lang w:val="en-US" w:eastAsia="zh-CN"/>
        </w:rPr>
        <w:t>2</w:t>
      </w:r>
      <w:r>
        <w:rPr>
          <w:rFonts w:hint="eastAsia" w:ascii="宋体" w:hAnsi="宋体" w:cs="宋体"/>
          <w:color w:val="auto"/>
          <w:kern w:val="1"/>
          <w:sz w:val="24"/>
        </w:rPr>
        <w:t>年的工业企业安全在线平台服务</w:t>
      </w:r>
      <w:r>
        <w:rPr>
          <w:rFonts w:ascii="宋体" w:hAnsi="宋体" w:cs="宋体"/>
          <w:color w:val="auto"/>
          <w:kern w:val="1"/>
          <w:sz w:val="24"/>
        </w:rPr>
        <w:t>；</w:t>
      </w:r>
    </w:p>
    <w:p w14:paraId="202EEA65">
      <w:pPr>
        <w:spacing w:line="460" w:lineRule="exact"/>
        <w:ind w:firstLine="240"/>
        <w:rPr>
          <w:rFonts w:ascii="Times New Roman" w:hAnsi="Times New Roman" w:cs="Times New Roman"/>
          <w:color w:val="auto"/>
        </w:rPr>
      </w:pPr>
      <w:r>
        <w:rPr>
          <w:rFonts w:ascii="宋体" w:hAnsi="宋体" w:cs="宋体"/>
          <w:color w:val="auto"/>
          <w:kern w:val="1"/>
          <w:sz w:val="24"/>
        </w:rPr>
        <w:t>9.对</w:t>
      </w:r>
      <w:r>
        <w:rPr>
          <w:rFonts w:hint="eastAsia" w:ascii="宋体" w:hAnsi="宋体" w:cs="宋体"/>
          <w:color w:val="auto"/>
          <w:kern w:val="1"/>
          <w:sz w:val="24"/>
          <w:szCs w:val="22"/>
        </w:rPr>
        <w:t>道墟街道</w:t>
      </w:r>
      <w:r>
        <w:rPr>
          <w:rFonts w:ascii="宋体" w:hAnsi="宋体" w:cs="宋体"/>
          <w:color w:val="auto"/>
          <w:kern w:val="1"/>
          <w:sz w:val="24"/>
          <w:szCs w:val="22"/>
        </w:rPr>
        <w:t>办事</w:t>
      </w:r>
      <w:r>
        <w:rPr>
          <w:rFonts w:ascii="宋体" w:hAnsi="宋体" w:cs="宋体"/>
          <w:color w:val="auto"/>
          <w:kern w:val="1"/>
          <w:sz w:val="24"/>
        </w:rPr>
        <w:t>处免费提供</w:t>
      </w:r>
      <w:r>
        <w:rPr>
          <w:rFonts w:hint="eastAsia" w:ascii="宋体" w:hAnsi="宋体" w:cs="宋体"/>
          <w:color w:val="auto"/>
          <w:kern w:val="1"/>
          <w:sz w:val="24"/>
          <w:lang w:val="en-US" w:eastAsia="zh-CN"/>
        </w:rPr>
        <w:t>2</w:t>
      </w:r>
      <w:r>
        <w:rPr>
          <w:rFonts w:ascii="宋体" w:hAnsi="宋体" w:cs="宋体"/>
          <w:color w:val="auto"/>
          <w:kern w:val="1"/>
          <w:sz w:val="24"/>
        </w:rPr>
        <w:t>年</w:t>
      </w:r>
      <w:r>
        <w:rPr>
          <w:rFonts w:hint="eastAsia" w:ascii="宋体" w:hAnsi="宋体" w:cs="宋体"/>
          <w:color w:val="auto"/>
          <w:kern w:val="1"/>
          <w:sz w:val="24"/>
        </w:rPr>
        <w:t>的</w:t>
      </w:r>
      <w:r>
        <w:rPr>
          <w:rFonts w:ascii="宋体" w:hAnsi="宋体" w:cs="宋体"/>
          <w:color w:val="auto"/>
          <w:kern w:val="1"/>
          <w:sz w:val="24"/>
        </w:rPr>
        <w:t>智慧安监综合管理平台服务。</w:t>
      </w:r>
      <w:bookmarkStart w:id="77" w:name="_Toc176589710"/>
      <w:bookmarkEnd w:id="77"/>
    </w:p>
    <w:p w14:paraId="3B0A6399">
      <w:pPr>
        <w:spacing w:line="460" w:lineRule="exact"/>
        <w:ind w:firstLine="482"/>
        <w:jc w:val="left"/>
        <w:rPr>
          <w:rFonts w:ascii="宋体" w:hAnsi="宋体" w:cs="黑体"/>
          <w:b/>
          <w:color w:val="auto"/>
          <w:kern w:val="1"/>
          <w:sz w:val="24"/>
          <w:shd w:val="clear" w:color="auto" w:fill="FEFEFE"/>
        </w:rPr>
      </w:pPr>
      <w:r>
        <w:rPr>
          <w:rFonts w:hint="eastAsia" w:ascii="宋体" w:hAnsi="宋体" w:cs="黑体"/>
          <w:b/>
          <w:color w:val="auto"/>
          <w:kern w:val="1"/>
          <w:sz w:val="24"/>
          <w:shd w:val="clear" w:color="auto" w:fill="FEFEFE"/>
          <w:lang w:eastAsia="zh-CN"/>
        </w:rPr>
        <w:t>六</w:t>
      </w:r>
      <w:r>
        <w:rPr>
          <w:rFonts w:ascii="宋体" w:hAnsi="宋体" w:cs="黑体"/>
          <w:b/>
          <w:color w:val="auto"/>
          <w:kern w:val="1"/>
          <w:sz w:val="24"/>
          <w:shd w:val="clear" w:color="auto" w:fill="FEFEFE"/>
        </w:rPr>
        <w:t>、工作要求</w:t>
      </w:r>
    </w:p>
    <w:p w14:paraId="0084B786">
      <w:pPr>
        <w:spacing w:line="460" w:lineRule="exact"/>
        <w:jc w:val="left"/>
        <w:rPr>
          <w:rFonts w:ascii="宋体" w:hAnsi="宋体" w:cs="楷体"/>
          <w:bCs/>
          <w:color w:val="auto"/>
          <w:kern w:val="1"/>
          <w:sz w:val="24"/>
          <w:shd w:val="clear" w:color="auto" w:fill="FEFEFE"/>
        </w:rPr>
      </w:pPr>
      <w:r>
        <w:rPr>
          <w:rFonts w:ascii="宋体" w:hAnsi="宋体" w:cs="楷体"/>
          <w:bCs/>
          <w:color w:val="auto"/>
          <w:kern w:val="1"/>
          <w:sz w:val="24"/>
          <w:shd w:val="clear" w:color="auto" w:fill="FEFEFE"/>
        </w:rPr>
        <w:t xml:space="preserve"> </w:t>
      </w:r>
      <w:r>
        <w:rPr>
          <w:rFonts w:hint="eastAsia" w:ascii="宋体" w:hAnsi="宋体" w:cs="楷体"/>
          <w:bCs/>
          <w:color w:val="auto"/>
          <w:kern w:val="1"/>
          <w:sz w:val="24"/>
          <w:shd w:val="clear" w:color="auto" w:fill="FEFEFE"/>
        </w:rPr>
        <w:t xml:space="preserve">   </w:t>
      </w:r>
      <w:r>
        <w:rPr>
          <w:rFonts w:ascii="宋体" w:hAnsi="宋体" w:cs="楷体"/>
          <w:bCs/>
          <w:color w:val="auto"/>
          <w:kern w:val="1"/>
          <w:sz w:val="24"/>
          <w:shd w:val="clear" w:color="auto" w:fill="FEFEFE"/>
        </w:rPr>
        <w:t>1、提高认识，明确责任。安全生产（消防）社会化服务是</w:t>
      </w:r>
      <w:r>
        <w:rPr>
          <w:rFonts w:hint="eastAsia" w:ascii="宋体" w:hAnsi="宋体" w:cs="楷体"/>
          <w:bCs/>
          <w:color w:val="auto"/>
          <w:kern w:val="1"/>
          <w:sz w:val="24"/>
          <w:shd w:val="clear" w:color="auto" w:fill="FEFEFE"/>
        </w:rPr>
        <w:t>街道</w:t>
      </w:r>
      <w:r>
        <w:rPr>
          <w:rFonts w:ascii="宋体" w:hAnsi="宋体" w:cs="楷体"/>
          <w:bCs/>
          <w:color w:val="auto"/>
          <w:kern w:val="1"/>
          <w:sz w:val="24"/>
          <w:shd w:val="clear" w:color="auto" w:fill="FEFEFE"/>
        </w:rPr>
        <w:t>安全生产领域深化改革、创新安全监管机制的积极探索，是一项创新性工作，要高度重视，切实加强组织领导，明确责任，制定方案，落实措施，做好本</w:t>
      </w:r>
      <w:r>
        <w:rPr>
          <w:rFonts w:hint="eastAsia" w:ascii="宋体" w:hAnsi="宋体" w:cs="楷体"/>
          <w:bCs/>
          <w:color w:val="auto"/>
          <w:kern w:val="1"/>
          <w:sz w:val="24"/>
          <w:shd w:val="clear" w:color="auto" w:fill="FEFEFE"/>
        </w:rPr>
        <w:t>街道</w:t>
      </w:r>
      <w:r>
        <w:rPr>
          <w:rFonts w:ascii="宋体" w:hAnsi="宋体" w:cs="楷体"/>
          <w:bCs/>
          <w:color w:val="auto"/>
          <w:kern w:val="1"/>
          <w:sz w:val="24"/>
          <w:shd w:val="clear" w:color="auto" w:fill="FEFEFE"/>
        </w:rPr>
        <w:t>辖区社会化服务的统筹、协调工作。</w:t>
      </w:r>
    </w:p>
    <w:p w14:paraId="36545B66">
      <w:pPr>
        <w:spacing w:line="460" w:lineRule="exact"/>
        <w:jc w:val="left"/>
        <w:rPr>
          <w:rFonts w:ascii="宋体" w:hAnsi="宋体" w:cs="宋体"/>
          <w:color w:val="auto"/>
          <w:kern w:val="1"/>
          <w:sz w:val="24"/>
          <w:shd w:val="clear" w:color="auto" w:fill="FEFEFE"/>
        </w:rPr>
      </w:pPr>
      <w:r>
        <w:rPr>
          <w:rFonts w:ascii="宋体" w:hAnsi="宋体" w:cs="楷体"/>
          <w:b/>
          <w:bCs/>
          <w:color w:val="auto"/>
          <w:kern w:val="1"/>
          <w:sz w:val="24"/>
          <w:shd w:val="clear" w:color="auto" w:fill="FEFEFE"/>
        </w:rPr>
        <w:t xml:space="preserve">    </w:t>
      </w:r>
      <w:r>
        <w:rPr>
          <w:rFonts w:ascii="宋体" w:hAnsi="宋体" w:cs="楷体"/>
          <w:color w:val="auto"/>
          <w:kern w:val="1"/>
          <w:sz w:val="24"/>
          <w:shd w:val="clear" w:color="auto" w:fill="FEFEFE"/>
        </w:rPr>
        <w:t>2、</w:t>
      </w:r>
      <w:r>
        <w:rPr>
          <w:rFonts w:ascii="宋体" w:hAnsi="宋体" w:cs="楷体"/>
          <w:bCs/>
          <w:color w:val="auto"/>
          <w:kern w:val="1"/>
          <w:sz w:val="24"/>
          <w:shd w:val="clear" w:color="auto" w:fill="FEFEFE"/>
        </w:rPr>
        <w:t>健全规范，保证质量。</w:t>
      </w:r>
      <w:r>
        <w:rPr>
          <w:rFonts w:ascii="宋体" w:hAnsi="宋体" w:cs="宋体"/>
          <w:color w:val="auto"/>
          <w:kern w:val="1"/>
          <w:sz w:val="24"/>
          <w:shd w:val="clear" w:color="auto" w:fill="FEFEFE"/>
        </w:rPr>
        <w:t>安全服务机构要加强与</w:t>
      </w:r>
      <w:r>
        <w:rPr>
          <w:rFonts w:hint="eastAsia" w:ascii="宋体" w:hAnsi="宋体" w:cs="宋体"/>
          <w:color w:val="auto"/>
          <w:kern w:val="1"/>
          <w:sz w:val="24"/>
          <w:shd w:val="clear" w:color="auto" w:fill="FEFEFE"/>
          <w:lang w:eastAsia="zh-CN"/>
        </w:rPr>
        <w:t>应消办</w:t>
      </w:r>
      <w:r>
        <w:rPr>
          <w:rFonts w:ascii="宋体" w:hAnsi="宋体" w:cs="宋体"/>
          <w:color w:val="auto"/>
          <w:kern w:val="1"/>
          <w:sz w:val="24"/>
          <w:shd w:val="clear" w:color="auto" w:fill="FEFEFE"/>
        </w:rPr>
        <w:t>人员及网格员的联系沟通，企业对社会化服务工作不支持、不配合的，要及时向</w:t>
      </w:r>
      <w:r>
        <w:rPr>
          <w:rFonts w:hint="eastAsia" w:ascii="宋体" w:hAnsi="宋体" w:cs="宋体"/>
          <w:color w:val="auto"/>
          <w:kern w:val="1"/>
          <w:sz w:val="24"/>
          <w:shd w:val="clear" w:color="auto" w:fill="FEFEFE"/>
        </w:rPr>
        <w:t>街道</w:t>
      </w:r>
      <w:r>
        <w:rPr>
          <w:rFonts w:hint="eastAsia" w:ascii="宋体" w:hAnsi="宋体" w:cs="宋体"/>
          <w:color w:val="auto"/>
          <w:kern w:val="1"/>
          <w:sz w:val="24"/>
          <w:shd w:val="clear" w:color="auto" w:fill="FEFEFE"/>
          <w:lang w:eastAsia="zh-CN"/>
        </w:rPr>
        <w:t>应消办</w:t>
      </w:r>
      <w:r>
        <w:rPr>
          <w:rFonts w:ascii="宋体" w:hAnsi="宋体" w:cs="宋体"/>
          <w:color w:val="auto"/>
          <w:kern w:val="1"/>
          <w:sz w:val="24"/>
          <w:shd w:val="clear" w:color="auto" w:fill="FEFEFE"/>
        </w:rPr>
        <w:t>反馈。</w:t>
      </w:r>
    </w:p>
    <w:p w14:paraId="4E6A0057">
      <w:pPr>
        <w:spacing w:line="460" w:lineRule="exact"/>
        <w:ind w:firstLine="470"/>
        <w:rPr>
          <w:rFonts w:ascii="宋体" w:hAnsi="宋体" w:cs="宋体"/>
          <w:b/>
          <w:color w:val="auto"/>
          <w:kern w:val="1"/>
          <w:sz w:val="24"/>
        </w:rPr>
      </w:pPr>
      <w:r>
        <w:rPr>
          <w:rFonts w:ascii="宋体" w:hAnsi="宋体" w:cs="楷体"/>
          <w:bCs/>
          <w:color w:val="auto"/>
          <w:kern w:val="1"/>
          <w:sz w:val="24"/>
          <w:shd w:val="clear" w:color="auto" w:fill="FEFEFE"/>
        </w:rPr>
        <w:t>3、加强督查，确保实效。安全服务</w:t>
      </w:r>
      <w:r>
        <w:rPr>
          <w:rFonts w:ascii="宋体" w:hAnsi="宋体" w:cs="宋体"/>
          <w:color w:val="auto"/>
          <w:kern w:val="1"/>
          <w:sz w:val="24"/>
          <w:shd w:val="clear" w:color="auto" w:fill="FEFEFE"/>
        </w:rPr>
        <w:t>机构要定期向所在地</w:t>
      </w:r>
      <w:r>
        <w:rPr>
          <w:rFonts w:hint="eastAsia" w:ascii="宋体" w:hAnsi="宋体" w:cs="宋体"/>
          <w:color w:val="auto"/>
          <w:kern w:val="1"/>
          <w:sz w:val="24"/>
          <w:shd w:val="clear" w:color="auto" w:fill="FEFEFE"/>
          <w:lang w:eastAsia="zh-CN"/>
        </w:rPr>
        <w:t>应消办</w:t>
      </w:r>
      <w:r>
        <w:rPr>
          <w:rFonts w:ascii="宋体" w:hAnsi="宋体" w:cs="宋体"/>
          <w:color w:val="auto"/>
          <w:kern w:val="1"/>
          <w:sz w:val="24"/>
          <w:shd w:val="clear" w:color="auto" w:fill="FEFEFE"/>
        </w:rPr>
        <w:t>反馈</w:t>
      </w:r>
      <w:r>
        <w:rPr>
          <w:rFonts w:hint="eastAsia" w:ascii="宋体" w:hAnsi="宋体" w:cs="宋体"/>
          <w:color w:val="auto"/>
          <w:kern w:val="1"/>
          <w:sz w:val="24"/>
          <w:shd w:val="clear" w:color="auto" w:fill="FEFEFE"/>
        </w:rPr>
        <w:t>该</w:t>
      </w:r>
      <w:r>
        <w:rPr>
          <w:rFonts w:ascii="宋体" w:hAnsi="宋体" w:cs="宋体"/>
          <w:color w:val="auto"/>
          <w:kern w:val="1"/>
          <w:sz w:val="24"/>
          <w:shd w:val="clear" w:color="auto" w:fill="FEFEFE"/>
        </w:rPr>
        <w:t>辖区内企业开展安全生产（消防）社会化服务情况，总结工作成效，提出意见建议，并协助</w:t>
      </w:r>
      <w:r>
        <w:rPr>
          <w:rFonts w:hint="eastAsia" w:ascii="宋体" w:hAnsi="宋体" w:cs="宋体"/>
          <w:color w:val="auto"/>
          <w:kern w:val="1"/>
          <w:sz w:val="24"/>
          <w:shd w:val="clear" w:color="auto" w:fill="FEFEFE"/>
        </w:rPr>
        <w:t>街道</w:t>
      </w:r>
      <w:r>
        <w:rPr>
          <w:rFonts w:hint="eastAsia" w:ascii="宋体" w:hAnsi="宋体" w:cs="宋体"/>
          <w:color w:val="auto"/>
          <w:kern w:val="1"/>
          <w:sz w:val="24"/>
          <w:shd w:val="clear" w:color="auto" w:fill="FEFEFE"/>
          <w:lang w:eastAsia="zh-CN"/>
        </w:rPr>
        <w:t>应消办</w:t>
      </w:r>
      <w:r>
        <w:rPr>
          <w:rFonts w:ascii="宋体" w:hAnsi="宋体" w:cs="宋体"/>
          <w:color w:val="auto"/>
          <w:kern w:val="1"/>
          <w:sz w:val="24"/>
          <w:shd w:val="clear" w:color="auto" w:fill="FEFEFE"/>
        </w:rPr>
        <w:t>督促指导发现隐患的整改。</w:t>
      </w:r>
      <w:r>
        <w:rPr>
          <w:rFonts w:hint="eastAsia" w:ascii="宋体" w:hAnsi="宋体" w:cs="宋体"/>
          <w:color w:val="auto"/>
          <w:kern w:val="1"/>
          <w:sz w:val="24"/>
          <w:shd w:val="clear" w:color="auto" w:fill="FEFEFE"/>
        </w:rPr>
        <w:t>街道</w:t>
      </w:r>
      <w:r>
        <w:rPr>
          <w:rFonts w:hint="eastAsia" w:ascii="宋体" w:hAnsi="宋体" w:cs="宋体"/>
          <w:color w:val="auto"/>
          <w:kern w:val="1"/>
          <w:sz w:val="24"/>
          <w:shd w:val="clear" w:color="auto" w:fill="FEFEFE"/>
          <w:lang w:eastAsia="zh-CN"/>
        </w:rPr>
        <w:t>应消办</w:t>
      </w:r>
      <w:r>
        <w:rPr>
          <w:rFonts w:ascii="宋体" w:hAnsi="宋体" w:cs="宋体"/>
          <w:color w:val="auto"/>
          <w:kern w:val="1"/>
          <w:sz w:val="24"/>
          <w:shd w:val="clear" w:color="auto" w:fill="FEFEFE"/>
        </w:rPr>
        <w:t>每季度对安全中介机构实际开展安全技术服务情况进行监督和考评，综合被服务企业及相关部门的意见进行考核，以工作量、服务质量及实际服务效果相结合的方式进行考评。</w:t>
      </w:r>
    </w:p>
    <w:p w14:paraId="61CEBBAE">
      <w:pPr>
        <w:tabs>
          <w:tab w:val="left" w:pos="360"/>
          <w:tab w:val="left" w:pos="540"/>
        </w:tabs>
        <w:spacing w:line="460" w:lineRule="exact"/>
        <w:ind w:right="-21" w:firstLine="420"/>
        <w:rPr>
          <w:rFonts w:ascii="宋体" w:hAnsi="宋体" w:cs="宋体"/>
          <w:b/>
          <w:color w:val="auto"/>
          <w:kern w:val="1"/>
          <w:sz w:val="24"/>
        </w:rPr>
      </w:pPr>
      <w:r>
        <w:rPr>
          <w:rFonts w:ascii="宋体" w:hAnsi="宋体" w:cs="宋体"/>
          <w:b/>
          <w:color w:val="auto"/>
          <w:kern w:val="1"/>
          <w:sz w:val="24"/>
        </w:rPr>
        <w:t>4、服务期：</w:t>
      </w:r>
      <w:r>
        <w:rPr>
          <w:rFonts w:hint="eastAsia" w:ascii="宋体" w:hAnsi="宋体" w:cs="宋体"/>
          <w:b/>
          <w:color w:val="auto"/>
          <w:kern w:val="1"/>
          <w:sz w:val="24"/>
          <w:lang w:val="en-US" w:eastAsia="zh-CN"/>
        </w:rPr>
        <w:t>2</w:t>
      </w:r>
      <w:r>
        <w:rPr>
          <w:rFonts w:ascii="宋体" w:hAnsi="宋体" w:cs="宋体"/>
          <w:b/>
          <w:color w:val="auto"/>
          <w:kern w:val="1"/>
          <w:sz w:val="24"/>
        </w:rPr>
        <w:t>年，具体起止时间在签订合同时由采购人确定。</w:t>
      </w:r>
    </w:p>
    <w:p w14:paraId="36CEA4C4">
      <w:pPr>
        <w:tabs>
          <w:tab w:val="left" w:pos="360"/>
          <w:tab w:val="left" w:pos="540"/>
        </w:tabs>
        <w:spacing w:line="460" w:lineRule="exact"/>
        <w:ind w:right="-21" w:firstLine="420"/>
        <w:rPr>
          <w:rFonts w:ascii="宋体" w:hAnsi="宋体" w:cs="宋体"/>
          <w:color w:val="auto"/>
          <w:kern w:val="1"/>
          <w:sz w:val="24"/>
        </w:rPr>
      </w:pPr>
      <w:r>
        <w:rPr>
          <w:rFonts w:ascii="宋体" w:hAnsi="宋体" w:cs="宋体"/>
          <w:color w:val="auto"/>
          <w:kern w:val="1"/>
          <w:sz w:val="24"/>
        </w:rPr>
        <w:t>在合同约定的服务期内，如中标人提供的服务无法满足采购人的需要或未达到投标承诺的标准，经采购人指出后仍未有改进的，采购人可单方解除合同，由此造成甲方的一切损失均由中标人承担，履约保证金全额不予退还。</w:t>
      </w:r>
    </w:p>
    <w:p w14:paraId="4FB16823">
      <w:pPr>
        <w:tabs>
          <w:tab w:val="left" w:pos="360"/>
          <w:tab w:val="left" w:pos="540"/>
        </w:tabs>
        <w:spacing w:line="460" w:lineRule="exact"/>
        <w:ind w:right="-21" w:firstLine="420"/>
        <w:rPr>
          <w:rFonts w:ascii="宋体" w:hAnsi="宋体" w:cs="宋体"/>
          <w:color w:val="auto"/>
          <w:kern w:val="1"/>
          <w:sz w:val="24"/>
          <w:u w:val="single"/>
        </w:rPr>
      </w:pPr>
      <w:r>
        <w:rPr>
          <w:rFonts w:ascii="宋体" w:hAnsi="宋体" w:cs="宋体"/>
          <w:b/>
          <w:color w:val="auto"/>
          <w:kern w:val="1"/>
          <w:sz w:val="24"/>
        </w:rPr>
        <w:t>5、项目实施地点：</w:t>
      </w:r>
      <w:r>
        <w:rPr>
          <w:rFonts w:ascii="宋体" w:hAnsi="宋体" w:cs="宋体"/>
          <w:b/>
          <w:bCs/>
          <w:color w:val="auto"/>
          <w:kern w:val="1"/>
          <w:sz w:val="24"/>
        </w:rPr>
        <w:t>上虞区</w:t>
      </w:r>
      <w:r>
        <w:rPr>
          <w:rFonts w:hint="eastAsia" w:ascii="宋体" w:hAnsi="宋体" w:cs="宋体"/>
          <w:b/>
          <w:bCs/>
          <w:color w:val="auto"/>
          <w:kern w:val="1"/>
          <w:sz w:val="24"/>
        </w:rPr>
        <w:t>道墟街道</w:t>
      </w:r>
      <w:r>
        <w:rPr>
          <w:rFonts w:ascii="宋体" w:hAnsi="宋体" w:cs="宋体"/>
          <w:b/>
          <w:bCs/>
          <w:color w:val="auto"/>
          <w:kern w:val="1"/>
          <w:sz w:val="24"/>
        </w:rPr>
        <w:t>辖区</w:t>
      </w:r>
    </w:p>
    <w:p w14:paraId="2B7FFA56">
      <w:pPr>
        <w:tabs>
          <w:tab w:val="left" w:pos="360"/>
          <w:tab w:val="left" w:pos="540"/>
        </w:tabs>
        <w:spacing w:line="460" w:lineRule="exact"/>
        <w:ind w:right="-21" w:firstLine="420"/>
        <w:rPr>
          <w:rFonts w:ascii="宋体" w:hAnsi="宋体" w:cs="宋体"/>
          <w:color w:val="auto"/>
          <w:kern w:val="1"/>
          <w:sz w:val="24"/>
        </w:rPr>
      </w:pPr>
      <w:r>
        <w:rPr>
          <w:rFonts w:ascii="宋体" w:hAnsi="宋体" w:cs="宋体"/>
          <w:color w:val="auto"/>
          <w:kern w:val="1"/>
          <w:sz w:val="24"/>
        </w:rPr>
        <w:t>投标人需要自行了解采购人相关系统情况，获取与本项目实施有关的资料，所需的费用和风险责任由投标人自行承担。</w:t>
      </w:r>
    </w:p>
    <w:p w14:paraId="28EE89A6">
      <w:pPr>
        <w:tabs>
          <w:tab w:val="left" w:pos="360"/>
          <w:tab w:val="left" w:pos="540"/>
        </w:tabs>
        <w:spacing w:line="460" w:lineRule="exact"/>
        <w:ind w:right="-21" w:firstLine="420"/>
        <w:rPr>
          <w:rFonts w:ascii="宋体" w:hAnsi="宋体" w:cs="宋体"/>
          <w:color w:val="auto"/>
          <w:kern w:val="1"/>
          <w:sz w:val="24"/>
        </w:rPr>
      </w:pPr>
      <w:r>
        <w:rPr>
          <w:rFonts w:ascii="宋体" w:hAnsi="宋体" w:cs="宋体"/>
          <w:bCs/>
          <w:color w:val="auto"/>
          <w:kern w:val="1"/>
          <w:sz w:val="24"/>
        </w:rPr>
        <w:t>6、</w:t>
      </w:r>
      <w:r>
        <w:rPr>
          <w:rFonts w:ascii="宋体" w:hAnsi="宋体" w:cs="宋体"/>
          <w:color w:val="auto"/>
          <w:kern w:val="1"/>
          <w:sz w:val="24"/>
        </w:rPr>
        <w:t>项目结束需要向采购人交付全过程形成的记录、档案资料，相关服务的具体成效等。</w:t>
      </w:r>
    </w:p>
    <w:p w14:paraId="6D1F2EF8">
      <w:pPr>
        <w:tabs>
          <w:tab w:val="left" w:pos="360"/>
          <w:tab w:val="left" w:pos="540"/>
        </w:tabs>
        <w:spacing w:line="460" w:lineRule="exact"/>
        <w:ind w:right="-21" w:firstLine="420"/>
        <w:rPr>
          <w:rFonts w:ascii="宋体" w:hAnsi="宋体" w:cs="宋体"/>
          <w:color w:val="auto"/>
          <w:kern w:val="1"/>
          <w:sz w:val="24"/>
        </w:rPr>
      </w:pPr>
      <w:r>
        <w:rPr>
          <w:rFonts w:ascii="宋体" w:hAnsi="宋体" w:cs="宋体"/>
          <w:color w:val="auto"/>
          <w:kern w:val="1"/>
          <w:sz w:val="24"/>
        </w:rPr>
        <w:t>7、</w:t>
      </w:r>
      <w:r>
        <w:rPr>
          <w:rFonts w:ascii="宋体" w:hAnsi="宋体" w:cs="仿宋"/>
          <w:color w:val="auto"/>
          <w:kern w:val="1"/>
          <w:sz w:val="24"/>
        </w:rPr>
        <w:t>服务总体要求</w:t>
      </w:r>
    </w:p>
    <w:p w14:paraId="4B7A8735">
      <w:pPr>
        <w:tabs>
          <w:tab w:val="left" w:pos="360"/>
          <w:tab w:val="left" w:pos="540"/>
        </w:tabs>
        <w:spacing w:line="460" w:lineRule="exact"/>
        <w:ind w:right="-21" w:firstLine="420"/>
        <w:rPr>
          <w:rFonts w:ascii="宋体" w:hAnsi="宋体" w:cs="宋体"/>
          <w:color w:val="auto"/>
          <w:kern w:val="1"/>
          <w:sz w:val="24"/>
        </w:rPr>
      </w:pPr>
      <w:r>
        <w:rPr>
          <w:rFonts w:ascii="宋体" w:hAnsi="宋体" w:cs="宋体"/>
          <w:color w:val="auto"/>
          <w:kern w:val="1"/>
          <w:sz w:val="24"/>
        </w:rPr>
        <w:t>(1)投标人可根据项目情况向委托方提供相关服务，但必须拥有绍兴市本地化技术服务力量，并提供技术服务联系人、联系电话，随时响应。</w:t>
      </w:r>
    </w:p>
    <w:p w14:paraId="52D8B423">
      <w:pPr>
        <w:tabs>
          <w:tab w:val="left" w:pos="360"/>
          <w:tab w:val="left" w:pos="540"/>
        </w:tabs>
        <w:spacing w:line="460" w:lineRule="exact"/>
        <w:ind w:right="-21" w:firstLine="420"/>
        <w:rPr>
          <w:rFonts w:ascii="宋体" w:hAnsi="宋体" w:cs="宋体"/>
          <w:color w:val="auto"/>
          <w:kern w:val="1"/>
          <w:sz w:val="24"/>
        </w:rPr>
      </w:pPr>
      <w:r>
        <w:rPr>
          <w:rFonts w:ascii="宋体" w:hAnsi="宋体" w:cs="宋体"/>
          <w:color w:val="auto"/>
          <w:kern w:val="1"/>
          <w:sz w:val="24"/>
        </w:rPr>
        <w:t>(2)每次服务完成后，须向委托方提交相关文档等。</w:t>
      </w:r>
    </w:p>
    <w:p w14:paraId="372A9D74">
      <w:pPr>
        <w:tabs>
          <w:tab w:val="left" w:pos="360"/>
          <w:tab w:val="left" w:pos="540"/>
        </w:tabs>
        <w:spacing w:line="460" w:lineRule="exact"/>
        <w:ind w:right="-21" w:firstLine="420"/>
        <w:rPr>
          <w:rFonts w:ascii="宋体" w:hAnsi="宋体" w:cs="宋体"/>
          <w:color w:val="auto"/>
          <w:kern w:val="1"/>
          <w:sz w:val="24"/>
        </w:rPr>
      </w:pPr>
      <w:r>
        <w:rPr>
          <w:rFonts w:hint="eastAsia" w:ascii="宋体" w:hAnsi="宋体" w:cs="宋体"/>
          <w:color w:val="auto"/>
          <w:kern w:val="1"/>
          <w:sz w:val="24"/>
        </w:rPr>
        <w:t>(3)投标人须保证所提供技术服务符合国家有关规定。</w:t>
      </w:r>
    </w:p>
    <w:p w14:paraId="599668A8">
      <w:pPr>
        <w:spacing w:line="460" w:lineRule="exact"/>
        <w:ind w:firstLine="420"/>
        <w:rPr>
          <w:rFonts w:ascii="宋体" w:hAnsi="宋体" w:cs="宋体"/>
          <w:color w:val="auto"/>
          <w:kern w:val="1"/>
          <w:sz w:val="24"/>
        </w:rPr>
      </w:pPr>
      <w:r>
        <w:rPr>
          <w:rFonts w:ascii="宋体" w:hAnsi="宋体" w:cs="宋体"/>
          <w:color w:val="auto"/>
          <w:kern w:val="1"/>
          <w:sz w:val="24"/>
        </w:rPr>
        <w:t>(4)投标人必须保证解决项目所涉及的技术问题，并满足委托方需求。</w:t>
      </w:r>
    </w:p>
    <w:p w14:paraId="7B07C794">
      <w:pPr>
        <w:spacing w:line="460" w:lineRule="exact"/>
        <w:ind w:firstLine="360" w:firstLineChars="150"/>
        <w:rPr>
          <w:rFonts w:ascii="宋体" w:hAnsi="宋体" w:cs="宋体"/>
          <w:color w:val="auto"/>
          <w:kern w:val="1"/>
          <w:sz w:val="24"/>
        </w:rPr>
      </w:pPr>
      <w:r>
        <w:rPr>
          <w:rFonts w:ascii="宋体" w:hAnsi="宋体" w:cs="宋体"/>
          <w:color w:val="auto"/>
          <w:kern w:val="1"/>
          <w:sz w:val="24"/>
        </w:rPr>
        <w:t>(</w:t>
      </w:r>
      <w:r>
        <w:rPr>
          <w:rFonts w:hint="eastAsia" w:ascii="宋体" w:hAnsi="宋体" w:cs="宋体"/>
          <w:color w:val="auto"/>
          <w:kern w:val="1"/>
          <w:sz w:val="24"/>
        </w:rPr>
        <w:t>5</w:t>
      </w:r>
      <w:r>
        <w:rPr>
          <w:rFonts w:ascii="宋体" w:hAnsi="宋体" w:cs="宋体"/>
          <w:color w:val="auto"/>
          <w:kern w:val="1"/>
          <w:sz w:val="24"/>
        </w:rPr>
        <w:t>)中标人要严格按照《绍兴市安全生产社会化服务机构管理暂行办法》（绍市安监〔2016〕53号）要求开展工作。</w:t>
      </w:r>
    </w:p>
    <w:p w14:paraId="72A1BFE7">
      <w:pPr>
        <w:spacing w:line="460" w:lineRule="exact"/>
        <w:ind w:firstLine="480"/>
        <w:rPr>
          <w:rFonts w:ascii="宋体" w:hAnsi="宋体" w:cs="宋体"/>
          <w:color w:val="auto"/>
          <w:kern w:val="1"/>
          <w:sz w:val="24"/>
        </w:rPr>
      </w:pPr>
      <w:r>
        <w:rPr>
          <w:rFonts w:ascii="宋体" w:hAnsi="宋体" w:cs="宋体"/>
          <w:color w:val="auto"/>
          <w:kern w:val="1"/>
          <w:sz w:val="24"/>
        </w:rPr>
        <w:t>8、人员配置</w:t>
      </w:r>
    </w:p>
    <w:p w14:paraId="34D48AF0">
      <w:pPr>
        <w:spacing w:line="460" w:lineRule="exact"/>
        <w:ind w:firstLine="480"/>
        <w:rPr>
          <w:rFonts w:ascii="宋体" w:hAnsi="宋体" w:cs="宋体"/>
          <w:color w:val="auto"/>
          <w:kern w:val="1"/>
          <w:sz w:val="24"/>
        </w:rPr>
      </w:pPr>
      <w:r>
        <w:rPr>
          <w:rFonts w:ascii="宋体" w:hAnsi="宋体" w:cs="宋体"/>
          <w:color w:val="auto"/>
          <w:kern w:val="1"/>
          <w:sz w:val="24"/>
        </w:rPr>
        <w:t>（1）安全服务机构在中标后应配置足够的工作人员，工作人员须具备工程师或注册安全工程师以上资格，能熟练掌握开展安全检查的方法及知识，具有良好的组织及沟通交流能力。工作人员未能按时间进度完成本项安全技术服务相关工作时，不得再从事本单位其它安全评价、安全标准化咨询等相关工作。</w:t>
      </w:r>
    </w:p>
    <w:p w14:paraId="2EC725F2">
      <w:pPr>
        <w:pStyle w:val="3"/>
        <w:spacing w:line="360" w:lineRule="auto"/>
        <w:ind w:firstLine="480" w:firstLineChars="200"/>
        <w:rPr>
          <w:rStyle w:val="67"/>
          <w:rFonts w:hint="eastAsia" w:ascii="宋体" w:hAnsi="宋体" w:eastAsia="宋体" w:cs="宋体"/>
          <w:b/>
          <w:bCs/>
          <w:color w:val="auto"/>
          <w:sz w:val="24"/>
          <w:szCs w:val="24"/>
        </w:rPr>
      </w:pPr>
      <w:r>
        <w:rPr>
          <w:rFonts w:ascii="宋体" w:hAnsi="宋体" w:cs="宋体"/>
          <w:color w:val="auto"/>
          <w:kern w:val="1"/>
          <w:sz w:val="24"/>
        </w:rPr>
        <w:t>（2）安全服务机构应充分发挥在人才、技术、信息等方面的优势，抽调化工、矿山、电气、消防、仪表自控、机械、交通、安全管理等专业技术人员组建专家检查服务组，并根据企业生产装置、设施设备特点及安全管理现状，再适当外聘有丰富实际经验的技术专家参与检查服务工作，保证具有中、高级专业技术职称的人员比例在70%以上，以确保安全技术服务工作质量。</w:t>
      </w:r>
    </w:p>
    <w:bookmarkEnd w:id="71"/>
    <w:bookmarkEnd w:id="72"/>
    <w:bookmarkEnd w:id="73"/>
    <w:bookmarkEnd w:id="74"/>
    <w:bookmarkEnd w:id="75"/>
    <w:bookmarkEnd w:id="76"/>
    <w:p w14:paraId="73605321">
      <w:pPr>
        <w:pStyle w:val="2"/>
        <w:jc w:val="center"/>
        <w:rPr>
          <w:color w:val="auto"/>
          <w:highlight w:val="none"/>
        </w:rPr>
      </w:pPr>
      <w:bookmarkStart w:id="78" w:name="_Toc22032"/>
      <w:bookmarkStart w:id="79" w:name="_Toc83283744"/>
      <w:r>
        <w:rPr>
          <w:rFonts w:hint="eastAsia"/>
          <w:color w:val="auto"/>
          <w:highlight w:val="none"/>
        </w:rPr>
        <w:t>第</w:t>
      </w:r>
      <w:r>
        <w:rPr>
          <w:rFonts w:hint="eastAsia"/>
          <w:color w:val="auto"/>
          <w:highlight w:val="none"/>
          <w:lang w:val="en-US" w:eastAsia="zh-CN"/>
        </w:rPr>
        <w:t>二</w:t>
      </w:r>
      <w:r>
        <w:rPr>
          <w:rFonts w:hint="eastAsia"/>
          <w:color w:val="auto"/>
          <w:highlight w:val="none"/>
        </w:rPr>
        <w:t>章  付款方式及要求</w:t>
      </w:r>
      <w:bookmarkEnd w:id="78"/>
      <w:bookmarkEnd w:id="79"/>
    </w:p>
    <w:p w14:paraId="3C7559E9">
      <w:pPr>
        <w:spacing w:line="360" w:lineRule="auto"/>
        <w:ind w:firstLine="480" w:firstLineChars="200"/>
        <w:rPr>
          <w:rStyle w:val="67"/>
          <w:rFonts w:hint="default" w:ascii="宋体" w:hAnsi="宋体" w:eastAsia="宋体"/>
          <w:color w:val="auto"/>
          <w:sz w:val="24"/>
          <w:szCs w:val="24"/>
          <w:lang w:val="en-US" w:eastAsia="zh-CN"/>
        </w:rPr>
      </w:pPr>
      <w:r>
        <w:rPr>
          <w:rStyle w:val="67"/>
          <w:rFonts w:hint="eastAsia" w:ascii="宋体" w:hAnsi="宋体" w:eastAsia="宋体"/>
          <w:color w:val="auto"/>
          <w:sz w:val="24"/>
          <w:szCs w:val="24"/>
          <w:lang w:eastAsia="zh-CN"/>
        </w:rPr>
        <w:t>一、付款方式：</w:t>
      </w:r>
    </w:p>
    <w:p w14:paraId="0FEAD909">
      <w:pPr>
        <w:spacing w:line="480" w:lineRule="exact"/>
        <w:ind w:firstLine="480"/>
        <w:rPr>
          <w:rFonts w:hint="default" w:ascii="宋体" w:hAnsi="宋体" w:eastAsia="宋体" w:cs="宋体"/>
          <w:color w:val="auto"/>
          <w:kern w:val="1"/>
          <w:sz w:val="24"/>
          <w:shd w:val="clear" w:color="auto" w:fill="FEFEFE"/>
          <w:lang w:val="en-US"/>
        </w:rPr>
      </w:pPr>
      <w:r>
        <w:rPr>
          <w:rFonts w:hint="eastAsia" w:ascii="宋体" w:hAnsi="宋体" w:eastAsia="宋体" w:cs="宋体"/>
          <w:color w:val="auto"/>
          <w:kern w:val="1"/>
          <w:sz w:val="24"/>
          <w:shd w:val="clear" w:color="auto" w:fill="FEFEFE"/>
          <w:lang w:val="en-US" w:eastAsia="zh-CN"/>
        </w:rPr>
        <w:t>采购人在合同生效以及具备实施条件</w:t>
      </w:r>
      <w:r>
        <w:rPr>
          <w:rFonts w:hint="eastAsia" w:ascii="宋体" w:hAnsi="宋体" w:cs="宋体"/>
          <w:color w:val="auto"/>
          <w:kern w:val="1"/>
          <w:sz w:val="24"/>
          <w:shd w:val="clear" w:color="auto" w:fill="FEFEFE"/>
          <w:lang w:val="en-US" w:eastAsia="zh-CN"/>
        </w:rPr>
        <w:t>并收到中标人开具的正规发票</w:t>
      </w:r>
      <w:r>
        <w:rPr>
          <w:rFonts w:hint="eastAsia" w:ascii="宋体" w:hAnsi="宋体" w:eastAsia="宋体" w:cs="宋体"/>
          <w:color w:val="auto"/>
          <w:kern w:val="1"/>
          <w:sz w:val="24"/>
          <w:shd w:val="clear" w:color="auto" w:fill="FEFEFE"/>
          <w:lang w:val="en-US" w:eastAsia="zh-CN"/>
        </w:rPr>
        <w:t>后7个工作日内向中标人支付单年合同金额的50%，履约满1年后支付单年合同的50%，第二年的履约期满6个月后支付单年合同金额的50%，剩余合同金额履约结束后支付完成。</w:t>
      </w:r>
    </w:p>
    <w:p w14:paraId="5AFAC69F">
      <w:pPr>
        <w:spacing w:line="360" w:lineRule="auto"/>
        <w:ind w:firstLine="480" w:firstLineChars="200"/>
        <w:rPr>
          <w:rStyle w:val="67"/>
          <w:rFonts w:hint="eastAsia" w:ascii="宋体" w:hAnsi="宋体" w:eastAsia="宋体"/>
          <w:color w:val="auto"/>
          <w:sz w:val="24"/>
          <w:szCs w:val="24"/>
          <w:lang w:eastAsia="zh-CN"/>
        </w:rPr>
      </w:pPr>
      <w:r>
        <w:rPr>
          <w:rStyle w:val="67"/>
          <w:rFonts w:hint="eastAsia" w:ascii="宋体" w:hAnsi="宋体" w:eastAsia="宋体"/>
          <w:color w:val="auto"/>
          <w:sz w:val="24"/>
          <w:szCs w:val="24"/>
          <w:lang w:eastAsia="zh-CN"/>
        </w:rPr>
        <w:t>二、付款要求：</w:t>
      </w:r>
    </w:p>
    <w:p w14:paraId="7F397367">
      <w:pPr>
        <w:pStyle w:val="9"/>
        <w:spacing w:line="360" w:lineRule="auto"/>
        <w:ind w:firstLine="480" w:firstLineChars="200"/>
        <w:jc w:val="both"/>
        <w:rPr>
          <w:rFonts w:hint="eastAsia" w:ascii="宋体" w:hAnsi="宋体" w:eastAsia="宋体" w:cs="宋体"/>
          <w:color w:val="auto"/>
          <w:sz w:val="36"/>
          <w:szCs w:val="36"/>
          <w:highlight w:val="none"/>
        </w:rPr>
      </w:pPr>
      <w:r>
        <w:rPr>
          <w:rFonts w:hint="eastAsia" w:ascii="宋体" w:hAnsi="宋体" w:eastAsia="宋体" w:cs="宋体"/>
          <w:b w:val="0"/>
          <w:bCs w:val="0"/>
          <w:color w:val="auto"/>
          <w:kern w:val="1"/>
          <w:sz w:val="24"/>
          <w:szCs w:val="21"/>
          <w:shd w:val="clear" w:color="auto" w:fill="FEFEFE"/>
          <w:lang w:val="en-US" w:eastAsia="zh-CN" w:bidi="ar-SA"/>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r>
        <w:rPr>
          <w:rFonts w:hint="eastAsia" w:ascii="宋体" w:hAnsi="宋体" w:eastAsia="宋体" w:cs="宋体"/>
          <w:color w:val="auto"/>
          <w:sz w:val="24"/>
          <w:highlight w:val="none"/>
        </w:rPr>
        <w:br w:type="page"/>
      </w:r>
      <w:bookmarkStart w:id="80" w:name="_Toc2107"/>
      <w:r>
        <w:rPr>
          <w:rFonts w:hint="eastAsia" w:ascii="宋体" w:hAnsi="宋体" w:eastAsia="宋体" w:cs="宋体"/>
          <w:color w:val="auto"/>
          <w:sz w:val="36"/>
          <w:szCs w:val="36"/>
          <w:highlight w:val="none"/>
        </w:rPr>
        <w:t>第四部分 磋商原则及磋商方法</w:t>
      </w:r>
      <w:bookmarkEnd w:id="69"/>
      <w:bookmarkEnd w:id="80"/>
    </w:p>
    <w:p w14:paraId="6237389C">
      <w:pPr>
        <w:pStyle w:val="2"/>
        <w:numPr>
          <w:ilvl w:val="0"/>
          <w:numId w:val="14"/>
        </w:numPr>
        <w:jc w:val="center"/>
        <w:rPr>
          <w:rFonts w:hint="eastAsia" w:ascii="宋体" w:hAnsi="宋体" w:eastAsia="宋体" w:cs="宋体"/>
          <w:color w:val="auto"/>
          <w:highlight w:val="none"/>
        </w:rPr>
      </w:pPr>
      <w:bookmarkStart w:id="81" w:name="_Toc1265"/>
      <w:r>
        <w:rPr>
          <w:rFonts w:hint="eastAsia" w:ascii="宋体" w:hAnsi="宋体" w:eastAsia="宋体" w:cs="宋体"/>
          <w:color w:val="auto"/>
          <w:highlight w:val="none"/>
        </w:rPr>
        <w:t xml:space="preserve"> </w:t>
      </w:r>
      <w:bookmarkStart w:id="82" w:name="_Toc14171"/>
      <w:r>
        <w:rPr>
          <w:rFonts w:hint="eastAsia" w:ascii="宋体" w:hAnsi="宋体" w:eastAsia="宋体" w:cs="宋体"/>
          <w:color w:val="auto"/>
          <w:highlight w:val="none"/>
        </w:rPr>
        <w:t>磋商原则</w:t>
      </w:r>
      <w:bookmarkEnd w:id="81"/>
      <w:bookmarkEnd w:id="82"/>
    </w:p>
    <w:p w14:paraId="50B42110">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1、本次竞争性磋商本着公平、公正、科学、择优的原则，邀请各磋商方参加报价。</w:t>
      </w:r>
    </w:p>
    <w:p w14:paraId="68CAD295">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2、磋商小组将严格按照竞争性磋商文件的要求，对供应商的响应性文件进行认真评审；磋商小组对响应性文件的评审仅依据响应性文件本身，而不依据响应性文件以外的任何因素。</w:t>
      </w:r>
    </w:p>
    <w:p w14:paraId="2B60B03F">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3、磋商小组按照统一的磋商原则和磋商方法，用同一标准对所有响应性文件进行评审。</w:t>
      </w:r>
    </w:p>
    <w:p w14:paraId="1066BD07">
      <w:pPr>
        <w:pStyle w:val="16"/>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4、评审</w:t>
      </w:r>
    </w:p>
    <w:p w14:paraId="129B7CED">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4.1在磋商响应截止时间前按规定提交响应文件的供应商在三家（含）以上的，由采购人或采购代理机构组织进行开标。</w:t>
      </w:r>
    </w:p>
    <w:p w14:paraId="69B186E3">
      <w:pPr>
        <w:pStyle w:val="16"/>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hint="eastAsia" w:ascii="宋体" w:hAnsi="宋体" w:eastAsia="宋体" w:cs="宋体"/>
          <w:color w:val="auto"/>
          <w:sz w:val="24"/>
          <w:szCs w:val="24"/>
          <w:highlight w:val="none"/>
        </w:rPr>
        <w:t>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color w:val="auto"/>
          <w:sz w:val="24"/>
          <w:szCs w:val="24"/>
          <w:highlight w:val="none"/>
        </w:rPr>
        <w:t>，由授权代表在磋商响应截止时间前递交至开标地点。</w:t>
      </w:r>
    </w:p>
    <w:p w14:paraId="1EE952E6">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4.3采购人按磋商文件规定的时间、地点公开开标。开标仪式由采购人或采购代理机构主持及有关人员参加。</w:t>
      </w:r>
    </w:p>
    <w:p w14:paraId="0A358269">
      <w:pPr>
        <w:pStyle w:val="5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14:paraId="1EC55959">
      <w:pPr>
        <w:pStyle w:val="5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2DC90D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5、组建磋商小组</w:t>
      </w:r>
    </w:p>
    <w:p w14:paraId="5B1355F9">
      <w:pPr>
        <w:pStyle w:val="5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5.1磋商小组由采购人代表和评审专家共3人或以上单数组成，其中评审专家人数不少于磋商小组成员总数的2/3。</w:t>
      </w:r>
    </w:p>
    <w:p w14:paraId="05386F25">
      <w:pPr>
        <w:pStyle w:val="56"/>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5.2</w:t>
      </w:r>
      <w:r>
        <w:rPr>
          <w:rFonts w:hint="eastAsia" w:ascii="宋体" w:hAnsi="宋体" w:eastAsia="宋体" w:cs="宋体"/>
          <w:color w:val="auto"/>
          <w:highlight w:val="none"/>
          <w:lang w:val="zh-CN"/>
        </w:rPr>
        <w:t>评标工作由评标委员会负责，并推选产生的组长主持；</w:t>
      </w:r>
    </w:p>
    <w:p w14:paraId="42AAFFC8">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zh-CN"/>
        </w:rPr>
        <w:t>本次评标为在线评标。</w:t>
      </w:r>
    </w:p>
    <w:p w14:paraId="1341A831">
      <w:pPr>
        <w:pStyle w:val="2"/>
        <w:numPr>
          <w:ilvl w:val="0"/>
          <w:numId w:val="14"/>
        </w:numP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83" w:name="_Toc31855"/>
      <w:bookmarkStart w:id="84" w:name="_Toc10093"/>
      <w:r>
        <w:rPr>
          <w:rFonts w:hint="eastAsia" w:ascii="宋体" w:hAnsi="宋体" w:eastAsia="宋体" w:cs="宋体"/>
          <w:color w:val="auto"/>
          <w:highlight w:val="none"/>
        </w:rPr>
        <w:t>磋商程序</w:t>
      </w:r>
      <w:bookmarkEnd w:id="83"/>
      <w:bookmarkEnd w:id="84"/>
    </w:p>
    <w:p w14:paraId="12038487">
      <w:pPr>
        <w:snapToGrid w:val="0"/>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1、对所有响应文件的初审</w:t>
      </w:r>
    </w:p>
    <w:p w14:paraId="44C81ECD">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w:t>
      </w:r>
    </w:p>
    <w:p w14:paraId="6529CB0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（1）开标后，磋商小组将依法对供应商的资格进行审查。</w:t>
      </w:r>
    </w:p>
    <w:p w14:paraId="4E2B79F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（2）磋商小组依据法律法规和磋商文件的规定，对供应商的基本资格条件、特定资格条件进行审查。</w:t>
      </w:r>
    </w:p>
    <w:p w14:paraId="0DC756B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（3）供应商未按照磋商文件要求提供与基本资格条件、特定资格条件相应的有效资格证明材料的，视为供应商不具备磋商文件中规定的资格要求，其磋商无效。并将无效原由告知相关供应商.</w:t>
      </w:r>
    </w:p>
    <w:p w14:paraId="7D696A6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0F25E3F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3AC73FD4">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4D0B8FC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（1）响应文件无法定代表人或其委托授权代表签名或盖章。</w:t>
      </w:r>
    </w:p>
    <w:p w14:paraId="0C86E49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（2）响应文件内容虚假的。</w:t>
      </w:r>
    </w:p>
    <w:p w14:paraId="361C608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（3）响应文件有采购人不能接受的附加条件的。</w:t>
      </w:r>
    </w:p>
    <w:p w14:paraId="59758A0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（4）磋商有效期、服务期等商务条款不能满足磋商文件要求的。</w:t>
      </w:r>
    </w:p>
    <w:p w14:paraId="668F37A4">
      <w:pPr>
        <w:widowControl/>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（5）投标价格超出预算或最高限价，导致采购单位无法支付的。</w:t>
      </w:r>
    </w:p>
    <w:p w14:paraId="7F4DE1D9">
      <w:pPr>
        <w:widowControl/>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（6）磋商文件明确规定的其他无效条款的。</w:t>
      </w:r>
    </w:p>
    <w:p w14:paraId="527F68C5">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8A3C5F4">
      <w:pPr>
        <w:pStyle w:val="56"/>
        <w:tabs>
          <w:tab w:val="left" w:pos="0"/>
        </w:tabs>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25ACA7C8">
      <w:pPr>
        <w:snapToGrid w:val="0"/>
        <w:spacing w:line="360" w:lineRule="auto"/>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、磋商</w:t>
      </w:r>
    </w:p>
    <w:p w14:paraId="15BF29F6">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初审合格的供应商进入下一步的磋商活动。</w:t>
      </w:r>
    </w:p>
    <w:p w14:paraId="76D77A36">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磋商小组所有成员应当集中与单一供应商分别进行磋商，并给予所有参加磋商的供应商平等的磋商机会。</w:t>
      </w:r>
    </w:p>
    <w:p w14:paraId="40F1C456">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4DA52A00">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在磋商过程中，磋商小组可以根据磋商文件和磋商情况实质性变动采购需求中的技术、服务要求以及合同草案条款。实质性变动的内容，须经采购人代表确认。</w:t>
      </w:r>
    </w:p>
    <w:p w14:paraId="7CCD2F2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磋商文件作出的实质性变动是磋商文件的有效组成部分，磋商小组应当及时以书面形式同时通知所有参加磋商的供应商。</w:t>
      </w:r>
    </w:p>
    <w:p w14:paraId="30E2325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B828F0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4D6333E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FF5F0B1">
      <w:pPr>
        <w:snapToGrid w:val="0"/>
        <w:spacing w:line="360" w:lineRule="auto"/>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、最后报价</w:t>
      </w:r>
    </w:p>
    <w:p w14:paraId="0AE20AF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3.1商务技术汇总后，供应商开启报价文件，磋商小组应当要求所有实质性响应的供应商在规定时间内提交最后报价。</w:t>
      </w:r>
    </w:p>
    <w:p w14:paraId="759DDBC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3.2最后报价是供应商响应文件的有效组成部分，若最后报价高于响应文件报价文件报价，则以第一次报价计入评分。</w:t>
      </w:r>
    </w:p>
    <w:p w14:paraId="58D9616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3.3已提交响应文件的供应商，在提交最后报价之前，若因磋商文件实质性变动导致供应商无法满足采购需求的，允许供应商退出磋商。</w:t>
      </w:r>
    </w:p>
    <w:p w14:paraId="3BEA6FDC">
      <w:pPr>
        <w:pStyle w:val="3"/>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4、电子评标</w:t>
      </w:r>
    </w:p>
    <w:p w14:paraId="05F5629C">
      <w:pPr>
        <w:pStyle w:val="3"/>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4.1磋商活动由采购代理机构主持,磋商响应截止时间后,供应商登录政采云平台对电子响应文件进行在线解密；</w:t>
      </w:r>
    </w:p>
    <w:p w14:paraId="6C085A63">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4.2响应文件解密结束,开启响应文件,磋商小组对资格和商务技术响应文件进行资格审查和符合性审查；</w:t>
      </w:r>
    </w:p>
    <w:p w14:paraId="65B529B2">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4.3供应商按递交磋商响应文件的前后顺序决定磋商的顺序,就价格、服务等认为需要磋商的内容进行磋商,供应商逐家回答磋商小组的提问,供应商作出最终承诺；</w:t>
      </w:r>
    </w:p>
    <w:p w14:paraId="43E737FD">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4.4磋商小组对商务技术响应文件进行评审；</w:t>
      </w:r>
    </w:p>
    <w:p w14:paraId="36F4EDC5">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4.5商务技术汇总后，供应商开启报价文件，进行磋商二次报价（最终报价），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如果供应商在规定时间30分钟内未提交第二次报价，视该供应商放弃本次投标，作无效标处理</w:t>
      </w:r>
      <w:r>
        <w:rPr>
          <w:rFonts w:hint="eastAsia" w:ascii="宋体" w:hAnsi="宋体" w:eastAsia="宋体" w:cs="宋体"/>
          <w:color w:val="auto"/>
          <w:sz w:val="24"/>
          <w:szCs w:val="24"/>
          <w:highlight w:val="none"/>
        </w:rPr>
        <w:t>；</w:t>
      </w:r>
    </w:p>
    <w:p w14:paraId="5ECDC24D">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4.6在系统上开启最终报价情况；</w:t>
      </w:r>
    </w:p>
    <w:p w14:paraId="324E1B77">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4.7磋商小组对报价情况进行评审；</w:t>
      </w:r>
    </w:p>
    <w:p w14:paraId="5DD573D1">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4.8在系统上公开资格和商务技术评审结果；</w:t>
      </w:r>
    </w:p>
    <w:p w14:paraId="5B43A65E">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4.9在系统上公布评审结果。</w:t>
      </w:r>
    </w:p>
    <w:p w14:paraId="733AE015">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4.10开标会结束。</w:t>
      </w:r>
    </w:p>
    <w:p w14:paraId="23B46BE2">
      <w:pPr>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特别说明:政采云如对电子化开标及评审程序有调整的,按调整后的程序操作。</w:t>
      </w:r>
    </w:p>
    <w:p w14:paraId="327B271D">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5.综合评分</w:t>
      </w:r>
    </w:p>
    <w:p w14:paraId="6604626F">
      <w:pPr>
        <w:tabs>
          <w:tab w:val="left" w:pos="-1080"/>
          <w:tab w:val="left" w:pos="180"/>
          <w:tab w:val="left" w:pos="108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5.1本评标办法采用综合评标法，由商务技术分和报价分合计组成，其中商务技术分</w:t>
      </w:r>
      <w:r>
        <w:rPr>
          <w:rFonts w:hint="eastAsia" w:ascii="宋体" w:hAnsi="宋体" w:eastAsia="宋体" w:cs="宋体"/>
          <w:color w:val="auto"/>
          <w:sz w:val="24"/>
          <w:szCs w:val="24"/>
          <w:highlight w:val="none"/>
          <w:u w:val="single"/>
        </w:rPr>
        <w:t xml:space="preserve"> 80 </w:t>
      </w:r>
      <w:r>
        <w:rPr>
          <w:rFonts w:hint="eastAsia" w:ascii="宋体" w:hAnsi="宋体" w:eastAsia="宋体" w:cs="宋体"/>
          <w:color w:val="auto"/>
          <w:sz w:val="24"/>
          <w:szCs w:val="24"/>
          <w:highlight w:val="none"/>
        </w:rPr>
        <w:t>分、报价分</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分；满分为100分。</w:t>
      </w:r>
    </w:p>
    <w:p w14:paraId="487CEA5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5.2经初步评审合格的响应文件，磋商小组根据竞争性磋商文件确定的评审标准和方法，对其商务技术部分作进一步评审、比较、打分。</w:t>
      </w:r>
    </w:p>
    <w:p w14:paraId="15DCCC99">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7EBEDF16">
      <w:pPr>
        <w:pStyle w:val="16"/>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6、修正原则</w:t>
      </w:r>
    </w:p>
    <w:p w14:paraId="6A2F56FD">
      <w:pPr>
        <w:pStyle w:val="56"/>
        <w:spacing w:before="0"/>
        <w:ind w:left="420" w:leftChars="200"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文件报价出现前后不一致的，按照下列规定修正：</w:t>
      </w:r>
    </w:p>
    <w:p w14:paraId="407AC960">
      <w:pPr>
        <w:pStyle w:val="56"/>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6.1响应</w:t>
      </w:r>
      <w:r>
        <w:rPr>
          <w:rFonts w:hint="eastAsia" w:ascii="宋体" w:hAnsi="宋体" w:eastAsia="宋体" w:cs="宋体"/>
          <w:color w:val="auto"/>
          <w:highlight w:val="none"/>
          <w:lang w:val="zh-CN"/>
        </w:rPr>
        <w:t>文件中</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一览表内容与</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文件中相应内容不一致的，以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一览表为准；</w:t>
      </w:r>
    </w:p>
    <w:p w14:paraId="1B0AE11F">
      <w:pPr>
        <w:pStyle w:val="56"/>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6.2</w:t>
      </w:r>
      <w:r>
        <w:rPr>
          <w:rFonts w:hint="eastAsia" w:ascii="宋体" w:hAnsi="宋体" w:eastAsia="宋体" w:cs="宋体"/>
          <w:color w:val="auto"/>
          <w:highlight w:val="none"/>
          <w:lang w:val="zh-CN"/>
        </w:rPr>
        <w:t>大写金额和小写金额不一致的，以大写金额为准；</w:t>
      </w:r>
    </w:p>
    <w:p w14:paraId="6944DE61">
      <w:pPr>
        <w:pStyle w:val="56"/>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6.3</w:t>
      </w:r>
      <w:r>
        <w:rPr>
          <w:rFonts w:hint="eastAsia" w:ascii="宋体" w:hAnsi="宋体" w:eastAsia="宋体" w:cs="宋体"/>
          <w:color w:val="auto"/>
          <w:highlight w:val="none"/>
          <w:lang w:val="zh-CN"/>
        </w:rPr>
        <w:t>单价金额小数点或者百分比有明显错位的，以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一览表的总价为准，并修改单价；</w:t>
      </w:r>
    </w:p>
    <w:p w14:paraId="17BCDD95">
      <w:pPr>
        <w:pStyle w:val="56"/>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6.4</w:t>
      </w:r>
      <w:r>
        <w:rPr>
          <w:rFonts w:hint="eastAsia" w:ascii="宋体" w:hAnsi="宋体" w:eastAsia="宋体" w:cs="宋体"/>
          <w:color w:val="auto"/>
          <w:highlight w:val="none"/>
          <w:lang w:val="zh-CN"/>
        </w:rPr>
        <w:t>总价金额与按单价汇总金额不一致的，以单价金额计算结果为准。</w:t>
      </w:r>
    </w:p>
    <w:p w14:paraId="05E08CF7">
      <w:pPr>
        <w:pStyle w:val="56"/>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同时出现两种以上不一致的，按照前款规定的顺序修正。修正后的报价按照财政部公布第87号令 《政府采购产品和服务招标投标管理办法》第五十一条第二款的规定经</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确认后产生约束力，</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不确认的，其</w:t>
      </w:r>
      <w:r>
        <w:rPr>
          <w:rFonts w:hint="eastAsia" w:ascii="宋体" w:hAnsi="宋体" w:eastAsia="宋体" w:cs="宋体"/>
          <w:color w:val="auto"/>
          <w:highlight w:val="none"/>
        </w:rPr>
        <w:t>磋商</w:t>
      </w:r>
      <w:r>
        <w:rPr>
          <w:rFonts w:hint="eastAsia" w:ascii="宋体" w:hAnsi="宋体" w:eastAsia="宋体" w:cs="宋体"/>
          <w:color w:val="auto"/>
          <w:highlight w:val="none"/>
          <w:lang w:val="zh-CN"/>
        </w:rPr>
        <w:t>无效。</w:t>
      </w:r>
    </w:p>
    <w:p w14:paraId="58D9DDA0">
      <w:pPr>
        <w:pStyle w:val="16"/>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7、响应文件的澄清</w:t>
      </w:r>
    </w:p>
    <w:p w14:paraId="7B1563BF">
      <w:pPr>
        <w:pStyle w:val="56"/>
        <w:tabs>
          <w:tab w:val="left" w:pos="0"/>
        </w:tabs>
        <w:spacing w:before="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7.1</w:t>
      </w:r>
      <w:r>
        <w:rPr>
          <w:rFonts w:hint="eastAsia" w:ascii="宋体" w:hAnsi="宋体" w:eastAsia="宋体" w:cs="宋体"/>
          <w:color w:val="auto"/>
          <w:highlight w:val="none"/>
          <w:lang w:val="zh-CN"/>
        </w:rPr>
        <w:t>评审中因</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文件含义不明、表述不一致或有明显计算错误等内容需要供应商作出澄清、说明或者补正的，</w:t>
      </w:r>
      <w:r>
        <w:rPr>
          <w:rFonts w:hint="eastAsia" w:ascii="宋体" w:hAnsi="宋体" w:eastAsia="宋体" w:cs="宋体"/>
          <w:color w:val="auto"/>
          <w:highlight w:val="none"/>
        </w:rPr>
        <w:t>磋商小组</w:t>
      </w:r>
      <w:r>
        <w:rPr>
          <w:rFonts w:hint="eastAsia" w:ascii="宋体" w:hAnsi="宋体" w:eastAsia="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46408B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供应商通过政采云平台交换的数据电文必须进行电子签章。</w:t>
      </w:r>
    </w:p>
    <w:p w14:paraId="48D617EF">
      <w:pPr>
        <w:pStyle w:val="2"/>
        <w:numPr>
          <w:ilvl w:val="0"/>
          <w:numId w:val="14"/>
        </w:numP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85" w:name="_Toc12816"/>
      <w:bookmarkStart w:id="86" w:name="_Toc20874"/>
      <w:r>
        <w:rPr>
          <w:rFonts w:hint="eastAsia" w:ascii="宋体" w:hAnsi="宋体" w:eastAsia="宋体" w:cs="宋体"/>
          <w:color w:val="auto"/>
          <w:highlight w:val="none"/>
        </w:rPr>
        <w:t>注意事项</w:t>
      </w:r>
      <w:bookmarkEnd w:id="85"/>
      <w:bookmarkEnd w:id="86"/>
    </w:p>
    <w:p w14:paraId="11FECC1E">
      <w:pPr>
        <w:pStyle w:val="3"/>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683EE9E5">
      <w:pPr>
        <w:pStyle w:val="2"/>
        <w:numPr>
          <w:ilvl w:val="0"/>
          <w:numId w:val="15"/>
        </w:numP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87" w:name="_Toc13782"/>
      <w:bookmarkStart w:id="88" w:name="_Toc21029"/>
      <w:r>
        <w:rPr>
          <w:rFonts w:hint="eastAsia" w:ascii="宋体" w:hAnsi="宋体" w:eastAsia="宋体" w:cs="宋体"/>
          <w:color w:val="auto"/>
          <w:highlight w:val="none"/>
        </w:rPr>
        <w:t>评分细则</w:t>
      </w:r>
      <w:bookmarkEnd w:id="87"/>
      <w:bookmarkEnd w:id="88"/>
    </w:p>
    <w:p w14:paraId="171C75A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一、报价文件评分标准（</w:t>
      </w:r>
      <w:r>
        <w:rPr>
          <w:rFonts w:hint="eastAsia" w:ascii="宋体" w:hAnsi="宋体" w:eastAsia="宋体" w:cs="宋体"/>
          <w:b/>
          <w:bCs/>
          <w:color w:val="auto"/>
          <w:sz w:val="24"/>
          <w:szCs w:val="24"/>
          <w:highlight w:val="none"/>
          <w:u w:val="single"/>
        </w:rPr>
        <w:t xml:space="preserve">20 </w:t>
      </w:r>
      <w:r>
        <w:rPr>
          <w:rFonts w:hint="eastAsia" w:ascii="宋体" w:hAnsi="宋体" w:eastAsia="宋体" w:cs="宋体"/>
          <w:b/>
          <w:bCs/>
          <w:color w:val="auto"/>
          <w:sz w:val="24"/>
          <w:szCs w:val="24"/>
          <w:highlight w:val="none"/>
        </w:rPr>
        <w:t>分）</w:t>
      </w:r>
    </w:p>
    <w:p w14:paraId="793FB9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报价文件主要是对供应商的有效报价进行评议，其评分标准及分值设置规则如下：</w:t>
      </w:r>
    </w:p>
    <w:p w14:paraId="5AFF79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1、本次采购最高限价规定如下：</w:t>
      </w:r>
    </w:p>
    <w:p w14:paraId="214EE871">
      <w:pPr>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本项目投标报价的最高限价</w:t>
      </w:r>
      <w:r>
        <w:rPr>
          <w:rFonts w:hint="eastAsia" w:ascii="宋体" w:hAnsi="宋体" w:eastAsia="宋体" w:cs="宋体"/>
          <w:b/>
          <w:bCs/>
          <w:color w:val="auto"/>
          <w:sz w:val="24"/>
          <w:szCs w:val="24"/>
          <w:highlight w:val="none"/>
        </w:rPr>
        <w:t>为人民币</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玖拾捌万</w:t>
      </w:r>
      <w:r>
        <w:rPr>
          <w:rFonts w:hint="eastAsia" w:ascii="宋体" w:hAnsi="宋体" w:eastAsia="宋体" w:cs="宋体"/>
          <w:b/>
          <w:bCs/>
          <w:color w:val="auto"/>
          <w:sz w:val="24"/>
          <w:szCs w:val="24"/>
          <w:highlight w:val="none"/>
          <w:u w:val="single"/>
        </w:rPr>
        <w:t xml:space="preserve">元整 </w:t>
      </w:r>
      <w:r>
        <w:rPr>
          <w:rFonts w:hint="eastAsia" w:ascii="宋体" w:hAnsi="宋体" w:eastAsia="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980000</w:t>
      </w:r>
      <w:r>
        <w:rPr>
          <w:rFonts w:hint="eastAsia" w:ascii="宋体" w:hAnsi="宋体" w:eastAsia="宋体" w:cs="宋体"/>
          <w:b/>
          <w:bCs/>
          <w:color w:val="auto"/>
          <w:sz w:val="24"/>
          <w:szCs w:val="24"/>
          <w:highlight w:val="none"/>
          <w:u w:val="single"/>
        </w:rPr>
        <w:t xml:space="preserve">.00 </w:t>
      </w:r>
      <w:r>
        <w:rPr>
          <w:rFonts w:hint="eastAsia" w:ascii="宋体" w:hAnsi="宋体" w:eastAsia="宋体" w:cs="宋体"/>
          <w:b/>
          <w:bCs/>
          <w:color w:val="auto"/>
          <w:sz w:val="24"/>
          <w:szCs w:val="24"/>
          <w:highlight w:val="none"/>
        </w:rPr>
        <w:t>元）。</w:t>
      </w:r>
    </w:p>
    <w:p w14:paraId="0867AE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2、供应商的报价在最高限价内的，为有效报价。</w:t>
      </w:r>
    </w:p>
    <w:p w14:paraId="5B5293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3、本次评标设有最佳报价。</w:t>
      </w:r>
      <w:r>
        <w:rPr>
          <w:rFonts w:hint="eastAsia" w:ascii="宋体" w:hAnsi="宋体" w:eastAsia="宋体" w:cs="宋体"/>
          <w:color w:val="auto"/>
          <w:highlight w:val="none"/>
        </w:rPr>
        <w:t>最</w:t>
      </w:r>
      <w:r>
        <w:rPr>
          <w:rFonts w:hint="eastAsia" w:ascii="宋体" w:hAnsi="宋体" w:eastAsia="宋体" w:cs="宋体"/>
          <w:color w:val="auto"/>
          <w:sz w:val="24"/>
          <w:szCs w:val="24"/>
          <w:highlight w:val="none"/>
        </w:rPr>
        <w:t>佳报价确定方式：根据所有入围供应商有效报价中的最低报价作为最佳报价。</w:t>
      </w:r>
    </w:p>
    <w:p w14:paraId="6881DC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4、最佳报价者的报价分为满分，其他供应商的有效报价与最佳报价相比，按下列方法计算其报价分：</w:t>
      </w:r>
    </w:p>
    <w:p w14:paraId="57B813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投标价格分=(最佳报价/投标报价)*价格权值*100。</w:t>
      </w:r>
    </w:p>
    <w:p w14:paraId="02858E1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5、当报价一览表与磋商报价明细表报价不一致时，以报价一览表为准，磋商报价明细表报价予以修正并由授权代表签字确认，拒绝修正或确认的，则做无效标处理。</w:t>
      </w:r>
    </w:p>
    <w:p w14:paraId="4F13CB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6、响应文件只允许有一个报价，磋商报价应按磋商文件中相关附表格式填报，该磋商报价应与明细报价汇总相等，且不允许出现报价优惠、赠送等字样（明细出现“0”元，视同赠送）,如出现则做</w:t>
      </w:r>
      <w:r>
        <w:rPr>
          <w:rFonts w:hint="eastAsia" w:ascii="宋体" w:hAnsi="宋体" w:eastAsia="宋体" w:cs="宋体"/>
          <w:b/>
          <w:bCs/>
          <w:color w:val="auto"/>
          <w:sz w:val="24"/>
          <w:szCs w:val="24"/>
          <w:highlight w:val="none"/>
        </w:rPr>
        <w:t>无效响应</w:t>
      </w:r>
      <w:r>
        <w:rPr>
          <w:rFonts w:hint="eastAsia" w:ascii="宋体" w:hAnsi="宋体" w:eastAsia="宋体" w:cs="宋体"/>
          <w:color w:val="auto"/>
          <w:sz w:val="24"/>
          <w:szCs w:val="24"/>
          <w:highlight w:val="none"/>
        </w:rPr>
        <w:t>处理。</w:t>
      </w:r>
    </w:p>
    <w:p w14:paraId="5D16EBBB">
      <w:pPr>
        <w:autoSpaceDE w:val="0"/>
        <w:autoSpaceDN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
          <w:bCs/>
          <w:color w:val="auto"/>
          <w:sz w:val="24"/>
          <w:szCs w:val="24"/>
          <w:highlight w:val="none"/>
        </w:rPr>
        <w:t>投标价格的合理性</w:t>
      </w:r>
      <w:r>
        <w:rPr>
          <w:rFonts w:hint="eastAsia" w:ascii="宋体" w:hAnsi="宋体" w:eastAsia="宋体" w:cs="宋体"/>
          <w:color w:val="auto"/>
          <w:sz w:val="24"/>
          <w:szCs w:val="24"/>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1FD8D6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26284E">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根据</w:t>
      </w:r>
      <w:r>
        <w:rPr>
          <w:rFonts w:hint="eastAsia" w:ascii="宋体" w:hAnsi="宋体" w:eastAsia="宋体" w:cs="宋体"/>
          <w:color w:val="auto"/>
          <w:sz w:val="24"/>
          <w:szCs w:val="21"/>
          <w:highlight w:val="none"/>
          <w:lang w:val="en-US" w:eastAsia="zh-CN"/>
        </w:rPr>
        <w:t>财政部</w:t>
      </w:r>
      <w:r>
        <w:rPr>
          <w:rFonts w:hint="eastAsia" w:ascii="宋体" w:hAnsi="宋体" w:eastAsia="宋体" w:cs="宋体"/>
          <w:color w:val="auto"/>
          <w:sz w:val="24"/>
          <w:szCs w:val="21"/>
          <w:highlight w:val="none"/>
        </w:rPr>
        <w:t>的《关于进一步加大政府采购支持中小企业力度的通知》（</w:t>
      </w:r>
      <w:r>
        <w:rPr>
          <w:rFonts w:hint="eastAsia" w:ascii="宋体" w:hAnsi="宋体" w:eastAsia="宋体" w:cs="宋体"/>
          <w:color w:val="auto"/>
          <w:sz w:val="24"/>
          <w:szCs w:val="21"/>
          <w:highlight w:val="none"/>
          <w:lang w:val="en-US" w:eastAsia="zh-CN"/>
        </w:rPr>
        <w:t>财库</w:t>
      </w:r>
      <w:r>
        <w:rPr>
          <w:rFonts w:hint="eastAsia" w:ascii="宋体" w:hAnsi="宋体" w:eastAsia="宋体" w:cs="宋体"/>
          <w:color w:val="auto"/>
          <w:sz w:val="24"/>
          <w:szCs w:val="21"/>
          <w:highlight w:val="none"/>
        </w:rPr>
        <w:t>〔2022〕</w:t>
      </w:r>
      <w:r>
        <w:rPr>
          <w:rFonts w:hint="eastAsia" w:ascii="宋体" w:hAnsi="宋体" w:eastAsia="宋体" w:cs="宋体"/>
          <w:color w:val="auto"/>
          <w:sz w:val="24"/>
          <w:szCs w:val="21"/>
          <w:highlight w:val="none"/>
          <w:lang w:val="en-US" w:eastAsia="zh-CN"/>
        </w:rPr>
        <w:t>19</w:t>
      </w:r>
      <w:r>
        <w:rPr>
          <w:rFonts w:hint="eastAsia" w:ascii="宋体" w:hAnsi="宋体" w:eastAsia="宋体" w:cs="宋体"/>
          <w:color w:val="auto"/>
          <w:sz w:val="24"/>
          <w:szCs w:val="21"/>
          <w:highlight w:val="none"/>
        </w:rPr>
        <w:t>号）规定，货物和服务项目中未预留份额专门面向中小企业采购的，以及预留份额项目中的非预留部分采购包，采购单位、采购代理机构应结合项目实际，对符合规定的小微企业报价按</w:t>
      </w:r>
      <w:r>
        <w:rPr>
          <w:rFonts w:hint="eastAsia" w:ascii="宋体" w:hAnsi="宋体" w:eastAsia="宋体" w:cs="宋体"/>
          <w:color w:val="auto"/>
          <w:sz w:val="24"/>
          <w:szCs w:val="21"/>
          <w:highlight w:val="none"/>
          <w:lang w:val="en-US" w:eastAsia="zh-CN"/>
        </w:rPr>
        <w:t>10%</w:t>
      </w:r>
      <w:r>
        <w:rPr>
          <w:rFonts w:hint="eastAsia" w:ascii="宋体" w:hAnsi="宋体" w:eastAsia="宋体" w:cs="宋体"/>
          <w:color w:val="auto"/>
          <w:sz w:val="24"/>
          <w:szCs w:val="21"/>
          <w:highlight w:val="none"/>
        </w:rPr>
        <w:t>给予扣除，用扣除后的价格参加评审；对于联合协议或者分包意向协议约定小微企业的合同份额占到合同总金额30%以上的，采购单位、采购代理机构应结合项目实际，对联合体或者大中型企业的报价按</w:t>
      </w:r>
      <w:r>
        <w:rPr>
          <w:rFonts w:hint="eastAsia" w:ascii="宋体" w:hAnsi="宋体" w:eastAsia="宋体" w:cs="宋体"/>
          <w:color w:val="auto"/>
          <w:sz w:val="24"/>
          <w:szCs w:val="21"/>
          <w:highlight w:val="none"/>
          <w:lang w:val="en-US" w:eastAsia="zh-CN"/>
        </w:rPr>
        <w:t>4%</w:t>
      </w:r>
      <w:r>
        <w:rPr>
          <w:rFonts w:hint="eastAsia" w:ascii="宋体" w:hAnsi="宋体" w:eastAsia="宋体" w:cs="宋体"/>
          <w:color w:val="auto"/>
          <w:sz w:val="24"/>
          <w:szCs w:val="21"/>
          <w:highlight w:val="none"/>
        </w:rPr>
        <w:t>给予扣除，用扣除后的价格参加评审。</w:t>
      </w:r>
    </w:p>
    <w:p w14:paraId="07B2AC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组成联合体或者接受分包的小微企业与联合体内其他企业、分包企业之间存在直接控股、管理关系的，不享受价格扣除优惠政策。联合体各方均为小型、微型企业的，联合体视同为小型、微型企业</w:t>
      </w:r>
      <w:r>
        <w:rPr>
          <w:rFonts w:hint="eastAsia" w:ascii="宋体" w:hAnsi="宋体" w:eastAsia="宋体" w:cs="宋体"/>
          <w:color w:val="auto"/>
          <w:sz w:val="24"/>
          <w:szCs w:val="24"/>
          <w:highlight w:val="none"/>
        </w:rPr>
        <w:t>。</w:t>
      </w:r>
    </w:p>
    <w:p w14:paraId="76D6A168">
      <w:pPr>
        <w:numPr>
          <w:ilvl w:val="0"/>
          <w:numId w:val="16"/>
        </w:num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商务技术文件评标内容及标准（</w:t>
      </w:r>
      <w:r>
        <w:rPr>
          <w:rFonts w:hint="eastAsia" w:ascii="宋体" w:hAnsi="宋体" w:eastAsia="宋体" w:cs="宋体"/>
          <w:b/>
          <w:bCs/>
          <w:color w:val="auto"/>
          <w:sz w:val="24"/>
          <w:szCs w:val="24"/>
          <w:highlight w:val="none"/>
          <w:u w:val="single"/>
        </w:rPr>
        <w:t xml:space="preserve"> 80 </w:t>
      </w:r>
      <w:r>
        <w:rPr>
          <w:rFonts w:hint="eastAsia" w:ascii="宋体" w:hAnsi="宋体" w:eastAsia="宋体" w:cs="宋体"/>
          <w:b/>
          <w:bCs/>
          <w:color w:val="auto"/>
          <w:sz w:val="24"/>
          <w:szCs w:val="24"/>
          <w:highlight w:val="none"/>
        </w:rPr>
        <w:t>分）</w:t>
      </w:r>
    </w:p>
    <w:p w14:paraId="11619D9F">
      <w:pPr>
        <w:numPr>
          <w:ilvl w:val="0"/>
          <w:numId w:val="0"/>
        </w:num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1、评分细则</w:t>
      </w:r>
    </w:p>
    <w:tbl>
      <w:tblPr>
        <w:tblStyle w:val="26"/>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5872"/>
        <w:gridCol w:w="1114"/>
      </w:tblGrid>
      <w:tr w14:paraId="0241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848" w:type="dxa"/>
            <w:gridSpan w:val="2"/>
            <w:tcBorders>
              <w:top w:val="single" w:color="auto" w:sz="4" w:space="0"/>
              <w:left w:val="single" w:color="auto" w:sz="4" w:space="0"/>
              <w:bottom w:val="single" w:color="auto" w:sz="4" w:space="0"/>
              <w:right w:val="single" w:color="auto" w:sz="4" w:space="0"/>
            </w:tcBorders>
            <w:noWrap w:val="0"/>
            <w:vAlign w:val="center"/>
          </w:tcPr>
          <w:p w14:paraId="513812FE">
            <w:pPr>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评标要点及说明</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3949B97">
            <w:pPr>
              <w:spacing w:line="360" w:lineRule="auto"/>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分值</w:t>
            </w:r>
          </w:p>
        </w:tc>
      </w:tr>
      <w:tr w14:paraId="75AC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76" w:type="dxa"/>
            <w:tcBorders>
              <w:top w:val="single" w:color="auto" w:sz="4" w:space="0"/>
              <w:left w:val="single" w:color="auto" w:sz="4" w:space="0"/>
              <w:right w:val="single" w:color="auto" w:sz="4" w:space="0"/>
            </w:tcBorders>
            <w:noWrap w:val="0"/>
            <w:vAlign w:val="center"/>
          </w:tcPr>
          <w:p w14:paraId="4C75AC61">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现状分析</w:t>
            </w:r>
          </w:p>
        </w:tc>
        <w:tc>
          <w:tcPr>
            <w:tcW w:w="5872" w:type="dxa"/>
            <w:tcBorders>
              <w:top w:val="single" w:color="auto" w:sz="4" w:space="0"/>
              <w:left w:val="single" w:color="auto" w:sz="4" w:space="0"/>
              <w:bottom w:val="single" w:color="auto" w:sz="4" w:space="0"/>
              <w:right w:val="single" w:color="auto" w:sz="4" w:space="0"/>
            </w:tcBorders>
            <w:noWrap w:val="0"/>
            <w:vAlign w:val="center"/>
          </w:tcPr>
          <w:p w14:paraId="688E9F7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评委根据投标人对本项目实施环境的了解熟悉程度是否清晰、完整进行打分</w:t>
            </w:r>
            <w:r>
              <w:rPr>
                <w:rFonts w:hint="eastAsia" w:ascii="宋体" w:hAnsi="宋体" w:cs="宋体"/>
                <w:b w:val="0"/>
                <w:bCs w:val="0"/>
                <w:color w:val="auto"/>
                <w:kern w:val="2"/>
                <w:sz w:val="24"/>
                <w:szCs w:val="24"/>
                <w:highlight w:val="none"/>
                <w:lang w:val="en-US" w:eastAsia="zh-CN" w:bidi="ar-SA"/>
              </w:rPr>
              <w:t>。</w:t>
            </w:r>
          </w:p>
        </w:tc>
        <w:tc>
          <w:tcPr>
            <w:tcW w:w="1114" w:type="dxa"/>
            <w:tcBorders>
              <w:top w:val="single" w:color="auto" w:sz="4" w:space="0"/>
              <w:left w:val="single" w:color="auto" w:sz="4" w:space="0"/>
              <w:right w:val="single" w:color="auto" w:sz="4" w:space="0"/>
            </w:tcBorders>
            <w:noWrap w:val="0"/>
            <w:vAlign w:val="center"/>
          </w:tcPr>
          <w:p w14:paraId="563D834A">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r>
      <w:tr w14:paraId="25E4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76" w:type="dxa"/>
            <w:tcBorders>
              <w:top w:val="single" w:color="auto" w:sz="4" w:space="0"/>
              <w:left w:val="single" w:color="auto" w:sz="4" w:space="0"/>
              <w:right w:val="single" w:color="auto" w:sz="4" w:space="0"/>
            </w:tcBorders>
            <w:noWrap w:val="0"/>
            <w:vAlign w:val="center"/>
          </w:tcPr>
          <w:p w14:paraId="0A010915">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技术方案</w:t>
            </w:r>
          </w:p>
        </w:tc>
        <w:tc>
          <w:tcPr>
            <w:tcW w:w="5872" w:type="dxa"/>
            <w:tcBorders>
              <w:top w:val="single" w:color="auto" w:sz="4" w:space="0"/>
              <w:left w:val="single" w:color="auto" w:sz="4" w:space="0"/>
              <w:bottom w:val="single" w:color="auto" w:sz="4" w:space="0"/>
              <w:right w:val="single" w:color="auto" w:sz="4" w:space="0"/>
            </w:tcBorders>
            <w:noWrap w:val="0"/>
            <w:vAlign w:val="center"/>
          </w:tcPr>
          <w:p w14:paraId="089D5A1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评委根据投标人对本项目情况制定服务方案的科学性、合理性、针对性等因素进行评比，酌情打分</w:t>
            </w:r>
            <w:r>
              <w:rPr>
                <w:rFonts w:hint="eastAsia" w:ascii="宋体" w:hAnsi="宋体" w:cs="宋体"/>
                <w:b w:val="0"/>
                <w:bCs w:val="0"/>
                <w:color w:val="auto"/>
                <w:kern w:val="2"/>
                <w:sz w:val="24"/>
                <w:szCs w:val="24"/>
                <w:highlight w:val="none"/>
                <w:lang w:val="en-US" w:eastAsia="zh-CN" w:bidi="ar-SA"/>
              </w:rPr>
              <w:t>。</w:t>
            </w:r>
          </w:p>
        </w:tc>
        <w:tc>
          <w:tcPr>
            <w:tcW w:w="1114" w:type="dxa"/>
            <w:tcBorders>
              <w:top w:val="single" w:color="auto" w:sz="4" w:space="0"/>
              <w:left w:val="single" w:color="auto" w:sz="4" w:space="0"/>
              <w:right w:val="single" w:color="auto" w:sz="4" w:space="0"/>
            </w:tcBorders>
            <w:noWrap w:val="0"/>
            <w:vAlign w:val="center"/>
          </w:tcPr>
          <w:p w14:paraId="35F0D04A">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1FCB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76" w:type="dxa"/>
            <w:vMerge w:val="restart"/>
            <w:tcBorders>
              <w:top w:val="single" w:color="auto" w:sz="4" w:space="0"/>
              <w:left w:val="single" w:color="auto" w:sz="4" w:space="0"/>
              <w:right w:val="single" w:color="auto" w:sz="4" w:space="0"/>
            </w:tcBorders>
            <w:noWrap w:val="0"/>
            <w:vAlign w:val="center"/>
          </w:tcPr>
          <w:p w14:paraId="43834887">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重点、难点及解决措施</w:t>
            </w:r>
          </w:p>
        </w:tc>
        <w:tc>
          <w:tcPr>
            <w:tcW w:w="5872" w:type="dxa"/>
            <w:tcBorders>
              <w:left w:val="single" w:color="auto" w:sz="4" w:space="0"/>
              <w:bottom w:val="single" w:color="auto" w:sz="4" w:space="0"/>
              <w:right w:val="single" w:color="auto" w:sz="4" w:space="0"/>
            </w:tcBorders>
            <w:noWrap w:val="0"/>
            <w:vAlign w:val="center"/>
          </w:tcPr>
          <w:p w14:paraId="4547175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评委根据投标人对本项目现状、存在的问题的重点、难点分析与理解是否全面，是否合理进行打分</w:t>
            </w:r>
            <w:r>
              <w:rPr>
                <w:rFonts w:hint="eastAsia" w:ascii="宋体" w:hAnsi="宋体" w:cs="宋体"/>
                <w:b w:val="0"/>
                <w:bCs w:val="0"/>
                <w:color w:val="auto"/>
                <w:kern w:val="2"/>
                <w:sz w:val="24"/>
                <w:szCs w:val="24"/>
                <w:highlight w:val="none"/>
                <w:lang w:val="en-US" w:eastAsia="zh-CN" w:bidi="ar-SA"/>
              </w:rPr>
              <w:t>。</w:t>
            </w:r>
          </w:p>
        </w:tc>
        <w:tc>
          <w:tcPr>
            <w:tcW w:w="1114" w:type="dxa"/>
            <w:tcBorders>
              <w:left w:val="single" w:color="auto" w:sz="4" w:space="0"/>
              <w:right w:val="single" w:color="auto" w:sz="4" w:space="0"/>
            </w:tcBorders>
            <w:noWrap w:val="0"/>
            <w:vAlign w:val="center"/>
          </w:tcPr>
          <w:p w14:paraId="15C621F3">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7109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976" w:type="dxa"/>
            <w:vMerge w:val="continue"/>
            <w:tcBorders>
              <w:left w:val="single" w:color="auto" w:sz="4" w:space="0"/>
              <w:right w:val="single" w:color="auto" w:sz="4" w:space="0"/>
            </w:tcBorders>
            <w:noWrap w:val="0"/>
            <w:vAlign w:val="center"/>
          </w:tcPr>
          <w:p w14:paraId="400CFC07">
            <w:pPr>
              <w:spacing w:line="360" w:lineRule="auto"/>
              <w:ind w:firstLine="480" w:firstLineChars="200"/>
              <w:jc w:val="center"/>
              <w:rPr>
                <w:rFonts w:hint="eastAsia" w:ascii="宋体" w:hAnsi="宋体" w:eastAsia="宋体" w:cs="宋体"/>
                <w:b w:val="0"/>
                <w:bCs w:val="0"/>
                <w:color w:val="auto"/>
                <w:kern w:val="2"/>
                <w:sz w:val="24"/>
                <w:szCs w:val="24"/>
                <w:highlight w:val="none"/>
                <w:lang w:val="en-US" w:eastAsia="zh-CN" w:bidi="ar-SA"/>
              </w:rPr>
            </w:pPr>
          </w:p>
        </w:tc>
        <w:tc>
          <w:tcPr>
            <w:tcW w:w="5872" w:type="dxa"/>
            <w:tcBorders>
              <w:left w:val="single" w:color="auto" w:sz="4" w:space="0"/>
              <w:bottom w:val="single" w:color="auto" w:sz="4" w:space="0"/>
              <w:right w:val="single" w:color="auto" w:sz="4" w:space="0"/>
            </w:tcBorders>
            <w:noWrap w:val="0"/>
            <w:vAlign w:val="center"/>
          </w:tcPr>
          <w:p w14:paraId="0030D27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评委根据投标人对本项目重点、难点解决措施考虑是否全面及可操作性是否科学合理进行打分</w:t>
            </w:r>
            <w:r>
              <w:rPr>
                <w:rFonts w:hint="eastAsia" w:ascii="宋体" w:hAnsi="宋体" w:cs="宋体"/>
                <w:b w:val="0"/>
                <w:bCs w:val="0"/>
                <w:color w:val="auto"/>
                <w:kern w:val="2"/>
                <w:sz w:val="24"/>
                <w:szCs w:val="24"/>
                <w:highlight w:val="none"/>
                <w:lang w:val="en-US" w:eastAsia="zh-CN" w:bidi="ar-SA"/>
              </w:rPr>
              <w:t>。</w:t>
            </w:r>
          </w:p>
        </w:tc>
        <w:tc>
          <w:tcPr>
            <w:tcW w:w="1114" w:type="dxa"/>
            <w:tcBorders>
              <w:left w:val="single" w:color="auto" w:sz="4" w:space="0"/>
              <w:right w:val="single" w:color="auto" w:sz="4" w:space="0"/>
            </w:tcBorders>
            <w:noWrap w:val="0"/>
            <w:vAlign w:val="center"/>
          </w:tcPr>
          <w:p w14:paraId="1BF8FCEC">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6324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976" w:type="dxa"/>
            <w:tcBorders>
              <w:top w:val="single" w:color="auto" w:sz="4" w:space="0"/>
              <w:left w:val="single" w:color="auto" w:sz="4" w:space="0"/>
              <w:right w:val="single" w:color="auto" w:sz="4" w:space="0"/>
            </w:tcBorders>
            <w:noWrap w:val="0"/>
            <w:vAlign w:val="center"/>
          </w:tcPr>
          <w:p w14:paraId="52DFDA4E">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进度安排</w:t>
            </w:r>
          </w:p>
        </w:tc>
        <w:tc>
          <w:tcPr>
            <w:tcW w:w="5872" w:type="dxa"/>
            <w:tcBorders>
              <w:left w:val="single" w:color="auto" w:sz="4" w:space="0"/>
              <w:bottom w:val="single" w:color="auto" w:sz="4" w:space="0"/>
              <w:right w:val="single" w:color="auto" w:sz="4" w:space="0"/>
            </w:tcBorders>
            <w:noWrap w:val="0"/>
            <w:vAlign w:val="center"/>
          </w:tcPr>
          <w:p w14:paraId="3E8A4DE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bookmarkStart w:id="118" w:name="_GoBack"/>
            <w:r>
              <w:rPr>
                <w:rFonts w:hint="eastAsia" w:ascii="宋体" w:hAnsi="宋体" w:eastAsia="宋体" w:cs="宋体"/>
                <w:b w:val="0"/>
                <w:bCs w:val="0"/>
                <w:color w:val="auto"/>
                <w:kern w:val="2"/>
                <w:sz w:val="24"/>
                <w:szCs w:val="24"/>
                <w:highlight w:val="none"/>
                <w:lang w:val="en-US" w:eastAsia="zh-CN" w:bidi="ar-SA"/>
              </w:rPr>
              <w:t>评委根据投标人对本项目的进度安排计划，项目整体工作阶段及任务划分</w:t>
            </w:r>
            <w:r>
              <w:rPr>
                <w:rFonts w:hint="eastAsia" w:ascii="宋体" w:hAnsi="宋体" w:cs="宋体"/>
                <w:b w:val="0"/>
                <w:bCs w:val="0"/>
                <w:color w:val="auto"/>
                <w:kern w:val="2"/>
                <w:sz w:val="24"/>
                <w:szCs w:val="24"/>
                <w:highlight w:val="none"/>
                <w:lang w:val="en-US" w:eastAsia="zh-CN" w:bidi="ar-SA"/>
              </w:rPr>
              <w:t>（0-4分）</w:t>
            </w:r>
            <w:r>
              <w:rPr>
                <w:rFonts w:hint="eastAsia" w:ascii="宋体" w:hAnsi="宋体" w:eastAsia="宋体" w:cs="宋体"/>
                <w:b w:val="0"/>
                <w:bCs w:val="0"/>
                <w:color w:val="auto"/>
                <w:kern w:val="2"/>
                <w:sz w:val="24"/>
                <w:szCs w:val="24"/>
                <w:highlight w:val="none"/>
                <w:lang w:val="en-US" w:eastAsia="zh-CN" w:bidi="ar-SA"/>
              </w:rPr>
              <w:t>、进度控制合理、</w:t>
            </w:r>
            <w:r>
              <w:rPr>
                <w:rFonts w:hint="eastAsia" w:ascii="宋体" w:hAnsi="宋体" w:cs="宋体"/>
                <w:b w:val="0"/>
                <w:bCs w:val="0"/>
                <w:color w:val="auto"/>
                <w:kern w:val="2"/>
                <w:sz w:val="24"/>
                <w:szCs w:val="24"/>
                <w:highlight w:val="none"/>
                <w:lang w:val="en-US" w:eastAsia="zh-CN" w:bidi="ar-SA"/>
              </w:rPr>
              <w:t>关键</w:t>
            </w:r>
            <w:r>
              <w:rPr>
                <w:rFonts w:hint="eastAsia" w:ascii="宋体" w:hAnsi="宋体" w:eastAsia="宋体" w:cs="宋体"/>
                <w:b w:val="0"/>
                <w:bCs w:val="0"/>
                <w:color w:val="auto"/>
                <w:kern w:val="2"/>
                <w:sz w:val="24"/>
                <w:szCs w:val="24"/>
                <w:highlight w:val="none"/>
                <w:lang w:val="en-US" w:eastAsia="zh-CN" w:bidi="ar-SA"/>
              </w:rPr>
              <w:t>时间节点把握</w:t>
            </w:r>
            <w:r>
              <w:rPr>
                <w:rFonts w:hint="eastAsia" w:ascii="宋体" w:hAnsi="宋体" w:cs="宋体"/>
                <w:b w:val="0"/>
                <w:bCs w:val="0"/>
                <w:color w:val="auto"/>
                <w:kern w:val="2"/>
                <w:sz w:val="24"/>
                <w:szCs w:val="24"/>
                <w:highlight w:val="none"/>
                <w:lang w:val="en-US" w:eastAsia="zh-CN" w:bidi="ar-SA"/>
              </w:rPr>
              <w:t>（0-3分）</w:t>
            </w:r>
            <w:r>
              <w:rPr>
                <w:rFonts w:hint="eastAsia" w:ascii="宋体" w:hAnsi="宋体" w:eastAsia="宋体" w:cs="宋体"/>
                <w:b w:val="0"/>
                <w:bCs w:val="0"/>
                <w:color w:val="auto"/>
                <w:kern w:val="2"/>
                <w:sz w:val="24"/>
                <w:szCs w:val="24"/>
                <w:highlight w:val="none"/>
                <w:lang w:val="en-US" w:eastAsia="zh-CN" w:bidi="ar-SA"/>
              </w:rPr>
              <w:t>的科学准确性进行打分</w:t>
            </w:r>
            <w:r>
              <w:rPr>
                <w:rFonts w:hint="eastAsia" w:ascii="宋体" w:hAnsi="宋体" w:cs="宋体"/>
                <w:b w:val="0"/>
                <w:bCs w:val="0"/>
                <w:color w:val="auto"/>
                <w:kern w:val="2"/>
                <w:sz w:val="24"/>
                <w:szCs w:val="24"/>
                <w:highlight w:val="none"/>
                <w:lang w:val="en-US" w:eastAsia="zh-CN" w:bidi="ar-SA"/>
              </w:rPr>
              <w:t>。</w:t>
            </w:r>
            <w:bookmarkEnd w:id="118"/>
          </w:p>
        </w:tc>
        <w:tc>
          <w:tcPr>
            <w:tcW w:w="1114" w:type="dxa"/>
            <w:tcBorders>
              <w:left w:val="single" w:color="auto" w:sz="4" w:space="0"/>
              <w:right w:val="single" w:color="auto" w:sz="4" w:space="0"/>
            </w:tcBorders>
            <w:noWrap w:val="0"/>
            <w:vAlign w:val="center"/>
          </w:tcPr>
          <w:p w14:paraId="59F890F5">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7</w:t>
            </w:r>
          </w:p>
        </w:tc>
      </w:tr>
      <w:tr w14:paraId="16E3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76" w:type="dxa"/>
            <w:tcBorders>
              <w:top w:val="single" w:color="auto" w:sz="4" w:space="0"/>
              <w:left w:val="single" w:color="auto" w:sz="4" w:space="0"/>
              <w:right w:val="single" w:color="auto" w:sz="4" w:space="0"/>
            </w:tcBorders>
            <w:noWrap w:val="0"/>
            <w:vAlign w:val="center"/>
          </w:tcPr>
          <w:p w14:paraId="2AD6DFC0">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质量保证</w:t>
            </w:r>
          </w:p>
        </w:tc>
        <w:tc>
          <w:tcPr>
            <w:tcW w:w="5872" w:type="dxa"/>
            <w:tcBorders>
              <w:left w:val="single" w:color="auto" w:sz="4" w:space="0"/>
              <w:bottom w:val="single" w:color="auto" w:sz="4" w:space="0"/>
              <w:right w:val="single" w:color="auto" w:sz="4" w:space="0"/>
            </w:tcBorders>
            <w:noWrap w:val="0"/>
            <w:vAlign w:val="center"/>
          </w:tcPr>
          <w:p w14:paraId="481DF88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评委根据投标人对本项目服务质量保证措施，安全、文明作业保证措施方案是否科学、合理进行打分</w:t>
            </w:r>
            <w:r>
              <w:rPr>
                <w:rFonts w:hint="eastAsia" w:ascii="宋体" w:hAnsi="宋体" w:cs="宋体"/>
                <w:b w:val="0"/>
                <w:bCs w:val="0"/>
                <w:color w:val="auto"/>
                <w:kern w:val="2"/>
                <w:sz w:val="24"/>
                <w:szCs w:val="24"/>
                <w:highlight w:val="none"/>
                <w:lang w:val="en-US" w:eastAsia="zh-CN" w:bidi="ar-SA"/>
              </w:rPr>
              <w:t>。</w:t>
            </w:r>
          </w:p>
        </w:tc>
        <w:tc>
          <w:tcPr>
            <w:tcW w:w="1114" w:type="dxa"/>
            <w:tcBorders>
              <w:left w:val="single" w:color="auto" w:sz="4" w:space="0"/>
              <w:right w:val="single" w:color="auto" w:sz="4" w:space="0"/>
            </w:tcBorders>
            <w:noWrap w:val="0"/>
            <w:vAlign w:val="center"/>
          </w:tcPr>
          <w:p w14:paraId="5837771F">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05C0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976" w:type="dxa"/>
            <w:tcBorders>
              <w:top w:val="single" w:color="auto" w:sz="4" w:space="0"/>
              <w:left w:val="single" w:color="auto" w:sz="4" w:space="0"/>
              <w:right w:val="single" w:color="auto" w:sz="4" w:space="0"/>
            </w:tcBorders>
            <w:noWrap w:val="0"/>
            <w:vAlign w:val="center"/>
          </w:tcPr>
          <w:p w14:paraId="699D1367">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特殊时期的应急保障措施</w:t>
            </w:r>
          </w:p>
        </w:tc>
        <w:tc>
          <w:tcPr>
            <w:tcW w:w="5872" w:type="dxa"/>
            <w:tcBorders>
              <w:left w:val="single" w:color="auto" w:sz="4" w:space="0"/>
              <w:bottom w:val="single" w:color="auto" w:sz="4" w:space="0"/>
              <w:right w:val="single" w:color="auto" w:sz="4" w:space="0"/>
            </w:tcBorders>
            <w:noWrap w:val="0"/>
            <w:vAlign w:val="center"/>
          </w:tcPr>
          <w:p w14:paraId="02B025D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评委根据投标人对本项目提供的针对大型活动、节庆假日、创优评优和突击检查等特殊时期的应急保障措施相应时间、调配人数、处理方案等进行综合打分</w:t>
            </w:r>
            <w:r>
              <w:rPr>
                <w:rFonts w:hint="eastAsia" w:ascii="宋体" w:hAnsi="宋体" w:cs="宋体"/>
                <w:b w:val="0"/>
                <w:bCs w:val="0"/>
                <w:color w:val="auto"/>
                <w:kern w:val="2"/>
                <w:sz w:val="24"/>
                <w:szCs w:val="24"/>
                <w:highlight w:val="none"/>
                <w:lang w:val="en-US" w:eastAsia="zh-CN" w:bidi="ar-SA"/>
              </w:rPr>
              <w:t>。</w:t>
            </w:r>
          </w:p>
        </w:tc>
        <w:tc>
          <w:tcPr>
            <w:tcW w:w="1114" w:type="dxa"/>
            <w:tcBorders>
              <w:left w:val="single" w:color="auto" w:sz="4" w:space="0"/>
              <w:right w:val="single" w:color="auto" w:sz="4" w:space="0"/>
            </w:tcBorders>
            <w:noWrap w:val="0"/>
            <w:vAlign w:val="center"/>
          </w:tcPr>
          <w:p w14:paraId="5344C3CA">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598C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6" w:type="dxa"/>
            <w:vMerge w:val="restart"/>
            <w:tcBorders>
              <w:top w:val="single" w:color="auto" w:sz="4" w:space="0"/>
              <w:left w:val="single" w:color="auto" w:sz="4" w:space="0"/>
              <w:right w:val="single" w:color="auto" w:sz="4" w:space="0"/>
            </w:tcBorders>
            <w:noWrap w:val="0"/>
            <w:vAlign w:val="center"/>
          </w:tcPr>
          <w:p w14:paraId="6BD2D4A4">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zh-CN" w:eastAsia="zh-CN" w:bidi="ar-SA"/>
              </w:rPr>
              <w:t>人员配备</w:t>
            </w:r>
          </w:p>
        </w:tc>
        <w:tc>
          <w:tcPr>
            <w:tcW w:w="5872" w:type="dxa"/>
            <w:tcBorders>
              <w:left w:val="single" w:color="auto" w:sz="4" w:space="0"/>
              <w:bottom w:val="single" w:color="auto" w:sz="4" w:space="0"/>
              <w:right w:val="single" w:color="auto" w:sz="4" w:space="0"/>
            </w:tcBorders>
            <w:noWrap w:val="0"/>
            <w:vAlign w:val="center"/>
          </w:tcPr>
          <w:p w14:paraId="6B7ADD52">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评委根据投标人拟投入本项目人员的配备情况、人员的分工合理性、职责的明确性等进行综合评分</w:t>
            </w:r>
            <w:r>
              <w:rPr>
                <w:rFonts w:hint="eastAsia" w:ascii="宋体" w:hAnsi="宋体" w:cs="宋体"/>
                <w:b w:val="0"/>
                <w:bCs w:val="0"/>
                <w:color w:val="auto"/>
                <w:kern w:val="2"/>
                <w:sz w:val="24"/>
                <w:szCs w:val="24"/>
                <w:highlight w:val="none"/>
                <w:lang w:val="en-US" w:eastAsia="zh-CN" w:bidi="ar-SA"/>
              </w:rPr>
              <w:t>。</w:t>
            </w:r>
          </w:p>
        </w:tc>
        <w:tc>
          <w:tcPr>
            <w:tcW w:w="1114" w:type="dxa"/>
            <w:tcBorders>
              <w:left w:val="single" w:color="auto" w:sz="4" w:space="0"/>
              <w:right w:val="single" w:color="auto" w:sz="4" w:space="0"/>
            </w:tcBorders>
            <w:noWrap w:val="0"/>
            <w:vAlign w:val="center"/>
          </w:tcPr>
          <w:p w14:paraId="3C05BB3D">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r>
      <w:tr w14:paraId="5997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976" w:type="dxa"/>
            <w:vMerge w:val="continue"/>
            <w:tcBorders>
              <w:left w:val="single" w:color="auto" w:sz="4" w:space="0"/>
              <w:right w:val="single" w:color="auto" w:sz="4" w:space="0"/>
            </w:tcBorders>
            <w:noWrap w:val="0"/>
            <w:vAlign w:val="center"/>
          </w:tcPr>
          <w:p w14:paraId="4A135798">
            <w:pPr>
              <w:spacing w:line="360" w:lineRule="auto"/>
              <w:ind w:firstLine="480" w:firstLineChars="200"/>
              <w:jc w:val="center"/>
              <w:rPr>
                <w:rFonts w:hint="eastAsia" w:ascii="宋体" w:hAnsi="宋体" w:eastAsia="宋体" w:cs="宋体"/>
                <w:b w:val="0"/>
                <w:bCs w:val="0"/>
                <w:color w:val="auto"/>
                <w:kern w:val="2"/>
                <w:sz w:val="24"/>
                <w:szCs w:val="24"/>
                <w:highlight w:val="none"/>
                <w:lang w:val="en-US" w:eastAsia="zh-CN" w:bidi="ar-SA"/>
              </w:rPr>
            </w:pPr>
          </w:p>
        </w:tc>
        <w:tc>
          <w:tcPr>
            <w:tcW w:w="5872" w:type="dxa"/>
            <w:tcBorders>
              <w:left w:val="single" w:color="auto" w:sz="4" w:space="0"/>
              <w:bottom w:val="single" w:color="auto" w:sz="4" w:space="0"/>
              <w:right w:val="single" w:color="auto" w:sz="4" w:space="0"/>
            </w:tcBorders>
            <w:noWrap w:val="0"/>
            <w:vAlign w:val="center"/>
          </w:tcPr>
          <w:p w14:paraId="02BFD82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评委根据投标人拟投入本项目人员的文化水平、专业技术职称、从业资格证书及工作经验等进行综合评分</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（须提供相应证书及社保缴纳证明材料并加盖单位公章）</w:t>
            </w:r>
          </w:p>
        </w:tc>
        <w:tc>
          <w:tcPr>
            <w:tcW w:w="1114" w:type="dxa"/>
            <w:tcBorders>
              <w:left w:val="single" w:color="auto" w:sz="4" w:space="0"/>
              <w:right w:val="single" w:color="auto" w:sz="4" w:space="0"/>
            </w:tcBorders>
            <w:noWrap w:val="0"/>
            <w:vAlign w:val="center"/>
          </w:tcPr>
          <w:p w14:paraId="7C6772DF">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1657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976" w:type="dxa"/>
            <w:tcBorders>
              <w:top w:val="single" w:color="auto" w:sz="4" w:space="0"/>
              <w:left w:val="single" w:color="auto" w:sz="4" w:space="0"/>
              <w:right w:val="single" w:color="auto" w:sz="4" w:space="0"/>
            </w:tcBorders>
            <w:noWrap w:val="0"/>
            <w:vAlign w:val="center"/>
          </w:tcPr>
          <w:p w14:paraId="0E62077C">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安全作业培训</w:t>
            </w:r>
          </w:p>
        </w:tc>
        <w:tc>
          <w:tcPr>
            <w:tcW w:w="5872" w:type="dxa"/>
            <w:tcBorders>
              <w:left w:val="single" w:color="auto" w:sz="4" w:space="0"/>
              <w:bottom w:val="single" w:color="auto" w:sz="4" w:space="0"/>
              <w:right w:val="single" w:color="auto" w:sz="4" w:space="0"/>
            </w:tcBorders>
            <w:noWrap w:val="0"/>
            <w:vAlign w:val="center"/>
          </w:tcPr>
          <w:p w14:paraId="6B15467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评委根据投标人对本项目提供安全作业培训方案科学性、合理性及可实施性进行打分</w:t>
            </w:r>
            <w:r>
              <w:rPr>
                <w:rFonts w:hint="eastAsia" w:ascii="宋体" w:hAnsi="宋体" w:cs="宋体"/>
                <w:b w:val="0"/>
                <w:bCs w:val="0"/>
                <w:color w:val="auto"/>
                <w:kern w:val="2"/>
                <w:sz w:val="24"/>
                <w:szCs w:val="24"/>
                <w:highlight w:val="none"/>
                <w:lang w:val="en-US" w:eastAsia="zh-CN" w:bidi="ar-SA"/>
              </w:rPr>
              <w:t>。</w:t>
            </w:r>
          </w:p>
        </w:tc>
        <w:tc>
          <w:tcPr>
            <w:tcW w:w="1114" w:type="dxa"/>
            <w:tcBorders>
              <w:left w:val="single" w:color="auto" w:sz="4" w:space="0"/>
              <w:right w:val="single" w:color="auto" w:sz="4" w:space="0"/>
            </w:tcBorders>
            <w:noWrap w:val="0"/>
            <w:vAlign w:val="center"/>
          </w:tcPr>
          <w:p w14:paraId="2A19341A">
            <w:pPr>
              <w:widowControl/>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59BA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976" w:type="dxa"/>
            <w:vMerge w:val="restart"/>
            <w:tcBorders>
              <w:top w:val="single" w:color="auto" w:sz="4" w:space="0"/>
              <w:left w:val="single" w:color="auto" w:sz="4" w:space="0"/>
              <w:right w:val="single" w:color="auto" w:sz="4" w:space="0"/>
            </w:tcBorders>
            <w:noWrap w:val="0"/>
            <w:vAlign w:val="center"/>
          </w:tcPr>
          <w:p w14:paraId="626905A1">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内部管理制度</w:t>
            </w:r>
          </w:p>
        </w:tc>
        <w:tc>
          <w:tcPr>
            <w:tcW w:w="5872" w:type="dxa"/>
            <w:tcBorders>
              <w:left w:val="single" w:color="auto" w:sz="4" w:space="0"/>
              <w:bottom w:val="single" w:color="auto" w:sz="4" w:space="0"/>
              <w:right w:val="single" w:color="auto" w:sz="4" w:space="0"/>
            </w:tcBorders>
            <w:noWrap w:val="0"/>
            <w:vAlign w:val="center"/>
          </w:tcPr>
          <w:p w14:paraId="780CF5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b w:val="0"/>
                <w:bCs w:val="0"/>
                <w:color w:val="auto"/>
                <w:kern w:val="2"/>
                <w:sz w:val="24"/>
                <w:szCs w:val="24"/>
                <w:highlight w:val="none"/>
                <w:lang w:val="en-US" w:eastAsia="zh-CN" w:bidi="ar-SA"/>
              </w:rPr>
              <w:t>投标人</w:t>
            </w:r>
            <w:r>
              <w:rPr>
                <w:rFonts w:hint="eastAsia" w:ascii="宋体" w:hAnsi="宋体" w:eastAsia="宋体" w:cs="宋体"/>
                <w:color w:val="auto"/>
                <w:sz w:val="24"/>
                <w:szCs w:val="24"/>
                <w:highlight w:val="none"/>
              </w:rPr>
              <w:t>内部管理制度建立健全，有较完善的质量管理制度，明确工作职责、工作程序和工作要求进行综合评</w:t>
            </w:r>
            <w:r>
              <w:rPr>
                <w:rFonts w:hint="eastAsia" w:ascii="宋体" w:hAnsi="宋体" w:eastAsia="宋体" w:cs="宋体"/>
                <w:color w:val="auto"/>
                <w:sz w:val="24"/>
                <w:szCs w:val="24"/>
                <w:highlight w:val="none"/>
                <w:lang w:val="en-US" w:eastAsia="zh-CN"/>
              </w:rPr>
              <w:t>分。</w:t>
            </w:r>
          </w:p>
        </w:tc>
        <w:tc>
          <w:tcPr>
            <w:tcW w:w="1114" w:type="dxa"/>
            <w:tcBorders>
              <w:left w:val="single" w:color="auto" w:sz="4" w:space="0"/>
              <w:right w:val="single" w:color="auto" w:sz="4" w:space="0"/>
            </w:tcBorders>
            <w:noWrap w:val="0"/>
            <w:vAlign w:val="center"/>
          </w:tcPr>
          <w:p w14:paraId="01AAE3B2">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r>
      <w:tr w14:paraId="48CE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76" w:type="dxa"/>
            <w:vMerge w:val="continue"/>
            <w:tcBorders>
              <w:left w:val="single" w:color="auto" w:sz="4" w:space="0"/>
              <w:right w:val="single" w:color="auto" w:sz="4" w:space="0"/>
            </w:tcBorders>
            <w:noWrap w:val="0"/>
            <w:vAlign w:val="center"/>
          </w:tcPr>
          <w:p w14:paraId="1EB5D115">
            <w:pPr>
              <w:spacing w:line="360" w:lineRule="auto"/>
              <w:jc w:val="center"/>
              <w:rPr>
                <w:rFonts w:hint="eastAsia" w:ascii="宋体" w:hAnsi="宋体" w:eastAsia="宋体" w:cs="宋体"/>
                <w:b w:val="0"/>
                <w:bCs w:val="0"/>
                <w:color w:val="auto"/>
                <w:kern w:val="2"/>
                <w:sz w:val="24"/>
                <w:szCs w:val="24"/>
                <w:highlight w:val="none"/>
                <w:lang w:val="en-US" w:eastAsia="zh-CN" w:bidi="ar-SA"/>
              </w:rPr>
            </w:pPr>
          </w:p>
        </w:tc>
        <w:tc>
          <w:tcPr>
            <w:tcW w:w="5872" w:type="dxa"/>
            <w:tcBorders>
              <w:left w:val="single" w:color="auto" w:sz="4" w:space="0"/>
              <w:bottom w:val="single" w:color="auto" w:sz="4" w:space="0"/>
              <w:right w:val="single" w:color="auto" w:sz="4" w:space="0"/>
            </w:tcBorders>
            <w:noWrap w:val="0"/>
            <w:vAlign w:val="center"/>
          </w:tcPr>
          <w:p w14:paraId="1C3771F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b w:val="0"/>
                <w:bCs w:val="0"/>
                <w:color w:val="auto"/>
                <w:kern w:val="2"/>
                <w:sz w:val="24"/>
                <w:szCs w:val="24"/>
                <w:highlight w:val="none"/>
                <w:lang w:val="en-US" w:eastAsia="zh-CN" w:bidi="ar-SA"/>
              </w:rPr>
              <w:t>投标人</w:t>
            </w:r>
            <w:r>
              <w:rPr>
                <w:rFonts w:hint="eastAsia" w:ascii="宋体" w:hAnsi="宋体" w:eastAsia="宋体" w:cs="宋体"/>
                <w:color w:val="auto"/>
                <w:sz w:val="24"/>
                <w:szCs w:val="24"/>
                <w:highlight w:val="none"/>
              </w:rPr>
              <w:t>档案管理制度以及保密管理制度等进行综合评</w:t>
            </w:r>
            <w:r>
              <w:rPr>
                <w:rFonts w:hint="eastAsia" w:ascii="宋体" w:hAnsi="宋体" w:eastAsia="宋体" w:cs="宋体"/>
                <w:color w:val="auto"/>
                <w:sz w:val="24"/>
                <w:szCs w:val="24"/>
                <w:highlight w:val="none"/>
                <w:lang w:val="en-US" w:eastAsia="zh-CN"/>
              </w:rPr>
              <w:t>分。</w:t>
            </w:r>
          </w:p>
        </w:tc>
        <w:tc>
          <w:tcPr>
            <w:tcW w:w="1114" w:type="dxa"/>
            <w:tcBorders>
              <w:left w:val="single" w:color="auto" w:sz="4" w:space="0"/>
              <w:right w:val="single" w:color="auto" w:sz="4" w:space="0"/>
            </w:tcBorders>
            <w:noWrap w:val="0"/>
            <w:vAlign w:val="center"/>
          </w:tcPr>
          <w:p w14:paraId="40DC8B1D">
            <w:pPr>
              <w:widowControl/>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6843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76" w:type="dxa"/>
            <w:tcBorders>
              <w:top w:val="single" w:color="auto" w:sz="4" w:space="0"/>
              <w:left w:val="single" w:color="auto" w:sz="4" w:space="0"/>
              <w:right w:val="single" w:color="auto" w:sz="4" w:space="0"/>
            </w:tcBorders>
            <w:noWrap w:val="0"/>
            <w:vAlign w:val="center"/>
          </w:tcPr>
          <w:p w14:paraId="2B4FE024">
            <w:pPr>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服务承诺</w:t>
            </w:r>
          </w:p>
        </w:tc>
        <w:tc>
          <w:tcPr>
            <w:tcW w:w="5872" w:type="dxa"/>
            <w:tcBorders>
              <w:left w:val="single" w:color="auto" w:sz="4" w:space="0"/>
              <w:bottom w:val="single" w:color="auto" w:sz="4" w:space="0"/>
              <w:right w:val="single" w:color="auto" w:sz="4" w:space="0"/>
            </w:tcBorders>
            <w:noWrap w:val="0"/>
            <w:vAlign w:val="center"/>
          </w:tcPr>
          <w:p w14:paraId="218F7B78">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评委根据投标人对本项目服务的质量保障措施，从全面、合理、优势情况进行综合评议</w:t>
            </w:r>
            <w:r>
              <w:rPr>
                <w:rFonts w:hint="eastAsia" w:ascii="宋体" w:hAnsi="宋体" w:cs="宋体"/>
                <w:b w:val="0"/>
                <w:bCs w:val="0"/>
                <w:color w:val="auto"/>
                <w:kern w:val="2"/>
                <w:sz w:val="24"/>
                <w:szCs w:val="24"/>
                <w:highlight w:val="none"/>
                <w:lang w:val="en-US" w:eastAsia="zh-CN" w:bidi="ar-SA"/>
              </w:rPr>
              <w:t>。</w:t>
            </w:r>
          </w:p>
        </w:tc>
        <w:tc>
          <w:tcPr>
            <w:tcW w:w="1114" w:type="dxa"/>
            <w:tcBorders>
              <w:left w:val="single" w:color="auto" w:sz="4" w:space="0"/>
              <w:right w:val="single" w:color="auto" w:sz="4" w:space="0"/>
            </w:tcBorders>
            <w:noWrap w:val="0"/>
            <w:vAlign w:val="center"/>
          </w:tcPr>
          <w:p w14:paraId="4CEDB07C">
            <w:pPr>
              <w:widowControl/>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7412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976" w:type="dxa"/>
            <w:tcBorders>
              <w:top w:val="single" w:color="auto" w:sz="4" w:space="0"/>
              <w:left w:val="single" w:color="auto" w:sz="4" w:space="0"/>
              <w:right w:val="single" w:color="auto" w:sz="4" w:space="0"/>
            </w:tcBorders>
            <w:noWrap w:val="0"/>
            <w:vAlign w:val="center"/>
          </w:tcPr>
          <w:p w14:paraId="4B8CB498">
            <w:pPr>
              <w:spacing w:line="36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合理化建议</w:t>
            </w:r>
          </w:p>
        </w:tc>
        <w:tc>
          <w:tcPr>
            <w:tcW w:w="5872" w:type="dxa"/>
            <w:tcBorders>
              <w:left w:val="single" w:color="auto" w:sz="4" w:space="0"/>
              <w:bottom w:val="single" w:color="auto" w:sz="4" w:space="0"/>
              <w:right w:val="single" w:color="auto" w:sz="4" w:space="0"/>
            </w:tcBorders>
            <w:noWrap w:val="0"/>
            <w:vAlign w:val="center"/>
          </w:tcPr>
          <w:p w14:paraId="24EA140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评委根据投标人对本项目服务的</w:t>
            </w:r>
            <w:r>
              <w:rPr>
                <w:rFonts w:hint="eastAsia" w:ascii="宋体" w:hAnsi="宋体" w:cs="宋体"/>
                <w:b w:val="0"/>
                <w:bCs w:val="0"/>
                <w:color w:val="auto"/>
                <w:kern w:val="2"/>
                <w:sz w:val="24"/>
                <w:szCs w:val="24"/>
                <w:highlight w:val="none"/>
                <w:lang w:val="en-US" w:eastAsia="zh-CN" w:bidi="ar-SA"/>
              </w:rPr>
              <w:t>合理化建议进行综合评议。</w:t>
            </w:r>
          </w:p>
        </w:tc>
        <w:tc>
          <w:tcPr>
            <w:tcW w:w="1114" w:type="dxa"/>
            <w:tcBorders>
              <w:left w:val="single" w:color="auto" w:sz="4" w:space="0"/>
              <w:right w:val="single" w:color="auto" w:sz="4" w:space="0"/>
            </w:tcBorders>
            <w:noWrap w:val="0"/>
            <w:vAlign w:val="center"/>
          </w:tcPr>
          <w:p w14:paraId="207ACF17">
            <w:pPr>
              <w:widowControl/>
              <w:spacing w:line="360" w:lineRule="auto"/>
              <w:jc w:val="center"/>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p>
        </w:tc>
      </w:tr>
      <w:tr w14:paraId="0CD5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6" w:type="dxa"/>
            <w:tcBorders>
              <w:top w:val="single" w:color="auto" w:sz="4" w:space="0"/>
              <w:left w:val="single" w:color="auto" w:sz="4" w:space="0"/>
              <w:bottom w:val="single" w:color="auto" w:sz="4" w:space="0"/>
              <w:right w:val="single" w:color="auto" w:sz="4" w:space="0"/>
            </w:tcBorders>
            <w:noWrap w:val="0"/>
            <w:vAlign w:val="center"/>
          </w:tcPr>
          <w:p w14:paraId="5847C499">
            <w:pPr>
              <w:widowControl/>
              <w:spacing w:line="360" w:lineRule="auto"/>
              <w:jc w:val="center"/>
              <w:rPr>
                <w:rFonts w:hint="eastAsia" w:ascii="宋体" w:hAnsi="宋体"/>
                <w:color w:val="auto"/>
                <w:kern w:val="2"/>
                <w:sz w:val="24"/>
                <w:szCs w:val="24"/>
                <w:highlight w:val="none"/>
                <w:lang w:val="en-US" w:eastAsia="zh-CN" w:bidi="ar-SA"/>
              </w:rPr>
            </w:pPr>
            <w:r>
              <w:rPr>
                <w:rFonts w:hint="eastAsia" w:ascii="宋体" w:hAnsi="宋体"/>
                <w:color w:val="auto"/>
                <w:sz w:val="24"/>
                <w:highlight w:val="none"/>
                <w:lang w:val="en-US" w:eastAsia="zh-CN"/>
              </w:rPr>
              <w:t>企业业绩</w:t>
            </w:r>
          </w:p>
        </w:tc>
        <w:tc>
          <w:tcPr>
            <w:tcW w:w="5872" w:type="dxa"/>
            <w:tcBorders>
              <w:top w:val="single" w:color="auto" w:sz="4" w:space="0"/>
              <w:left w:val="single" w:color="auto" w:sz="4" w:space="0"/>
              <w:bottom w:val="single" w:color="auto" w:sz="4" w:space="0"/>
              <w:right w:val="single" w:color="auto" w:sz="4" w:space="0"/>
            </w:tcBorders>
            <w:noWrap w:val="0"/>
            <w:vAlign w:val="center"/>
          </w:tcPr>
          <w:p w14:paraId="4603C65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highlight w:val="none"/>
                <w:lang w:val="en-US" w:eastAsia="zh-CN"/>
              </w:rPr>
              <w:t>企业业绩</w:t>
            </w:r>
            <w:r>
              <w:rPr>
                <w:rFonts w:hint="eastAsia" w:ascii="宋体" w:hAnsi="宋体"/>
                <w:b/>
                <w:bCs/>
                <w:color w:val="auto"/>
                <w:sz w:val="24"/>
                <w:highlight w:val="none"/>
              </w:rPr>
              <w:t>（具体详见商务要求表）</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296D32D">
            <w:pPr>
              <w:spacing w:line="360" w:lineRule="auto"/>
              <w:jc w:val="center"/>
              <w:rPr>
                <w:rFonts w:hint="eastAsia" w:ascii="宋体" w:hAnsi="宋体" w:eastAsia="宋体"/>
                <w:color w:val="auto"/>
                <w:kern w:val="2"/>
                <w:sz w:val="24"/>
                <w:szCs w:val="24"/>
                <w:highlight w:val="none"/>
                <w:lang w:val="en-US" w:eastAsia="zh-CN" w:bidi="ar-SA"/>
              </w:rPr>
            </w:pPr>
            <w:r>
              <w:rPr>
                <w:rFonts w:hint="eastAsia" w:ascii="宋体" w:hAnsi="宋体"/>
                <w:color w:val="auto"/>
                <w:sz w:val="24"/>
                <w:highlight w:val="none"/>
                <w:lang w:val="en-US" w:eastAsia="zh-CN"/>
              </w:rPr>
              <w:t>2</w:t>
            </w:r>
          </w:p>
        </w:tc>
      </w:tr>
      <w:tr w14:paraId="305F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76" w:type="dxa"/>
            <w:tcBorders>
              <w:top w:val="single" w:color="auto" w:sz="4" w:space="0"/>
              <w:left w:val="single" w:color="auto" w:sz="4" w:space="0"/>
              <w:bottom w:val="single" w:color="auto" w:sz="4" w:space="0"/>
              <w:right w:val="single" w:color="auto" w:sz="4" w:space="0"/>
            </w:tcBorders>
            <w:noWrap w:val="0"/>
            <w:vAlign w:val="center"/>
          </w:tcPr>
          <w:p w14:paraId="005FE534">
            <w:pPr>
              <w:widowControl/>
              <w:spacing w:line="360" w:lineRule="auto"/>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人员证书</w:t>
            </w:r>
          </w:p>
        </w:tc>
        <w:tc>
          <w:tcPr>
            <w:tcW w:w="5872" w:type="dxa"/>
            <w:tcBorders>
              <w:top w:val="single" w:color="auto" w:sz="4" w:space="0"/>
              <w:left w:val="single" w:color="auto" w:sz="4" w:space="0"/>
              <w:bottom w:val="single" w:color="auto" w:sz="4" w:space="0"/>
              <w:right w:val="single" w:color="auto" w:sz="4" w:space="0"/>
            </w:tcBorders>
            <w:noWrap w:val="0"/>
            <w:vAlign w:val="center"/>
          </w:tcPr>
          <w:p w14:paraId="3B97434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人员证书</w:t>
            </w:r>
            <w:r>
              <w:rPr>
                <w:rFonts w:hint="eastAsia" w:ascii="宋体" w:hAnsi="宋体"/>
                <w:b/>
                <w:bCs/>
                <w:color w:val="auto"/>
                <w:sz w:val="24"/>
                <w:highlight w:val="none"/>
              </w:rPr>
              <w:t>（具体详见商务要求表）</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5CAB59A">
            <w:pPr>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2</w:t>
            </w:r>
          </w:p>
        </w:tc>
      </w:tr>
      <w:tr w14:paraId="67D9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76" w:type="dxa"/>
            <w:tcBorders>
              <w:top w:val="single" w:color="auto" w:sz="4" w:space="0"/>
              <w:left w:val="single" w:color="auto" w:sz="4" w:space="0"/>
              <w:bottom w:val="single" w:color="auto" w:sz="4" w:space="0"/>
              <w:right w:val="single" w:color="auto" w:sz="4" w:space="0"/>
            </w:tcBorders>
            <w:noWrap w:val="0"/>
            <w:vAlign w:val="center"/>
          </w:tcPr>
          <w:p w14:paraId="0234D33E">
            <w:pPr>
              <w:widowControl/>
              <w:spacing w:line="360" w:lineRule="auto"/>
              <w:jc w:val="center"/>
              <w:rPr>
                <w:rFonts w:hint="eastAsia" w:ascii="宋体" w:hAnsi="宋体"/>
                <w:color w:val="auto"/>
                <w:kern w:val="2"/>
                <w:sz w:val="24"/>
                <w:szCs w:val="24"/>
                <w:highlight w:val="none"/>
                <w:lang w:val="en-US" w:eastAsia="zh-CN" w:bidi="ar-SA"/>
              </w:rPr>
            </w:pPr>
            <w:r>
              <w:rPr>
                <w:rFonts w:hint="eastAsia" w:ascii="宋体" w:hAnsi="宋体"/>
                <w:color w:val="auto"/>
                <w:sz w:val="24"/>
                <w:highlight w:val="none"/>
                <w:lang w:val="en-US" w:eastAsia="zh-CN"/>
              </w:rPr>
              <w:t>企业证书</w:t>
            </w:r>
          </w:p>
        </w:tc>
        <w:tc>
          <w:tcPr>
            <w:tcW w:w="5872" w:type="dxa"/>
            <w:tcBorders>
              <w:top w:val="single" w:color="auto" w:sz="4" w:space="0"/>
              <w:left w:val="single" w:color="auto" w:sz="4" w:space="0"/>
              <w:bottom w:val="single" w:color="auto" w:sz="4" w:space="0"/>
              <w:right w:val="single" w:color="auto" w:sz="4" w:space="0"/>
            </w:tcBorders>
            <w:noWrap w:val="0"/>
            <w:vAlign w:val="center"/>
          </w:tcPr>
          <w:p w14:paraId="0675973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kern w:val="2"/>
                <w:sz w:val="24"/>
                <w:szCs w:val="24"/>
                <w:highlight w:val="none"/>
                <w:lang w:val="en-US" w:eastAsia="zh-CN" w:bidi="ar-SA"/>
              </w:rPr>
            </w:pPr>
            <w:r>
              <w:rPr>
                <w:rFonts w:hint="eastAsia" w:ascii="宋体" w:hAnsi="宋体"/>
                <w:color w:val="auto"/>
                <w:sz w:val="24"/>
                <w:highlight w:val="none"/>
                <w:lang w:val="en-US" w:eastAsia="zh-CN"/>
              </w:rPr>
              <w:t>企业证书</w:t>
            </w:r>
            <w:r>
              <w:rPr>
                <w:rFonts w:hint="eastAsia" w:ascii="宋体" w:hAnsi="宋体"/>
                <w:b/>
                <w:bCs/>
                <w:color w:val="auto"/>
                <w:sz w:val="24"/>
                <w:highlight w:val="none"/>
              </w:rPr>
              <w:t>（具体详见商务要求表）</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21A6605">
            <w:pPr>
              <w:spacing w:line="360" w:lineRule="auto"/>
              <w:jc w:val="center"/>
              <w:rPr>
                <w:rFonts w:hint="eastAsia" w:ascii="宋体" w:hAnsi="宋体" w:eastAsia="宋体"/>
                <w:color w:val="auto"/>
                <w:kern w:val="2"/>
                <w:sz w:val="24"/>
                <w:szCs w:val="24"/>
                <w:highlight w:val="none"/>
                <w:lang w:val="en-US" w:eastAsia="zh-CN" w:bidi="ar-SA"/>
              </w:rPr>
            </w:pPr>
            <w:r>
              <w:rPr>
                <w:rFonts w:hint="eastAsia" w:ascii="宋体" w:hAnsi="宋体"/>
                <w:color w:val="auto"/>
                <w:sz w:val="24"/>
                <w:highlight w:val="none"/>
                <w:lang w:val="en-US" w:eastAsia="zh-CN"/>
              </w:rPr>
              <w:t>4</w:t>
            </w:r>
          </w:p>
        </w:tc>
      </w:tr>
    </w:tbl>
    <w:p w14:paraId="6A5B7729">
      <w:p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2、商务要求表</w:t>
      </w:r>
      <w:r>
        <w:rPr>
          <w:rFonts w:hint="eastAsia" w:ascii="宋体" w:hAnsi="宋体" w:eastAsia="宋体" w:cs="宋体"/>
          <w:color w:val="auto"/>
          <w:sz w:val="24"/>
          <w:szCs w:val="24"/>
          <w:highlight w:val="none"/>
        </w:rPr>
        <w:t>（对应评分标准）</w:t>
      </w:r>
    </w:p>
    <w:tbl>
      <w:tblPr>
        <w:tblStyle w:val="26"/>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41"/>
        <w:gridCol w:w="6528"/>
        <w:gridCol w:w="844"/>
      </w:tblGrid>
      <w:tr w14:paraId="49BE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14" w:type="dxa"/>
            <w:vMerge w:val="restart"/>
            <w:tcBorders>
              <w:left w:val="single" w:color="auto" w:sz="4" w:space="0"/>
              <w:right w:val="single" w:color="auto" w:sz="4" w:space="0"/>
            </w:tcBorders>
            <w:noWrap w:val="0"/>
            <w:vAlign w:val="center"/>
          </w:tcPr>
          <w:p w14:paraId="54A5B29B">
            <w:pPr>
              <w:spacing w:line="360" w:lineRule="auto"/>
              <w:jc w:val="center"/>
              <w:rPr>
                <w:rFonts w:ascii="宋体" w:hAnsi="宋体"/>
                <w:color w:val="auto"/>
                <w:sz w:val="24"/>
                <w:highlight w:val="none"/>
              </w:rPr>
            </w:pPr>
            <w:r>
              <w:rPr>
                <w:rFonts w:hint="eastAsia" w:ascii="宋体" w:hAnsi="宋体"/>
                <w:color w:val="auto"/>
                <w:sz w:val="24"/>
                <w:highlight w:val="none"/>
              </w:rPr>
              <w:t>资信</w:t>
            </w:r>
          </w:p>
        </w:tc>
        <w:tc>
          <w:tcPr>
            <w:tcW w:w="1341" w:type="dxa"/>
            <w:tcBorders>
              <w:left w:val="nil"/>
              <w:right w:val="single" w:color="auto" w:sz="4" w:space="0"/>
            </w:tcBorders>
            <w:noWrap w:val="0"/>
            <w:vAlign w:val="center"/>
          </w:tcPr>
          <w:p w14:paraId="7AEE299C">
            <w:pPr>
              <w:widowControl/>
              <w:spacing w:line="360" w:lineRule="auto"/>
              <w:jc w:val="center"/>
              <w:rPr>
                <w:rFonts w:hint="eastAsia" w:ascii="宋体" w:hAnsi="宋体"/>
                <w:color w:val="auto"/>
                <w:sz w:val="24"/>
                <w:highlight w:val="none"/>
              </w:rPr>
            </w:pPr>
            <w:r>
              <w:rPr>
                <w:rFonts w:hint="eastAsia" w:ascii="宋体" w:hAnsi="宋体"/>
                <w:color w:val="auto"/>
                <w:sz w:val="24"/>
                <w:highlight w:val="none"/>
                <w:lang w:eastAsia="zh-CN"/>
              </w:rPr>
              <w:t>企业业绩</w:t>
            </w:r>
          </w:p>
        </w:tc>
        <w:tc>
          <w:tcPr>
            <w:tcW w:w="6528" w:type="dxa"/>
            <w:tcBorders>
              <w:top w:val="single" w:color="auto" w:sz="4" w:space="0"/>
              <w:left w:val="nil"/>
              <w:right w:val="single" w:color="auto" w:sz="4" w:space="0"/>
            </w:tcBorders>
            <w:noWrap w:val="0"/>
            <w:vAlign w:val="center"/>
          </w:tcPr>
          <w:p w14:paraId="39183C04">
            <w:pPr>
              <w:spacing w:line="312" w:lineRule="auto"/>
              <w:ind w:firstLine="480" w:firstLineChars="200"/>
              <w:rPr>
                <w:rFonts w:hint="eastAsia" w:ascii="宋体" w:hAnsi="宋体" w:eastAsia="宋体" w:cs="Times New Roman"/>
                <w:color w:val="auto"/>
                <w:sz w:val="24"/>
                <w:highlight w:val="none"/>
                <w:lang w:val="zh-CN"/>
              </w:rPr>
            </w:pPr>
            <w:r>
              <w:rPr>
                <w:rStyle w:val="73"/>
                <w:rFonts w:hint="eastAsia" w:ascii="宋体" w:hAnsi="宋体" w:eastAsia="宋体" w:cs="宋体"/>
                <w:color w:val="auto"/>
                <w:kern w:val="0"/>
                <w:sz w:val="24"/>
                <w:szCs w:val="24"/>
                <w:highlight w:val="none"/>
              </w:rPr>
              <w:t>投标人自20</w:t>
            </w:r>
            <w:r>
              <w:rPr>
                <w:rStyle w:val="73"/>
                <w:rFonts w:hint="eastAsia" w:ascii="宋体" w:hAnsi="宋体" w:eastAsia="宋体" w:cs="宋体"/>
                <w:color w:val="auto"/>
                <w:kern w:val="0"/>
                <w:sz w:val="24"/>
                <w:szCs w:val="24"/>
                <w:highlight w:val="none"/>
                <w:lang w:val="en-US" w:eastAsia="zh-CN"/>
              </w:rPr>
              <w:t>2</w:t>
            </w:r>
            <w:r>
              <w:rPr>
                <w:rStyle w:val="73"/>
                <w:rFonts w:hint="eastAsia" w:ascii="宋体" w:hAnsi="宋体" w:cs="宋体"/>
                <w:color w:val="auto"/>
                <w:kern w:val="0"/>
                <w:sz w:val="24"/>
                <w:szCs w:val="24"/>
                <w:highlight w:val="none"/>
                <w:lang w:val="en-US" w:eastAsia="zh-CN"/>
              </w:rPr>
              <w:t>1</w:t>
            </w:r>
            <w:r>
              <w:rPr>
                <w:rStyle w:val="73"/>
                <w:rFonts w:hint="eastAsia" w:ascii="宋体" w:hAnsi="宋体" w:eastAsia="宋体" w:cs="宋体"/>
                <w:color w:val="auto"/>
                <w:kern w:val="0"/>
                <w:sz w:val="24"/>
                <w:szCs w:val="24"/>
                <w:highlight w:val="none"/>
              </w:rPr>
              <w:t>年1月1日（以合同签订时间为准）以来</w:t>
            </w:r>
            <w:r>
              <w:rPr>
                <w:rStyle w:val="73"/>
                <w:rFonts w:hint="eastAsia" w:ascii="宋体" w:hAnsi="宋体" w:cs="宋体"/>
                <w:color w:val="auto"/>
                <w:kern w:val="0"/>
                <w:sz w:val="24"/>
                <w:szCs w:val="24"/>
                <w:highlight w:val="none"/>
                <w:lang w:eastAsia="zh-CN"/>
              </w:rPr>
              <w:t>完成过</w:t>
            </w:r>
            <w:r>
              <w:rPr>
                <w:rStyle w:val="73"/>
                <w:rFonts w:hint="eastAsia" w:ascii="宋体" w:hAnsi="宋体" w:eastAsia="宋体" w:cs="宋体"/>
                <w:color w:val="auto"/>
                <w:kern w:val="0"/>
                <w:sz w:val="24"/>
                <w:szCs w:val="24"/>
                <w:highlight w:val="none"/>
                <w:lang w:eastAsia="zh-CN"/>
              </w:rPr>
              <w:t>与本项目</w:t>
            </w:r>
            <w:r>
              <w:rPr>
                <w:rStyle w:val="73"/>
                <w:rFonts w:hint="eastAsia" w:ascii="宋体" w:hAnsi="宋体" w:eastAsia="宋体" w:cs="宋体"/>
                <w:color w:val="auto"/>
                <w:kern w:val="0"/>
                <w:sz w:val="24"/>
                <w:szCs w:val="24"/>
                <w:highlight w:val="none"/>
              </w:rPr>
              <w:t>类似相关技术服务业绩的每个项目得</w:t>
            </w:r>
            <w:r>
              <w:rPr>
                <w:rStyle w:val="73"/>
                <w:rFonts w:hint="eastAsia" w:ascii="宋体" w:hAnsi="宋体" w:cs="宋体"/>
                <w:color w:val="auto"/>
                <w:kern w:val="0"/>
                <w:sz w:val="24"/>
                <w:szCs w:val="24"/>
                <w:highlight w:val="none"/>
                <w:lang w:val="en-US" w:eastAsia="zh-CN"/>
              </w:rPr>
              <w:t>1</w:t>
            </w:r>
            <w:r>
              <w:rPr>
                <w:rStyle w:val="73"/>
                <w:rFonts w:hint="eastAsia" w:ascii="宋体" w:hAnsi="宋体" w:eastAsia="宋体" w:cs="宋体"/>
                <w:color w:val="auto"/>
                <w:kern w:val="0"/>
                <w:sz w:val="24"/>
                <w:szCs w:val="24"/>
                <w:highlight w:val="none"/>
              </w:rPr>
              <w:t>分，最高得</w:t>
            </w:r>
            <w:r>
              <w:rPr>
                <w:rStyle w:val="73"/>
                <w:rFonts w:hint="eastAsia" w:ascii="宋体" w:hAnsi="宋体" w:cs="宋体"/>
                <w:color w:val="auto"/>
                <w:kern w:val="0"/>
                <w:sz w:val="24"/>
                <w:szCs w:val="24"/>
                <w:highlight w:val="none"/>
                <w:lang w:val="en-US" w:eastAsia="zh-CN"/>
              </w:rPr>
              <w:t>2</w:t>
            </w:r>
            <w:r>
              <w:rPr>
                <w:rStyle w:val="73"/>
                <w:rFonts w:hint="eastAsia" w:ascii="宋体" w:hAnsi="宋体" w:eastAsia="宋体" w:cs="宋体"/>
                <w:color w:val="auto"/>
                <w:kern w:val="0"/>
                <w:sz w:val="24"/>
                <w:szCs w:val="24"/>
                <w:highlight w:val="none"/>
              </w:rPr>
              <w:t>分</w:t>
            </w:r>
            <w:r>
              <w:rPr>
                <w:rStyle w:val="73"/>
                <w:rFonts w:hint="eastAsia" w:ascii="宋体" w:hAnsi="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须</w:t>
            </w:r>
            <w:r>
              <w:rPr>
                <w:rFonts w:hint="eastAsia" w:ascii="宋体" w:hAnsi="宋体" w:eastAsia="宋体" w:cs="宋体"/>
                <w:b/>
                <w:bCs/>
                <w:color w:val="auto"/>
                <w:kern w:val="0"/>
                <w:sz w:val="24"/>
                <w:szCs w:val="24"/>
                <w:highlight w:val="none"/>
              </w:rPr>
              <w:t>提供合同</w:t>
            </w:r>
            <w:r>
              <w:rPr>
                <w:rFonts w:hint="eastAsia" w:ascii="宋体" w:hAnsi="宋体" w:cs="宋体"/>
                <w:b/>
                <w:bCs/>
                <w:color w:val="auto"/>
                <w:kern w:val="0"/>
                <w:sz w:val="24"/>
                <w:szCs w:val="24"/>
                <w:highlight w:val="none"/>
                <w:lang w:val="en-US" w:eastAsia="zh-CN"/>
              </w:rPr>
              <w:t>和</w:t>
            </w:r>
            <w:r>
              <w:rPr>
                <w:rFonts w:hint="eastAsia" w:ascii="宋体" w:hAnsi="宋体" w:eastAsia="宋体" w:cs="宋体"/>
                <w:b/>
                <w:bCs/>
                <w:color w:val="auto"/>
                <w:kern w:val="0"/>
                <w:sz w:val="24"/>
                <w:szCs w:val="24"/>
                <w:highlight w:val="none"/>
                <w:lang w:eastAsia="zh-CN"/>
              </w:rPr>
              <w:t>中标通知书扫描件并</w:t>
            </w:r>
            <w:r>
              <w:rPr>
                <w:rFonts w:hint="eastAsia" w:ascii="宋体" w:hAnsi="宋体" w:eastAsia="宋体" w:cs="宋体"/>
                <w:b/>
                <w:bCs/>
                <w:color w:val="auto"/>
                <w:kern w:val="0"/>
                <w:sz w:val="24"/>
                <w:szCs w:val="24"/>
                <w:highlight w:val="none"/>
              </w:rPr>
              <w:t>加盖</w:t>
            </w:r>
            <w:r>
              <w:rPr>
                <w:rFonts w:hint="eastAsia" w:ascii="宋体" w:hAnsi="宋体" w:eastAsia="宋体" w:cs="宋体"/>
                <w:b/>
                <w:bCs/>
                <w:color w:val="auto"/>
                <w:kern w:val="0"/>
                <w:sz w:val="24"/>
                <w:szCs w:val="24"/>
                <w:highlight w:val="none"/>
                <w:lang w:eastAsia="zh-CN"/>
              </w:rPr>
              <w:t>单位</w:t>
            </w:r>
            <w:r>
              <w:rPr>
                <w:rFonts w:hint="eastAsia" w:ascii="宋体" w:hAnsi="宋体" w:eastAsia="宋体" w:cs="宋体"/>
                <w:b/>
                <w:bCs/>
                <w:color w:val="auto"/>
                <w:kern w:val="0"/>
                <w:sz w:val="24"/>
                <w:szCs w:val="24"/>
                <w:highlight w:val="none"/>
              </w:rPr>
              <w:t>公章）</w:t>
            </w:r>
          </w:p>
        </w:tc>
        <w:tc>
          <w:tcPr>
            <w:tcW w:w="844" w:type="dxa"/>
            <w:tcBorders>
              <w:top w:val="single" w:color="auto" w:sz="4" w:space="0"/>
              <w:left w:val="nil"/>
              <w:right w:val="single" w:color="auto" w:sz="4" w:space="0"/>
            </w:tcBorders>
            <w:noWrap w:val="0"/>
            <w:vAlign w:val="center"/>
          </w:tcPr>
          <w:p w14:paraId="4CCC3DD7">
            <w:pPr>
              <w:spacing w:line="312" w:lineRule="auto"/>
              <w:jc w:val="center"/>
              <w:rPr>
                <w:rStyle w:val="73"/>
                <w:rFonts w:hint="eastAsia" w:ascii="宋体" w:hAnsi="宋体" w:eastAsia="宋体" w:cs="宋体"/>
                <w:color w:val="auto"/>
                <w:kern w:val="0"/>
                <w:sz w:val="24"/>
                <w:szCs w:val="24"/>
                <w:highlight w:val="none"/>
                <w:lang w:val="en-US" w:eastAsia="zh-CN"/>
              </w:rPr>
            </w:pPr>
            <w:r>
              <w:rPr>
                <w:rStyle w:val="73"/>
                <w:rFonts w:hint="eastAsia" w:ascii="宋体" w:hAnsi="宋体" w:cs="宋体"/>
                <w:color w:val="auto"/>
                <w:kern w:val="0"/>
                <w:sz w:val="24"/>
                <w:szCs w:val="24"/>
                <w:highlight w:val="none"/>
                <w:lang w:val="en-US" w:eastAsia="zh-CN"/>
              </w:rPr>
              <w:t>2</w:t>
            </w:r>
          </w:p>
        </w:tc>
      </w:tr>
      <w:tr w14:paraId="12E6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14" w:type="dxa"/>
            <w:vMerge w:val="continue"/>
            <w:tcBorders>
              <w:left w:val="single" w:color="auto" w:sz="4" w:space="0"/>
              <w:right w:val="single" w:color="auto" w:sz="4" w:space="0"/>
            </w:tcBorders>
            <w:noWrap w:val="0"/>
            <w:vAlign w:val="center"/>
          </w:tcPr>
          <w:p w14:paraId="4030B463">
            <w:pPr>
              <w:spacing w:line="360" w:lineRule="auto"/>
              <w:jc w:val="center"/>
              <w:rPr>
                <w:rFonts w:ascii="宋体" w:hAnsi="宋体"/>
                <w:color w:val="auto"/>
                <w:sz w:val="24"/>
                <w:highlight w:val="none"/>
              </w:rPr>
            </w:pPr>
          </w:p>
        </w:tc>
        <w:tc>
          <w:tcPr>
            <w:tcW w:w="1341" w:type="dxa"/>
            <w:tcBorders>
              <w:left w:val="nil"/>
              <w:right w:val="single" w:color="auto" w:sz="4" w:space="0"/>
            </w:tcBorders>
            <w:noWrap w:val="0"/>
            <w:vAlign w:val="center"/>
          </w:tcPr>
          <w:p w14:paraId="081A7FEB">
            <w:pPr>
              <w:widowControl/>
              <w:spacing w:line="360" w:lineRule="auto"/>
              <w:jc w:val="center"/>
              <w:rPr>
                <w:rFonts w:hint="eastAsia" w:ascii="宋体" w:hAnsi="宋体"/>
                <w:color w:val="auto"/>
                <w:sz w:val="24"/>
                <w:highlight w:val="none"/>
              </w:rPr>
            </w:pPr>
            <w:r>
              <w:rPr>
                <w:rFonts w:hint="eastAsia" w:ascii="宋体" w:hAnsi="宋体"/>
                <w:color w:val="auto"/>
                <w:sz w:val="24"/>
                <w:highlight w:val="none"/>
              </w:rPr>
              <w:t>人员证书</w:t>
            </w:r>
          </w:p>
        </w:tc>
        <w:tc>
          <w:tcPr>
            <w:tcW w:w="6528" w:type="dxa"/>
            <w:tcBorders>
              <w:top w:val="single" w:color="auto" w:sz="4" w:space="0"/>
              <w:left w:val="nil"/>
              <w:bottom w:val="single" w:color="auto" w:sz="4" w:space="0"/>
              <w:right w:val="single" w:color="auto" w:sz="4" w:space="0"/>
            </w:tcBorders>
            <w:noWrap w:val="0"/>
            <w:vAlign w:val="center"/>
          </w:tcPr>
          <w:p w14:paraId="417E69E8">
            <w:pPr>
              <w:pStyle w:val="76"/>
              <w:numPr>
                <w:ilvl w:val="0"/>
                <w:numId w:val="0"/>
              </w:numPr>
              <w:spacing w:line="360" w:lineRule="auto"/>
              <w:ind w:leftChars="0" w:firstLine="480" w:firstLineChars="200"/>
              <w:rPr>
                <w:rFonts w:hint="eastAsia" w:ascii="宋体" w:hAnsi="宋体" w:eastAsia="宋体" w:cs="Times New Roman"/>
                <w:color w:val="auto"/>
                <w:sz w:val="24"/>
                <w:highlight w:val="none"/>
                <w:lang w:val="zh-CN"/>
              </w:rPr>
            </w:pPr>
            <w:r>
              <w:rPr>
                <w:rFonts w:hint="eastAsia" w:ascii="宋体" w:hAnsi="宋体" w:eastAsia="宋体" w:cs="宋体"/>
                <w:color w:val="auto"/>
                <w:kern w:val="0"/>
                <w:sz w:val="24"/>
                <w:szCs w:val="24"/>
                <w:highlight w:val="none"/>
              </w:rPr>
              <w:t>拟派技术负责人具有消防工程师或注册安全工程师证书，并注册在本单位的得 1.5分，同时具有高级工程师的得1.5分，最高得3分。(须提供相关证书扫描件及社保缴纳证明材料并加盖单位公章)</w:t>
            </w:r>
          </w:p>
        </w:tc>
        <w:tc>
          <w:tcPr>
            <w:tcW w:w="844" w:type="dxa"/>
            <w:tcBorders>
              <w:top w:val="single" w:color="auto" w:sz="4" w:space="0"/>
              <w:left w:val="nil"/>
              <w:bottom w:val="single" w:color="auto" w:sz="4" w:space="0"/>
              <w:right w:val="single" w:color="auto" w:sz="4" w:space="0"/>
            </w:tcBorders>
            <w:noWrap w:val="0"/>
            <w:vAlign w:val="center"/>
          </w:tcPr>
          <w:p w14:paraId="66728CEC">
            <w:pPr>
              <w:pStyle w:val="76"/>
              <w:numPr>
                <w:ilvl w:val="0"/>
                <w:numId w:val="0"/>
              </w:numPr>
              <w:spacing w:line="360" w:lineRule="auto"/>
              <w:jc w:val="center"/>
              <w:rPr>
                <w:rStyle w:val="73"/>
                <w:rFonts w:hint="default" w:ascii="宋体" w:hAnsi="宋体" w:cs="宋体"/>
                <w:snapToGrid w:val="0"/>
                <w:color w:val="auto"/>
                <w:kern w:val="0"/>
                <w:sz w:val="24"/>
                <w:szCs w:val="24"/>
                <w:highlight w:val="none"/>
                <w:lang w:val="en-US" w:eastAsia="zh-CN" w:bidi="ar-SA"/>
              </w:rPr>
            </w:pPr>
            <w:r>
              <w:rPr>
                <w:rStyle w:val="73"/>
                <w:rFonts w:hint="eastAsia" w:ascii="宋体" w:hAnsi="宋体" w:cs="宋体"/>
                <w:snapToGrid w:val="0"/>
                <w:color w:val="auto"/>
                <w:kern w:val="0"/>
                <w:sz w:val="24"/>
                <w:szCs w:val="24"/>
                <w:highlight w:val="none"/>
                <w:lang w:val="en-US" w:eastAsia="zh-CN" w:bidi="ar-SA"/>
              </w:rPr>
              <w:t>3</w:t>
            </w:r>
          </w:p>
        </w:tc>
      </w:tr>
      <w:tr w14:paraId="2802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14" w:type="dxa"/>
            <w:vMerge w:val="continue"/>
            <w:tcBorders>
              <w:left w:val="single" w:color="auto" w:sz="4" w:space="0"/>
              <w:right w:val="single" w:color="auto" w:sz="4" w:space="0"/>
            </w:tcBorders>
            <w:noWrap w:val="0"/>
            <w:vAlign w:val="center"/>
          </w:tcPr>
          <w:p w14:paraId="39C34E61">
            <w:pPr>
              <w:spacing w:line="360" w:lineRule="auto"/>
              <w:jc w:val="center"/>
              <w:rPr>
                <w:rFonts w:ascii="宋体" w:hAnsi="宋体"/>
                <w:color w:val="auto"/>
                <w:sz w:val="24"/>
                <w:highlight w:val="none"/>
              </w:rPr>
            </w:pPr>
          </w:p>
        </w:tc>
        <w:tc>
          <w:tcPr>
            <w:tcW w:w="1341" w:type="dxa"/>
            <w:tcBorders>
              <w:left w:val="nil"/>
              <w:right w:val="single" w:color="auto" w:sz="4" w:space="0"/>
            </w:tcBorders>
            <w:noWrap w:val="0"/>
            <w:vAlign w:val="center"/>
          </w:tcPr>
          <w:p w14:paraId="04793664">
            <w:pPr>
              <w:widowControl/>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企业证书</w:t>
            </w:r>
          </w:p>
        </w:tc>
        <w:tc>
          <w:tcPr>
            <w:tcW w:w="6528" w:type="dxa"/>
            <w:tcBorders>
              <w:top w:val="single" w:color="auto" w:sz="4" w:space="0"/>
              <w:left w:val="nil"/>
              <w:right w:val="single" w:color="auto" w:sz="4" w:space="0"/>
            </w:tcBorders>
            <w:noWrap w:val="0"/>
            <w:vAlign w:val="center"/>
          </w:tcPr>
          <w:p w14:paraId="4AE39357">
            <w:pPr>
              <w:spacing w:line="360" w:lineRule="auto"/>
              <w:ind w:firstLine="480" w:firstLineChars="20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供应商通过市级及以上应急管理部门登记备案的社会化服务机构且上一季度</w:t>
            </w:r>
            <w:r>
              <w:rPr>
                <w:rFonts w:hint="eastAsia" w:cs="Times New Roman"/>
                <w:color w:val="auto"/>
                <w:kern w:val="2"/>
                <w:sz w:val="24"/>
                <w:szCs w:val="24"/>
                <w:lang w:val="en-US" w:eastAsia="zh-CN"/>
              </w:rPr>
              <w:t>从优至差</w:t>
            </w:r>
            <w:r>
              <w:rPr>
                <w:rFonts w:hint="default" w:ascii="Times New Roman" w:hAnsi="Times New Roman" w:cs="Times New Roman"/>
                <w:color w:val="auto"/>
                <w:kern w:val="2"/>
                <w:sz w:val="24"/>
                <w:szCs w:val="24"/>
              </w:rPr>
              <w:t>的评级为A(或1或一或甲或类似)级的得3分，B(或2或二或乙或类似)级的得2分，C(或3或三或丙或类似)级得1分D(或4或四或丁或类似)级不得分。</w:t>
            </w:r>
          </w:p>
          <w:p w14:paraId="69692CD7">
            <w:pPr>
              <w:spacing w:line="360" w:lineRule="auto"/>
              <w:rPr>
                <w:rFonts w:hint="eastAsia" w:ascii="宋体" w:hAnsi="宋体" w:eastAsia="宋体" w:cs="Times New Roman"/>
                <w:color w:val="auto"/>
                <w:sz w:val="24"/>
                <w:highlight w:val="none"/>
                <w:lang w:val="en-US" w:eastAsia="zh-CN"/>
              </w:rPr>
            </w:pPr>
            <w:r>
              <w:rPr>
                <w:rFonts w:hint="eastAsia" w:ascii="宋体" w:hAnsi="宋体" w:eastAsia="宋体" w:cs="宋体"/>
                <w:b/>
                <w:bCs/>
                <w:color w:val="auto"/>
                <w:kern w:val="0"/>
                <w:sz w:val="24"/>
                <w:szCs w:val="24"/>
                <w:highlight w:val="none"/>
                <w:lang w:val="en-US" w:eastAsia="zh-CN"/>
              </w:rPr>
              <w:t>（须</w:t>
            </w:r>
            <w:r>
              <w:rPr>
                <w:rFonts w:hint="eastAsia" w:ascii="宋体" w:hAnsi="宋体" w:eastAsia="宋体" w:cs="宋体"/>
                <w:b/>
                <w:bCs/>
                <w:color w:val="auto"/>
                <w:kern w:val="0"/>
                <w:sz w:val="24"/>
                <w:szCs w:val="24"/>
                <w:highlight w:val="none"/>
                <w:lang w:val="en-US"/>
              </w:rPr>
              <w:t>提供</w:t>
            </w:r>
            <w:r>
              <w:rPr>
                <w:rFonts w:hint="eastAsia" w:ascii="宋体" w:hAnsi="宋体" w:eastAsia="宋体" w:cs="宋体"/>
                <w:b/>
                <w:bCs/>
                <w:color w:val="auto"/>
                <w:kern w:val="0"/>
                <w:sz w:val="24"/>
                <w:szCs w:val="24"/>
                <w:highlight w:val="none"/>
                <w:lang w:val="en-US" w:eastAsia="zh-CN"/>
              </w:rPr>
              <w:t>相关证明材料扫描件并加盖单位公章）</w:t>
            </w:r>
          </w:p>
        </w:tc>
        <w:tc>
          <w:tcPr>
            <w:tcW w:w="844" w:type="dxa"/>
            <w:tcBorders>
              <w:top w:val="single" w:color="auto" w:sz="4" w:space="0"/>
              <w:left w:val="nil"/>
              <w:right w:val="single" w:color="auto" w:sz="4" w:space="0"/>
            </w:tcBorders>
            <w:noWrap w:val="0"/>
            <w:vAlign w:val="center"/>
          </w:tcPr>
          <w:p w14:paraId="2879F53A">
            <w:pPr>
              <w:spacing w:line="360" w:lineRule="auto"/>
              <w:jc w:val="center"/>
              <w:rPr>
                <w:rStyle w:val="73"/>
                <w:rFonts w:hint="default" w:ascii="宋体" w:hAnsi="宋体" w:eastAsia="宋体" w:cs="宋体"/>
                <w:snapToGrid w:val="0"/>
                <w:color w:val="auto"/>
                <w:kern w:val="0"/>
                <w:sz w:val="24"/>
                <w:szCs w:val="24"/>
                <w:highlight w:val="none"/>
                <w:lang w:val="en-US" w:eastAsia="zh-CN" w:bidi="ar-SA"/>
              </w:rPr>
            </w:pPr>
            <w:r>
              <w:rPr>
                <w:rStyle w:val="73"/>
                <w:rFonts w:hint="eastAsia" w:ascii="宋体" w:hAnsi="宋体" w:cs="宋体"/>
                <w:snapToGrid w:val="0"/>
                <w:color w:val="auto"/>
                <w:kern w:val="0"/>
                <w:sz w:val="24"/>
                <w:szCs w:val="24"/>
                <w:highlight w:val="none"/>
                <w:lang w:val="en-US" w:eastAsia="zh-CN" w:bidi="ar-SA"/>
              </w:rPr>
              <w:t>3</w:t>
            </w:r>
          </w:p>
        </w:tc>
      </w:tr>
    </w:tbl>
    <w:p w14:paraId="395DB5B3">
      <w:pPr>
        <w:numPr>
          <w:ilvl w:val="0"/>
          <w:numId w:val="0"/>
        </w:numPr>
        <w:ind w:firstLine="482" w:firstLineChars="200"/>
        <w:rPr>
          <w:rFonts w:hint="eastAsia" w:ascii="宋体" w:hAnsi="宋体" w:eastAsia="宋体" w:cs="宋体"/>
          <w:b/>
          <w:bCs/>
          <w:color w:val="auto"/>
          <w:sz w:val="24"/>
          <w:szCs w:val="24"/>
          <w:highlight w:val="none"/>
        </w:rPr>
      </w:pPr>
    </w:p>
    <w:p w14:paraId="68075F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2C73F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1、评标委员会各成员应当独立对每个供应商的响应文件进行评价，并汇总每个供应商的得分。资信分为客观分，也需独立进行评价并核对分值，最终分值需一致。</w:t>
      </w:r>
    </w:p>
    <w:p w14:paraId="404B2C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2、所有文件、合同、证书、资质等需要真实有效。成交供应商在中标后签订合同时需提供以上证明文件原件，若发现资料作假的取消中标资格。</w:t>
      </w:r>
      <w:bookmarkStart w:id="89" w:name="_Toc4517"/>
      <w:bookmarkStart w:id="90" w:name="_Toc8033"/>
    </w:p>
    <w:p w14:paraId="1706C6A8">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3CFBDB9F">
      <w:pPr>
        <w:pStyle w:val="9"/>
        <w:jc w:val="center"/>
        <w:rPr>
          <w:rFonts w:hint="eastAsia" w:ascii="宋体" w:hAnsi="宋体" w:eastAsia="宋体" w:cs="宋体"/>
          <w:color w:val="auto"/>
          <w:highlight w:val="none"/>
        </w:rPr>
      </w:pPr>
      <w:bookmarkStart w:id="91" w:name="_Toc18878"/>
      <w:r>
        <w:rPr>
          <w:rFonts w:hint="eastAsia" w:ascii="宋体" w:hAnsi="宋体" w:eastAsia="宋体" w:cs="宋体"/>
          <w:color w:val="auto"/>
          <w:sz w:val="36"/>
          <w:szCs w:val="36"/>
          <w:highlight w:val="none"/>
        </w:rPr>
        <w:t>第五部分 采购合同</w:t>
      </w:r>
      <w:bookmarkEnd w:id="89"/>
      <w:bookmarkEnd w:id="90"/>
      <w:bookmarkEnd w:id="91"/>
    </w:p>
    <w:p w14:paraId="53AC4EA4">
      <w:pPr>
        <w:spacing w:line="348"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szCs w:val="24"/>
          <w:highlight w:val="none"/>
        </w:rPr>
        <w:t>　</w:t>
      </w:r>
      <w:r>
        <w:rPr>
          <w:rFonts w:hint="eastAsia" w:ascii="宋体" w:hAnsi="宋体" w:cs="宋体"/>
          <w:color w:val="auto"/>
          <w:kern w:val="0"/>
          <w:sz w:val="24"/>
          <w:highlight w:val="none"/>
        </w:rPr>
        <w:t>合同编号：（202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）第</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号</w:t>
      </w:r>
    </w:p>
    <w:p w14:paraId="5BEE663A">
      <w:pPr>
        <w:spacing w:line="348"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签订日期：202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日</w:t>
      </w:r>
    </w:p>
    <w:p w14:paraId="6961B1AC">
      <w:pPr>
        <w:spacing w:line="348" w:lineRule="auto"/>
        <w:ind w:firstLine="480" w:firstLineChars="200"/>
        <w:rPr>
          <w:rFonts w:ascii="宋体" w:hAnsi="宋体" w:cs="宋体"/>
          <w:color w:val="auto"/>
          <w:sz w:val="28"/>
          <w:highlight w:val="none"/>
          <w:u w:val="single"/>
        </w:rPr>
      </w:pPr>
      <w:r>
        <w:rPr>
          <w:rFonts w:hint="eastAsia" w:ascii="宋体" w:hAnsi="宋体" w:cs="宋体"/>
          <w:color w:val="auto"/>
          <w:kern w:val="0"/>
          <w:sz w:val="24"/>
          <w:highlight w:val="none"/>
        </w:rPr>
        <w:t>　</w:t>
      </w:r>
      <w:r>
        <w:rPr>
          <w:rFonts w:hint="eastAsia" w:ascii="宋体" w:hAnsi="宋体" w:cs="宋体"/>
          <w:color w:val="auto"/>
          <w:kern w:val="0"/>
          <w:sz w:val="24"/>
          <w:highlight w:val="none"/>
          <w:lang w:eastAsia="zh-CN"/>
        </w:rPr>
        <w:t>甲方</w:t>
      </w:r>
      <w:r>
        <w:rPr>
          <w:rFonts w:hint="eastAsia" w:ascii="宋体" w:hAnsi="宋体" w:cs="宋体"/>
          <w:color w:val="auto"/>
          <w:sz w:val="28"/>
          <w:highlight w:val="none"/>
        </w:rPr>
        <w:t>：</w:t>
      </w:r>
      <w:r>
        <w:rPr>
          <w:rFonts w:hint="eastAsia" w:ascii="宋体" w:hAnsi="宋体" w:cs="宋体"/>
          <w:color w:val="auto"/>
          <w:sz w:val="28"/>
          <w:highlight w:val="none"/>
          <w:u w:val="single"/>
        </w:rPr>
        <w:t>　　　　　　　　　　　　　　　　　　　　　　　　　</w:t>
      </w:r>
    </w:p>
    <w:p w14:paraId="5EC7EB99">
      <w:pPr>
        <w:spacing w:line="348" w:lineRule="auto"/>
        <w:ind w:firstLine="720" w:firstLineChars="300"/>
        <w:jc w:val="left"/>
        <w:rPr>
          <w:rFonts w:ascii="宋体" w:hAnsi="宋体" w:cs="宋体"/>
          <w:color w:val="auto"/>
          <w:sz w:val="28"/>
          <w:highlight w:val="none"/>
          <w:u w:val="single"/>
        </w:rPr>
      </w:pPr>
      <w:r>
        <w:rPr>
          <w:rFonts w:hint="eastAsia" w:ascii="宋体" w:hAnsi="宋体" w:cs="宋体"/>
          <w:color w:val="auto"/>
          <w:kern w:val="0"/>
          <w:sz w:val="24"/>
          <w:highlight w:val="none"/>
          <w:lang w:eastAsia="zh-CN"/>
        </w:rPr>
        <w:t>乙方</w:t>
      </w:r>
      <w:r>
        <w:rPr>
          <w:rFonts w:hint="eastAsia" w:ascii="宋体" w:hAnsi="宋体" w:cs="宋体"/>
          <w:color w:val="auto"/>
          <w:sz w:val="28"/>
          <w:highlight w:val="none"/>
        </w:rPr>
        <w:t>：</w:t>
      </w:r>
      <w:r>
        <w:rPr>
          <w:rFonts w:hint="eastAsia" w:ascii="宋体" w:hAnsi="宋体" w:cs="宋体"/>
          <w:color w:val="auto"/>
          <w:sz w:val="28"/>
          <w:highlight w:val="none"/>
          <w:u w:val="single"/>
        </w:rPr>
        <w:t>　　　　　　　　　　　　　　　　　　　　　　　　　</w:t>
      </w:r>
    </w:p>
    <w:p w14:paraId="23394C6F">
      <w:pPr>
        <w:numPr>
          <w:ilvl w:val="0"/>
          <w:numId w:val="0"/>
        </w:numPr>
        <w:spacing w:line="360" w:lineRule="auto"/>
        <w:ind w:firstLine="480" w:firstLineChars="200"/>
        <w:jc w:val="left"/>
        <w:rPr>
          <w:rFonts w:hint="eastAsia" w:ascii="宋体" w:hAnsi="宋体" w:eastAsia="宋体" w:cs="宋体"/>
          <w:color w:val="auto"/>
          <w:kern w:val="0"/>
          <w:sz w:val="24"/>
        </w:rPr>
      </w:pPr>
      <w:r>
        <w:rPr>
          <w:rFonts w:hint="eastAsia" w:ascii="宋体" w:hAnsi="宋体" w:cs="宋体"/>
          <w:color w:val="auto"/>
          <w:kern w:val="0"/>
          <w:sz w:val="24"/>
          <w:highlight w:val="none"/>
        </w:rPr>
        <w:t>根据《中华人民共和国民法典》、政府采购编号为</w:t>
      </w:r>
      <w:r>
        <w:rPr>
          <w:rFonts w:hint="eastAsia" w:ascii="宋体" w:hAnsi="宋体" w:cs="宋体"/>
          <w:color w:val="auto"/>
          <w:kern w:val="0"/>
          <w:sz w:val="24"/>
          <w:highlight w:val="none"/>
          <w:lang w:val="en-US" w:eastAsia="zh-CN"/>
        </w:rPr>
        <w:t>ZJCTSY-2024-1209</w:t>
      </w:r>
      <w:r>
        <w:rPr>
          <w:rFonts w:hint="eastAsia" w:ascii="宋体" w:hAnsi="宋体" w:cs="宋体"/>
          <w:color w:val="auto"/>
          <w:kern w:val="0"/>
          <w:sz w:val="24"/>
          <w:highlight w:val="none"/>
        </w:rPr>
        <w:t>招标文件、中标人响应文件的规定，经公开招标采购，签订本合同。</w:t>
      </w:r>
    </w:p>
    <w:p w14:paraId="2358CBA3">
      <w:pPr>
        <w:spacing w:line="460" w:lineRule="exact"/>
        <w:ind w:firstLine="472"/>
        <w:rPr>
          <w:rFonts w:ascii="宋体" w:hAnsi="宋体" w:cs="宋体"/>
          <w:b/>
          <w:color w:val="auto"/>
          <w:kern w:val="1"/>
          <w:sz w:val="24"/>
          <w:shd w:val="clear" w:color="auto" w:fill="FEFEFE"/>
        </w:rPr>
      </w:pPr>
      <w:r>
        <w:rPr>
          <w:color w:val="auto"/>
          <w:kern w:val="1"/>
          <w:sz w:val="24"/>
        </w:rPr>
        <w:t xml:space="preserve"> </w:t>
      </w:r>
      <w:r>
        <w:rPr>
          <w:rFonts w:hint="eastAsia" w:ascii="宋体" w:hAnsi="宋体" w:cs="黑体"/>
          <w:b/>
          <w:color w:val="auto"/>
          <w:kern w:val="1"/>
          <w:sz w:val="24"/>
          <w:shd w:val="clear" w:color="auto" w:fill="FEFEFE"/>
          <w:lang w:eastAsia="zh-CN"/>
        </w:rPr>
        <w:t>一</w:t>
      </w:r>
      <w:r>
        <w:rPr>
          <w:rFonts w:ascii="宋体" w:hAnsi="宋体" w:cs="黑体"/>
          <w:b/>
          <w:color w:val="auto"/>
          <w:kern w:val="1"/>
          <w:sz w:val="24"/>
          <w:shd w:val="clear" w:color="auto" w:fill="FEFEFE"/>
        </w:rPr>
        <w:t>、目标任务</w:t>
      </w:r>
    </w:p>
    <w:p w14:paraId="614C1AC5">
      <w:pPr>
        <w:spacing w:line="460" w:lineRule="exact"/>
        <w:ind w:firstLine="480"/>
        <w:rPr>
          <w:color w:val="auto"/>
          <w:kern w:val="1"/>
          <w:sz w:val="24"/>
          <w:shd w:val="clear" w:color="auto" w:fill="FEFEFE"/>
        </w:rPr>
      </w:pPr>
      <w:r>
        <w:rPr>
          <w:color w:val="auto"/>
          <w:kern w:val="1"/>
          <w:sz w:val="24"/>
          <w:shd w:val="clear" w:color="auto" w:fill="FEFEFE"/>
        </w:rPr>
        <w:t>全面推广安全生产社会化服务，引导社会力量参与安全生产工作，有效发挥专业机构、专家力量在防范遏制重特大事故方面的积极作用。通过开展政府购买服务，提升</w:t>
      </w:r>
      <w:r>
        <w:rPr>
          <w:rFonts w:hint="eastAsia"/>
          <w:color w:val="auto"/>
          <w:kern w:val="1"/>
          <w:sz w:val="24"/>
          <w:shd w:val="clear" w:color="auto" w:fill="FEFEFE"/>
        </w:rPr>
        <w:t>街道</w:t>
      </w:r>
      <w:r>
        <w:rPr>
          <w:color w:val="auto"/>
          <w:kern w:val="1"/>
          <w:sz w:val="24"/>
          <w:shd w:val="clear" w:color="auto" w:fill="FEFEFE"/>
        </w:rPr>
        <w:t>安全生产保障能力和监管实力；通过辖区内所有企业开展社会化服务，增强企业安全管理水平，提升事故防范能力，推动企业全面落实安全生产主体责任。</w:t>
      </w:r>
    </w:p>
    <w:p w14:paraId="5EB9F635">
      <w:pPr>
        <w:spacing w:line="460" w:lineRule="exact"/>
        <w:ind w:firstLine="480"/>
        <w:rPr>
          <w:b/>
          <w:color w:val="auto"/>
          <w:kern w:val="1"/>
          <w:sz w:val="24"/>
        </w:rPr>
      </w:pPr>
      <w:r>
        <w:rPr>
          <w:rFonts w:hint="eastAsia"/>
          <w:b/>
          <w:color w:val="auto"/>
          <w:kern w:val="1"/>
          <w:sz w:val="24"/>
          <w:lang w:eastAsia="zh-CN"/>
        </w:rPr>
        <w:t>二</w:t>
      </w:r>
      <w:r>
        <w:rPr>
          <w:b/>
          <w:color w:val="auto"/>
          <w:kern w:val="1"/>
          <w:sz w:val="24"/>
        </w:rPr>
        <w:t>、服务单位类型、数量及要求</w:t>
      </w:r>
    </w:p>
    <w:tbl>
      <w:tblPr>
        <w:tblStyle w:val="26"/>
        <w:tblW w:w="9072" w:type="dxa"/>
        <w:tblInd w:w="250" w:type="dxa"/>
        <w:tblLayout w:type="fixed"/>
        <w:tblCellMar>
          <w:top w:w="0" w:type="dxa"/>
          <w:left w:w="108" w:type="dxa"/>
          <w:bottom w:w="0" w:type="dxa"/>
          <w:right w:w="108" w:type="dxa"/>
        </w:tblCellMar>
      </w:tblPr>
      <w:tblGrid>
        <w:gridCol w:w="2897"/>
        <w:gridCol w:w="1507"/>
        <w:gridCol w:w="4668"/>
      </w:tblGrid>
      <w:tr w14:paraId="7302B00A">
        <w:tblPrEx>
          <w:tblCellMar>
            <w:top w:w="0" w:type="dxa"/>
            <w:left w:w="108" w:type="dxa"/>
            <w:bottom w:w="0" w:type="dxa"/>
            <w:right w:w="108" w:type="dxa"/>
          </w:tblCellMar>
        </w:tblPrEx>
        <w:trPr>
          <w:trHeight w:val="696" w:hRule="atLeast"/>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7398006E">
            <w:pPr>
              <w:spacing w:line="460" w:lineRule="exact"/>
              <w:ind w:firstLine="480"/>
              <w:jc w:val="center"/>
              <w:rPr>
                <w:color w:val="auto"/>
                <w:kern w:val="1"/>
                <w:sz w:val="24"/>
                <w:shd w:val="clear" w:color="auto" w:fill="FEFEFE"/>
              </w:rPr>
            </w:pPr>
            <w:r>
              <w:rPr>
                <w:color w:val="auto"/>
                <w:kern w:val="1"/>
                <w:sz w:val="24"/>
                <w:shd w:val="clear" w:color="auto" w:fill="FEFEFE"/>
              </w:rPr>
              <w:t>单位类型</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14:paraId="3440A861">
            <w:pPr>
              <w:spacing w:line="460" w:lineRule="exact"/>
              <w:jc w:val="center"/>
              <w:rPr>
                <w:color w:val="auto"/>
                <w:kern w:val="1"/>
                <w:sz w:val="24"/>
                <w:shd w:val="clear" w:color="auto" w:fill="FEFEFE"/>
              </w:rPr>
            </w:pPr>
            <w:r>
              <w:rPr>
                <w:color w:val="auto"/>
                <w:kern w:val="1"/>
                <w:sz w:val="24"/>
                <w:shd w:val="clear" w:color="auto" w:fill="FEFEFE"/>
              </w:rPr>
              <w:t>数量（家）</w:t>
            </w:r>
          </w:p>
        </w:tc>
        <w:tc>
          <w:tcPr>
            <w:tcW w:w="4668" w:type="dxa"/>
            <w:tcBorders>
              <w:top w:val="single" w:color="000000" w:sz="4" w:space="0"/>
              <w:left w:val="single" w:color="000000" w:sz="4" w:space="0"/>
              <w:bottom w:val="single" w:color="000000" w:sz="4" w:space="0"/>
              <w:right w:val="single" w:color="000000" w:sz="4" w:space="0"/>
            </w:tcBorders>
            <w:noWrap w:val="0"/>
            <w:vAlign w:val="center"/>
          </w:tcPr>
          <w:p w14:paraId="675E6875">
            <w:pPr>
              <w:spacing w:line="460" w:lineRule="exact"/>
              <w:ind w:firstLine="480"/>
              <w:jc w:val="center"/>
              <w:rPr>
                <w:color w:val="auto"/>
                <w:kern w:val="1"/>
                <w:sz w:val="24"/>
                <w:shd w:val="clear" w:color="auto" w:fill="FEFEFE"/>
              </w:rPr>
            </w:pPr>
            <w:r>
              <w:rPr>
                <w:color w:val="auto"/>
                <w:kern w:val="1"/>
                <w:sz w:val="24"/>
                <w:shd w:val="clear" w:color="auto" w:fill="FEFEFE"/>
              </w:rPr>
              <w:t>服务要求</w:t>
            </w:r>
          </w:p>
        </w:tc>
      </w:tr>
      <w:tr w14:paraId="45F7F514">
        <w:tblPrEx>
          <w:tblCellMar>
            <w:top w:w="0" w:type="dxa"/>
            <w:left w:w="108" w:type="dxa"/>
            <w:bottom w:w="0" w:type="dxa"/>
            <w:right w:w="108" w:type="dxa"/>
          </w:tblCellMar>
        </w:tblPrEx>
        <w:trPr>
          <w:trHeight w:val="696" w:hRule="atLeast"/>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02B00B16">
            <w:pPr>
              <w:jc w:val="center"/>
              <w:rPr>
                <w:rFonts w:hint="eastAsia" w:ascii="宋体" w:hAnsi="宋体" w:cs="宋体"/>
                <w:color w:val="auto"/>
                <w:kern w:val="1"/>
                <w:sz w:val="24"/>
              </w:rPr>
            </w:pPr>
            <w:r>
              <w:rPr>
                <w:rFonts w:hint="eastAsia" w:ascii="宋体" w:hAnsi="宋体" w:cs="宋体"/>
                <w:color w:val="auto"/>
                <w:kern w:val="1"/>
                <w:sz w:val="24"/>
              </w:rPr>
              <w:t>规上企业</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14:paraId="7660537B">
            <w:pPr>
              <w:jc w:val="center"/>
              <w:rPr>
                <w:rFonts w:hint="default" w:ascii="宋体" w:hAnsi="宋体" w:eastAsia="宋体" w:cs="宋体"/>
                <w:color w:val="auto"/>
                <w:kern w:val="1"/>
                <w:sz w:val="24"/>
                <w:lang w:val="en-US" w:eastAsia="zh-CN"/>
              </w:rPr>
            </w:pPr>
            <w:r>
              <w:rPr>
                <w:rFonts w:hint="eastAsia" w:ascii="宋体" w:hAnsi="宋体" w:cs="宋体"/>
                <w:color w:val="auto"/>
                <w:kern w:val="1"/>
                <w:sz w:val="24"/>
                <w:lang w:val="en-US" w:eastAsia="zh-CN"/>
              </w:rPr>
              <w:t>45</w:t>
            </w:r>
          </w:p>
        </w:tc>
        <w:tc>
          <w:tcPr>
            <w:tcW w:w="4668" w:type="dxa"/>
            <w:tcBorders>
              <w:top w:val="single" w:color="000000" w:sz="4" w:space="0"/>
              <w:left w:val="single" w:color="000000" w:sz="4" w:space="0"/>
              <w:bottom w:val="single" w:color="000000" w:sz="4" w:space="0"/>
              <w:right w:val="single" w:color="000000" w:sz="4" w:space="0"/>
            </w:tcBorders>
            <w:noWrap w:val="0"/>
            <w:vAlign w:val="center"/>
          </w:tcPr>
          <w:p w14:paraId="06C2A58B">
            <w:pPr>
              <w:jc w:val="center"/>
              <w:rPr>
                <w:rFonts w:hint="eastAsia" w:ascii="宋体" w:hAnsi="宋体" w:cs="宋体"/>
                <w:color w:val="auto"/>
                <w:kern w:val="1"/>
                <w:sz w:val="24"/>
              </w:rPr>
            </w:pPr>
            <w:r>
              <w:rPr>
                <w:rFonts w:hint="eastAsia" w:ascii="宋体" w:hAnsi="宋体" w:cs="宋体"/>
                <w:color w:val="auto"/>
                <w:kern w:val="1"/>
                <w:sz w:val="24"/>
                <w:lang w:eastAsia="zh-CN"/>
              </w:rPr>
              <w:t>每</w:t>
            </w:r>
            <w:r>
              <w:rPr>
                <w:rFonts w:hint="eastAsia" w:ascii="宋体" w:hAnsi="宋体" w:cs="宋体"/>
                <w:color w:val="auto"/>
                <w:kern w:val="1"/>
                <w:sz w:val="24"/>
                <w:lang w:val="en-US" w:eastAsia="zh-CN"/>
              </w:rPr>
              <w:t>两月</w:t>
            </w:r>
            <w:r>
              <w:rPr>
                <w:rFonts w:hint="eastAsia" w:ascii="宋体" w:hAnsi="宋体" w:cs="宋体"/>
                <w:color w:val="auto"/>
                <w:kern w:val="1"/>
                <w:sz w:val="24"/>
              </w:rPr>
              <w:t>排查</w:t>
            </w:r>
            <w:r>
              <w:rPr>
                <w:rFonts w:hint="eastAsia" w:ascii="宋体" w:hAnsi="宋体" w:cs="宋体"/>
                <w:color w:val="auto"/>
                <w:kern w:val="1"/>
                <w:sz w:val="24"/>
                <w:lang w:val="en-US" w:eastAsia="zh-CN"/>
              </w:rPr>
              <w:t>一次</w:t>
            </w:r>
            <w:r>
              <w:rPr>
                <w:rFonts w:hint="eastAsia" w:ascii="宋体" w:hAnsi="宋体" w:cs="宋体"/>
                <w:color w:val="auto"/>
                <w:kern w:val="1"/>
                <w:sz w:val="24"/>
              </w:rPr>
              <w:t>，一年共</w:t>
            </w:r>
            <w:r>
              <w:rPr>
                <w:rFonts w:hint="eastAsia" w:ascii="宋体" w:hAnsi="宋体" w:cs="宋体"/>
                <w:color w:val="auto"/>
                <w:kern w:val="1"/>
                <w:sz w:val="24"/>
                <w:lang w:val="en-US" w:eastAsia="zh-CN"/>
              </w:rPr>
              <w:t>6</w:t>
            </w:r>
            <w:r>
              <w:rPr>
                <w:rFonts w:hint="eastAsia" w:ascii="宋体" w:hAnsi="宋体" w:cs="宋体"/>
                <w:color w:val="auto"/>
                <w:kern w:val="1"/>
                <w:sz w:val="24"/>
              </w:rPr>
              <w:t>次</w:t>
            </w:r>
          </w:p>
        </w:tc>
      </w:tr>
      <w:tr w14:paraId="632FCC87">
        <w:tblPrEx>
          <w:tblCellMar>
            <w:top w:w="0" w:type="dxa"/>
            <w:left w:w="108" w:type="dxa"/>
            <w:bottom w:w="0" w:type="dxa"/>
            <w:right w:w="108" w:type="dxa"/>
          </w:tblCellMar>
        </w:tblPrEx>
        <w:trPr>
          <w:trHeight w:val="606" w:hRule="atLeast"/>
        </w:trPr>
        <w:tc>
          <w:tcPr>
            <w:tcW w:w="2897" w:type="dxa"/>
            <w:tcBorders>
              <w:top w:val="single" w:color="000000" w:sz="4" w:space="0"/>
              <w:left w:val="single" w:color="000000" w:sz="4" w:space="0"/>
              <w:bottom w:val="single" w:color="000000" w:sz="4" w:space="0"/>
              <w:right w:val="single" w:color="000000" w:sz="4" w:space="0"/>
            </w:tcBorders>
            <w:noWrap w:val="0"/>
            <w:vAlign w:val="center"/>
          </w:tcPr>
          <w:p w14:paraId="0210AB19">
            <w:pPr>
              <w:jc w:val="center"/>
              <w:rPr>
                <w:rFonts w:hint="eastAsia" w:ascii="宋体" w:hAnsi="宋体" w:cs="宋体"/>
                <w:color w:val="auto"/>
                <w:kern w:val="1"/>
                <w:sz w:val="24"/>
              </w:rPr>
            </w:pPr>
            <w:r>
              <w:rPr>
                <w:rFonts w:hint="eastAsia" w:ascii="宋体" w:hAnsi="宋体" w:cs="宋体"/>
                <w:color w:val="auto"/>
                <w:kern w:val="1"/>
                <w:sz w:val="24"/>
              </w:rPr>
              <w:t>规下企业</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14:paraId="1A9C6570">
            <w:pPr>
              <w:jc w:val="center"/>
              <w:rPr>
                <w:rFonts w:hint="default" w:ascii="宋体" w:hAnsi="宋体" w:eastAsia="宋体" w:cs="宋体"/>
                <w:color w:val="auto"/>
                <w:kern w:val="1"/>
                <w:sz w:val="24"/>
                <w:lang w:val="en-US" w:eastAsia="zh-CN"/>
              </w:rPr>
            </w:pPr>
            <w:r>
              <w:rPr>
                <w:rFonts w:hint="eastAsia" w:ascii="宋体" w:hAnsi="宋体" w:cs="宋体"/>
                <w:color w:val="auto"/>
                <w:kern w:val="1"/>
                <w:sz w:val="24"/>
                <w:lang w:val="en-US" w:eastAsia="zh-CN"/>
              </w:rPr>
              <w:t>172</w:t>
            </w:r>
          </w:p>
        </w:tc>
        <w:tc>
          <w:tcPr>
            <w:tcW w:w="4668" w:type="dxa"/>
            <w:tcBorders>
              <w:top w:val="single" w:color="000000" w:sz="4" w:space="0"/>
              <w:left w:val="single" w:color="000000" w:sz="4" w:space="0"/>
              <w:bottom w:val="single" w:color="000000" w:sz="4" w:space="0"/>
              <w:right w:val="single" w:color="000000" w:sz="4" w:space="0"/>
            </w:tcBorders>
            <w:noWrap w:val="0"/>
            <w:vAlign w:val="center"/>
          </w:tcPr>
          <w:p w14:paraId="602FFA13">
            <w:pPr>
              <w:jc w:val="center"/>
              <w:rPr>
                <w:rFonts w:hint="eastAsia" w:ascii="宋体" w:hAnsi="宋体" w:cs="宋体"/>
                <w:color w:val="auto"/>
                <w:kern w:val="1"/>
                <w:sz w:val="24"/>
              </w:rPr>
            </w:pPr>
            <w:r>
              <w:rPr>
                <w:rFonts w:hint="eastAsia" w:ascii="宋体" w:hAnsi="宋体" w:cs="宋体"/>
                <w:color w:val="auto"/>
                <w:kern w:val="1"/>
                <w:sz w:val="24"/>
              </w:rPr>
              <w:t>每季度排查一次，一年共4次</w:t>
            </w:r>
          </w:p>
        </w:tc>
      </w:tr>
    </w:tbl>
    <w:p w14:paraId="293E992D">
      <w:pPr>
        <w:spacing w:line="460" w:lineRule="exact"/>
        <w:ind w:firstLine="241" w:firstLineChars="100"/>
        <w:rPr>
          <w:rFonts w:ascii="宋体" w:hAnsi="宋体" w:cs="宋体"/>
          <w:color w:val="auto"/>
          <w:kern w:val="1"/>
          <w:sz w:val="24"/>
          <w:shd w:val="clear" w:color="auto" w:fill="FEFEFE"/>
        </w:rPr>
      </w:pPr>
      <w:r>
        <w:rPr>
          <w:rFonts w:ascii="宋体" w:hAnsi="宋体" w:cs="黑体"/>
          <w:b/>
          <w:color w:val="auto"/>
          <w:kern w:val="1"/>
          <w:sz w:val="24"/>
          <w:shd w:val="clear" w:color="auto" w:fill="FEFEFE"/>
        </w:rPr>
        <w:t xml:space="preserve"> </w:t>
      </w:r>
      <w:r>
        <w:rPr>
          <w:rFonts w:hint="eastAsia" w:ascii="宋体" w:hAnsi="宋体" w:cs="黑体"/>
          <w:b/>
          <w:color w:val="auto"/>
          <w:kern w:val="1"/>
          <w:sz w:val="24"/>
          <w:shd w:val="clear" w:color="auto" w:fill="FEFEFE"/>
          <w:lang w:val="en-US" w:eastAsia="zh-CN"/>
        </w:rPr>
        <w:t xml:space="preserve"> </w:t>
      </w:r>
      <w:r>
        <w:rPr>
          <w:rFonts w:hint="eastAsia" w:ascii="宋体" w:hAnsi="宋体" w:cs="黑体"/>
          <w:b/>
          <w:color w:val="auto"/>
          <w:kern w:val="1"/>
          <w:sz w:val="24"/>
          <w:shd w:val="clear" w:color="auto" w:fill="FEFEFE"/>
          <w:lang w:eastAsia="zh-CN"/>
        </w:rPr>
        <w:t>三</w:t>
      </w:r>
      <w:r>
        <w:rPr>
          <w:rFonts w:ascii="宋体" w:hAnsi="宋体" w:cs="黑体"/>
          <w:b/>
          <w:color w:val="auto"/>
          <w:kern w:val="1"/>
          <w:sz w:val="24"/>
          <w:shd w:val="clear" w:color="auto" w:fill="FEFEFE"/>
        </w:rPr>
        <w:t>、服务内容</w:t>
      </w:r>
    </w:p>
    <w:p w14:paraId="4D789580">
      <w:pPr>
        <w:spacing w:line="460" w:lineRule="exact"/>
        <w:ind w:firstLine="240"/>
        <w:rPr>
          <w:rFonts w:ascii="宋体" w:hAnsi="宋体" w:cs="宋体"/>
          <w:color w:val="auto"/>
          <w:kern w:val="1"/>
          <w:sz w:val="24"/>
        </w:rPr>
      </w:pPr>
      <w:r>
        <w:rPr>
          <w:rFonts w:ascii="宋体" w:hAnsi="宋体" w:cs="宋体"/>
          <w:color w:val="auto"/>
          <w:kern w:val="1"/>
          <w:sz w:val="24"/>
        </w:rPr>
        <w:t>1.指导、督促单位安管员完成单位自查工作；</w:t>
      </w:r>
    </w:p>
    <w:p w14:paraId="06727200">
      <w:pPr>
        <w:spacing w:line="460" w:lineRule="exact"/>
        <w:ind w:firstLine="240"/>
        <w:rPr>
          <w:rFonts w:ascii="宋体" w:hAnsi="宋体" w:cs="宋体"/>
          <w:color w:val="auto"/>
          <w:kern w:val="1"/>
          <w:sz w:val="24"/>
        </w:rPr>
      </w:pPr>
      <w:r>
        <w:rPr>
          <w:rFonts w:ascii="宋体" w:hAnsi="宋体" w:cs="宋体"/>
          <w:color w:val="auto"/>
          <w:kern w:val="1"/>
          <w:sz w:val="24"/>
        </w:rPr>
        <w:t>2.</w:t>
      </w:r>
      <w:r>
        <w:rPr>
          <w:rFonts w:hint="eastAsia" w:ascii="宋体" w:hAnsi="宋体" w:cs="宋体"/>
          <w:color w:val="auto"/>
          <w:kern w:val="1"/>
          <w:sz w:val="24"/>
        </w:rPr>
        <w:t>按服务要求</w:t>
      </w:r>
      <w:r>
        <w:rPr>
          <w:rFonts w:ascii="宋体" w:hAnsi="宋体" w:cs="宋体"/>
          <w:color w:val="auto"/>
          <w:kern w:val="1"/>
          <w:sz w:val="24"/>
        </w:rPr>
        <w:t>完成</w:t>
      </w:r>
      <w:r>
        <w:rPr>
          <w:rFonts w:hint="eastAsia" w:ascii="宋体" w:hAnsi="宋体" w:cs="宋体"/>
          <w:color w:val="auto"/>
          <w:kern w:val="1"/>
          <w:sz w:val="24"/>
        </w:rPr>
        <w:t>日常安全排查，并建立“一企一档”安全管理台账</w:t>
      </w:r>
      <w:r>
        <w:rPr>
          <w:rFonts w:ascii="宋体" w:hAnsi="宋体" w:cs="宋体"/>
          <w:color w:val="auto"/>
          <w:kern w:val="1"/>
          <w:sz w:val="24"/>
        </w:rPr>
        <w:t>；</w:t>
      </w:r>
    </w:p>
    <w:p w14:paraId="6F92E6C1">
      <w:pPr>
        <w:spacing w:line="460" w:lineRule="exact"/>
        <w:ind w:firstLine="240"/>
        <w:rPr>
          <w:rFonts w:ascii="宋体" w:hAnsi="宋体" w:cs="宋体"/>
          <w:color w:val="auto"/>
          <w:kern w:val="1"/>
          <w:sz w:val="24"/>
        </w:rPr>
      </w:pPr>
      <w:r>
        <w:rPr>
          <w:rFonts w:ascii="宋体" w:hAnsi="宋体" w:cs="宋体"/>
          <w:color w:val="auto"/>
          <w:kern w:val="1"/>
          <w:sz w:val="24"/>
        </w:rPr>
        <w:t>3.按要求填写隐患检查表，对存在的隐患提出整改方案，要求单位签字确认；</w:t>
      </w:r>
    </w:p>
    <w:p w14:paraId="55FC17B5">
      <w:pPr>
        <w:spacing w:line="460" w:lineRule="exact"/>
        <w:ind w:firstLine="240"/>
        <w:rPr>
          <w:rFonts w:ascii="宋体" w:hAnsi="宋体" w:cs="宋体"/>
          <w:color w:val="auto"/>
          <w:kern w:val="1"/>
          <w:sz w:val="24"/>
        </w:rPr>
      </w:pPr>
      <w:r>
        <w:rPr>
          <w:rFonts w:ascii="宋体" w:hAnsi="宋体" w:cs="宋体"/>
          <w:color w:val="auto"/>
          <w:kern w:val="1"/>
          <w:sz w:val="24"/>
        </w:rPr>
        <w:t>4.督促指导隐患单位进行隐患整改并</w:t>
      </w:r>
      <w:r>
        <w:rPr>
          <w:rFonts w:hint="eastAsia" w:ascii="宋体" w:hAnsi="宋体" w:cs="宋体"/>
          <w:color w:val="auto"/>
          <w:kern w:val="1"/>
          <w:sz w:val="24"/>
        </w:rPr>
        <w:t>编制“隐患整改报告”</w:t>
      </w:r>
      <w:r>
        <w:rPr>
          <w:rFonts w:ascii="宋体" w:hAnsi="宋体" w:cs="宋体"/>
          <w:color w:val="auto"/>
          <w:kern w:val="1"/>
          <w:sz w:val="24"/>
        </w:rPr>
        <w:t>；</w:t>
      </w:r>
    </w:p>
    <w:p w14:paraId="2E946EFF">
      <w:pPr>
        <w:spacing w:line="460" w:lineRule="exact"/>
        <w:ind w:firstLine="240"/>
        <w:rPr>
          <w:rFonts w:ascii="宋体" w:hAnsi="宋体" w:cs="宋体"/>
          <w:color w:val="auto"/>
          <w:kern w:val="1"/>
          <w:sz w:val="24"/>
        </w:rPr>
      </w:pPr>
      <w:r>
        <w:rPr>
          <w:rFonts w:ascii="宋体" w:hAnsi="宋体" w:cs="宋体"/>
          <w:color w:val="auto"/>
          <w:kern w:val="1"/>
          <w:sz w:val="24"/>
        </w:rPr>
        <w:t>5.接受</w:t>
      </w:r>
      <w:r>
        <w:rPr>
          <w:rFonts w:hint="eastAsia" w:ascii="宋体" w:hAnsi="宋体" w:cs="宋体"/>
          <w:color w:val="auto"/>
          <w:kern w:val="1"/>
          <w:sz w:val="24"/>
        </w:rPr>
        <w:t>街道</w:t>
      </w:r>
      <w:r>
        <w:rPr>
          <w:rFonts w:ascii="宋体" w:hAnsi="宋体" w:cs="宋体"/>
          <w:color w:val="auto"/>
          <w:kern w:val="1"/>
          <w:sz w:val="24"/>
        </w:rPr>
        <w:t>委托对单位上报的隐患整改情况进行审核，完成隐患的闭环清零管理；</w:t>
      </w:r>
    </w:p>
    <w:p w14:paraId="7842ACF2">
      <w:pPr>
        <w:spacing w:line="460" w:lineRule="exact"/>
        <w:ind w:firstLine="240"/>
        <w:rPr>
          <w:rFonts w:ascii="宋体" w:hAnsi="宋体" w:cs="宋体"/>
          <w:color w:val="auto"/>
          <w:kern w:val="1"/>
          <w:sz w:val="24"/>
        </w:rPr>
      </w:pPr>
      <w:r>
        <w:rPr>
          <w:rFonts w:ascii="宋体" w:hAnsi="宋体" w:cs="宋体"/>
          <w:color w:val="auto"/>
          <w:kern w:val="1"/>
          <w:sz w:val="24"/>
        </w:rPr>
        <w:t>6.指导企业规范做好安全生产台账，制度上墙工作；</w:t>
      </w:r>
    </w:p>
    <w:p w14:paraId="274A2164">
      <w:pPr>
        <w:spacing w:line="460" w:lineRule="exact"/>
        <w:ind w:firstLine="240"/>
        <w:rPr>
          <w:rFonts w:hint="eastAsia" w:ascii="宋体" w:hAnsi="宋体" w:cs="宋体"/>
          <w:color w:val="auto"/>
          <w:kern w:val="1"/>
          <w:sz w:val="24"/>
        </w:rPr>
      </w:pPr>
      <w:r>
        <w:rPr>
          <w:rFonts w:ascii="宋体" w:hAnsi="宋体" w:cs="宋体"/>
          <w:color w:val="auto"/>
          <w:kern w:val="1"/>
          <w:sz w:val="24"/>
        </w:rPr>
        <w:t>7.每年集中式的开展不少于一次的消防培训和消防演练</w:t>
      </w:r>
      <w:r>
        <w:rPr>
          <w:rFonts w:hint="eastAsia" w:ascii="宋体" w:hAnsi="宋体" w:cs="宋体"/>
          <w:color w:val="auto"/>
          <w:kern w:val="1"/>
          <w:sz w:val="24"/>
        </w:rPr>
        <w:t>；</w:t>
      </w:r>
    </w:p>
    <w:p w14:paraId="06702FFE">
      <w:pPr>
        <w:spacing w:line="460" w:lineRule="exact"/>
        <w:ind w:firstLine="240"/>
        <w:rPr>
          <w:rFonts w:hint="eastAsia" w:ascii="宋体" w:hAnsi="宋体" w:cs="宋体"/>
          <w:color w:val="auto"/>
          <w:kern w:val="1"/>
          <w:sz w:val="24"/>
        </w:rPr>
      </w:pPr>
      <w:r>
        <w:rPr>
          <w:rFonts w:ascii="宋体" w:hAnsi="宋体" w:cs="宋体"/>
          <w:color w:val="auto"/>
          <w:kern w:val="1"/>
          <w:sz w:val="24"/>
        </w:rPr>
        <w:t>8.</w:t>
      </w:r>
      <w:r>
        <w:rPr>
          <w:rFonts w:hint="eastAsia" w:ascii="宋体" w:hAnsi="宋体" w:cs="宋体"/>
          <w:color w:val="auto"/>
          <w:kern w:val="1"/>
          <w:sz w:val="24"/>
        </w:rPr>
        <w:t>对道墟街道办事处及45家规上企业和172规下企业免费提供2年的工业企业安全在线平台服务；</w:t>
      </w:r>
    </w:p>
    <w:p w14:paraId="43BADD05">
      <w:pPr>
        <w:spacing w:line="460" w:lineRule="exact"/>
        <w:ind w:firstLine="240"/>
        <w:rPr>
          <w:rFonts w:ascii="Times New Roman" w:hAnsi="Times New Roman" w:cs="Times New Roman"/>
          <w:color w:val="auto"/>
        </w:rPr>
      </w:pPr>
      <w:r>
        <w:rPr>
          <w:rFonts w:ascii="宋体" w:hAnsi="宋体" w:cs="宋体"/>
          <w:color w:val="auto"/>
          <w:kern w:val="1"/>
          <w:sz w:val="24"/>
        </w:rPr>
        <w:t>9.对</w:t>
      </w:r>
      <w:r>
        <w:rPr>
          <w:rFonts w:hint="eastAsia" w:ascii="宋体" w:hAnsi="宋体" w:cs="宋体"/>
          <w:color w:val="auto"/>
          <w:kern w:val="1"/>
          <w:sz w:val="24"/>
          <w:szCs w:val="22"/>
        </w:rPr>
        <w:t>道墟街道</w:t>
      </w:r>
      <w:r>
        <w:rPr>
          <w:rFonts w:ascii="宋体" w:hAnsi="宋体" w:cs="宋体"/>
          <w:color w:val="auto"/>
          <w:kern w:val="1"/>
          <w:sz w:val="24"/>
          <w:szCs w:val="22"/>
        </w:rPr>
        <w:t>办事</w:t>
      </w:r>
      <w:r>
        <w:rPr>
          <w:rFonts w:ascii="宋体" w:hAnsi="宋体" w:cs="宋体"/>
          <w:color w:val="auto"/>
          <w:kern w:val="1"/>
          <w:sz w:val="24"/>
        </w:rPr>
        <w:t>处免费提供</w:t>
      </w:r>
      <w:r>
        <w:rPr>
          <w:rFonts w:hint="eastAsia" w:ascii="宋体" w:hAnsi="宋体" w:cs="宋体"/>
          <w:color w:val="auto"/>
          <w:kern w:val="1"/>
          <w:sz w:val="24"/>
          <w:lang w:val="en-US" w:eastAsia="zh-CN"/>
        </w:rPr>
        <w:t>2</w:t>
      </w:r>
      <w:r>
        <w:rPr>
          <w:rFonts w:ascii="宋体" w:hAnsi="宋体" w:cs="宋体"/>
          <w:color w:val="auto"/>
          <w:kern w:val="1"/>
          <w:sz w:val="24"/>
        </w:rPr>
        <w:t>年</w:t>
      </w:r>
      <w:r>
        <w:rPr>
          <w:rFonts w:hint="eastAsia" w:ascii="宋体" w:hAnsi="宋体" w:cs="宋体"/>
          <w:color w:val="auto"/>
          <w:kern w:val="1"/>
          <w:sz w:val="24"/>
        </w:rPr>
        <w:t>的</w:t>
      </w:r>
      <w:r>
        <w:rPr>
          <w:rFonts w:ascii="宋体" w:hAnsi="宋体" w:cs="宋体"/>
          <w:color w:val="auto"/>
          <w:kern w:val="1"/>
          <w:sz w:val="24"/>
        </w:rPr>
        <w:t>智慧安监综合管理平台服务。</w:t>
      </w:r>
    </w:p>
    <w:p w14:paraId="68451D68">
      <w:pPr>
        <w:spacing w:line="460" w:lineRule="exact"/>
        <w:ind w:firstLine="482"/>
        <w:jc w:val="left"/>
        <w:rPr>
          <w:rFonts w:ascii="宋体" w:hAnsi="宋体" w:cs="黑体"/>
          <w:b/>
          <w:color w:val="auto"/>
          <w:kern w:val="1"/>
          <w:sz w:val="24"/>
          <w:shd w:val="clear" w:color="auto" w:fill="FEFEFE"/>
        </w:rPr>
      </w:pPr>
      <w:r>
        <w:rPr>
          <w:rFonts w:hint="eastAsia" w:ascii="宋体" w:hAnsi="宋体" w:cs="黑体"/>
          <w:b/>
          <w:color w:val="auto"/>
          <w:kern w:val="1"/>
          <w:sz w:val="24"/>
          <w:shd w:val="clear" w:color="auto" w:fill="FEFEFE"/>
          <w:lang w:eastAsia="zh-CN"/>
        </w:rPr>
        <w:t>四</w:t>
      </w:r>
      <w:r>
        <w:rPr>
          <w:rFonts w:ascii="宋体" w:hAnsi="宋体" w:cs="黑体"/>
          <w:b/>
          <w:color w:val="auto"/>
          <w:kern w:val="1"/>
          <w:sz w:val="24"/>
          <w:shd w:val="clear" w:color="auto" w:fill="FEFEFE"/>
        </w:rPr>
        <w:t>、工作要求</w:t>
      </w:r>
    </w:p>
    <w:p w14:paraId="111E157D">
      <w:pPr>
        <w:spacing w:line="460" w:lineRule="exact"/>
        <w:jc w:val="left"/>
        <w:rPr>
          <w:rFonts w:ascii="宋体" w:hAnsi="宋体" w:cs="楷体"/>
          <w:bCs/>
          <w:color w:val="auto"/>
          <w:kern w:val="1"/>
          <w:sz w:val="24"/>
          <w:shd w:val="clear" w:color="auto" w:fill="FEFEFE"/>
        </w:rPr>
      </w:pPr>
      <w:r>
        <w:rPr>
          <w:rFonts w:ascii="宋体" w:hAnsi="宋体" w:cs="楷体"/>
          <w:bCs/>
          <w:color w:val="auto"/>
          <w:kern w:val="1"/>
          <w:sz w:val="24"/>
          <w:shd w:val="clear" w:color="auto" w:fill="FEFEFE"/>
        </w:rPr>
        <w:t xml:space="preserve"> </w:t>
      </w:r>
      <w:r>
        <w:rPr>
          <w:rFonts w:hint="eastAsia" w:ascii="宋体" w:hAnsi="宋体" w:cs="楷体"/>
          <w:bCs/>
          <w:color w:val="auto"/>
          <w:kern w:val="1"/>
          <w:sz w:val="24"/>
          <w:shd w:val="clear" w:color="auto" w:fill="FEFEFE"/>
        </w:rPr>
        <w:t xml:space="preserve">   </w:t>
      </w:r>
      <w:r>
        <w:rPr>
          <w:rFonts w:ascii="宋体" w:hAnsi="宋体" w:cs="楷体"/>
          <w:bCs/>
          <w:color w:val="auto"/>
          <w:kern w:val="1"/>
          <w:sz w:val="24"/>
          <w:shd w:val="clear" w:color="auto" w:fill="FEFEFE"/>
        </w:rPr>
        <w:t>1、提高认识，明确责任。安全生产（消防）社会化服务是</w:t>
      </w:r>
      <w:r>
        <w:rPr>
          <w:rFonts w:hint="eastAsia" w:ascii="宋体" w:hAnsi="宋体" w:cs="楷体"/>
          <w:bCs/>
          <w:color w:val="auto"/>
          <w:kern w:val="1"/>
          <w:sz w:val="24"/>
          <w:shd w:val="clear" w:color="auto" w:fill="FEFEFE"/>
        </w:rPr>
        <w:t>街道</w:t>
      </w:r>
      <w:r>
        <w:rPr>
          <w:rFonts w:ascii="宋体" w:hAnsi="宋体" w:cs="楷体"/>
          <w:bCs/>
          <w:color w:val="auto"/>
          <w:kern w:val="1"/>
          <w:sz w:val="24"/>
          <w:shd w:val="clear" w:color="auto" w:fill="FEFEFE"/>
        </w:rPr>
        <w:t>安全生产领域深化改革、创新安全监管机制的积极探索，是一项创新性工作，要高度重视，切实加强组织领导，明确责任，制定方案，落实措施，做好本</w:t>
      </w:r>
      <w:r>
        <w:rPr>
          <w:rFonts w:hint="eastAsia" w:ascii="宋体" w:hAnsi="宋体" w:cs="楷体"/>
          <w:bCs/>
          <w:color w:val="auto"/>
          <w:kern w:val="1"/>
          <w:sz w:val="24"/>
          <w:shd w:val="clear" w:color="auto" w:fill="FEFEFE"/>
        </w:rPr>
        <w:t>街道</w:t>
      </w:r>
      <w:r>
        <w:rPr>
          <w:rFonts w:ascii="宋体" w:hAnsi="宋体" w:cs="楷体"/>
          <w:bCs/>
          <w:color w:val="auto"/>
          <w:kern w:val="1"/>
          <w:sz w:val="24"/>
          <w:shd w:val="clear" w:color="auto" w:fill="FEFEFE"/>
        </w:rPr>
        <w:t>辖区社会化服务的统筹、协调工作。</w:t>
      </w:r>
    </w:p>
    <w:p w14:paraId="763A69A3">
      <w:pPr>
        <w:spacing w:line="460" w:lineRule="exact"/>
        <w:jc w:val="left"/>
        <w:rPr>
          <w:rFonts w:ascii="宋体" w:hAnsi="宋体" w:cs="宋体"/>
          <w:color w:val="auto"/>
          <w:kern w:val="1"/>
          <w:sz w:val="24"/>
          <w:shd w:val="clear" w:color="auto" w:fill="FEFEFE"/>
        </w:rPr>
      </w:pPr>
      <w:r>
        <w:rPr>
          <w:rFonts w:ascii="宋体" w:hAnsi="宋体" w:cs="楷体"/>
          <w:b/>
          <w:bCs/>
          <w:color w:val="auto"/>
          <w:kern w:val="1"/>
          <w:sz w:val="24"/>
          <w:shd w:val="clear" w:color="auto" w:fill="FEFEFE"/>
        </w:rPr>
        <w:t xml:space="preserve">    </w:t>
      </w:r>
      <w:r>
        <w:rPr>
          <w:rFonts w:ascii="宋体" w:hAnsi="宋体" w:cs="楷体"/>
          <w:color w:val="auto"/>
          <w:kern w:val="1"/>
          <w:sz w:val="24"/>
          <w:shd w:val="clear" w:color="auto" w:fill="FEFEFE"/>
        </w:rPr>
        <w:t>2、</w:t>
      </w:r>
      <w:r>
        <w:rPr>
          <w:rFonts w:ascii="宋体" w:hAnsi="宋体" w:cs="楷体"/>
          <w:bCs/>
          <w:color w:val="auto"/>
          <w:kern w:val="1"/>
          <w:sz w:val="24"/>
          <w:shd w:val="clear" w:color="auto" w:fill="FEFEFE"/>
        </w:rPr>
        <w:t>健全规范，保证质量。</w:t>
      </w:r>
      <w:r>
        <w:rPr>
          <w:rFonts w:ascii="宋体" w:hAnsi="宋体" w:cs="宋体"/>
          <w:color w:val="auto"/>
          <w:kern w:val="1"/>
          <w:sz w:val="24"/>
          <w:shd w:val="clear" w:color="auto" w:fill="FEFEFE"/>
        </w:rPr>
        <w:t>安全服务机构要加强与</w:t>
      </w:r>
      <w:r>
        <w:rPr>
          <w:rFonts w:hint="eastAsia" w:ascii="宋体" w:hAnsi="宋体" w:cs="宋体"/>
          <w:color w:val="auto"/>
          <w:kern w:val="1"/>
          <w:sz w:val="24"/>
          <w:shd w:val="clear" w:color="auto" w:fill="FEFEFE"/>
          <w:lang w:eastAsia="zh-CN"/>
        </w:rPr>
        <w:t>应消办</w:t>
      </w:r>
      <w:r>
        <w:rPr>
          <w:rFonts w:ascii="宋体" w:hAnsi="宋体" w:cs="宋体"/>
          <w:color w:val="auto"/>
          <w:kern w:val="1"/>
          <w:sz w:val="24"/>
          <w:shd w:val="clear" w:color="auto" w:fill="FEFEFE"/>
        </w:rPr>
        <w:t>人员及网格员的联系沟通，企业对社会化服务工作不支持、不配合的，要及时向</w:t>
      </w:r>
      <w:r>
        <w:rPr>
          <w:rFonts w:hint="eastAsia" w:ascii="宋体" w:hAnsi="宋体" w:cs="宋体"/>
          <w:color w:val="auto"/>
          <w:kern w:val="1"/>
          <w:sz w:val="24"/>
          <w:shd w:val="clear" w:color="auto" w:fill="FEFEFE"/>
        </w:rPr>
        <w:t>街道</w:t>
      </w:r>
      <w:r>
        <w:rPr>
          <w:rFonts w:hint="eastAsia" w:ascii="宋体" w:hAnsi="宋体" w:cs="宋体"/>
          <w:color w:val="auto"/>
          <w:kern w:val="1"/>
          <w:sz w:val="24"/>
          <w:shd w:val="clear" w:color="auto" w:fill="FEFEFE"/>
          <w:lang w:eastAsia="zh-CN"/>
        </w:rPr>
        <w:t>应消办</w:t>
      </w:r>
      <w:r>
        <w:rPr>
          <w:rFonts w:ascii="宋体" w:hAnsi="宋体" w:cs="宋体"/>
          <w:color w:val="auto"/>
          <w:kern w:val="1"/>
          <w:sz w:val="24"/>
          <w:shd w:val="clear" w:color="auto" w:fill="FEFEFE"/>
        </w:rPr>
        <w:t>反馈。</w:t>
      </w:r>
    </w:p>
    <w:p w14:paraId="1B3F3A83">
      <w:pPr>
        <w:spacing w:line="460" w:lineRule="exact"/>
        <w:ind w:firstLine="470"/>
        <w:rPr>
          <w:rFonts w:ascii="宋体" w:hAnsi="宋体" w:cs="宋体"/>
          <w:b/>
          <w:color w:val="auto"/>
          <w:kern w:val="1"/>
          <w:sz w:val="24"/>
        </w:rPr>
      </w:pPr>
      <w:r>
        <w:rPr>
          <w:rFonts w:ascii="宋体" w:hAnsi="宋体" w:cs="楷体"/>
          <w:bCs/>
          <w:color w:val="auto"/>
          <w:kern w:val="1"/>
          <w:sz w:val="24"/>
          <w:shd w:val="clear" w:color="auto" w:fill="FEFEFE"/>
        </w:rPr>
        <w:t>3、加强督查，确保实效。安全服务</w:t>
      </w:r>
      <w:r>
        <w:rPr>
          <w:rFonts w:ascii="宋体" w:hAnsi="宋体" w:cs="宋体"/>
          <w:color w:val="auto"/>
          <w:kern w:val="1"/>
          <w:sz w:val="24"/>
          <w:shd w:val="clear" w:color="auto" w:fill="FEFEFE"/>
        </w:rPr>
        <w:t>机构要定期向所在地</w:t>
      </w:r>
      <w:r>
        <w:rPr>
          <w:rFonts w:hint="eastAsia" w:ascii="宋体" w:hAnsi="宋体" w:cs="宋体"/>
          <w:color w:val="auto"/>
          <w:kern w:val="1"/>
          <w:sz w:val="24"/>
          <w:shd w:val="clear" w:color="auto" w:fill="FEFEFE"/>
          <w:lang w:eastAsia="zh-CN"/>
        </w:rPr>
        <w:t>应消办</w:t>
      </w:r>
      <w:r>
        <w:rPr>
          <w:rFonts w:ascii="宋体" w:hAnsi="宋体" w:cs="宋体"/>
          <w:color w:val="auto"/>
          <w:kern w:val="1"/>
          <w:sz w:val="24"/>
          <w:shd w:val="clear" w:color="auto" w:fill="FEFEFE"/>
        </w:rPr>
        <w:t>反馈</w:t>
      </w:r>
      <w:r>
        <w:rPr>
          <w:rFonts w:hint="eastAsia" w:ascii="宋体" w:hAnsi="宋体" w:cs="宋体"/>
          <w:color w:val="auto"/>
          <w:kern w:val="1"/>
          <w:sz w:val="24"/>
          <w:shd w:val="clear" w:color="auto" w:fill="FEFEFE"/>
        </w:rPr>
        <w:t>该</w:t>
      </w:r>
      <w:r>
        <w:rPr>
          <w:rFonts w:ascii="宋体" w:hAnsi="宋体" w:cs="宋体"/>
          <w:color w:val="auto"/>
          <w:kern w:val="1"/>
          <w:sz w:val="24"/>
          <w:shd w:val="clear" w:color="auto" w:fill="FEFEFE"/>
        </w:rPr>
        <w:t>辖区内企业开展安全生产（消防）社会化服务情况，总结工作成效，提出意见建议，并协助</w:t>
      </w:r>
      <w:r>
        <w:rPr>
          <w:rFonts w:hint="eastAsia" w:ascii="宋体" w:hAnsi="宋体" w:cs="宋体"/>
          <w:color w:val="auto"/>
          <w:kern w:val="1"/>
          <w:sz w:val="24"/>
          <w:shd w:val="clear" w:color="auto" w:fill="FEFEFE"/>
        </w:rPr>
        <w:t>街道</w:t>
      </w:r>
      <w:r>
        <w:rPr>
          <w:rFonts w:hint="eastAsia" w:ascii="宋体" w:hAnsi="宋体" w:cs="宋体"/>
          <w:color w:val="auto"/>
          <w:kern w:val="1"/>
          <w:sz w:val="24"/>
          <w:shd w:val="clear" w:color="auto" w:fill="FEFEFE"/>
          <w:lang w:eastAsia="zh-CN"/>
        </w:rPr>
        <w:t>应消办</w:t>
      </w:r>
      <w:r>
        <w:rPr>
          <w:rFonts w:ascii="宋体" w:hAnsi="宋体" w:cs="宋体"/>
          <w:color w:val="auto"/>
          <w:kern w:val="1"/>
          <w:sz w:val="24"/>
          <w:shd w:val="clear" w:color="auto" w:fill="FEFEFE"/>
        </w:rPr>
        <w:t>督促指导发现隐患的整改。</w:t>
      </w:r>
      <w:r>
        <w:rPr>
          <w:rFonts w:hint="eastAsia" w:ascii="宋体" w:hAnsi="宋体" w:cs="宋体"/>
          <w:color w:val="auto"/>
          <w:kern w:val="1"/>
          <w:sz w:val="24"/>
          <w:shd w:val="clear" w:color="auto" w:fill="FEFEFE"/>
        </w:rPr>
        <w:t>街道</w:t>
      </w:r>
      <w:r>
        <w:rPr>
          <w:rFonts w:hint="eastAsia" w:ascii="宋体" w:hAnsi="宋体" w:cs="宋体"/>
          <w:color w:val="auto"/>
          <w:kern w:val="1"/>
          <w:sz w:val="24"/>
          <w:shd w:val="clear" w:color="auto" w:fill="FEFEFE"/>
          <w:lang w:eastAsia="zh-CN"/>
        </w:rPr>
        <w:t>应消办</w:t>
      </w:r>
      <w:r>
        <w:rPr>
          <w:rFonts w:ascii="宋体" w:hAnsi="宋体" w:cs="宋体"/>
          <w:color w:val="auto"/>
          <w:kern w:val="1"/>
          <w:sz w:val="24"/>
          <w:shd w:val="clear" w:color="auto" w:fill="FEFEFE"/>
        </w:rPr>
        <w:t>每季度对安全中介机构实际开展安全技术服务情况进行监督和考评，综合被服务企业及相关部门的意见进行考核，以工作量、服务质量及实际服务效果相结合的方式进行考评。</w:t>
      </w:r>
    </w:p>
    <w:p w14:paraId="1A600A18">
      <w:pPr>
        <w:tabs>
          <w:tab w:val="left" w:pos="360"/>
          <w:tab w:val="left" w:pos="540"/>
        </w:tabs>
        <w:spacing w:line="460" w:lineRule="exact"/>
        <w:ind w:right="-21" w:firstLine="420"/>
        <w:rPr>
          <w:rFonts w:ascii="宋体" w:hAnsi="宋体" w:cs="宋体"/>
          <w:b/>
          <w:color w:val="auto"/>
          <w:kern w:val="1"/>
          <w:sz w:val="24"/>
        </w:rPr>
      </w:pPr>
      <w:r>
        <w:rPr>
          <w:rFonts w:ascii="宋体" w:hAnsi="宋体" w:cs="宋体"/>
          <w:b/>
          <w:color w:val="auto"/>
          <w:kern w:val="1"/>
          <w:sz w:val="24"/>
        </w:rPr>
        <w:t>4、服务期：</w:t>
      </w:r>
      <w:r>
        <w:rPr>
          <w:rFonts w:hint="eastAsia" w:ascii="宋体" w:hAnsi="宋体" w:cs="宋体"/>
          <w:b/>
          <w:color w:val="auto"/>
          <w:kern w:val="1"/>
          <w:sz w:val="24"/>
          <w:lang w:val="en-US" w:eastAsia="zh-CN"/>
        </w:rPr>
        <w:t>2</w:t>
      </w:r>
      <w:r>
        <w:rPr>
          <w:rFonts w:ascii="宋体" w:hAnsi="宋体" w:cs="宋体"/>
          <w:b/>
          <w:color w:val="auto"/>
          <w:kern w:val="1"/>
          <w:sz w:val="24"/>
        </w:rPr>
        <w:t>年，具体起止时间在签订合同时由采购人确定。</w:t>
      </w:r>
    </w:p>
    <w:p w14:paraId="2F973A95">
      <w:pPr>
        <w:tabs>
          <w:tab w:val="left" w:pos="360"/>
          <w:tab w:val="left" w:pos="540"/>
        </w:tabs>
        <w:spacing w:line="460" w:lineRule="exact"/>
        <w:ind w:right="-21" w:firstLine="420"/>
        <w:rPr>
          <w:rFonts w:ascii="宋体" w:hAnsi="宋体" w:cs="宋体"/>
          <w:color w:val="auto"/>
          <w:kern w:val="1"/>
          <w:sz w:val="24"/>
        </w:rPr>
      </w:pPr>
      <w:r>
        <w:rPr>
          <w:rFonts w:ascii="宋体" w:hAnsi="宋体" w:cs="宋体"/>
          <w:color w:val="auto"/>
          <w:kern w:val="1"/>
          <w:sz w:val="24"/>
        </w:rPr>
        <w:t>在合同约定的服务期内，如中标人提供的服务无法满足采购人的需要或未达到投标承诺的标准，经采购人指出后仍未有改进的，采购人可单方解除合同，由此造成甲方的一切损失均由中标人承担，履约保证金全额不予退还。</w:t>
      </w:r>
    </w:p>
    <w:p w14:paraId="6085B94D">
      <w:pPr>
        <w:tabs>
          <w:tab w:val="left" w:pos="360"/>
          <w:tab w:val="left" w:pos="540"/>
        </w:tabs>
        <w:spacing w:line="460" w:lineRule="exact"/>
        <w:ind w:right="-21" w:firstLine="420"/>
        <w:rPr>
          <w:rFonts w:ascii="宋体" w:hAnsi="宋体" w:cs="宋体"/>
          <w:color w:val="auto"/>
          <w:kern w:val="1"/>
          <w:sz w:val="24"/>
          <w:u w:val="single"/>
        </w:rPr>
      </w:pPr>
      <w:r>
        <w:rPr>
          <w:rFonts w:ascii="宋体" w:hAnsi="宋体" w:cs="宋体"/>
          <w:b/>
          <w:color w:val="auto"/>
          <w:kern w:val="1"/>
          <w:sz w:val="24"/>
        </w:rPr>
        <w:t>5、项目实施地点：</w:t>
      </w:r>
      <w:r>
        <w:rPr>
          <w:rFonts w:ascii="宋体" w:hAnsi="宋体" w:cs="宋体"/>
          <w:b/>
          <w:bCs/>
          <w:color w:val="auto"/>
          <w:kern w:val="1"/>
          <w:sz w:val="24"/>
        </w:rPr>
        <w:t xml:space="preserve"> 上虞区</w:t>
      </w:r>
      <w:r>
        <w:rPr>
          <w:rFonts w:hint="eastAsia" w:ascii="宋体" w:hAnsi="宋体" w:cs="宋体"/>
          <w:b/>
          <w:bCs/>
          <w:color w:val="auto"/>
          <w:kern w:val="1"/>
          <w:sz w:val="24"/>
        </w:rPr>
        <w:t>道墟街道</w:t>
      </w:r>
      <w:r>
        <w:rPr>
          <w:rFonts w:ascii="宋体" w:hAnsi="宋体" w:cs="宋体"/>
          <w:b/>
          <w:bCs/>
          <w:color w:val="auto"/>
          <w:kern w:val="1"/>
          <w:sz w:val="24"/>
        </w:rPr>
        <w:t>辖区</w:t>
      </w:r>
    </w:p>
    <w:p w14:paraId="41B260A6">
      <w:pPr>
        <w:tabs>
          <w:tab w:val="left" w:pos="360"/>
          <w:tab w:val="left" w:pos="540"/>
        </w:tabs>
        <w:spacing w:line="460" w:lineRule="exact"/>
        <w:ind w:right="-21" w:firstLine="420"/>
        <w:rPr>
          <w:rFonts w:ascii="宋体" w:hAnsi="宋体" w:cs="宋体"/>
          <w:color w:val="auto"/>
          <w:kern w:val="1"/>
          <w:sz w:val="24"/>
        </w:rPr>
      </w:pPr>
      <w:r>
        <w:rPr>
          <w:rFonts w:ascii="宋体" w:hAnsi="宋体" w:cs="宋体"/>
          <w:color w:val="auto"/>
          <w:kern w:val="1"/>
          <w:sz w:val="24"/>
        </w:rPr>
        <w:t>投标人需要自行了解采购人相关系统情况，获取与本项目实施有关的资料，所需的费用和风险责任由投标人自行承担。</w:t>
      </w:r>
    </w:p>
    <w:p w14:paraId="3A921C81">
      <w:pPr>
        <w:tabs>
          <w:tab w:val="left" w:pos="360"/>
          <w:tab w:val="left" w:pos="540"/>
        </w:tabs>
        <w:spacing w:line="460" w:lineRule="exact"/>
        <w:ind w:right="-21" w:firstLine="420"/>
        <w:rPr>
          <w:rFonts w:ascii="宋体" w:hAnsi="宋体" w:cs="宋体"/>
          <w:color w:val="auto"/>
          <w:kern w:val="1"/>
          <w:sz w:val="24"/>
        </w:rPr>
      </w:pPr>
      <w:r>
        <w:rPr>
          <w:rFonts w:ascii="宋体" w:hAnsi="宋体" w:cs="宋体"/>
          <w:bCs/>
          <w:color w:val="auto"/>
          <w:kern w:val="1"/>
          <w:sz w:val="24"/>
        </w:rPr>
        <w:t>6、</w:t>
      </w:r>
      <w:r>
        <w:rPr>
          <w:rFonts w:ascii="宋体" w:hAnsi="宋体" w:cs="宋体"/>
          <w:color w:val="auto"/>
          <w:kern w:val="1"/>
          <w:sz w:val="24"/>
        </w:rPr>
        <w:t>项目结束需要向采购人交付全过程形成的记录、档案资料，相关服务的具体成效等。</w:t>
      </w:r>
    </w:p>
    <w:p w14:paraId="189555B4">
      <w:pPr>
        <w:tabs>
          <w:tab w:val="left" w:pos="360"/>
          <w:tab w:val="left" w:pos="540"/>
        </w:tabs>
        <w:spacing w:line="460" w:lineRule="exact"/>
        <w:ind w:right="-21" w:firstLine="420"/>
        <w:rPr>
          <w:rFonts w:ascii="宋体" w:hAnsi="宋体" w:cs="宋体"/>
          <w:color w:val="auto"/>
          <w:kern w:val="1"/>
          <w:sz w:val="24"/>
        </w:rPr>
      </w:pPr>
      <w:r>
        <w:rPr>
          <w:rFonts w:ascii="宋体" w:hAnsi="宋体" w:cs="宋体"/>
          <w:color w:val="auto"/>
          <w:kern w:val="1"/>
          <w:sz w:val="24"/>
        </w:rPr>
        <w:t>7、</w:t>
      </w:r>
      <w:r>
        <w:rPr>
          <w:rFonts w:ascii="宋体" w:hAnsi="宋体" w:cs="仿宋"/>
          <w:color w:val="auto"/>
          <w:kern w:val="1"/>
          <w:sz w:val="24"/>
        </w:rPr>
        <w:t>服务总体要求</w:t>
      </w:r>
    </w:p>
    <w:p w14:paraId="5CCB15F2">
      <w:pPr>
        <w:tabs>
          <w:tab w:val="left" w:pos="360"/>
          <w:tab w:val="left" w:pos="540"/>
        </w:tabs>
        <w:spacing w:line="460" w:lineRule="exact"/>
        <w:ind w:right="-21" w:firstLine="420"/>
        <w:rPr>
          <w:rFonts w:ascii="宋体" w:hAnsi="宋体" w:cs="宋体"/>
          <w:color w:val="auto"/>
          <w:kern w:val="1"/>
          <w:sz w:val="24"/>
        </w:rPr>
      </w:pPr>
      <w:r>
        <w:rPr>
          <w:rFonts w:ascii="宋体" w:hAnsi="宋体" w:cs="宋体"/>
          <w:color w:val="auto"/>
          <w:kern w:val="1"/>
          <w:sz w:val="24"/>
        </w:rPr>
        <w:t>(1)投标人可根据项目情况向委托方提供相关服务，但必须拥有绍兴市本地化技术服务力量，并提供技术服务联系人、联系电话，随时响应。</w:t>
      </w:r>
    </w:p>
    <w:p w14:paraId="6C8351CC">
      <w:pPr>
        <w:tabs>
          <w:tab w:val="left" w:pos="360"/>
          <w:tab w:val="left" w:pos="540"/>
        </w:tabs>
        <w:spacing w:line="460" w:lineRule="exact"/>
        <w:ind w:right="-21" w:firstLine="420"/>
        <w:rPr>
          <w:rFonts w:ascii="宋体" w:hAnsi="宋体" w:cs="宋体"/>
          <w:color w:val="auto"/>
          <w:kern w:val="1"/>
          <w:sz w:val="24"/>
        </w:rPr>
      </w:pPr>
      <w:r>
        <w:rPr>
          <w:rFonts w:ascii="宋体" w:hAnsi="宋体" w:cs="宋体"/>
          <w:color w:val="auto"/>
          <w:kern w:val="1"/>
          <w:sz w:val="24"/>
        </w:rPr>
        <w:t>(2)每次服务完成后，须向委托方提交相关文档等。</w:t>
      </w:r>
    </w:p>
    <w:p w14:paraId="2A7D2BF8">
      <w:pPr>
        <w:tabs>
          <w:tab w:val="left" w:pos="360"/>
          <w:tab w:val="left" w:pos="540"/>
        </w:tabs>
        <w:spacing w:line="460" w:lineRule="exact"/>
        <w:ind w:right="-21" w:firstLine="420"/>
        <w:rPr>
          <w:rFonts w:ascii="宋体" w:hAnsi="宋体" w:cs="宋体"/>
          <w:color w:val="auto"/>
          <w:kern w:val="1"/>
          <w:sz w:val="24"/>
        </w:rPr>
      </w:pPr>
      <w:r>
        <w:rPr>
          <w:rFonts w:hint="eastAsia" w:ascii="宋体" w:hAnsi="宋体" w:cs="宋体"/>
          <w:color w:val="auto"/>
          <w:kern w:val="1"/>
          <w:sz w:val="24"/>
        </w:rPr>
        <w:t>(3)投标人须保证所提供技术服务符合国家有关规定。</w:t>
      </w:r>
    </w:p>
    <w:p w14:paraId="71860213">
      <w:pPr>
        <w:spacing w:line="460" w:lineRule="exact"/>
        <w:ind w:firstLine="420"/>
        <w:rPr>
          <w:rFonts w:ascii="宋体" w:hAnsi="宋体" w:cs="宋体"/>
          <w:color w:val="auto"/>
          <w:kern w:val="1"/>
          <w:sz w:val="24"/>
        </w:rPr>
      </w:pPr>
      <w:r>
        <w:rPr>
          <w:rFonts w:ascii="宋体" w:hAnsi="宋体" w:cs="宋体"/>
          <w:color w:val="auto"/>
          <w:kern w:val="1"/>
          <w:sz w:val="24"/>
        </w:rPr>
        <w:t>(4)投标人必须保证解决项目所涉及的技术问题，并满足委托方需求。</w:t>
      </w:r>
    </w:p>
    <w:p w14:paraId="718C7F0B">
      <w:pPr>
        <w:spacing w:line="460" w:lineRule="exact"/>
        <w:ind w:firstLine="360" w:firstLineChars="150"/>
        <w:rPr>
          <w:rFonts w:ascii="宋体" w:hAnsi="宋体" w:cs="宋体"/>
          <w:color w:val="auto"/>
          <w:kern w:val="1"/>
          <w:sz w:val="24"/>
        </w:rPr>
      </w:pPr>
      <w:r>
        <w:rPr>
          <w:rFonts w:ascii="宋体" w:hAnsi="宋体" w:cs="宋体"/>
          <w:color w:val="auto"/>
          <w:kern w:val="1"/>
          <w:sz w:val="24"/>
        </w:rPr>
        <w:t>(</w:t>
      </w:r>
      <w:r>
        <w:rPr>
          <w:rFonts w:hint="eastAsia" w:ascii="宋体" w:hAnsi="宋体" w:cs="宋体"/>
          <w:color w:val="auto"/>
          <w:kern w:val="1"/>
          <w:sz w:val="24"/>
        </w:rPr>
        <w:t>5</w:t>
      </w:r>
      <w:r>
        <w:rPr>
          <w:rFonts w:ascii="宋体" w:hAnsi="宋体" w:cs="宋体"/>
          <w:color w:val="auto"/>
          <w:kern w:val="1"/>
          <w:sz w:val="24"/>
        </w:rPr>
        <w:t>)中标人要严格按照《绍兴市安全生产社会化服务机构管理暂行办法》（绍市安监〔2016〕53号）要求开展工作。</w:t>
      </w:r>
    </w:p>
    <w:p w14:paraId="54ED8BCE">
      <w:pPr>
        <w:spacing w:line="460" w:lineRule="exact"/>
        <w:ind w:firstLine="480"/>
        <w:rPr>
          <w:rFonts w:ascii="宋体" w:hAnsi="宋体" w:cs="宋体"/>
          <w:color w:val="auto"/>
          <w:kern w:val="1"/>
          <w:sz w:val="24"/>
        </w:rPr>
      </w:pPr>
      <w:r>
        <w:rPr>
          <w:rFonts w:ascii="宋体" w:hAnsi="宋体" w:cs="宋体"/>
          <w:color w:val="auto"/>
          <w:kern w:val="1"/>
          <w:sz w:val="24"/>
        </w:rPr>
        <w:t>8、人员配置</w:t>
      </w:r>
    </w:p>
    <w:p w14:paraId="17E52F95">
      <w:pPr>
        <w:spacing w:line="460" w:lineRule="exact"/>
        <w:ind w:firstLine="480"/>
        <w:rPr>
          <w:rFonts w:ascii="宋体" w:hAnsi="宋体" w:cs="宋体"/>
          <w:color w:val="auto"/>
          <w:kern w:val="1"/>
          <w:sz w:val="24"/>
        </w:rPr>
      </w:pPr>
      <w:r>
        <w:rPr>
          <w:rFonts w:ascii="宋体" w:hAnsi="宋体" w:cs="宋体"/>
          <w:color w:val="auto"/>
          <w:kern w:val="1"/>
          <w:sz w:val="24"/>
        </w:rPr>
        <w:t>（1）安全服务机构在中标后应配置足够的工作人员，工作人员须具备工程师或注册安全工程师以上资格，能熟练掌握开展安全检查的方法及知识，具有良好的组织及沟通交流能力。工作人员未能按时间进度完成本项安全技术服务相关工作时，不得再从事本单位其它安全评价、安全标准化咨询等相关工作。</w:t>
      </w:r>
    </w:p>
    <w:p w14:paraId="1A10EBC5">
      <w:pPr>
        <w:widowControl/>
        <w:spacing w:line="360" w:lineRule="auto"/>
        <w:ind w:firstLine="482"/>
        <w:jc w:val="left"/>
        <w:rPr>
          <w:rFonts w:ascii="宋体" w:hAnsi="宋体" w:cs="宋体"/>
          <w:color w:val="auto"/>
          <w:kern w:val="1"/>
          <w:sz w:val="24"/>
        </w:rPr>
      </w:pPr>
      <w:r>
        <w:rPr>
          <w:rFonts w:ascii="宋体" w:hAnsi="宋体" w:cs="宋体"/>
          <w:color w:val="auto"/>
          <w:kern w:val="1"/>
          <w:sz w:val="24"/>
        </w:rPr>
        <w:t>（2）安全服务机构应充分发挥在人才、技术、信息等方面的优势，抽调化工、矿山、电气、消防、仪表自控、机械、交通、安全管理等专业技术人员组建专家检查服务组，并根据企业生产装置、设施设备特点及安全管理现状，再适当外聘有丰富实际经验的技术专家参与检查服务工作，保证具有中、高级专业技术职称的人员比例在70%以上，以确保安全技术服务工作质量。</w:t>
      </w:r>
    </w:p>
    <w:p w14:paraId="72A489DC">
      <w:pPr>
        <w:spacing w:line="480" w:lineRule="exact"/>
        <w:ind w:firstLine="482"/>
        <w:rPr>
          <w:rFonts w:ascii="宋体" w:hAnsi="宋体" w:cs="宋体"/>
          <w:b/>
          <w:color w:val="auto"/>
          <w:kern w:val="1"/>
          <w:sz w:val="24"/>
        </w:rPr>
      </w:pPr>
      <w:r>
        <w:rPr>
          <w:rFonts w:hint="eastAsia" w:ascii="宋体" w:hAnsi="宋体" w:cs="宋体"/>
          <w:b/>
          <w:color w:val="auto"/>
          <w:kern w:val="1"/>
          <w:sz w:val="24"/>
          <w:lang w:eastAsia="zh-CN"/>
        </w:rPr>
        <w:t>五</w:t>
      </w:r>
      <w:r>
        <w:rPr>
          <w:rFonts w:ascii="宋体" w:hAnsi="宋体" w:cs="宋体"/>
          <w:b/>
          <w:color w:val="auto"/>
          <w:kern w:val="1"/>
          <w:sz w:val="24"/>
        </w:rPr>
        <w:t>、考核验收及奖惩</w:t>
      </w:r>
    </w:p>
    <w:p w14:paraId="6CF3EC24">
      <w:pPr>
        <w:spacing w:line="480" w:lineRule="exact"/>
        <w:ind w:firstLine="480"/>
        <w:rPr>
          <w:rFonts w:ascii="宋体" w:hAnsi="宋体" w:cs="宋体"/>
          <w:color w:val="auto"/>
          <w:kern w:val="1"/>
          <w:sz w:val="24"/>
        </w:rPr>
      </w:pPr>
      <w:r>
        <w:rPr>
          <w:rFonts w:ascii="宋体" w:hAnsi="宋体" w:cs="宋体"/>
          <w:color w:val="auto"/>
          <w:kern w:val="1"/>
          <w:sz w:val="24"/>
        </w:rPr>
        <w:t>1.参与政府购买社会化服务的中标单位，每月必须指导督促企业完成网格巡查率和录入企业隐患自查自改台账自报率均达到100%，每不完成一家扣100元。</w:t>
      </w:r>
    </w:p>
    <w:p w14:paraId="1AF70062">
      <w:pPr>
        <w:spacing w:line="480" w:lineRule="exact"/>
        <w:ind w:firstLine="480"/>
        <w:rPr>
          <w:rFonts w:ascii="宋体" w:hAnsi="宋体" w:cs="宋体"/>
          <w:color w:val="auto"/>
          <w:kern w:val="1"/>
          <w:sz w:val="24"/>
        </w:rPr>
      </w:pPr>
      <w:r>
        <w:rPr>
          <w:rFonts w:ascii="宋体" w:hAnsi="宋体" w:cs="宋体"/>
          <w:color w:val="auto"/>
          <w:kern w:val="1"/>
          <w:sz w:val="24"/>
        </w:rPr>
        <w:t>2.中标单位对“重点行业、重点区域、重点企业、重点隐患”每月做好数据的风险评估，精准监管。如因未履行政府采购要求造成本次招标范围内的企业发生安全生产事故（事故认定为人为原因的除外），对中标单位追究责任：造成人员受伤的，每发生一起扣500元；造成人员死亡的，每发生一起扣20000元；造成重大安全事故的，每发生一起扣50000元以上，并按相关法律处理。</w:t>
      </w:r>
    </w:p>
    <w:p w14:paraId="69343C50">
      <w:pPr>
        <w:spacing w:line="480" w:lineRule="exact"/>
        <w:ind w:firstLine="480"/>
        <w:rPr>
          <w:rFonts w:ascii="宋体" w:hAnsi="宋体" w:cs="宋体"/>
          <w:color w:val="auto"/>
          <w:kern w:val="1"/>
          <w:sz w:val="24"/>
        </w:rPr>
      </w:pPr>
      <w:r>
        <w:rPr>
          <w:rFonts w:ascii="宋体" w:hAnsi="宋体" w:cs="宋体"/>
          <w:color w:val="auto"/>
          <w:kern w:val="1"/>
          <w:sz w:val="24"/>
        </w:rPr>
        <w:t>3.政府购买社会化服务费具体以实际中标金额结算。</w:t>
      </w:r>
    </w:p>
    <w:p w14:paraId="3027A328">
      <w:pPr>
        <w:spacing w:line="480" w:lineRule="exact"/>
        <w:ind w:firstLine="480"/>
        <w:rPr>
          <w:rFonts w:ascii="宋体" w:hAnsi="宋体" w:cs="宋体"/>
          <w:color w:val="auto"/>
          <w:kern w:val="1"/>
          <w:sz w:val="24"/>
        </w:rPr>
      </w:pPr>
      <w:r>
        <w:rPr>
          <w:rFonts w:ascii="宋体" w:hAnsi="宋体" w:cs="宋体"/>
          <w:color w:val="auto"/>
          <w:kern w:val="1"/>
          <w:sz w:val="24"/>
        </w:rPr>
        <w:t>4.中介机构要抓好社会化服务企业的隐患排查和整改工作，凡是没参与社会化服务的企业直接列入安监和消防重点整治对象；隐患整改率80%以下的，建议列入安监和消防整治对象。对</w:t>
      </w:r>
      <w:r>
        <w:rPr>
          <w:rFonts w:ascii="宋体" w:hAnsi="宋体" w:cs="宋体"/>
          <w:color w:val="auto"/>
          <w:kern w:val="1"/>
          <w:sz w:val="24"/>
          <w:shd w:val="clear" w:color="auto" w:fill="FEFEFE"/>
        </w:rPr>
        <w:t>本招标</w:t>
      </w:r>
      <w:r>
        <w:rPr>
          <w:rFonts w:ascii="宋体" w:hAnsi="宋体" w:cs="宋体"/>
          <w:color w:val="auto"/>
          <w:kern w:val="1"/>
          <w:sz w:val="24"/>
        </w:rPr>
        <w:t>企业进行不定期抽查，如有明显的隐患中介机构没有排查出来，对该中介机构进行批评，并上报区安监局备案。</w:t>
      </w:r>
    </w:p>
    <w:p w14:paraId="14C3F403">
      <w:pPr>
        <w:spacing w:line="480" w:lineRule="exact"/>
        <w:ind w:firstLine="480"/>
        <w:rPr>
          <w:rFonts w:ascii="宋体" w:hAnsi="宋体" w:cs="宋体"/>
          <w:color w:val="auto"/>
          <w:kern w:val="1"/>
          <w:sz w:val="24"/>
        </w:rPr>
      </w:pPr>
      <w:r>
        <w:rPr>
          <w:rFonts w:ascii="宋体" w:hAnsi="宋体" w:cs="宋体"/>
          <w:color w:val="auto"/>
          <w:kern w:val="1"/>
          <w:sz w:val="24"/>
        </w:rPr>
        <w:t>5.全年度未发生安全事故，街道和企业台账资料完善，进行表扬并适度奖励。</w:t>
      </w:r>
    </w:p>
    <w:p w14:paraId="07CF3EFF">
      <w:pPr>
        <w:spacing w:line="480" w:lineRule="exact"/>
        <w:ind w:firstLine="482"/>
        <w:rPr>
          <w:rFonts w:ascii="宋体" w:hAnsi="宋体" w:cs="宋体"/>
          <w:b/>
          <w:color w:val="auto"/>
          <w:kern w:val="1"/>
          <w:sz w:val="24"/>
        </w:rPr>
      </w:pPr>
      <w:r>
        <w:rPr>
          <w:rFonts w:hint="eastAsia" w:ascii="宋体" w:hAnsi="宋体" w:cs="宋体"/>
          <w:b/>
          <w:color w:val="auto"/>
          <w:kern w:val="1"/>
          <w:sz w:val="24"/>
          <w:lang w:eastAsia="zh-CN"/>
        </w:rPr>
        <w:t>六</w:t>
      </w:r>
      <w:r>
        <w:rPr>
          <w:rFonts w:ascii="宋体" w:hAnsi="宋体" w:cs="宋体"/>
          <w:b/>
          <w:color w:val="auto"/>
          <w:kern w:val="1"/>
          <w:sz w:val="24"/>
        </w:rPr>
        <w:t>、</w:t>
      </w:r>
      <w:r>
        <w:rPr>
          <w:rFonts w:hint="eastAsia" w:ascii="宋体" w:hAnsi="宋体" w:eastAsia="宋体" w:cs="宋体"/>
          <w:b/>
          <w:bCs/>
          <w:color w:val="auto"/>
          <w:sz w:val="24"/>
          <w:szCs w:val="24"/>
          <w:lang w:val="en-US" w:eastAsia="zh-CN"/>
        </w:rPr>
        <w:t>合同金额及付款方式</w:t>
      </w:r>
    </w:p>
    <w:p w14:paraId="3208186B">
      <w:pPr>
        <w:adjustRightInd w:val="0"/>
        <w:spacing w:line="336" w:lineRule="auto"/>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1、合同</w:t>
      </w:r>
      <w:r>
        <w:rPr>
          <w:rFonts w:hint="eastAsia" w:ascii="宋体" w:hAnsi="宋体" w:eastAsia="宋体" w:cs="宋体"/>
          <w:color w:val="auto"/>
          <w:sz w:val="24"/>
          <w:lang w:val="en-US" w:eastAsia="zh-CN"/>
        </w:rPr>
        <w:t>金额</w:t>
      </w:r>
    </w:p>
    <w:p w14:paraId="7F679794">
      <w:pPr>
        <w:adjustRightInd w:val="0"/>
        <w:spacing w:line="336"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rPr>
        <w:t>本项目</w:t>
      </w:r>
      <w:r>
        <w:rPr>
          <w:rFonts w:hint="eastAsia" w:ascii="宋体" w:hAnsi="宋体" w:cs="宋体"/>
          <w:color w:val="auto"/>
          <w:sz w:val="24"/>
          <w:szCs w:val="24"/>
          <w:lang w:val="en-US" w:eastAsia="zh-CN"/>
        </w:rPr>
        <w:t>总</w:t>
      </w:r>
      <w:r>
        <w:rPr>
          <w:rFonts w:hint="eastAsia" w:ascii="宋体" w:hAnsi="宋体" w:eastAsia="宋体" w:cs="宋体"/>
          <w:color w:val="auto"/>
          <w:sz w:val="24"/>
          <w:lang w:val="en-US" w:eastAsia="zh-CN"/>
        </w:rPr>
        <w:t>合同</w:t>
      </w:r>
      <w:r>
        <w:rPr>
          <w:rFonts w:hint="eastAsia" w:ascii="宋体" w:hAnsi="宋体" w:cs="宋体"/>
          <w:color w:val="auto"/>
          <w:sz w:val="24"/>
          <w:szCs w:val="24"/>
          <w:lang w:val="en-US" w:eastAsia="zh-CN"/>
        </w:rPr>
        <w:t>价为大写</w:t>
      </w:r>
      <w:r>
        <w:rPr>
          <w:rFonts w:hint="eastAsia" w:ascii="宋体" w:hAnsi="宋体" w:cs="宋体"/>
          <w:color w:val="auto"/>
          <w:sz w:val="24"/>
          <w:szCs w:val="24"/>
          <w:u w:val="single"/>
          <w:lang w:val="en-US" w:eastAsia="zh-CN"/>
        </w:rPr>
        <w:t xml:space="preserve">            元整</w:t>
      </w:r>
      <w:r>
        <w:rPr>
          <w:rFonts w:hint="eastAsia" w:ascii="宋体" w:hAnsi="宋体" w:cs="宋体"/>
          <w:color w:val="auto"/>
          <w:sz w:val="24"/>
          <w:szCs w:val="24"/>
          <w:lang w:val="en-US" w:eastAsia="zh-CN"/>
        </w:rPr>
        <w:t>，小写</w:t>
      </w:r>
      <w:r>
        <w:rPr>
          <w:rFonts w:hint="eastAsia" w:ascii="宋体" w:hAnsi="宋体" w:cs="宋体"/>
          <w:color w:val="auto"/>
          <w:sz w:val="24"/>
          <w:szCs w:val="24"/>
          <w:u w:val="single"/>
          <w:lang w:val="en-US" w:eastAsia="zh-CN"/>
        </w:rPr>
        <w:t>¥      元</w:t>
      </w:r>
      <w:r>
        <w:rPr>
          <w:rFonts w:hint="eastAsia" w:ascii="宋体" w:hAnsi="宋体" w:cs="宋体"/>
          <w:color w:val="auto"/>
          <w:sz w:val="24"/>
          <w:szCs w:val="24"/>
          <w:lang w:val="en-US" w:eastAsia="zh-CN"/>
        </w:rPr>
        <w:t>。</w:t>
      </w:r>
    </w:p>
    <w:p w14:paraId="69BCD16A">
      <w:pPr>
        <w:adjustRightInd w:val="0"/>
        <w:spacing w:line="336" w:lineRule="auto"/>
        <w:ind w:firstLine="480" w:firstLineChars="200"/>
        <w:rPr>
          <w:color w:val="auto"/>
        </w:rPr>
      </w:pPr>
      <w:r>
        <w:rPr>
          <w:rFonts w:hint="eastAsia" w:ascii="宋体" w:hAnsi="宋体" w:eastAsia="宋体" w:cs="宋体"/>
          <w:color w:val="auto"/>
          <w:sz w:val="24"/>
          <w:lang w:val="en-US" w:eastAsia="zh-CN"/>
        </w:rPr>
        <w:t>2、付款方式</w:t>
      </w:r>
    </w:p>
    <w:p w14:paraId="1FD84302">
      <w:pPr>
        <w:spacing w:line="480" w:lineRule="exact"/>
        <w:ind w:firstLine="480"/>
        <w:rPr>
          <w:rFonts w:hint="default" w:ascii="宋体" w:hAnsi="宋体" w:eastAsia="宋体" w:cs="宋体"/>
          <w:color w:val="auto"/>
          <w:kern w:val="1"/>
          <w:sz w:val="24"/>
          <w:shd w:val="clear" w:color="auto" w:fill="FEFEFE"/>
          <w:lang w:val="en-US"/>
        </w:rPr>
      </w:pPr>
      <w:r>
        <w:rPr>
          <w:rFonts w:hint="eastAsia" w:ascii="宋体" w:hAnsi="宋体" w:eastAsia="宋体" w:cs="宋体"/>
          <w:color w:val="auto"/>
          <w:kern w:val="1"/>
          <w:sz w:val="24"/>
          <w:shd w:val="clear" w:color="auto" w:fill="FEFEFE"/>
          <w:lang w:val="en-US" w:eastAsia="zh-CN"/>
        </w:rPr>
        <w:t>甲方在合同生效以及具备实施条件</w:t>
      </w:r>
      <w:r>
        <w:rPr>
          <w:rFonts w:hint="eastAsia" w:ascii="宋体" w:hAnsi="宋体" w:cs="宋体"/>
          <w:color w:val="auto"/>
          <w:kern w:val="1"/>
          <w:sz w:val="24"/>
          <w:shd w:val="clear" w:color="auto" w:fill="FEFEFE"/>
          <w:lang w:val="en-US" w:eastAsia="zh-CN"/>
        </w:rPr>
        <w:t>并收到乙方开具的正规发票</w:t>
      </w:r>
      <w:r>
        <w:rPr>
          <w:rFonts w:hint="eastAsia" w:ascii="宋体" w:hAnsi="宋体" w:eastAsia="宋体" w:cs="宋体"/>
          <w:color w:val="auto"/>
          <w:kern w:val="1"/>
          <w:sz w:val="24"/>
          <w:shd w:val="clear" w:color="auto" w:fill="FEFEFE"/>
          <w:lang w:val="en-US" w:eastAsia="zh-CN"/>
        </w:rPr>
        <w:t>后7个工作日内向乙方支付单年合同金额的50%，履约满1年后支付单年合同的50%，第二年的履约期满6个月后支付单年合同金额的50%，剩余合同金额履约结束后支付完成。</w:t>
      </w:r>
    </w:p>
    <w:p w14:paraId="239DE67F">
      <w:pPr>
        <w:adjustRightInd w:val="0"/>
        <w:spacing w:line="336" w:lineRule="auto"/>
        <w:ind w:firstLine="480" w:firstLineChars="200"/>
        <w:rPr>
          <w:rStyle w:val="67"/>
          <w:rFonts w:hint="eastAsia" w:ascii="宋体" w:hAnsi="宋体" w:eastAsia="宋体"/>
          <w:color w:val="auto"/>
          <w:sz w:val="24"/>
          <w:szCs w:val="24"/>
          <w:lang w:eastAsia="zh-CN"/>
        </w:rPr>
      </w:pPr>
      <w:r>
        <w:rPr>
          <w:rStyle w:val="67"/>
          <w:rFonts w:hint="eastAsia" w:ascii="宋体" w:hAnsi="宋体" w:eastAsia="宋体"/>
          <w:color w:val="auto"/>
          <w:sz w:val="24"/>
          <w:szCs w:val="24"/>
          <w:lang w:val="en-US" w:eastAsia="zh-CN"/>
        </w:rPr>
        <w:t>3</w:t>
      </w:r>
      <w:r>
        <w:rPr>
          <w:rStyle w:val="67"/>
          <w:rFonts w:hint="eastAsia" w:ascii="宋体" w:hAnsi="宋体" w:eastAsia="宋体"/>
          <w:color w:val="auto"/>
          <w:sz w:val="24"/>
          <w:szCs w:val="24"/>
          <w:lang w:eastAsia="zh-CN"/>
        </w:rPr>
        <w:t>、</w:t>
      </w:r>
      <w:r>
        <w:rPr>
          <w:rFonts w:hint="eastAsia" w:ascii="宋体" w:hAnsi="宋体" w:eastAsia="宋体" w:cs="宋体"/>
          <w:color w:val="auto"/>
          <w:sz w:val="24"/>
          <w:szCs w:val="24"/>
          <w:lang w:val="en-US" w:eastAsia="zh-CN"/>
        </w:rPr>
        <w:t>付款</w:t>
      </w:r>
      <w:r>
        <w:rPr>
          <w:rStyle w:val="67"/>
          <w:rFonts w:hint="eastAsia" w:ascii="宋体" w:hAnsi="宋体" w:eastAsia="宋体"/>
          <w:color w:val="auto"/>
          <w:sz w:val="24"/>
          <w:szCs w:val="24"/>
          <w:lang w:eastAsia="zh-CN"/>
        </w:rPr>
        <w:t>要求：</w:t>
      </w:r>
    </w:p>
    <w:p w14:paraId="2EEF2D32">
      <w:pPr>
        <w:spacing w:line="480" w:lineRule="exact"/>
        <w:ind w:firstLine="482"/>
        <w:rPr>
          <w:rFonts w:hint="eastAsia" w:ascii="宋体" w:hAnsi="宋体" w:eastAsia="宋体" w:cs="宋体"/>
          <w:color w:val="auto"/>
          <w:sz w:val="24"/>
          <w:lang w:val="en-US" w:eastAsia="zh-CN"/>
        </w:rPr>
      </w:pPr>
      <w:r>
        <w:rPr>
          <w:rStyle w:val="67"/>
          <w:rFonts w:hint="eastAsia" w:ascii="宋体" w:hAnsi="宋体" w:eastAsia="宋体"/>
          <w:color w:val="auto"/>
          <w:sz w:val="24"/>
          <w:szCs w:val="24"/>
          <w:lang w:val="en-US" w:eastAsia="zh-CN"/>
        </w:rPr>
        <w:t>乙方</w:t>
      </w:r>
      <w:r>
        <w:rPr>
          <w:rStyle w:val="67"/>
          <w:rFonts w:hint="eastAsia" w:ascii="宋体" w:hAnsi="宋体" w:eastAsia="宋体"/>
          <w:color w:val="auto"/>
          <w:sz w:val="24"/>
          <w:szCs w:val="24"/>
          <w:lang w:eastAsia="zh-CN"/>
        </w:rPr>
        <w:t>在收款之前，应向</w:t>
      </w:r>
      <w:r>
        <w:rPr>
          <w:rStyle w:val="67"/>
          <w:rFonts w:hint="eastAsia" w:ascii="宋体" w:hAnsi="宋体" w:eastAsia="宋体"/>
          <w:color w:val="auto"/>
          <w:sz w:val="24"/>
          <w:szCs w:val="24"/>
          <w:lang w:val="en-US" w:eastAsia="zh-CN"/>
        </w:rPr>
        <w:t>甲方</w:t>
      </w:r>
      <w:r>
        <w:rPr>
          <w:rStyle w:val="67"/>
          <w:rFonts w:hint="eastAsia" w:ascii="宋体" w:hAnsi="宋体" w:eastAsia="宋体"/>
          <w:color w:val="auto"/>
          <w:sz w:val="24"/>
          <w:szCs w:val="24"/>
          <w:lang w:eastAsia="zh-CN"/>
        </w:rPr>
        <w:t>提供等额、合法、有效的发票，</w:t>
      </w:r>
      <w:r>
        <w:rPr>
          <w:rStyle w:val="67"/>
          <w:rFonts w:hint="eastAsia" w:ascii="宋体" w:hAnsi="宋体" w:eastAsia="宋体"/>
          <w:color w:val="auto"/>
          <w:sz w:val="24"/>
          <w:szCs w:val="24"/>
          <w:lang w:val="en-US" w:eastAsia="zh-CN"/>
        </w:rPr>
        <w:t>甲方</w:t>
      </w:r>
      <w:r>
        <w:rPr>
          <w:rStyle w:val="67"/>
          <w:rFonts w:hint="eastAsia" w:ascii="宋体" w:hAnsi="宋体" w:eastAsia="宋体"/>
          <w:color w:val="auto"/>
          <w:sz w:val="24"/>
          <w:szCs w:val="24"/>
          <w:lang w:eastAsia="zh-CN"/>
        </w:rPr>
        <w:t>凭发票付款。如</w:t>
      </w:r>
      <w:r>
        <w:rPr>
          <w:rStyle w:val="67"/>
          <w:rFonts w:hint="eastAsia" w:ascii="宋体" w:hAnsi="宋体" w:eastAsia="宋体"/>
          <w:color w:val="auto"/>
          <w:sz w:val="24"/>
          <w:szCs w:val="24"/>
          <w:lang w:val="en-US" w:eastAsia="zh-CN"/>
        </w:rPr>
        <w:t>乙方</w:t>
      </w:r>
      <w:r>
        <w:rPr>
          <w:rStyle w:val="67"/>
          <w:rFonts w:hint="eastAsia" w:ascii="宋体" w:hAnsi="宋体" w:eastAsia="宋体"/>
          <w:color w:val="auto"/>
          <w:sz w:val="24"/>
          <w:szCs w:val="24"/>
          <w:lang w:eastAsia="zh-CN"/>
        </w:rPr>
        <w:t>未按约定提供发票的，</w:t>
      </w:r>
      <w:r>
        <w:rPr>
          <w:rStyle w:val="67"/>
          <w:rFonts w:hint="eastAsia" w:ascii="宋体" w:hAnsi="宋体" w:eastAsia="宋体"/>
          <w:color w:val="auto"/>
          <w:sz w:val="24"/>
          <w:szCs w:val="24"/>
          <w:lang w:val="en-US" w:eastAsia="zh-CN"/>
        </w:rPr>
        <w:t>甲方</w:t>
      </w:r>
      <w:r>
        <w:rPr>
          <w:rStyle w:val="67"/>
          <w:rFonts w:hint="eastAsia" w:ascii="宋体" w:hAnsi="宋体" w:eastAsia="宋体"/>
          <w:color w:val="auto"/>
          <w:sz w:val="24"/>
          <w:szCs w:val="24"/>
          <w:lang w:eastAsia="zh-CN"/>
        </w:rPr>
        <w:t>有权拒绝付款，直至收到</w:t>
      </w:r>
      <w:r>
        <w:rPr>
          <w:rStyle w:val="67"/>
          <w:rFonts w:hint="eastAsia" w:ascii="宋体" w:hAnsi="宋体" w:eastAsia="宋体"/>
          <w:color w:val="auto"/>
          <w:sz w:val="24"/>
          <w:szCs w:val="24"/>
          <w:lang w:val="en-US" w:eastAsia="zh-CN"/>
        </w:rPr>
        <w:t>乙方</w:t>
      </w:r>
      <w:r>
        <w:rPr>
          <w:rStyle w:val="67"/>
          <w:rFonts w:hint="eastAsia" w:ascii="宋体" w:hAnsi="宋体" w:eastAsia="宋体"/>
          <w:color w:val="auto"/>
          <w:sz w:val="24"/>
          <w:szCs w:val="24"/>
          <w:lang w:eastAsia="zh-CN"/>
        </w:rPr>
        <w:t>提交的相应发票为止，在此情况下，</w:t>
      </w:r>
      <w:r>
        <w:rPr>
          <w:rStyle w:val="67"/>
          <w:rFonts w:hint="eastAsia" w:ascii="宋体" w:hAnsi="宋体" w:eastAsia="宋体"/>
          <w:color w:val="auto"/>
          <w:sz w:val="24"/>
          <w:szCs w:val="24"/>
          <w:lang w:val="en-US" w:eastAsia="zh-CN"/>
        </w:rPr>
        <w:t>甲方</w:t>
      </w:r>
      <w:r>
        <w:rPr>
          <w:rStyle w:val="67"/>
          <w:rFonts w:hint="eastAsia" w:ascii="宋体" w:hAnsi="宋体" w:eastAsia="宋体"/>
          <w:color w:val="auto"/>
          <w:sz w:val="24"/>
          <w:szCs w:val="24"/>
          <w:lang w:eastAsia="zh-CN"/>
        </w:rPr>
        <w:t>不承担逾期付款违约责任</w:t>
      </w:r>
      <w:r>
        <w:rPr>
          <w:rFonts w:hint="eastAsia" w:ascii="宋体" w:hAnsi="宋体" w:eastAsia="宋体" w:cs="宋体"/>
          <w:color w:val="auto"/>
          <w:sz w:val="24"/>
          <w:lang w:val="en-US" w:eastAsia="zh-CN"/>
        </w:rPr>
        <w:t>。</w:t>
      </w:r>
    </w:p>
    <w:p w14:paraId="3B53CA24">
      <w:pPr>
        <w:spacing w:line="480" w:lineRule="exact"/>
        <w:ind w:firstLine="482"/>
        <w:rPr>
          <w:rFonts w:ascii="宋体" w:hAnsi="宋体" w:cs="宋体"/>
          <w:b/>
          <w:color w:val="auto"/>
          <w:kern w:val="1"/>
          <w:sz w:val="24"/>
        </w:rPr>
      </w:pPr>
      <w:r>
        <w:rPr>
          <w:rFonts w:hint="eastAsia" w:ascii="宋体" w:hAnsi="宋体" w:cs="宋体"/>
          <w:b/>
          <w:color w:val="auto"/>
          <w:kern w:val="1"/>
          <w:sz w:val="24"/>
          <w:lang w:eastAsia="zh-CN"/>
        </w:rPr>
        <w:t>七</w:t>
      </w:r>
      <w:r>
        <w:rPr>
          <w:rFonts w:ascii="宋体" w:hAnsi="宋体" w:cs="宋体"/>
          <w:b/>
          <w:color w:val="auto"/>
          <w:kern w:val="1"/>
          <w:sz w:val="24"/>
        </w:rPr>
        <w:t>、履约保证金</w:t>
      </w:r>
    </w:p>
    <w:p w14:paraId="1923E4A4">
      <w:pPr>
        <w:spacing w:line="480" w:lineRule="exact"/>
        <w:ind w:firstLine="480"/>
        <w:rPr>
          <w:rFonts w:ascii="宋体" w:hAnsi="宋体" w:cs="宋体"/>
          <w:color w:val="auto"/>
          <w:kern w:val="1"/>
          <w:sz w:val="24"/>
        </w:rPr>
      </w:pPr>
      <w:r>
        <w:rPr>
          <w:rFonts w:ascii="宋体" w:hAnsi="宋体" w:cs="宋体"/>
          <w:color w:val="auto"/>
          <w:kern w:val="1"/>
          <w:sz w:val="24"/>
        </w:rPr>
        <w:t>1、乙方在签订合同之前，须向甲方缴纳履约保证金，即合同价的</w:t>
      </w:r>
      <w:r>
        <w:rPr>
          <w:rFonts w:hint="eastAsia" w:ascii="宋体" w:hAnsi="宋体" w:cs="宋体"/>
          <w:color w:val="auto"/>
          <w:kern w:val="1"/>
          <w:sz w:val="24"/>
          <w:lang w:val="en-US" w:eastAsia="zh-CN"/>
        </w:rPr>
        <w:t>1</w:t>
      </w:r>
      <w:r>
        <w:rPr>
          <w:rFonts w:ascii="宋体" w:hAnsi="宋体" w:cs="宋体"/>
          <w:color w:val="auto"/>
          <w:kern w:val="1"/>
          <w:sz w:val="24"/>
        </w:rPr>
        <w:t>%。</w:t>
      </w:r>
    </w:p>
    <w:p w14:paraId="0147D6C5">
      <w:pPr>
        <w:spacing w:line="480" w:lineRule="exact"/>
        <w:ind w:firstLine="480"/>
        <w:rPr>
          <w:rFonts w:ascii="宋体" w:hAnsi="宋体" w:cs="宋体"/>
          <w:color w:val="auto"/>
          <w:kern w:val="1"/>
          <w:sz w:val="24"/>
        </w:rPr>
      </w:pPr>
      <w:r>
        <w:rPr>
          <w:rFonts w:ascii="宋体" w:hAnsi="宋体" w:cs="宋体"/>
          <w:color w:val="auto"/>
          <w:kern w:val="1"/>
          <w:sz w:val="24"/>
        </w:rPr>
        <w:t>2、履约保证金在合同期满后五个工作日内，无息退还给乙方。</w:t>
      </w:r>
    </w:p>
    <w:p w14:paraId="1BC86829">
      <w:pPr>
        <w:spacing w:line="480" w:lineRule="exact"/>
        <w:ind w:firstLine="480"/>
        <w:rPr>
          <w:rFonts w:hint="eastAsia"/>
          <w:color w:val="auto"/>
          <w:lang w:val="en-US" w:eastAsia="zh-CN"/>
        </w:rPr>
      </w:pPr>
      <w:r>
        <w:rPr>
          <w:rFonts w:ascii="宋体" w:hAnsi="宋体" w:cs="宋体"/>
          <w:color w:val="auto"/>
          <w:kern w:val="1"/>
          <w:sz w:val="24"/>
        </w:rPr>
        <w:t>3、如乙方未能履行合同规定的义务，甲方有权在履约保证金中取得补偿。</w:t>
      </w:r>
    </w:p>
    <w:p w14:paraId="52DF76AE">
      <w:pPr>
        <w:pStyle w:val="71"/>
        <w:numPr>
          <w:ilvl w:val="0"/>
          <w:numId w:val="0"/>
        </w:numPr>
        <w:tabs>
          <w:tab w:val="left" w:pos="1378"/>
        </w:tabs>
        <w:spacing w:line="360" w:lineRule="auto"/>
        <w:ind w:firstLine="482" w:firstLineChars="200"/>
        <w:rPr>
          <w:rFonts w:hint="eastAsia" w:ascii="宋体" w:hAnsi="宋体" w:eastAsia="宋体" w:cs="宋体"/>
          <w:b/>
          <w:bCs/>
          <w:color w:val="auto"/>
          <w:sz w:val="24"/>
          <w:szCs w:val="24"/>
          <w:lang w:val="en-US" w:eastAsia="zh-CN"/>
        </w:rPr>
      </w:pPr>
      <w:r>
        <w:rPr>
          <w:rFonts w:hint="eastAsia" w:cs="宋体"/>
          <w:b/>
          <w:bCs/>
          <w:color w:val="auto"/>
          <w:sz w:val="24"/>
          <w:szCs w:val="24"/>
          <w:lang w:val="en-US" w:eastAsia="zh-CN"/>
        </w:rPr>
        <w:t>八</w:t>
      </w:r>
      <w:r>
        <w:rPr>
          <w:rFonts w:hint="eastAsia" w:ascii="宋体" w:hAnsi="宋体" w:eastAsia="宋体" w:cs="宋体"/>
          <w:b/>
          <w:bCs/>
          <w:color w:val="auto"/>
          <w:sz w:val="24"/>
          <w:szCs w:val="24"/>
          <w:lang w:val="en-US" w:eastAsia="zh-CN"/>
        </w:rPr>
        <w:t>、甲方权利与义务</w:t>
      </w:r>
    </w:p>
    <w:p w14:paraId="595BF566">
      <w:pPr>
        <w:adjustRightInd w:val="0"/>
        <w:spacing w:line="336" w:lineRule="auto"/>
        <w:ind w:firstLine="480" w:firstLineChars="200"/>
        <w:rPr>
          <w:rStyle w:val="67"/>
          <w:rFonts w:hint="eastAsia" w:ascii="宋体" w:hAnsi="宋体" w:eastAsia="宋体" w:cs="宋体"/>
          <w:color w:val="auto"/>
          <w:sz w:val="24"/>
          <w:szCs w:val="24"/>
          <w:lang w:eastAsia="zh-CN"/>
        </w:rPr>
      </w:pPr>
      <w:r>
        <w:rPr>
          <w:rStyle w:val="67"/>
          <w:rFonts w:hint="eastAsia" w:ascii="宋体" w:hAnsi="宋体" w:eastAsia="宋体" w:cs="宋体"/>
          <w:color w:val="auto"/>
          <w:sz w:val="24"/>
          <w:szCs w:val="24"/>
          <w:lang w:eastAsia="zh-CN"/>
        </w:rPr>
        <w:t>1.甲方有权对乙方的合同履约和实施情况、质量、效果进行全面的技术指导、检查、管理和监督，对发现的问题及时向乙方提出书面或口头改进意见，并限期予以整改。</w:t>
      </w:r>
    </w:p>
    <w:p w14:paraId="1416C2AE">
      <w:pPr>
        <w:adjustRightInd w:val="0"/>
        <w:spacing w:line="336" w:lineRule="auto"/>
        <w:ind w:firstLine="480" w:firstLineChars="200"/>
        <w:rPr>
          <w:rStyle w:val="67"/>
          <w:rFonts w:hint="eastAsia" w:ascii="宋体" w:hAnsi="宋体" w:eastAsia="宋体" w:cs="宋体"/>
          <w:color w:val="auto"/>
          <w:sz w:val="24"/>
          <w:szCs w:val="24"/>
          <w:lang w:eastAsia="zh-CN"/>
        </w:rPr>
      </w:pPr>
      <w:r>
        <w:rPr>
          <w:rStyle w:val="67"/>
          <w:rFonts w:hint="eastAsia" w:ascii="宋体" w:hAnsi="宋体" w:eastAsia="宋体" w:cs="宋体"/>
          <w:color w:val="auto"/>
          <w:sz w:val="24"/>
          <w:szCs w:val="24"/>
          <w:lang w:eastAsia="zh-CN"/>
        </w:rPr>
        <w:t>2.甲方有权对乙方不履行合同义务及其磋商承诺的行为进行合同款项扣罚及经济处罚，情节严重或严重影响活动筹备进程的，乙方应赔偿甲方相应的损失。</w:t>
      </w:r>
    </w:p>
    <w:p w14:paraId="265C5B83">
      <w:pPr>
        <w:adjustRightInd w:val="0"/>
        <w:spacing w:line="336" w:lineRule="auto"/>
        <w:ind w:firstLine="480" w:firstLineChars="200"/>
        <w:rPr>
          <w:rStyle w:val="67"/>
          <w:rFonts w:hint="eastAsia" w:ascii="宋体" w:hAnsi="宋体" w:eastAsia="宋体" w:cs="宋体"/>
          <w:color w:val="auto"/>
          <w:sz w:val="24"/>
          <w:szCs w:val="24"/>
          <w:lang w:eastAsia="zh-CN"/>
        </w:rPr>
      </w:pPr>
      <w:r>
        <w:rPr>
          <w:rStyle w:val="67"/>
          <w:rFonts w:hint="eastAsia" w:ascii="宋体" w:hAnsi="宋体" w:eastAsia="宋体" w:cs="宋体"/>
          <w:color w:val="auto"/>
          <w:sz w:val="24"/>
          <w:szCs w:val="24"/>
          <w:lang w:eastAsia="zh-CN"/>
        </w:rPr>
        <w:t>3.甲方应按时向乙方支付合同款项，如出现有合同款项扣罚或经济处罚的情况，将在扣罚相关金额后进行余额的支付。</w:t>
      </w:r>
    </w:p>
    <w:p w14:paraId="0DA95926">
      <w:pPr>
        <w:adjustRightInd w:val="0"/>
        <w:spacing w:line="336" w:lineRule="auto"/>
        <w:ind w:firstLine="480" w:firstLineChars="200"/>
        <w:rPr>
          <w:rStyle w:val="67"/>
          <w:rFonts w:hint="eastAsia" w:ascii="宋体" w:hAnsi="宋体" w:eastAsia="宋体" w:cs="宋体"/>
          <w:color w:val="auto"/>
          <w:sz w:val="24"/>
          <w:szCs w:val="24"/>
          <w:lang w:eastAsia="zh-CN"/>
        </w:rPr>
      </w:pPr>
      <w:r>
        <w:rPr>
          <w:rStyle w:val="67"/>
          <w:rFonts w:hint="eastAsia" w:ascii="宋体" w:hAnsi="宋体" w:eastAsia="宋体" w:cs="宋体"/>
          <w:color w:val="auto"/>
          <w:sz w:val="24"/>
          <w:szCs w:val="24"/>
          <w:lang w:eastAsia="zh-CN"/>
        </w:rPr>
        <w:t>4.甲方需积极协助配合乙方开展相关工作，协助乙方解决问题、使之顺利开展工作。</w:t>
      </w:r>
    </w:p>
    <w:p w14:paraId="48B4CC35">
      <w:pPr>
        <w:adjustRightInd w:val="0"/>
        <w:spacing w:line="336" w:lineRule="auto"/>
        <w:ind w:firstLine="480" w:firstLineChars="200"/>
        <w:rPr>
          <w:rStyle w:val="67"/>
          <w:rFonts w:hint="eastAsia" w:ascii="宋体" w:hAnsi="宋体" w:eastAsia="宋体" w:cs="宋体"/>
          <w:color w:val="auto"/>
          <w:sz w:val="24"/>
          <w:szCs w:val="24"/>
          <w:lang w:eastAsia="zh-CN"/>
        </w:rPr>
      </w:pPr>
      <w:r>
        <w:rPr>
          <w:rStyle w:val="67"/>
          <w:rFonts w:hint="eastAsia" w:ascii="宋体" w:hAnsi="宋体" w:eastAsia="宋体" w:cs="宋体"/>
          <w:color w:val="auto"/>
          <w:sz w:val="24"/>
          <w:szCs w:val="24"/>
          <w:lang w:eastAsia="zh-CN"/>
        </w:rPr>
        <w:t>5.甲方可要求乙方调整不合格项目组成员及员工，并在要求的时间内及时调整到位。</w:t>
      </w:r>
    </w:p>
    <w:p w14:paraId="42DDF684">
      <w:pPr>
        <w:pStyle w:val="71"/>
        <w:numPr>
          <w:ilvl w:val="0"/>
          <w:numId w:val="0"/>
        </w:numPr>
        <w:tabs>
          <w:tab w:val="left" w:pos="1378"/>
        </w:tabs>
        <w:spacing w:line="360" w:lineRule="auto"/>
        <w:ind w:firstLine="482" w:firstLineChars="200"/>
        <w:rPr>
          <w:rFonts w:hint="eastAsia" w:ascii="宋体" w:hAnsi="宋体" w:eastAsia="宋体" w:cs="宋体"/>
          <w:b/>
          <w:bCs/>
          <w:color w:val="auto"/>
          <w:sz w:val="24"/>
          <w:szCs w:val="24"/>
          <w:lang w:val="en-US" w:eastAsia="zh-CN"/>
        </w:rPr>
      </w:pPr>
      <w:r>
        <w:rPr>
          <w:rFonts w:hint="eastAsia" w:cs="宋体"/>
          <w:b/>
          <w:bCs/>
          <w:color w:val="auto"/>
          <w:sz w:val="24"/>
          <w:szCs w:val="24"/>
          <w:lang w:val="en-US" w:eastAsia="zh-CN"/>
        </w:rPr>
        <w:t>九</w:t>
      </w:r>
      <w:r>
        <w:rPr>
          <w:rFonts w:hint="eastAsia" w:ascii="宋体" w:hAnsi="宋体" w:eastAsia="宋体" w:cs="宋体"/>
          <w:b/>
          <w:bCs/>
          <w:color w:val="auto"/>
          <w:sz w:val="24"/>
          <w:szCs w:val="24"/>
          <w:lang w:val="en-US" w:eastAsia="zh-CN"/>
        </w:rPr>
        <w:t>、乙方权利与义务</w:t>
      </w:r>
    </w:p>
    <w:p w14:paraId="3C6F8B53">
      <w:pPr>
        <w:adjustRightInd w:val="0"/>
        <w:spacing w:line="336" w:lineRule="auto"/>
        <w:ind w:firstLine="480" w:firstLineChars="200"/>
        <w:rPr>
          <w:rStyle w:val="67"/>
          <w:rFonts w:hint="eastAsia" w:ascii="宋体" w:hAnsi="宋体" w:eastAsia="宋体" w:cs="宋体"/>
          <w:color w:val="auto"/>
          <w:sz w:val="24"/>
          <w:szCs w:val="24"/>
          <w:lang w:eastAsia="zh-CN"/>
        </w:rPr>
      </w:pPr>
      <w:r>
        <w:rPr>
          <w:rStyle w:val="67"/>
          <w:rFonts w:hint="eastAsia" w:ascii="宋体" w:hAnsi="宋体" w:eastAsia="宋体" w:cs="宋体"/>
          <w:color w:val="auto"/>
          <w:sz w:val="24"/>
          <w:szCs w:val="24"/>
          <w:lang w:eastAsia="zh-CN"/>
        </w:rPr>
        <w:t>1.乙方应全面、高效、优质的履行合同约定的各项要求（包括磋商文件的要求及履约过程中甲方交待的事项）以及己方承诺的义务（包括磋商响应文件的承诺）。</w:t>
      </w:r>
    </w:p>
    <w:p w14:paraId="7A7DA966">
      <w:pPr>
        <w:adjustRightInd w:val="0"/>
        <w:spacing w:line="336" w:lineRule="auto"/>
        <w:ind w:firstLine="480" w:firstLineChars="200"/>
        <w:rPr>
          <w:rStyle w:val="67"/>
          <w:rFonts w:hint="eastAsia" w:ascii="宋体" w:hAnsi="宋体" w:eastAsia="宋体" w:cs="宋体"/>
          <w:color w:val="auto"/>
          <w:sz w:val="24"/>
          <w:szCs w:val="24"/>
          <w:lang w:eastAsia="zh-CN"/>
        </w:rPr>
      </w:pPr>
      <w:r>
        <w:rPr>
          <w:rStyle w:val="67"/>
          <w:rFonts w:hint="eastAsia" w:ascii="宋体" w:hAnsi="宋体" w:eastAsia="宋体" w:cs="宋体"/>
          <w:color w:val="auto"/>
          <w:sz w:val="24"/>
          <w:szCs w:val="24"/>
          <w:lang w:eastAsia="zh-CN"/>
        </w:rPr>
        <w:t>2.乙方应按甲方的要求开展工作，如在合同履约过程中出现计划或方案变更情况时，应及时向甲方提出，并在征得甲方的同意后方可实施。</w:t>
      </w:r>
    </w:p>
    <w:p w14:paraId="39FEA788">
      <w:pPr>
        <w:adjustRightInd w:val="0"/>
        <w:spacing w:line="336" w:lineRule="auto"/>
        <w:ind w:firstLine="480" w:firstLineChars="200"/>
        <w:rPr>
          <w:rStyle w:val="67"/>
          <w:rFonts w:hint="eastAsia" w:ascii="宋体" w:hAnsi="宋体" w:eastAsia="宋体" w:cs="宋体"/>
          <w:color w:val="auto"/>
          <w:sz w:val="24"/>
          <w:szCs w:val="24"/>
          <w:lang w:eastAsia="zh-CN"/>
        </w:rPr>
      </w:pPr>
      <w:r>
        <w:rPr>
          <w:rStyle w:val="67"/>
          <w:rFonts w:hint="eastAsia" w:ascii="宋体" w:hAnsi="宋体" w:eastAsia="宋体" w:cs="宋体"/>
          <w:color w:val="auto"/>
          <w:sz w:val="24"/>
          <w:szCs w:val="24"/>
          <w:lang w:eastAsia="zh-CN"/>
        </w:rPr>
        <w:t>3.乙方应按照甲方的要求，合理确定各项目组的工作人员，全程参与各工作机构的工作，积极配合活动保障工作有关职能部门，做好活动的各项筹备和保障工作，确保活动安全、成功举办。</w:t>
      </w:r>
    </w:p>
    <w:p w14:paraId="11C2E5BD">
      <w:pPr>
        <w:adjustRightInd w:val="0"/>
        <w:spacing w:line="336" w:lineRule="auto"/>
        <w:ind w:firstLine="480" w:firstLineChars="200"/>
        <w:rPr>
          <w:rStyle w:val="67"/>
          <w:rFonts w:hint="eastAsia" w:ascii="宋体" w:hAnsi="宋体" w:eastAsia="宋体" w:cs="宋体"/>
          <w:color w:val="auto"/>
          <w:sz w:val="24"/>
          <w:szCs w:val="24"/>
          <w:lang w:eastAsia="zh-CN"/>
        </w:rPr>
      </w:pPr>
      <w:r>
        <w:rPr>
          <w:rStyle w:val="67"/>
          <w:rFonts w:hint="eastAsia" w:ascii="宋体" w:hAnsi="宋体" w:eastAsia="宋体" w:cs="宋体"/>
          <w:color w:val="auto"/>
          <w:sz w:val="24"/>
          <w:szCs w:val="24"/>
          <w:lang w:eastAsia="zh-CN"/>
        </w:rPr>
        <w:t>4.乙方应接受甲方的管理、监督、检查及指导，在项目实施过程中出现问题应及时的纠正并向甲方进行通报。</w:t>
      </w:r>
    </w:p>
    <w:p w14:paraId="7E7D8D9E">
      <w:pPr>
        <w:adjustRightInd w:val="0"/>
        <w:spacing w:line="336" w:lineRule="auto"/>
        <w:ind w:firstLine="480" w:firstLineChars="200"/>
        <w:rPr>
          <w:rStyle w:val="67"/>
          <w:rFonts w:hint="eastAsia" w:ascii="宋体" w:hAnsi="宋体" w:eastAsia="宋体" w:cs="宋体"/>
          <w:color w:val="auto"/>
          <w:sz w:val="24"/>
          <w:szCs w:val="24"/>
          <w:lang w:eastAsia="zh-CN"/>
        </w:rPr>
      </w:pPr>
      <w:r>
        <w:rPr>
          <w:rStyle w:val="67"/>
          <w:rFonts w:hint="eastAsia" w:ascii="宋体" w:hAnsi="宋体" w:eastAsia="宋体" w:cs="宋体"/>
          <w:color w:val="auto"/>
          <w:sz w:val="24"/>
          <w:szCs w:val="24"/>
          <w:lang w:eastAsia="zh-CN"/>
        </w:rPr>
        <w:t>5.乙方应维护甲方的声誉和利益，服从甲方的统一安排。</w:t>
      </w:r>
    </w:p>
    <w:p w14:paraId="3D534BF3">
      <w:pPr>
        <w:adjustRightInd w:val="0"/>
        <w:spacing w:line="336" w:lineRule="auto"/>
        <w:ind w:firstLine="480" w:firstLineChars="200"/>
        <w:rPr>
          <w:rStyle w:val="67"/>
          <w:rFonts w:hint="eastAsia" w:ascii="宋体" w:hAnsi="宋体" w:eastAsia="宋体" w:cs="宋体"/>
          <w:color w:val="auto"/>
          <w:sz w:val="24"/>
          <w:szCs w:val="24"/>
          <w:lang w:eastAsia="zh-CN"/>
        </w:rPr>
      </w:pPr>
      <w:r>
        <w:rPr>
          <w:rStyle w:val="67"/>
          <w:rFonts w:hint="eastAsia" w:ascii="宋体" w:hAnsi="宋体" w:eastAsia="宋体" w:cs="宋体"/>
          <w:color w:val="auto"/>
          <w:sz w:val="24"/>
          <w:szCs w:val="24"/>
          <w:lang w:eastAsia="zh-CN"/>
        </w:rPr>
        <w:t>6.甲方不承担乙方在合同履行过程中因其责任引起的一切事故、法律纠纷和经济责任，乙方须自行负责并处理合同履行过程中与第三方发生的所有事故、法律纠纷及一切费用。</w:t>
      </w:r>
    </w:p>
    <w:p w14:paraId="12AC9433">
      <w:pPr>
        <w:adjustRightInd w:val="0"/>
        <w:spacing w:line="336" w:lineRule="auto"/>
        <w:ind w:firstLine="480" w:firstLineChars="200"/>
        <w:rPr>
          <w:rStyle w:val="67"/>
          <w:rFonts w:hint="eastAsia" w:ascii="宋体" w:hAnsi="宋体" w:eastAsia="宋体" w:cs="宋体"/>
          <w:color w:val="auto"/>
          <w:sz w:val="24"/>
          <w:szCs w:val="24"/>
          <w:lang w:eastAsia="zh-CN"/>
        </w:rPr>
      </w:pPr>
      <w:r>
        <w:rPr>
          <w:rStyle w:val="67"/>
          <w:rFonts w:hint="eastAsia" w:ascii="宋体" w:hAnsi="宋体" w:eastAsia="宋体" w:cs="宋体"/>
          <w:color w:val="auto"/>
          <w:sz w:val="24"/>
          <w:szCs w:val="24"/>
          <w:lang w:eastAsia="zh-CN"/>
        </w:rPr>
        <w:t>7.乙方应严格遵守国家有关法律、法规，若有违反，由此造成的一切后果由乙方承担。乙方如因上述原因使合同性质发生改变，甲方不负赔偿责任。</w:t>
      </w:r>
    </w:p>
    <w:p w14:paraId="7F83D412">
      <w:pPr>
        <w:adjustRightInd w:val="0"/>
        <w:spacing w:line="336" w:lineRule="auto"/>
        <w:ind w:firstLine="480" w:firstLineChars="200"/>
        <w:rPr>
          <w:rStyle w:val="67"/>
          <w:rFonts w:hint="eastAsia" w:ascii="宋体" w:hAnsi="宋体" w:eastAsia="宋体" w:cs="宋体"/>
          <w:color w:val="auto"/>
          <w:sz w:val="24"/>
          <w:szCs w:val="24"/>
          <w:lang w:eastAsia="zh-CN"/>
        </w:rPr>
      </w:pPr>
      <w:r>
        <w:rPr>
          <w:rStyle w:val="67"/>
          <w:rFonts w:hint="eastAsia" w:ascii="宋体" w:hAnsi="宋体" w:eastAsia="宋体" w:cs="宋体"/>
          <w:color w:val="auto"/>
          <w:sz w:val="24"/>
          <w:szCs w:val="24"/>
          <w:lang w:eastAsia="zh-CN"/>
        </w:rPr>
        <w:t>8.乙方应做好本项目的各类资料的收集整理工作。</w:t>
      </w:r>
    </w:p>
    <w:p w14:paraId="3FF9A8DA">
      <w:pPr>
        <w:pStyle w:val="71"/>
        <w:numPr>
          <w:ilvl w:val="0"/>
          <w:numId w:val="0"/>
        </w:numPr>
        <w:tabs>
          <w:tab w:val="left" w:pos="1378"/>
        </w:tabs>
        <w:spacing w:line="360" w:lineRule="auto"/>
        <w:ind w:firstLine="482" w:firstLineChars="200"/>
        <w:rPr>
          <w:rFonts w:hint="eastAsia" w:ascii="宋体" w:hAnsi="宋体" w:eastAsia="宋体" w:cs="宋体"/>
          <w:b/>
          <w:bCs/>
          <w:color w:val="auto"/>
          <w:sz w:val="24"/>
          <w:szCs w:val="24"/>
          <w:lang w:val="en-US" w:eastAsia="zh-CN"/>
        </w:rPr>
      </w:pPr>
      <w:r>
        <w:rPr>
          <w:rFonts w:hint="eastAsia" w:cs="宋体"/>
          <w:b/>
          <w:bCs/>
          <w:color w:val="auto"/>
          <w:sz w:val="24"/>
          <w:szCs w:val="24"/>
          <w:lang w:val="en-US" w:eastAsia="zh-CN"/>
        </w:rPr>
        <w:t>十</w:t>
      </w:r>
      <w:r>
        <w:rPr>
          <w:rFonts w:hint="eastAsia" w:ascii="宋体" w:hAnsi="宋体" w:eastAsia="宋体" w:cs="宋体"/>
          <w:b/>
          <w:bCs/>
          <w:color w:val="auto"/>
          <w:sz w:val="24"/>
          <w:szCs w:val="24"/>
          <w:lang w:val="en-US" w:eastAsia="zh-CN"/>
        </w:rPr>
        <w:t>、违约责任</w:t>
      </w:r>
    </w:p>
    <w:p w14:paraId="20A4059F">
      <w:pPr>
        <w:adjustRightInd w:val="0"/>
        <w:spacing w:line="336" w:lineRule="auto"/>
        <w:ind w:firstLine="480" w:firstLineChars="200"/>
        <w:rPr>
          <w:rStyle w:val="67"/>
          <w:rFonts w:hint="eastAsia" w:ascii="宋体" w:hAnsi="宋体" w:eastAsia="宋体" w:cs="宋体"/>
          <w:color w:val="auto"/>
          <w:sz w:val="24"/>
          <w:szCs w:val="24"/>
          <w:lang w:eastAsia="zh-CN"/>
        </w:rPr>
      </w:pPr>
      <w:r>
        <w:rPr>
          <w:rStyle w:val="67"/>
          <w:rFonts w:hint="eastAsia" w:ascii="宋体" w:hAnsi="宋体" w:eastAsia="宋体" w:cs="宋体"/>
          <w:color w:val="auto"/>
          <w:sz w:val="24"/>
          <w:szCs w:val="24"/>
          <w:lang w:eastAsia="zh-CN"/>
        </w:rPr>
        <w:t>1.在项目实施过程中，因乙方原因导致活动过程出现问题，严重影响活动效果的，乙方应赔偿甲方相应的损失；</w:t>
      </w:r>
    </w:p>
    <w:p w14:paraId="42B80EF0">
      <w:pPr>
        <w:adjustRightInd w:val="0"/>
        <w:spacing w:line="336" w:lineRule="auto"/>
        <w:ind w:firstLine="480" w:firstLineChars="200"/>
        <w:rPr>
          <w:rStyle w:val="67"/>
          <w:rFonts w:hint="eastAsia" w:ascii="宋体" w:hAnsi="宋体" w:eastAsia="宋体" w:cs="宋体"/>
          <w:color w:val="auto"/>
          <w:sz w:val="24"/>
          <w:szCs w:val="24"/>
          <w:lang w:eastAsia="zh-CN"/>
        </w:rPr>
      </w:pPr>
      <w:r>
        <w:rPr>
          <w:rStyle w:val="67"/>
          <w:rFonts w:hint="eastAsia" w:ascii="宋体" w:hAnsi="宋体" w:eastAsia="宋体" w:cs="宋体"/>
          <w:color w:val="auto"/>
          <w:sz w:val="24"/>
          <w:szCs w:val="24"/>
          <w:lang w:eastAsia="zh-CN"/>
        </w:rPr>
        <w:t>2.乙方需按投标时承诺的活动项目，如因客观原因必须更换，更换前应向甲方递请更换申请，经甲方同意后方可更换；</w:t>
      </w:r>
    </w:p>
    <w:p w14:paraId="2FDD8DF7">
      <w:pPr>
        <w:adjustRightInd w:val="0"/>
        <w:spacing w:line="336" w:lineRule="auto"/>
        <w:ind w:firstLine="480" w:firstLineChars="200"/>
        <w:rPr>
          <w:rStyle w:val="67"/>
          <w:rFonts w:hint="eastAsia" w:ascii="宋体" w:hAnsi="宋体" w:eastAsia="宋体" w:cs="宋体"/>
          <w:color w:val="auto"/>
          <w:sz w:val="24"/>
          <w:szCs w:val="24"/>
          <w:lang w:eastAsia="zh-CN"/>
        </w:rPr>
      </w:pPr>
      <w:r>
        <w:rPr>
          <w:rStyle w:val="67"/>
          <w:rFonts w:hint="eastAsia" w:ascii="宋体" w:hAnsi="宋体" w:eastAsia="宋体" w:cs="宋体"/>
          <w:color w:val="auto"/>
          <w:sz w:val="24"/>
          <w:szCs w:val="24"/>
          <w:lang w:eastAsia="zh-CN"/>
        </w:rPr>
        <w:t>3.乙方未能履行本合同约定，造成甲方直接经济损失的，经相关部门认定后，乙方须承担赔偿责任；</w:t>
      </w:r>
    </w:p>
    <w:p w14:paraId="4B9F3E5F">
      <w:pPr>
        <w:adjustRightInd w:val="0"/>
        <w:spacing w:line="336" w:lineRule="auto"/>
        <w:ind w:firstLine="480" w:firstLineChars="200"/>
        <w:rPr>
          <w:rStyle w:val="67"/>
          <w:rFonts w:hint="eastAsia" w:ascii="宋体" w:hAnsi="宋体" w:eastAsia="宋体" w:cs="宋体"/>
          <w:color w:val="auto"/>
          <w:sz w:val="24"/>
          <w:szCs w:val="24"/>
          <w:lang w:eastAsia="zh-CN"/>
        </w:rPr>
      </w:pPr>
      <w:r>
        <w:rPr>
          <w:rStyle w:val="67"/>
          <w:rFonts w:hint="eastAsia" w:ascii="宋体" w:hAnsi="宋体" w:eastAsia="宋体" w:cs="宋体"/>
          <w:color w:val="auto"/>
          <w:sz w:val="24"/>
          <w:szCs w:val="24"/>
          <w:lang w:eastAsia="zh-CN"/>
        </w:rPr>
        <w:t>4.若给甲方工作造成严重影响的，甲方有权提前终止合同，由此给甲方带来经济损失的，乙方须承担相应的经济赔偿责任。</w:t>
      </w:r>
    </w:p>
    <w:p w14:paraId="7CD3E756">
      <w:pPr>
        <w:adjustRightInd w:val="0"/>
        <w:spacing w:line="336"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5.乙方</w:t>
      </w:r>
      <w:r>
        <w:rPr>
          <w:rFonts w:hint="eastAsia" w:ascii="宋体" w:hAnsi="宋体" w:cs="宋体"/>
          <w:color w:val="auto"/>
          <w:sz w:val="24"/>
        </w:rPr>
        <w:t>编制的日程草案将作为合同附件并具备法律效力，</w:t>
      </w:r>
      <w:r>
        <w:rPr>
          <w:rFonts w:hint="eastAsia" w:ascii="宋体" w:hAnsi="宋体" w:cs="宋体"/>
          <w:color w:val="auto"/>
          <w:sz w:val="24"/>
          <w:lang w:val="en-US" w:eastAsia="zh-CN"/>
        </w:rPr>
        <w:t>乙方</w:t>
      </w:r>
      <w:r>
        <w:rPr>
          <w:rFonts w:hint="eastAsia" w:ascii="宋体" w:hAnsi="宋体" w:cs="宋体"/>
          <w:color w:val="auto"/>
          <w:sz w:val="24"/>
        </w:rPr>
        <w:t>在日程草案中设计的各个环节将作为合同履约承诺，</w:t>
      </w:r>
      <w:r>
        <w:rPr>
          <w:rFonts w:hint="eastAsia" w:ascii="宋体" w:hAnsi="宋体" w:cs="宋体"/>
          <w:color w:val="auto"/>
          <w:sz w:val="24"/>
          <w:lang w:val="en-US" w:eastAsia="zh-CN"/>
        </w:rPr>
        <w:t>乙方</w:t>
      </w:r>
      <w:r>
        <w:rPr>
          <w:rFonts w:hint="eastAsia" w:ascii="宋体" w:hAnsi="宋体" w:cs="宋体"/>
          <w:color w:val="auto"/>
          <w:sz w:val="24"/>
        </w:rPr>
        <w:t>承办的大会如不能按日程草案中的约定履行，采购方将追究供应商的违约责任。</w:t>
      </w:r>
    </w:p>
    <w:p w14:paraId="4C8108BB">
      <w:pPr>
        <w:pStyle w:val="71"/>
        <w:numPr>
          <w:ilvl w:val="0"/>
          <w:numId w:val="0"/>
        </w:numPr>
        <w:tabs>
          <w:tab w:val="left" w:pos="1378"/>
        </w:tabs>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十</w:t>
      </w:r>
      <w:r>
        <w:rPr>
          <w:rFonts w:hint="eastAsia" w:cs="宋体"/>
          <w:b/>
          <w:bCs/>
          <w:color w:val="auto"/>
          <w:sz w:val="24"/>
          <w:szCs w:val="24"/>
          <w:lang w:val="en-US" w:eastAsia="zh-CN"/>
        </w:rPr>
        <w:t>一</w:t>
      </w:r>
      <w:r>
        <w:rPr>
          <w:rFonts w:hint="eastAsia" w:ascii="宋体" w:hAnsi="宋体" w:eastAsia="宋体" w:cs="宋体"/>
          <w:b/>
          <w:bCs/>
          <w:color w:val="auto"/>
          <w:sz w:val="24"/>
          <w:szCs w:val="24"/>
          <w:lang w:val="en-US" w:eastAsia="zh-CN"/>
        </w:rPr>
        <w:t>、合同的解除</w:t>
      </w:r>
    </w:p>
    <w:p w14:paraId="4A1EC8AC">
      <w:pPr>
        <w:adjustRightInd w:val="0"/>
        <w:spacing w:line="336" w:lineRule="auto"/>
        <w:ind w:firstLine="480" w:firstLineChars="200"/>
        <w:rPr>
          <w:color w:val="auto"/>
          <w:sz w:val="24"/>
        </w:rPr>
      </w:pPr>
      <w:r>
        <w:rPr>
          <w:color w:val="auto"/>
          <w:sz w:val="24"/>
        </w:rPr>
        <w:t>1、有下列</w:t>
      </w:r>
      <w:r>
        <w:rPr>
          <w:rFonts w:hint="eastAsia" w:ascii="宋体" w:hAnsi="宋体" w:eastAsia="宋体" w:cs="宋体"/>
          <w:color w:val="auto"/>
          <w:sz w:val="24"/>
        </w:rPr>
        <w:t>情形</w:t>
      </w:r>
      <w:r>
        <w:rPr>
          <w:color w:val="auto"/>
          <w:sz w:val="24"/>
        </w:rPr>
        <w:t>之一，合同一方可以解除合同：</w:t>
      </w:r>
    </w:p>
    <w:p w14:paraId="644BF8A3">
      <w:pPr>
        <w:pStyle w:val="5"/>
        <w:ind w:firstLine="480" w:firstLineChars="200"/>
        <w:rPr>
          <w:color w:val="auto"/>
          <w:sz w:val="24"/>
        </w:rPr>
      </w:pPr>
      <w:r>
        <w:rPr>
          <w:color w:val="auto"/>
          <w:sz w:val="24"/>
        </w:rPr>
        <w:t>1.1 因不可抗力致使不能实现合同目的，未受不可抗力影响的一方有权解除合同；</w:t>
      </w:r>
    </w:p>
    <w:p w14:paraId="5B607CA5">
      <w:pPr>
        <w:pStyle w:val="5"/>
        <w:ind w:firstLine="480" w:firstLineChars="200"/>
        <w:rPr>
          <w:color w:val="auto"/>
          <w:sz w:val="24"/>
        </w:rPr>
      </w:pPr>
      <w:r>
        <w:rPr>
          <w:color w:val="auto"/>
          <w:sz w:val="24"/>
        </w:rPr>
        <w:t>1.2 因合同一方违约导致合同不能履行，另一方有权解除合同；</w:t>
      </w:r>
    </w:p>
    <w:p w14:paraId="23C81E08">
      <w:pPr>
        <w:adjustRightInd w:val="0"/>
        <w:spacing w:line="336" w:lineRule="auto"/>
        <w:ind w:firstLine="480" w:firstLineChars="200"/>
        <w:rPr>
          <w:color w:val="auto"/>
          <w:sz w:val="24"/>
        </w:rPr>
      </w:pPr>
      <w:r>
        <w:rPr>
          <w:color w:val="auto"/>
          <w:sz w:val="24"/>
        </w:rPr>
        <w:t>2、有权解除</w:t>
      </w:r>
      <w:r>
        <w:rPr>
          <w:rFonts w:hint="eastAsia" w:ascii="宋体" w:hAnsi="宋体" w:eastAsia="宋体" w:cs="宋体"/>
          <w:color w:val="auto"/>
          <w:sz w:val="24"/>
        </w:rPr>
        <w:t>合同</w:t>
      </w:r>
      <w:r>
        <w:rPr>
          <w:color w:val="auto"/>
          <w:sz w:val="24"/>
        </w:rPr>
        <w:t>的一方，应当在违约事实或不可抗力发生之后三十天内书面通知对方以主张解除合同，合同在书面通知到达对方时解除。</w:t>
      </w:r>
    </w:p>
    <w:p w14:paraId="3CD27A96">
      <w:pPr>
        <w:pStyle w:val="71"/>
        <w:numPr>
          <w:ilvl w:val="0"/>
          <w:numId w:val="0"/>
        </w:numPr>
        <w:tabs>
          <w:tab w:val="left" w:pos="1378"/>
        </w:tabs>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十</w:t>
      </w:r>
      <w:r>
        <w:rPr>
          <w:rFonts w:hint="eastAsia" w:cs="宋体"/>
          <w:b/>
          <w:bCs/>
          <w:color w:val="auto"/>
          <w:sz w:val="24"/>
          <w:szCs w:val="24"/>
          <w:lang w:val="en-US" w:eastAsia="zh-CN"/>
        </w:rPr>
        <w:t>二</w:t>
      </w:r>
      <w:r>
        <w:rPr>
          <w:rFonts w:hint="eastAsia" w:ascii="宋体" w:hAnsi="宋体" w:eastAsia="宋体" w:cs="宋体"/>
          <w:b/>
          <w:bCs/>
          <w:color w:val="auto"/>
          <w:sz w:val="24"/>
          <w:szCs w:val="24"/>
          <w:lang w:val="en-US" w:eastAsia="zh-CN"/>
        </w:rPr>
        <w:t>、合同的转让</w:t>
      </w:r>
    </w:p>
    <w:p w14:paraId="220E46EA">
      <w:pPr>
        <w:adjustRightInd w:val="0"/>
        <w:spacing w:line="336" w:lineRule="auto"/>
        <w:ind w:firstLine="480" w:firstLineChars="200"/>
        <w:rPr>
          <w:rFonts w:ascii="宋体" w:hAnsi="宋体"/>
          <w:color w:val="auto"/>
          <w:sz w:val="24"/>
        </w:rPr>
      </w:pPr>
      <w:bookmarkStart w:id="92" w:name="_Toc71823939"/>
      <w:bookmarkStart w:id="93" w:name="_Toc560"/>
      <w:r>
        <w:rPr>
          <w:rFonts w:hint="eastAsia" w:ascii="宋体" w:hAnsi="宋体"/>
          <w:color w:val="auto"/>
          <w:sz w:val="24"/>
        </w:rPr>
        <w:t>合同的部分和全部都不得转让。</w:t>
      </w:r>
      <w:bookmarkEnd w:id="92"/>
      <w:bookmarkEnd w:id="93"/>
    </w:p>
    <w:p w14:paraId="0CC5E099">
      <w:pPr>
        <w:pStyle w:val="71"/>
        <w:numPr>
          <w:ilvl w:val="0"/>
          <w:numId w:val="0"/>
        </w:numPr>
        <w:tabs>
          <w:tab w:val="left" w:pos="1378"/>
        </w:tabs>
        <w:spacing w:line="360" w:lineRule="auto"/>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十</w:t>
      </w:r>
      <w:r>
        <w:rPr>
          <w:rFonts w:hint="eastAsia" w:cs="宋体"/>
          <w:b/>
          <w:bCs/>
          <w:color w:val="auto"/>
          <w:sz w:val="24"/>
          <w:szCs w:val="24"/>
          <w:lang w:val="en-US" w:eastAsia="zh-CN"/>
        </w:rPr>
        <w:t>三</w:t>
      </w:r>
      <w:r>
        <w:rPr>
          <w:rFonts w:hint="eastAsia" w:ascii="宋体" w:hAnsi="宋体" w:eastAsia="宋体" w:cs="宋体"/>
          <w:b/>
          <w:bCs/>
          <w:color w:val="auto"/>
          <w:sz w:val="24"/>
          <w:szCs w:val="24"/>
          <w:lang w:val="en-US" w:eastAsia="zh-CN"/>
        </w:rPr>
        <w:t>、其他条款</w:t>
      </w:r>
    </w:p>
    <w:p w14:paraId="3430C7C5">
      <w:pPr>
        <w:adjustRightInd w:val="0"/>
        <w:spacing w:line="336"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由于不可抗力，致使合同无法履行时，双方应按有关法律规定及时协商处理。</w:t>
      </w:r>
    </w:p>
    <w:p w14:paraId="52DBAC78">
      <w:pPr>
        <w:adjustRightInd w:val="0"/>
        <w:spacing w:line="336"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14:paraId="2196F9C1">
      <w:pPr>
        <w:pStyle w:val="71"/>
        <w:numPr>
          <w:ilvl w:val="0"/>
          <w:numId w:val="0"/>
        </w:numPr>
        <w:tabs>
          <w:tab w:val="left" w:pos="1378"/>
        </w:tabs>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十</w:t>
      </w:r>
      <w:r>
        <w:rPr>
          <w:rFonts w:hint="eastAsia" w:cs="宋体"/>
          <w:b/>
          <w:bCs/>
          <w:color w:val="auto"/>
          <w:sz w:val="24"/>
          <w:szCs w:val="24"/>
          <w:lang w:val="en-US" w:eastAsia="zh-CN"/>
        </w:rPr>
        <w:t>四</w:t>
      </w:r>
      <w:r>
        <w:rPr>
          <w:rFonts w:hint="eastAsia" w:ascii="宋体" w:hAnsi="宋体" w:eastAsia="宋体" w:cs="宋体"/>
          <w:b/>
          <w:bCs/>
          <w:color w:val="auto"/>
          <w:sz w:val="24"/>
          <w:szCs w:val="24"/>
          <w:lang w:val="en-US" w:eastAsia="zh-CN"/>
        </w:rPr>
        <w:t>、附则</w:t>
      </w:r>
    </w:p>
    <w:p w14:paraId="55B13AFD">
      <w:pPr>
        <w:adjustRightInd w:val="0"/>
        <w:spacing w:line="336" w:lineRule="auto"/>
        <w:ind w:firstLine="480" w:firstLineChars="200"/>
        <w:rPr>
          <w:rFonts w:hint="eastAsia" w:ascii="宋体" w:hAnsi="宋体" w:cs="宋体"/>
          <w:color w:val="auto"/>
          <w:sz w:val="24"/>
          <w:lang w:eastAsia="zh-CN"/>
        </w:rPr>
      </w:pPr>
      <w:r>
        <w:rPr>
          <w:rFonts w:hint="eastAsia" w:ascii="宋体" w:hAnsi="宋体" w:cs="宋体"/>
          <w:color w:val="auto"/>
          <w:sz w:val="24"/>
          <w:lang w:val="en-US" w:eastAsia="zh-CN"/>
        </w:rPr>
        <w:t>1、</w:t>
      </w:r>
      <w:r>
        <w:rPr>
          <w:rFonts w:hint="eastAsia" w:ascii="宋体" w:hAnsi="宋体" w:cs="宋体"/>
          <w:color w:val="auto"/>
          <w:sz w:val="24"/>
        </w:rPr>
        <w:t>本合同由双方代表签字，加盖双方公章或合同专用章即生效。全部成果交接完毕和服务费结算完成后，本合同终止</w:t>
      </w:r>
      <w:r>
        <w:rPr>
          <w:rFonts w:hint="eastAsia" w:ascii="宋体" w:hAnsi="宋体" w:cs="宋体"/>
          <w:color w:val="auto"/>
          <w:sz w:val="24"/>
          <w:lang w:eastAsia="zh-CN"/>
        </w:rPr>
        <w:t>。</w:t>
      </w:r>
    </w:p>
    <w:p w14:paraId="46373138">
      <w:pPr>
        <w:adjustRightInd w:val="0"/>
        <w:spacing w:line="336"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2、本项目货物如涉及柴油动力移动源，柴油动力移动源应当符合低排放要求</w:t>
      </w:r>
      <w:r>
        <w:rPr>
          <w:rFonts w:hint="eastAsia" w:ascii="宋体" w:hAnsi="宋体" w:cs="宋体"/>
          <w:color w:val="auto"/>
          <w:sz w:val="24"/>
        </w:rPr>
        <w:t>。</w:t>
      </w:r>
    </w:p>
    <w:p w14:paraId="07B1F557">
      <w:pPr>
        <w:adjustRightInd w:val="0"/>
        <w:spacing w:line="336" w:lineRule="auto"/>
        <w:ind w:firstLine="482" w:firstLineChars="200"/>
        <w:rPr>
          <w:rFonts w:hint="eastAsia"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本合同一式</w:t>
      </w:r>
      <w:r>
        <w:rPr>
          <w:rFonts w:hint="eastAsia" w:ascii="宋体" w:hAnsi="宋体" w:cs="宋体"/>
          <w:b/>
          <w:bCs/>
          <w:color w:val="auto"/>
          <w:sz w:val="24"/>
          <w:u w:val="single"/>
        </w:rPr>
        <w:t>　</w:t>
      </w:r>
      <w:r>
        <w:rPr>
          <w:rFonts w:hint="eastAsia" w:ascii="宋体" w:hAnsi="宋体" w:cs="宋体"/>
          <w:b/>
          <w:bCs/>
          <w:color w:val="auto"/>
          <w:sz w:val="24"/>
          <w:u w:val="single"/>
          <w:lang w:val="en-US" w:eastAsia="zh-CN"/>
        </w:rPr>
        <w:t>肆</w:t>
      </w:r>
      <w:r>
        <w:rPr>
          <w:rFonts w:hint="eastAsia" w:ascii="宋体" w:hAnsi="宋体" w:cs="宋体"/>
          <w:b/>
          <w:bCs/>
          <w:color w:val="auto"/>
          <w:sz w:val="24"/>
          <w:u w:val="single"/>
        </w:rPr>
        <w:t xml:space="preserve"> </w:t>
      </w:r>
      <w:r>
        <w:rPr>
          <w:rFonts w:hint="eastAsia" w:ascii="宋体" w:hAnsi="宋体" w:cs="宋体"/>
          <w:b/>
          <w:bCs/>
          <w:color w:val="auto"/>
          <w:sz w:val="24"/>
        </w:rPr>
        <w:t>份，其中正本两份，采购人和</w:t>
      </w:r>
      <w:r>
        <w:rPr>
          <w:rFonts w:hint="eastAsia" w:ascii="宋体" w:hAnsi="宋体" w:cs="宋体"/>
          <w:b/>
          <w:bCs/>
          <w:color w:val="auto"/>
          <w:sz w:val="24"/>
          <w:lang w:eastAsia="zh-CN"/>
        </w:rPr>
        <w:t>成交供应商</w:t>
      </w:r>
      <w:r>
        <w:rPr>
          <w:rFonts w:hint="eastAsia" w:ascii="宋体" w:hAnsi="宋体" w:cs="宋体"/>
          <w:b/>
          <w:bCs/>
          <w:color w:val="auto"/>
          <w:sz w:val="24"/>
        </w:rPr>
        <w:t>各执一份，</w:t>
      </w:r>
      <w:r>
        <w:rPr>
          <w:rFonts w:hint="eastAsia" w:ascii="宋体" w:hAnsi="宋体" w:cs="宋体"/>
          <w:b/>
          <w:bCs/>
          <w:color w:val="auto"/>
          <w:sz w:val="24"/>
          <w:lang w:val="en-US" w:eastAsia="zh-CN"/>
        </w:rPr>
        <w:t>并由采购人在30日内做好政采云平台网上合同创建及备案。</w:t>
      </w:r>
    </w:p>
    <w:tbl>
      <w:tblPr>
        <w:tblStyle w:val="26"/>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1480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05346C6F">
            <w:pPr>
              <w:snapToGrid w:val="0"/>
              <w:spacing w:line="360" w:lineRule="auto"/>
              <w:jc w:val="center"/>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eastAsia="zh-CN"/>
              </w:rPr>
              <w:t>甲</w:t>
            </w:r>
            <w:r>
              <w:rPr>
                <w:rFonts w:hint="eastAsia" w:ascii="宋体" w:hAnsi="宋体" w:eastAsia="宋体" w:cs="宋体"/>
                <w:snapToGrid w:val="0"/>
                <w:color w:val="auto"/>
                <w:kern w:val="0"/>
                <w:sz w:val="24"/>
                <w:szCs w:val="24"/>
              </w:rPr>
              <w:t>方单位</w:t>
            </w:r>
          </w:p>
        </w:tc>
        <w:tc>
          <w:tcPr>
            <w:tcW w:w="2340" w:type="dxa"/>
            <w:noWrap w:val="0"/>
            <w:vAlign w:val="center"/>
          </w:tcPr>
          <w:p w14:paraId="37B04171">
            <w:pPr>
              <w:snapToGrid w:val="0"/>
              <w:spacing w:line="36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（盖章）</w:t>
            </w:r>
          </w:p>
        </w:tc>
        <w:tc>
          <w:tcPr>
            <w:tcW w:w="1620" w:type="dxa"/>
            <w:noWrap w:val="0"/>
            <w:vAlign w:val="center"/>
          </w:tcPr>
          <w:p w14:paraId="356B6D7C">
            <w:pPr>
              <w:snapToGrid w:val="0"/>
              <w:spacing w:line="360" w:lineRule="auto"/>
              <w:jc w:val="center"/>
              <w:rPr>
                <w:rFonts w:hint="eastAsia" w:ascii="宋体" w:hAnsi="宋体" w:eastAsia="宋体" w:cs="宋体"/>
                <w:snapToGrid w:val="0"/>
                <w:color w:val="auto"/>
                <w:kern w:val="0"/>
                <w:sz w:val="24"/>
                <w:szCs w:val="24"/>
              </w:rPr>
            </w:pPr>
            <w:r>
              <w:rPr>
                <w:rFonts w:hint="eastAsia" w:ascii="宋体" w:hAnsi="宋体" w:cs="宋体"/>
                <w:snapToGrid w:val="0"/>
                <w:color w:val="auto"/>
                <w:kern w:val="0"/>
                <w:sz w:val="24"/>
                <w:szCs w:val="24"/>
                <w:lang w:eastAsia="zh-CN"/>
              </w:rPr>
              <w:t>乙</w:t>
            </w:r>
            <w:r>
              <w:rPr>
                <w:rFonts w:hint="eastAsia" w:ascii="宋体" w:hAnsi="宋体" w:eastAsia="宋体" w:cs="宋体"/>
                <w:snapToGrid w:val="0"/>
                <w:color w:val="auto"/>
                <w:kern w:val="0"/>
                <w:sz w:val="24"/>
                <w:szCs w:val="24"/>
              </w:rPr>
              <w:t>方单位</w:t>
            </w:r>
          </w:p>
        </w:tc>
        <w:tc>
          <w:tcPr>
            <w:tcW w:w="2700" w:type="dxa"/>
            <w:noWrap w:val="0"/>
            <w:vAlign w:val="center"/>
          </w:tcPr>
          <w:p w14:paraId="6A39DBEC">
            <w:pPr>
              <w:snapToGrid w:val="0"/>
              <w:spacing w:line="36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（盖章）</w:t>
            </w:r>
          </w:p>
        </w:tc>
      </w:tr>
      <w:tr w14:paraId="4686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0BCD15DF">
            <w:pPr>
              <w:snapToGrid w:val="0"/>
              <w:spacing w:line="36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代表签名</w:t>
            </w:r>
          </w:p>
        </w:tc>
        <w:tc>
          <w:tcPr>
            <w:tcW w:w="2340" w:type="dxa"/>
            <w:noWrap w:val="0"/>
            <w:vAlign w:val="center"/>
          </w:tcPr>
          <w:p w14:paraId="3B74DF26">
            <w:pPr>
              <w:snapToGrid w:val="0"/>
              <w:spacing w:line="360" w:lineRule="auto"/>
              <w:jc w:val="center"/>
              <w:rPr>
                <w:rFonts w:hint="eastAsia" w:ascii="宋体" w:hAnsi="宋体" w:eastAsia="宋体" w:cs="宋体"/>
                <w:snapToGrid w:val="0"/>
                <w:color w:val="auto"/>
                <w:kern w:val="0"/>
                <w:sz w:val="24"/>
                <w:szCs w:val="24"/>
              </w:rPr>
            </w:pPr>
          </w:p>
        </w:tc>
        <w:tc>
          <w:tcPr>
            <w:tcW w:w="1620" w:type="dxa"/>
            <w:noWrap w:val="0"/>
            <w:vAlign w:val="center"/>
          </w:tcPr>
          <w:p w14:paraId="7C076693">
            <w:pPr>
              <w:snapToGrid w:val="0"/>
              <w:spacing w:line="36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代表签名</w:t>
            </w:r>
          </w:p>
        </w:tc>
        <w:tc>
          <w:tcPr>
            <w:tcW w:w="2700" w:type="dxa"/>
            <w:noWrap w:val="0"/>
            <w:vAlign w:val="center"/>
          </w:tcPr>
          <w:p w14:paraId="6D03D3D3">
            <w:pPr>
              <w:snapToGrid w:val="0"/>
              <w:spacing w:line="360" w:lineRule="auto"/>
              <w:jc w:val="center"/>
              <w:rPr>
                <w:rFonts w:hint="eastAsia" w:ascii="宋体" w:hAnsi="宋体" w:eastAsia="宋体" w:cs="宋体"/>
                <w:snapToGrid w:val="0"/>
                <w:color w:val="auto"/>
                <w:kern w:val="0"/>
                <w:sz w:val="24"/>
                <w:szCs w:val="24"/>
              </w:rPr>
            </w:pPr>
          </w:p>
        </w:tc>
      </w:tr>
      <w:tr w14:paraId="5BAE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5CDFA7C7">
            <w:pPr>
              <w:snapToGrid w:val="0"/>
              <w:spacing w:line="36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地址</w:t>
            </w:r>
          </w:p>
        </w:tc>
        <w:tc>
          <w:tcPr>
            <w:tcW w:w="2340" w:type="dxa"/>
            <w:noWrap w:val="0"/>
            <w:vAlign w:val="center"/>
          </w:tcPr>
          <w:p w14:paraId="6D745528">
            <w:pPr>
              <w:snapToGrid w:val="0"/>
              <w:spacing w:line="360" w:lineRule="auto"/>
              <w:jc w:val="center"/>
              <w:rPr>
                <w:rFonts w:hint="eastAsia" w:ascii="宋体" w:hAnsi="宋体" w:eastAsia="宋体" w:cs="宋体"/>
                <w:snapToGrid w:val="0"/>
                <w:color w:val="auto"/>
                <w:kern w:val="0"/>
                <w:sz w:val="24"/>
                <w:szCs w:val="24"/>
              </w:rPr>
            </w:pPr>
          </w:p>
        </w:tc>
        <w:tc>
          <w:tcPr>
            <w:tcW w:w="1620" w:type="dxa"/>
            <w:noWrap w:val="0"/>
            <w:vAlign w:val="center"/>
          </w:tcPr>
          <w:p w14:paraId="798A5669">
            <w:pPr>
              <w:snapToGrid w:val="0"/>
              <w:spacing w:line="36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地址</w:t>
            </w:r>
          </w:p>
        </w:tc>
        <w:tc>
          <w:tcPr>
            <w:tcW w:w="2700" w:type="dxa"/>
            <w:noWrap w:val="0"/>
            <w:vAlign w:val="center"/>
          </w:tcPr>
          <w:p w14:paraId="65906149">
            <w:pPr>
              <w:snapToGrid w:val="0"/>
              <w:spacing w:line="360" w:lineRule="auto"/>
              <w:jc w:val="center"/>
              <w:rPr>
                <w:rFonts w:hint="eastAsia" w:ascii="宋体" w:hAnsi="宋体" w:eastAsia="宋体" w:cs="宋体"/>
                <w:snapToGrid w:val="0"/>
                <w:color w:val="auto"/>
                <w:kern w:val="0"/>
                <w:sz w:val="24"/>
                <w:szCs w:val="24"/>
              </w:rPr>
            </w:pPr>
          </w:p>
        </w:tc>
      </w:tr>
      <w:tr w14:paraId="36AA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016FAABB">
            <w:pPr>
              <w:snapToGrid w:val="0"/>
              <w:spacing w:line="36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电话</w:t>
            </w:r>
          </w:p>
        </w:tc>
        <w:tc>
          <w:tcPr>
            <w:tcW w:w="2340" w:type="dxa"/>
            <w:noWrap w:val="0"/>
            <w:vAlign w:val="center"/>
          </w:tcPr>
          <w:p w14:paraId="5F49CBBC">
            <w:pPr>
              <w:snapToGrid w:val="0"/>
              <w:spacing w:line="360" w:lineRule="auto"/>
              <w:jc w:val="center"/>
              <w:rPr>
                <w:rFonts w:hint="eastAsia" w:ascii="宋体" w:hAnsi="宋体" w:eastAsia="宋体" w:cs="宋体"/>
                <w:snapToGrid w:val="0"/>
                <w:color w:val="auto"/>
                <w:kern w:val="0"/>
                <w:sz w:val="24"/>
                <w:szCs w:val="24"/>
              </w:rPr>
            </w:pPr>
          </w:p>
        </w:tc>
        <w:tc>
          <w:tcPr>
            <w:tcW w:w="1620" w:type="dxa"/>
            <w:noWrap w:val="0"/>
            <w:vAlign w:val="center"/>
          </w:tcPr>
          <w:p w14:paraId="26AEEAF6">
            <w:pPr>
              <w:snapToGrid w:val="0"/>
              <w:spacing w:line="36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电话</w:t>
            </w:r>
          </w:p>
        </w:tc>
        <w:tc>
          <w:tcPr>
            <w:tcW w:w="2700" w:type="dxa"/>
            <w:noWrap w:val="0"/>
            <w:vAlign w:val="center"/>
          </w:tcPr>
          <w:p w14:paraId="3C11C148">
            <w:pPr>
              <w:snapToGrid w:val="0"/>
              <w:spacing w:line="360" w:lineRule="auto"/>
              <w:jc w:val="center"/>
              <w:rPr>
                <w:rFonts w:hint="eastAsia" w:ascii="宋体" w:hAnsi="宋体" w:eastAsia="宋体" w:cs="宋体"/>
                <w:snapToGrid w:val="0"/>
                <w:color w:val="auto"/>
                <w:kern w:val="0"/>
                <w:sz w:val="24"/>
                <w:szCs w:val="24"/>
              </w:rPr>
            </w:pPr>
          </w:p>
        </w:tc>
      </w:tr>
      <w:tr w14:paraId="6212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0FBFF076">
            <w:pPr>
              <w:snapToGrid w:val="0"/>
              <w:spacing w:line="36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开户银行</w:t>
            </w:r>
          </w:p>
        </w:tc>
        <w:tc>
          <w:tcPr>
            <w:tcW w:w="2340" w:type="dxa"/>
            <w:noWrap w:val="0"/>
            <w:vAlign w:val="center"/>
          </w:tcPr>
          <w:p w14:paraId="06F5E651">
            <w:pPr>
              <w:snapToGrid w:val="0"/>
              <w:spacing w:line="360" w:lineRule="auto"/>
              <w:jc w:val="center"/>
              <w:rPr>
                <w:rFonts w:hint="eastAsia" w:ascii="宋体" w:hAnsi="宋体" w:eastAsia="宋体" w:cs="宋体"/>
                <w:snapToGrid w:val="0"/>
                <w:color w:val="auto"/>
                <w:kern w:val="0"/>
                <w:sz w:val="24"/>
                <w:szCs w:val="24"/>
              </w:rPr>
            </w:pPr>
          </w:p>
        </w:tc>
        <w:tc>
          <w:tcPr>
            <w:tcW w:w="1620" w:type="dxa"/>
            <w:noWrap w:val="0"/>
            <w:vAlign w:val="center"/>
          </w:tcPr>
          <w:p w14:paraId="35D9A1EF">
            <w:pPr>
              <w:snapToGrid w:val="0"/>
              <w:spacing w:line="36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开户银行</w:t>
            </w:r>
          </w:p>
        </w:tc>
        <w:tc>
          <w:tcPr>
            <w:tcW w:w="2700" w:type="dxa"/>
            <w:noWrap w:val="0"/>
            <w:vAlign w:val="center"/>
          </w:tcPr>
          <w:p w14:paraId="15B80005">
            <w:pPr>
              <w:snapToGrid w:val="0"/>
              <w:spacing w:line="360" w:lineRule="auto"/>
              <w:jc w:val="center"/>
              <w:rPr>
                <w:rFonts w:hint="eastAsia" w:ascii="宋体" w:hAnsi="宋体" w:eastAsia="宋体" w:cs="宋体"/>
                <w:snapToGrid w:val="0"/>
                <w:color w:val="auto"/>
                <w:kern w:val="0"/>
                <w:sz w:val="24"/>
                <w:szCs w:val="24"/>
              </w:rPr>
            </w:pPr>
          </w:p>
        </w:tc>
      </w:tr>
      <w:tr w14:paraId="1130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14:paraId="761C2D3B">
            <w:pPr>
              <w:snapToGrid w:val="0"/>
              <w:spacing w:line="360" w:lineRule="auto"/>
              <w:jc w:val="center"/>
              <w:rPr>
                <w:rFonts w:hint="eastAsia" w:ascii="宋体" w:hAnsi="宋体" w:eastAsia="宋体" w:cs="宋体"/>
                <w:snapToGrid w:val="0"/>
                <w:color w:val="auto"/>
                <w:kern w:val="0"/>
                <w:sz w:val="24"/>
                <w:szCs w:val="24"/>
                <w:lang w:eastAsia="zh-CN"/>
              </w:rPr>
            </w:pPr>
            <w:r>
              <w:rPr>
                <w:rFonts w:hint="eastAsia" w:ascii="宋体" w:hAnsi="宋体" w:cs="宋体"/>
                <w:snapToGrid w:val="0"/>
                <w:color w:val="auto"/>
                <w:kern w:val="0"/>
                <w:sz w:val="24"/>
                <w:szCs w:val="24"/>
                <w:lang w:eastAsia="zh-CN"/>
              </w:rPr>
              <w:t>账号</w:t>
            </w:r>
          </w:p>
        </w:tc>
        <w:tc>
          <w:tcPr>
            <w:tcW w:w="2340" w:type="dxa"/>
            <w:noWrap w:val="0"/>
            <w:vAlign w:val="center"/>
          </w:tcPr>
          <w:p w14:paraId="694C86B0">
            <w:pPr>
              <w:snapToGrid w:val="0"/>
              <w:spacing w:line="360" w:lineRule="auto"/>
              <w:jc w:val="center"/>
              <w:rPr>
                <w:rFonts w:hint="eastAsia" w:ascii="宋体" w:hAnsi="宋体" w:eastAsia="宋体" w:cs="宋体"/>
                <w:snapToGrid w:val="0"/>
                <w:color w:val="auto"/>
                <w:kern w:val="0"/>
                <w:sz w:val="24"/>
                <w:szCs w:val="24"/>
              </w:rPr>
            </w:pPr>
          </w:p>
        </w:tc>
        <w:tc>
          <w:tcPr>
            <w:tcW w:w="1620" w:type="dxa"/>
            <w:noWrap w:val="0"/>
            <w:vAlign w:val="center"/>
          </w:tcPr>
          <w:p w14:paraId="615ED8F1">
            <w:pPr>
              <w:snapToGrid w:val="0"/>
              <w:spacing w:line="360" w:lineRule="auto"/>
              <w:jc w:val="center"/>
              <w:rPr>
                <w:rFonts w:hint="eastAsia" w:ascii="宋体" w:hAnsi="宋体" w:eastAsia="宋体" w:cs="宋体"/>
                <w:snapToGrid w:val="0"/>
                <w:color w:val="auto"/>
                <w:kern w:val="0"/>
                <w:sz w:val="24"/>
                <w:szCs w:val="24"/>
                <w:lang w:eastAsia="zh-CN"/>
              </w:rPr>
            </w:pPr>
            <w:r>
              <w:rPr>
                <w:rFonts w:hint="eastAsia" w:ascii="宋体" w:hAnsi="宋体" w:cs="宋体"/>
                <w:snapToGrid w:val="0"/>
                <w:color w:val="auto"/>
                <w:kern w:val="0"/>
                <w:sz w:val="24"/>
                <w:szCs w:val="24"/>
                <w:lang w:eastAsia="zh-CN"/>
              </w:rPr>
              <w:t>账号</w:t>
            </w:r>
          </w:p>
        </w:tc>
        <w:tc>
          <w:tcPr>
            <w:tcW w:w="2700" w:type="dxa"/>
            <w:noWrap w:val="0"/>
            <w:vAlign w:val="center"/>
          </w:tcPr>
          <w:p w14:paraId="25E59F32">
            <w:pPr>
              <w:snapToGrid w:val="0"/>
              <w:spacing w:line="360" w:lineRule="auto"/>
              <w:jc w:val="center"/>
              <w:rPr>
                <w:rFonts w:hint="eastAsia" w:ascii="宋体" w:hAnsi="宋体" w:eastAsia="宋体" w:cs="宋体"/>
                <w:snapToGrid w:val="0"/>
                <w:color w:val="auto"/>
                <w:kern w:val="0"/>
                <w:sz w:val="24"/>
                <w:szCs w:val="24"/>
              </w:rPr>
            </w:pPr>
          </w:p>
        </w:tc>
      </w:tr>
    </w:tbl>
    <w:p w14:paraId="33B0683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D57D113">
      <w:pPr>
        <w:pStyle w:val="9"/>
        <w:jc w:val="center"/>
        <w:rPr>
          <w:rFonts w:hint="eastAsia" w:ascii="宋体" w:hAnsi="宋体" w:eastAsia="宋体" w:cs="宋体"/>
          <w:color w:val="auto"/>
          <w:sz w:val="36"/>
          <w:szCs w:val="36"/>
          <w:highlight w:val="none"/>
        </w:rPr>
      </w:pPr>
      <w:bookmarkStart w:id="94" w:name="_Toc4669"/>
      <w:bookmarkStart w:id="95" w:name="_Toc19237"/>
      <w:bookmarkStart w:id="96" w:name="_Toc7690"/>
      <w:r>
        <w:rPr>
          <w:rFonts w:hint="eastAsia" w:ascii="宋体" w:hAnsi="宋体" w:eastAsia="宋体" w:cs="宋体"/>
          <w:color w:val="auto"/>
          <w:sz w:val="36"/>
          <w:szCs w:val="36"/>
          <w:highlight w:val="none"/>
        </w:rPr>
        <w:t>第六部分 应提交的有关格式范例</w:t>
      </w:r>
      <w:bookmarkEnd w:id="94"/>
      <w:bookmarkEnd w:id="95"/>
      <w:bookmarkEnd w:id="96"/>
    </w:p>
    <w:p w14:paraId="23EF9223">
      <w:pPr>
        <w:rPr>
          <w:rFonts w:hint="eastAsia" w:ascii="宋体" w:hAnsi="宋体" w:eastAsia="宋体" w:cs="宋体"/>
          <w:color w:val="auto"/>
          <w:highlight w:val="none"/>
        </w:rPr>
      </w:pPr>
    </w:p>
    <w:p w14:paraId="4E8B1F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供应商按照以下格式编制响应文件，</w:t>
      </w:r>
      <w:r>
        <w:rPr>
          <w:rFonts w:hint="eastAsia" w:ascii="宋体" w:hAnsi="宋体" w:eastAsia="宋体" w:cs="宋体"/>
          <w:b/>
          <w:bCs/>
          <w:color w:val="auto"/>
          <w:sz w:val="24"/>
          <w:szCs w:val="24"/>
          <w:highlight w:val="none"/>
        </w:rPr>
        <w:t>“资格文件”、“商务技术文件”、“报价文件”须分3个PDF格式分别导入。</w:t>
      </w:r>
    </w:p>
    <w:p w14:paraId="48E4B43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3567E0CC">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kern w:val="0"/>
          <w:sz w:val="36"/>
          <w:szCs w:val="36"/>
          <w:highlight w:val="none"/>
        </w:rPr>
        <w:t>资格文件部分</w:t>
      </w:r>
    </w:p>
    <w:p w14:paraId="76BE05C6">
      <w:pPr>
        <w:spacing w:line="360" w:lineRule="auto"/>
        <w:jc w:val="center"/>
        <w:rPr>
          <w:rFonts w:hint="eastAsia" w:ascii="宋体" w:hAnsi="宋体" w:eastAsia="宋体" w:cs="宋体"/>
          <w:b/>
          <w:bCs/>
          <w:color w:val="auto"/>
          <w:kern w:val="0"/>
          <w:sz w:val="36"/>
          <w:szCs w:val="36"/>
          <w:highlight w:val="none"/>
        </w:rPr>
      </w:pPr>
    </w:p>
    <w:p w14:paraId="4B7E91A7">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7586D3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（1）法定代表人授权书；（格式见附件）</w:t>
      </w:r>
    </w:p>
    <w:p w14:paraId="091D79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6500C3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1D2468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（3）具有履行合同所必需的产品和专业技术能力的承诺函；</w:t>
      </w:r>
    </w:p>
    <w:p w14:paraId="47B0247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（4）投标人承诺函（格式见附件）</w:t>
      </w:r>
      <w:r>
        <w:rPr>
          <w:rFonts w:hint="eastAsia" w:ascii="宋体" w:hAnsi="宋体" w:cs="宋体"/>
          <w:color w:val="auto"/>
          <w:sz w:val="24"/>
          <w:szCs w:val="24"/>
          <w:highlight w:val="none"/>
          <w:lang w:eastAsia="zh-CN"/>
        </w:rPr>
        <w:t>；</w:t>
      </w:r>
    </w:p>
    <w:p w14:paraId="1E878BE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）中小企业声明函（格式见附件）；</w:t>
      </w:r>
    </w:p>
    <w:p w14:paraId="6A48480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）残疾人福利性单位声明函(如有)（格式见附件）；</w:t>
      </w:r>
    </w:p>
    <w:p w14:paraId="7380E015">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）监狱企业证明文件(如有)（格式见附件）。</w:t>
      </w:r>
    </w:p>
    <w:p w14:paraId="293457D8">
      <w:pPr>
        <w:pStyle w:val="3"/>
        <w:rPr>
          <w:rFonts w:hint="eastAsia"/>
          <w:color w:val="auto"/>
          <w:lang w:eastAsia="zh-CN"/>
        </w:rPr>
      </w:pPr>
    </w:p>
    <w:p w14:paraId="64D30313">
      <w:pPr>
        <w:pStyle w:val="4"/>
        <w:ind w:firstLine="486"/>
        <w:rPr>
          <w:rFonts w:hint="eastAsia" w:ascii="宋体" w:hAnsi="宋体" w:eastAsia="宋体" w:cs="宋体"/>
          <w:color w:val="auto"/>
          <w:highlight w:val="none"/>
        </w:rPr>
      </w:pPr>
    </w:p>
    <w:p w14:paraId="5E5E4207">
      <w:pPr>
        <w:pStyle w:val="4"/>
        <w:ind w:firstLine="486"/>
        <w:rPr>
          <w:rFonts w:hint="eastAsia" w:ascii="宋体" w:hAnsi="宋体" w:eastAsia="宋体" w:cs="宋体"/>
          <w:color w:val="auto"/>
          <w:highlight w:val="none"/>
        </w:rPr>
      </w:pPr>
    </w:p>
    <w:p w14:paraId="345E0072">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97" w:name="_Toc24699"/>
    </w:p>
    <w:p w14:paraId="02C286B4">
      <w:pPr>
        <w:rPr>
          <w:rFonts w:hint="eastAsia" w:ascii="宋体" w:hAnsi="宋体" w:eastAsia="宋体" w:cs="宋体"/>
          <w:b/>
          <w:bCs/>
          <w:color w:val="auto"/>
          <w:highlight w:val="none"/>
        </w:rPr>
      </w:pPr>
      <w:r>
        <w:rPr>
          <w:rFonts w:hint="eastAsia" w:ascii="宋体" w:hAnsi="宋体" w:eastAsia="宋体" w:cs="宋体"/>
          <w:b/>
          <w:bCs/>
          <w:color w:val="auto"/>
          <w:highlight w:val="none"/>
        </w:rPr>
        <w:t>附件一：</w:t>
      </w:r>
    </w:p>
    <w:p w14:paraId="271D568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法定代表人授权书</w:t>
      </w:r>
      <w:bookmarkEnd w:id="97"/>
    </w:p>
    <w:p w14:paraId="661B08FA">
      <w:pPr>
        <w:pStyle w:val="3"/>
        <w:spacing w:line="360" w:lineRule="auto"/>
        <w:rPr>
          <w:rFonts w:hint="eastAsia" w:ascii="宋体" w:hAnsi="宋体" w:eastAsia="宋体" w:cs="宋体"/>
          <w:color w:val="auto"/>
          <w:highlight w:val="none"/>
        </w:rPr>
      </w:pPr>
    </w:p>
    <w:p w14:paraId="5E488A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绍兴市上虞区道墟街道办事处</w:t>
      </w:r>
      <w:r>
        <w:rPr>
          <w:rFonts w:hint="eastAsia" w:ascii="宋体" w:hAnsi="宋体" w:eastAsia="宋体" w:cs="宋体"/>
          <w:color w:val="auto"/>
          <w:sz w:val="24"/>
          <w:szCs w:val="24"/>
          <w:highlight w:val="none"/>
        </w:rPr>
        <w:t>：</w:t>
      </w:r>
    </w:p>
    <w:p w14:paraId="3D7E4D0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浙江省成套工程有限公司</w:t>
      </w:r>
      <w:r>
        <w:rPr>
          <w:rFonts w:hint="eastAsia" w:ascii="宋体" w:hAnsi="宋体" w:eastAsia="宋体" w:cs="宋体"/>
          <w:color w:val="auto"/>
          <w:sz w:val="24"/>
          <w:szCs w:val="24"/>
          <w:highlight w:val="none"/>
        </w:rPr>
        <w:t>：</w:t>
      </w:r>
    </w:p>
    <w:p w14:paraId="3A341E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（供应商全称）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（授权代表名称）</w:t>
      </w:r>
      <w:r>
        <w:rPr>
          <w:rFonts w:hint="eastAsia" w:ascii="宋体" w:hAnsi="宋体" w:eastAsia="宋体" w:cs="宋体"/>
          <w:color w:val="auto"/>
          <w:sz w:val="24"/>
          <w:szCs w:val="24"/>
          <w:highlight w:val="none"/>
        </w:rPr>
        <w:t>为授权代表，参加贵处组织的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（括号内填写招标编号）</w:t>
      </w:r>
      <w:r>
        <w:rPr>
          <w:rFonts w:hint="eastAsia" w:ascii="宋体" w:hAnsi="宋体" w:eastAsia="宋体" w:cs="宋体"/>
          <w:color w:val="auto"/>
          <w:sz w:val="24"/>
          <w:szCs w:val="24"/>
          <w:highlight w:val="none"/>
        </w:rPr>
        <w:t>，授权处理招投标活动中的一切事宜。</w:t>
      </w:r>
    </w:p>
    <w:p w14:paraId="1750E25B">
      <w:pPr>
        <w:spacing w:line="360" w:lineRule="auto"/>
        <w:ind w:firstLine="480" w:firstLineChars="200"/>
        <w:rPr>
          <w:rFonts w:hint="eastAsia" w:ascii="宋体" w:hAnsi="宋体" w:eastAsia="宋体" w:cs="宋体"/>
          <w:color w:val="auto"/>
          <w:sz w:val="24"/>
          <w:szCs w:val="24"/>
          <w:highlight w:val="none"/>
        </w:rPr>
      </w:pPr>
    </w:p>
    <w:p w14:paraId="4DE4E5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42407D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w:t>
      </w:r>
    </w:p>
    <w:p w14:paraId="39ABC8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3E564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7454A7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w:t>
      </w:r>
    </w:p>
    <w:p w14:paraId="7285B0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14:paraId="52DBEB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52CB40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0187EE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5F4779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5B7B1ECA">
      <w:pPr>
        <w:pStyle w:val="16"/>
        <w:snapToGrid w:val="0"/>
        <w:spacing w:line="360" w:lineRule="auto"/>
        <w:rPr>
          <w:rFonts w:hint="eastAsia" w:ascii="宋体" w:hAnsi="宋体" w:eastAsia="宋体" w:cs="宋体"/>
          <w:color w:val="auto"/>
          <w:sz w:val="24"/>
          <w:szCs w:val="24"/>
          <w:highlight w:val="none"/>
        </w:rPr>
      </w:pPr>
    </w:p>
    <w:p w14:paraId="71D81E94">
      <w:pPr>
        <w:pStyle w:val="16"/>
        <w:snapToGrid w:val="0"/>
        <w:spacing w:line="360" w:lineRule="auto"/>
        <w:rPr>
          <w:rFonts w:hint="eastAsia" w:ascii="宋体" w:hAnsi="宋体" w:eastAsia="宋体" w:cs="宋体"/>
          <w:color w:val="auto"/>
          <w:sz w:val="24"/>
          <w:szCs w:val="24"/>
          <w:highlight w:val="none"/>
        </w:rPr>
      </w:pPr>
    </w:p>
    <w:p w14:paraId="0BD277EB">
      <w:pPr>
        <w:pStyle w:val="16"/>
        <w:snapToGrid w:val="0"/>
        <w:spacing w:line="360" w:lineRule="auto"/>
        <w:rPr>
          <w:rFonts w:hint="eastAsia" w:ascii="宋体" w:hAnsi="宋体" w:eastAsia="宋体" w:cs="宋体"/>
          <w:color w:val="auto"/>
          <w:sz w:val="24"/>
          <w:szCs w:val="24"/>
          <w:highlight w:val="none"/>
        </w:rPr>
      </w:pPr>
    </w:p>
    <w:p w14:paraId="4BA057B1">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附：授权代表身份证复印件（正反面）</w:t>
      </w:r>
    </w:p>
    <w:p w14:paraId="01360885">
      <w:pPr>
        <w:spacing w:line="360" w:lineRule="auto"/>
        <w:rPr>
          <w:rFonts w:hint="eastAsia" w:ascii="宋体" w:hAnsi="宋体" w:eastAsia="宋体" w:cs="宋体"/>
          <w:b/>
          <w:bCs/>
          <w:color w:val="auto"/>
          <w:sz w:val="24"/>
          <w:szCs w:val="24"/>
          <w:highlight w:val="none"/>
        </w:rPr>
      </w:pPr>
    </w:p>
    <w:p w14:paraId="23A57D71">
      <w:pPr>
        <w:pStyle w:val="4"/>
        <w:ind w:firstLine="486"/>
        <w:rPr>
          <w:rFonts w:hint="eastAsia" w:ascii="宋体" w:hAnsi="宋体" w:eastAsia="宋体" w:cs="宋体"/>
          <w:color w:val="auto"/>
          <w:highlight w:val="none"/>
        </w:rPr>
      </w:pPr>
    </w:p>
    <w:p w14:paraId="1624E42B">
      <w:pPr>
        <w:snapToGrid w:val="0"/>
        <w:spacing w:before="50" w:after="167" w:afterLines="50"/>
        <w:jc w:val="left"/>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kern w:val="2"/>
          <w:sz w:val="24"/>
          <w:szCs w:val="24"/>
          <w:highlight w:val="none"/>
          <w:lang w:val="zh-CN" w:eastAsia="zh-CN" w:bidi="ar-SA"/>
        </w:rPr>
        <w:t>附件二：</w:t>
      </w:r>
    </w:p>
    <w:p w14:paraId="6FEE3EE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投 标 </w:t>
      </w:r>
      <w:r>
        <w:rPr>
          <w:rFonts w:hint="eastAsia" w:ascii="宋体" w:hAnsi="宋体" w:eastAsia="宋体" w:cs="宋体"/>
          <w:b/>
          <w:bCs/>
          <w:color w:val="auto"/>
          <w:sz w:val="32"/>
          <w:szCs w:val="32"/>
          <w:highlight w:val="none"/>
          <w:lang w:eastAsia="zh-CN"/>
        </w:rPr>
        <w:t>人</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承</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诺</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函</w:t>
      </w:r>
    </w:p>
    <w:p w14:paraId="0E6AFC42">
      <w:pPr>
        <w:pStyle w:val="8"/>
        <w:rPr>
          <w:rFonts w:hint="eastAsia" w:ascii="宋体" w:hAnsi="宋体" w:eastAsia="宋体" w:cs="宋体"/>
          <w:color w:val="auto"/>
          <w:highlight w:val="none"/>
        </w:rPr>
      </w:pPr>
    </w:p>
    <w:p w14:paraId="3190A248">
      <w:pPr>
        <w:rPr>
          <w:rFonts w:hint="eastAsia" w:ascii="宋体" w:hAnsi="宋体" w:eastAsia="宋体" w:cs="宋体"/>
          <w:color w:val="auto"/>
          <w:highlight w:val="none"/>
        </w:rPr>
      </w:pPr>
    </w:p>
    <w:p w14:paraId="3CEE19CF">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绍兴市上虞区道墟街道办事处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4BAD359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浙江省成套工程有限公司</w:t>
      </w:r>
      <w:r>
        <w:rPr>
          <w:rFonts w:hint="eastAsia" w:ascii="宋体" w:hAnsi="宋体" w:eastAsia="宋体" w:cs="宋体"/>
          <w:color w:val="auto"/>
          <w:sz w:val="24"/>
          <w:highlight w:val="none"/>
          <w:u w:val="single"/>
        </w:rPr>
        <w:t>：</w:t>
      </w:r>
    </w:p>
    <w:p w14:paraId="3BC66A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2D8D3F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p>
    <w:p w14:paraId="6E94D3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599FA8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45D39E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6E17B1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7D410E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3924DB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0FF1C0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38350E63">
      <w:pPr>
        <w:pStyle w:val="56"/>
        <w:numPr>
          <w:ilvl w:val="0"/>
          <w:numId w:val="0"/>
        </w:numPr>
        <w:spacing w:before="0"/>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 w:val="24"/>
          <w:highlight w:val="none"/>
        </w:rPr>
        <w:t>8、</w:t>
      </w:r>
      <w:r>
        <w:rPr>
          <w:rFonts w:hint="eastAsia" w:ascii="宋体" w:hAnsi="宋体" w:eastAsia="宋体" w:cs="宋体"/>
          <w:color w:val="auto"/>
          <w:szCs w:val="24"/>
          <w:highlight w:val="none"/>
          <w:lang w:val="en-US" w:eastAsia="zh-CN"/>
        </w:rPr>
        <w:t>具有良好的商业信誉和健全的财务会计制度；</w:t>
      </w:r>
    </w:p>
    <w:p w14:paraId="40C8F3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9、具有依法缴纳税收和社会保障资金的良好记录</w:t>
      </w:r>
      <w:r>
        <w:rPr>
          <w:rFonts w:hint="eastAsia" w:ascii="宋体" w:hAnsi="宋体" w:eastAsia="宋体" w:cs="宋体"/>
          <w:color w:val="auto"/>
          <w:sz w:val="24"/>
          <w:highlight w:val="none"/>
        </w:rPr>
        <w:t>；</w:t>
      </w:r>
    </w:p>
    <w:p w14:paraId="4B36E1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710978E8">
      <w:pPr>
        <w:spacing w:line="360" w:lineRule="auto"/>
        <w:ind w:firstLine="480" w:firstLineChars="200"/>
        <w:rPr>
          <w:rFonts w:hint="eastAsia" w:ascii="宋体" w:hAnsi="宋体" w:eastAsia="宋体" w:cs="宋体"/>
          <w:color w:val="auto"/>
          <w:sz w:val="24"/>
          <w:highlight w:val="none"/>
        </w:rPr>
      </w:pPr>
    </w:p>
    <w:p w14:paraId="293DD32F">
      <w:pPr>
        <w:pStyle w:val="4"/>
        <w:rPr>
          <w:rFonts w:hint="eastAsia" w:ascii="宋体" w:hAnsi="宋体" w:eastAsia="宋体" w:cs="宋体"/>
          <w:color w:val="auto"/>
          <w:highlight w:val="none"/>
        </w:rPr>
      </w:pPr>
    </w:p>
    <w:p w14:paraId="6731A555">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法定代表人签名（或签名章）：                       </w:t>
      </w:r>
    </w:p>
    <w:p w14:paraId="4B29362A">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6D297FA">
      <w:pPr>
        <w:spacing w:line="360" w:lineRule="auto"/>
        <w:ind w:leftChars="18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p>
    <w:p w14:paraId="3C753E52">
      <w:pPr>
        <w:spacing w:line="360" w:lineRule="auto"/>
        <w:jc w:val="left"/>
        <w:rPr>
          <w:rFonts w:hint="eastAsia" w:ascii="宋体" w:hAnsi="宋体" w:eastAsia="宋体" w:cs="宋体"/>
          <w:b/>
          <w:bCs/>
          <w:color w:val="auto"/>
          <w:sz w:val="24"/>
          <w:szCs w:val="24"/>
          <w:highlight w:val="none"/>
          <w:lang w:val="zh-CN"/>
        </w:rPr>
      </w:pPr>
    </w:p>
    <w:p w14:paraId="76719D1F">
      <w:pPr>
        <w:spacing w:line="360" w:lineRule="auto"/>
        <w:jc w:val="left"/>
        <w:rPr>
          <w:rFonts w:hint="eastAsia" w:ascii="宋体" w:hAnsi="宋体" w:eastAsia="宋体" w:cs="宋体"/>
          <w:b/>
          <w:bCs/>
          <w:color w:val="auto"/>
          <w:sz w:val="24"/>
          <w:szCs w:val="24"/>
          <w:highlight w:val="none"/>
          <w:lang w:val="zh-CN"/>
        </w:rPr>
      </w:pPr>
    </w:p>
    <w:p w14:paraId="5B1B9275">
      <w:pP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24"/>
          <w:szCs w:val="24"/>
          <w:highlight w:val="none"/>
          <w:lang w:val="zh-CN"/>
        </w:rPr>
        <w:t>附件</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rPr>
        <w:t>：</w:t>
      </w:r>
    </w:p>
    <w:p w14:paraId="59C698A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p>
    <w:p w14:paraId="4B2DA356">
      <w:pPr>
        <w:spacing w:line="288"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w:t>
      </w:r>
    </w:p>
    <w:p w14:paraId="7E02739A">
      <w:pP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14:paraId="23A4A59E">
      <w:pPr>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其他未列明行业</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4958421A">
      <w:pP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1CBF18A">
      <w:pP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5BB8BCB">
      <w:pP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3438CE2D">
      <w:pPr>
        <w:spacing w:line="288" w:lineRule="auto"/>
        <w:ind w:right="420" w:firstLine="4320" w:firstLineChars="1800"/>
        <w:rPr>
          <w:rFonts w:hint="eastAsia" w:ascii="宋体" w:hAnsi="宋体" w:eastAsia="宋体" w:cs="宋体"/>
          <w:color w:val="auto"/>
          <w:sz w:val="24"/>
          <w:szCs w:val="24"/>
          <w:highlight w:val="none"/>
        </w:rPr>
      </w:pPr>
    </w:p>
    <w:p w14:paraId="2D3DD2D9">
      <w:pPr>
        <w:spacing w:line="288" w:lineRule="auto"/>
        <w:ind w:right="420" w:firstLine="4320" w:firstLineChars="1800"/>
        <w:rPr>
          <w:rFonts w:hint="eastAsia" w:ascii="宋体" w:hAnsi="宋体" w:eastAsia="宋体" w:cs="宋体"/>
          <w:color w:val="auto"/>
          <w:sz w:val="24"/>
          <w:szCs w:val="24"/>
          <w:highlight w:val="none"/>
        </w:rPr>
      </w:pPr>
    </w:p>
    <w:p w14:paraId="4A776E8C">
      <w:pPr>
        <w:spacing w:line="288" w:lineRule="auto"/>
        <w:ind w:right="420"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33778A01">
      <w:pPr>
        <w:spacing w:line="288" w:lineRule="auto"/>
        <w:ind w:left="3780" w:leftChars="1800"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638279D8">
      <w:pPr>
        <w:pStyle w:val="3"/>
        <w:spacing w:line="288" w:lineRule="auto"/>
        <w:rPr>
          <w:rFonts w:hint="eastAsia" w:ascii="宋体" w:hAnsi="宋体" w:eastAsia="宋体" w:cs="宋体"/>
          <w:color w:val="auto"/>
          <w:sz w:val="24"/>
          <w:szCs w:val="24"/>
          <w:highlight w:val="none"/>
        </w:rPr>
      </w:pPr>
    </w:p>
    <w:p w14:paraId="69EC0236">
      <w:pPr>
        <w:spacing w:line="288" w:lineRule="auto"/>
        <w:ind w:firstLine="480" w:firstLineChars="200"/>
        <w:jc w:val="left"/>
        <w:rPr>
          <w:rFonts w:hint="eastAsia" w:ascii="宋体" w:hAnsi="宋体" w:eastAsia="宋体" w:cs="宋体"/>
          <w:color w:val="auto"/>
          <w:sz w:val="24"/>
          <w:szCs w:val="24"/>
          <w:highlight w:val="none"/>
        </w:rPr>
      </w:pPr>
    </w:p>
    <w:p w14:paraId="4E3AA8AF">
      <w:pPr>
        <w:spacing w:line="288" w:lineRule="auto"/>
        <w:ind w:firstLine="480" w:firstLineChars="200"/>
        <w:jc w:val="left"/>
        <w:rPr>
          <w:rFonts w:hint="eastAsia" w:ascii="宋体" w:hAnsi="宋体" w:eastAsia="宋体" w:cs="宋体"/>
          <w:color w:val="auto"/>
          <w:sz w:val="24"/>
          <w:szCs w:val="24"/>
          <w:highlight w:val="none"/>
        </w:rPr>
      </w:pPr>
    </w:p>
    <w:p w14:paraId="7FF34376">
      <w:pPr>
        <w:spacing w:line="288" w:lineRule="auto"/>
        <w:ind w:firstLine="480" w:firstLineChars="200"/>
        <w:jc w:val="left"/>
        <w:rPr>
          <w:rFonts w:hint="eastAsia" w:ascii="宋体" w:hAnsi="宋体" w:eastAsia="宋体" w:cs="宋体"/>
          <w:color w:val="auto"/>
          <w:sz w:val="24"/>
          <w:szCs w:val="24"/>
          <w:highlight w:val="none"/>
        </w:rPr>
      </w:pPr>
    </w:p>
    <w:p w14:paraId="0E346C97">
      <w:pPr>
        <w:spacing w:line="288"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75D2BD70">
      <w:pPr>
        <w:widowControl/>
        <w:snapToGrid w:val="0"/>
        <w:spacing w:line="324" w:lineRule="auto"/>
        <w:ind w:firstLine="480" w:firstLineChars="200"/>
        <w:jc w:val="left"/>
        <w:rPr>
          <w:rFonts w:hint="eastAsia" w:ascii="宋体" w:hAnsi="宋体" w:eastAsia="宋体" w:cs="宋体"/>
          <w:color w:val="auto"/>
          <w:sz w:val="24"/>
          <w:szCs w:val="24"/>
          <w:highlight w:val="none"/>
        </w:rPr>
      </w:pPr>
    </w:p>
    <w:p w14:paraId="177E4DEC">
      <w:pPr>
        <w:pStyle w:val="2"/>
        <w:spacing w:line="360" w:lineRule="auto"/>
        <w:jc w:val="center"/>
        <w:rPr>
          <w:rFonts w:hint="eastAsia" w:ascii="宋体" w:hAnsi="宋体" w:eastAsia="宋体" w:cs="宋体"/>
          <w:color w:val="auto"/>
          <w:sz w:val="24"/>
          <w:szCs w:val="24"/>
          <w:highlight w:val="none"/>
        </w:rPr>
      </w:pPr>
    </w:p>
    <w:p w14:paraId="2FEC6D62">
      <w:pPr>
        <w:pStyle w:val="2"/>
        <w:spacing w:line="360" w:lineRule="auto"/>
        <w:jc w:val="center"/>
        <w:rPr>
          <w:rFonts w:hint="eastAsia" w:ascii="宋体" w:hAnsi="宋体" w:eastAsia="宋体" w:cs="宋体"/>
          <w:color w:val="auto"/>
          <w:sz w:val="24"/>
          <w:szCs w:val="24"/>
          <w:highlight w:val="none"/>
        </w:rPr>
      </w:pPr>
    </w:p>
    <w:p w14:paraId="0CAC921A">
      <w:pPr>
        <w:jc w:val="center"/>
        <w:rPr>
          <w:rFonts w:hint="eastAsia" w:ascii="宋体" w:hAnsi="宋体" w:eastAsia="宋体" w:cs="宋体"/>
          <w:color w:val="auto"/>
          <w:highlight w:val="none"/>
          <w:lang w:val="zh-CN"/>
        </w:rPr>
      </w:pPr>
      <w:bookmarkStart w:id="98" w:name="_Toc2071"/>
      <w:bookmarkStart w:id="99" w:name="_Toc3295"/>
      <w:bookmarkStart w:id="100" w:name="_Toc30916"/>
      <w:r>
        <w:rPr>
          <w:rFonts w:hint="eastAsia" w:ascii="宋体" w:hAnsi="宋体" w:eastAsia="宋体" w:cs="宋体"/>
          <w:color w:val="auto"/>
          <w:highlight w:val="none"/>
        </w:rPr>
        <w:br w:type="page"/>
      </w:r>
      <w:bookmarkEnd w:id="98"/>
      <w:bookmarkEnd w:id="99"/>
      <w:bookmarkEnd w:id="100"/>
    </w:p>
    <w:p w14:paraId="4464F58F">
      <w:pPr>
        <w:rPr>
          <w:rFonts w:hint="eastAsia" w:ascii="宋体" w:hAnsi="宋体" w:eastAsia="宋体" w:cs="宋体"/>
          <w:b/>
          <w:bCs/>
          <w:color w:val="auto"/>
          <w:sz w:val="24"/>
          <w:szCs w:val="24"/>
          <w:highlight w:val="none"/>
          <w:lang w:val="zh-CN"/>
        </w:rPr>
      </w:pPr>
      <w:bookmarkStart w:id="101" w:name="_Toc31472"/>
      <w:bookmarkStart w:id="102" w:name="_Toc25017"/>
      <w:bookmarkStart w:id="103" w:name="_Toc16150"/>
      <w:bookmarkStart w:id="104" w:name="_Toc9715"/>
      <w:r>
        <w:rPr>
          <w:rFonts w:hint="eastAsia" w:ascii="宋体" w:hAnsi="宋体" w:eastAsia="宋体" w:cs="宋体"/>
          <w:b/>
          <w:bCs/>
          <w:color w:val="auto"/>
          <w:sz w:val="24"/>
          <w:szCs w:val="24"/>
          <w:highlight w:val="none"/>
          <w:lang w:val="zh-CN"/>
        </w:rPr>
        <w:t>附件</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p>
    <w:p w14:paraId="3A6CC63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bookmarkEnd w:id="101"/>
      <w:bookmarkEnd w:id="102"/>
      <w:bookmarkEnd w:id="103"/>
      <w:bookmarkEnd w:id="104"/>
    </w:p>
    <w:p w14:paraId="05D0DFD5">
      <w:pPr>
        <w:widowControl/>
        <w:snapToGrid w:val="0"/>
        <w:spacing w:line="324" w:lineRule="auto"/>
        <w:ind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【不属于残疾人福利性单位的无需填写、递交】</w:t>
      </w:r>
    </w:p>
    <w:p w14:paraId="07673BCD">
      <w:pPr>
        <w:spacing w:line="588" w:lineRule="exact"/>
        <w:rPr>
          <w:rFonts w:hint="eastAsia" w:ascii="宋体" w:hAnsi="宋体" w:eastAsia="宋体" w:cs="宋体"/>
          <w:b/>
          <w:bCs/>
          <w:color w:val="auto"/>
          <w:spacing w:val="6"/>
          <w:sz w:val="30"/>
          <w:szCs w:val="30"/>
          <w:highlight w:val="none"/>
        </w:rPr>
      </w:pPr>
    </w:p>
    <w:p w14:paraId="534EDDBC">
      <w:pPr>
        <w:spacing w:line="588"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1AED7B0C">
      <w:pPr>
        <w:pStyle w:val="2"/>
        <w:rPr>
          <w:rFonts w:hint="eastAsia" w:ascii="宋体" w:hAnsi="宋体" w:eastAsia="宋体" w:cs="宋体"/>
          <w:color w:val="auto"/>
          <w:highlight w:val="none"/>
        </w:rPr>
      </w:pPr>
    </w:p>
    <w:p w14:paraId="38EEB0EF">
      <w:pPr>
        <w:pStyle w:val="3"/>
        <w:rPr>
          <w:rFonts w:hint="eastAsia" w:ascii="宋体" w:hAnsi="宋体" w:eastAsia="宋体" w:cs="宋体"/>
          <w:color w:val="auto"/>
          <w:highlight w:val="none"/>
        </w:rPr>
      </w:pPr>
    </w:p>
    <w:p w14:paraId="28D44A04">
      <w:pPr>
        <w:spacing w:line="588" w:lineRule="exact"/>
        <w:rPr>
          <w:rFonts w:hint="eastAsia" w:ascii="宋体" w:hAnsi="宋体" w:eastAsia="宋体" w:cs="宋体"/>
          <w:color w:val="auto"/>
          <w:sz w:val="24"/>
          <w:szCs w:val="24"/>
          <w:highlight w:val="none"/>
        </w:rPr>
      </w:pPr>
    </w:p>
    <w:p w14:paraId="4FADD3CA">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7CC94D38">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685F161A">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4447A579">
      <w:pPr>
        <w:rPr>
          <w:rFonts w:hint="eastAsia" w:ascii="宋体" w:hAnsi="宋体" w:eastAsia="宋体" w:cs="宋体"/>
          <w:b/>
          <w:bCs/>
          <w:color w:val="auto"/>
          <w:sz w:val="24"/>
          <w:szCs w:val="24"/>
          <w:highlight w:val="none"/>
          <w:lang w:val="zh-CN"/>
        </w:rPr>
      </w:pPr>
      <w:bookmarkStart w:id="105" w:name="_Toc2386"/>
      <w:bookmarkStart w:id="106" w:name="_Toc15966"/>
      <w:bookmarkStart w:id="107" w:name="_Toc5441"/>
      <w:bookmarkStart w:id="108" w:name="_Toc24"/>
      <w:r>
        <w:rPr>
          <w:rFonts w:hint="eastAsia" w:ascii="宋体" w:hAnsi="宋体" w:eastAsia="宋体" w:cs="宋体"/>
          <w:color w:val="auto"/>
          <w:sz w:val="24"/>
          <w:szCs w:val="24"/>
          <w:highlight w:val="none"/>
          <w:lang w:val="zh-CN"/>
        </w:rPr>
        <w:br w:type="page"/>
      </w:r>
      <w:r>
        <w:rPr>
          <w:rFonts w:hint="eastAsia" w:ascii="宋体" w:hAnsi="宋体" w:eastAsia="宋体" w:cs="宋体"/>
          <w:b/>
          <w:bCs/>
          <w:color w:val="auto"/>
          <w:sz w:val="24"/>
          <w:szCs w:val="24"/>
          <w:highlight w:val="none"/>
          <w:lang w:val="zh-CN"/>
        </w:rPr>
        <w:t>附件</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p>
    <w:p w14:paraId="22C8C63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监狱企业证明文件</w:t>
      </w:r>
      <w:bookmarkEnd w:id="105"/>
      <w:bookmarkEnd w:id="106"/>
      <w:bookmarkEnd w:id="107"/>
      <w:bookmarkEnd w:id="108"/>
    </w:p>
    <w:p w14:paraId="1E69D4D7">
      <w:pPr>
        <w:widowControl/>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【不属于监狱企业的无需填写、递交】</w:t>
      </w:r>
    </w:p>
    <w:p w14:paraId="7442006F">
      <w:pPr>
        <w:widowControl/>
        <w:snapToGrid w:val="0"/>
        <w:spacing w:line="324" w:lineRule="auto"/>
        <w:jc w:val="center"/>
        <w:rPr>
          <w:rFonts w:hint="eastAsia" w:ascii="宋体" w:hAnsi="宋体" w:eastAsia="宋体" w:cs="宋体"/>
          <w:color w:val="auto"/>
          <w:kern w:val="0"/>
          <w:sz w:val="24"/>
          <w:szCs w:val="24"/>
          <w:highlight w:val="none"/>
        </w:rPr>
      </w:pPr>
    </w:p>
    <w:p w14:paraId="2C922211">
      <w:pPr>
        <w:spacing w:line="588" w:lineRule="exact"/>
        <w:ind w:firstLine="480" w:firstLineChars="200"/>
        <w:rPr>
          <w:rFonts w:hint="eastAsia" w:ascii="宋体" w:hAnsi="宋体" w:eastAsia="宋体" w:cs="宋体"/>
          <w:color w:val="auto"/>
          <w:sz w:val="24"/>
          <w:szCs w:val="24"/>
          <w:highlight w:val="none"/>
        </w:rPr>
      </w:pPr>
    </w:p>
    <w:p w14:paraId="6F7E92D7">
      <w:pPr>
        <w:adjustRightInd w:val="0"/>
        <w:snapToGrid w:val="0"/>
        <w:spacing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监狱企业需提供省级以上的监狱管理局、戒毒管理局（含新疆生产建设兵团）出具的属于监狱企业的证明文件。  </w:t>
      </w:r>
    </w:p>
    <w:p w14:paraId="23CD50CD">
      <w:pPr>
        <w:pStyle w:val="2"/>
        <w:rPr>
          <w:rFonts w:hint="eastAsia" w:ascii="宋体" w:hAnsi="宋体" w:eastAsia="宋体" w:cs="宋体"/>
          <w:color w:val="auto"/>
          <w:highlight w:val="none"/>
        </w:rPr>
      </w:pPr>
    </w:p>
    <w:p w14:paraId="575E26A1">
      <w:pPr>
        <w:pStyle w:val="3"/>
        <w:rPr>
          <w:rFonts w:hint="eastAsia" w:ascii="宋体" w:hAnsi="宋体" w:eastAsia="宋体" w:cs="宋体"/>
          <w:color w:val="auto"/>
          <w:highlight w:val="none"/>
        </w:rPr>
      </w:pPr>
    </w:p>
    <w:p w14:paraId="74B1CA93">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3ECB6535">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7D7B03D3">
      <w:pPr>
        <w:pStyle w:val="4"/>
        <w:ind w:firstLine="0"/>
        <w:rPr>
          <w:rFonts w:hint="eastAsia" w:ascii="宋体" w:hAnsi="宋体" w:eastAsia="宋体" w:cs="宋体"/>
          <w:b/>
          <w:bCs/>
          <w:color w:val="auto"/>
          <w:highlight w:val="none"/>
          <w:lang w:val="zh-CN"/>
        </w:rPr>
      </w:pPr>
      <w:r>
        <w:rPr>
          <w:rFonts w:hint="eastAsia" w:ascii="宋体" w:hAnsi="宋体" w:eastAsia="宋体" w:cs="宋体"/>
          <w:color w:val="auto"/>
          <w:sz w:val="24"/>
          <w:szCs w:val="24"/>
          <w:highlight w:val="none"/>
        </w:rPr>
        <w:t>供应商全称（公章）：</w:t>
      </w:r>
    </w:p>
    <w:p w14:paraId="5877B654">
      <w:pPr>
        <w:pStyle w:val="4"/>
        <w:ind w:firstLine="0"/>
        <w:rPr>
          <w:rFonts w:hint="eastAsia" w:ascii="宋体" w:hAnsi="宋体" w:eastAsia="宋体" w:cs="宋体"/>
          <w:b/>
          <w:bCs/>
          <w:color w:val="auto"/>
          <w:highlight w:val="none"/>
          <w:lang w:val="zh-CN"/>
        </w:rPr>
      </w:pPr>
    </w:p>
    <w:p w14:paraId="1B7566E8">
      <w:pPr>
        <w:pStyle w:val="4"/>
        <w:ind w:firstLine="0"/>
        <w:rPr>
          <w:rFonts w:hint="eastAsia" w:ascii="宋体" w:hAnsi="宋体" w:eastAsia="宋体" w:cs="宋体"/>
          <w:b/>
          <w:bCs/>
          <w:color w:val="auto"/>
          <w:highlight w:val="none"/>
          <w:lang w:val="zh-CN"/>
        </w:rPr>
      </w:pPr>
    </w:p>
    <w:p w14:paraId="532F6192">
      <w:pPr>
        <w:pStyle w:val="5"/>
        <w:rPr>
          <w:rFonts w:hint="eastAsia" w:ascii="宋体" w:hAnsi="宋体" w:eastAsia="宋体" w:cs="宋体"/>
          <w:b/>
          <w:bCs/>
          <w:color w:val="auto"/>
          <w:highlight w:val="none"/>
          <w:lang w:val="zh-CN"/>
        </w:rPr>
      </w:pPr>
    </w:p>
    <w:p w14:paraId="084C76F8">
      <w:pPr>
        <w:pStyle w:val="6"/>
        <w:rPr>
          <w:rFonts w:hint="eastAsia" w:ascii="宋体" w:hAnsi="宋体" w:eastAsia="宋体" w:cs="宋体"/>
          <w:b/>
          <w:bCs/>
          <w:color w:val="auto"/>
          <w:highlight w:val="none"/>
          <w:lang w:val="zh-CN"/>
        </w:rPr>
      </w:pPr>
    </w:p>
    <w:p w14:paraId="44E36A3E">
      <w:pPr>
        <w:pStyle w:val="8"/>
        <w:rPr>
          <w:rFonts w:hint="eastAsia" w:ascii="宋体" w:hAnsi="宋体" w:eastAsia="宋体" w:cs="宋体"/>
          <w:b/>
          <w:bCs/>
          <w:color w:val="auto"/>
          <w:highlight w:val="none"/>
          <w:lang w:val="zh-CN"/>
        </w:rPr>
      </w:pPr>
    </w:p>
    <w:p w14:paraId="64561C6E">
      <w:pPr>
        <w:rPr>
          <w:rFonts w:hint="eastAsia" w:ascii="宋体" w:hAnsi="宋体" w:eastAsia="宋体" w:cs="宋体"/>
          <w:b/>
          <w:bCs/>
          <w:color w:val="auto"/>
          <w:highlight w:val="none"/>
          <w:lang w:val="zh-CN"/>
        </w:rPr>
      </w:pPr>
    </w:p>
    <w:p w14:paraId="104762A9">
      <w:pPr>
        <w:pStyle w:val="2"/>
        <w:rPr>
          <w:rFonts w:hint="eastAsia" w:ascii="宋体" w:hAnsi="宋体" w:eastAsia="宋体" w:cs="宋体"/>
          <w:b/>
          <w:bCs/>
          <w:color w:val="auto"/>
          <w:highlight w:val="none"/>
          <w:lang w:val="zh-CN"/>
        </w:rPr>
      </w:pPr>
    </w:p>
    <w:p w14:paraId="2AD1A7A0">
      <w:pPr>
        <w:pStyle w:val="3"/>
        <w:rPr>
          <w:rFonts w:hint="eastAsia" w:ascii="宋体" w:hAnsi="宋体" w:eastAsia="宋体" w:cs="宋体"/>
          <w:b/>
          <w:bCs/>
          <w:color w:val="auto"/>
          <w:highlight w:val="none"/>
          <w:lang w:val="zh-CN"/>
        </w:rPr>
      </w:pPr>
    </w:p>
    <w:p w14:paraId="352088D8">
      <w:pPr>
        <w:rPr>
          <w:rFonts w:hint="eastAsia" w:ascii="宋体" w:hAnsi="宋体" w:eastAsia="宋体" w:cs="宋体"/>
          <w:b/>
          <w:bCs/>
          <w:color w:val="auto"/>
          <w:highlight w:val="none"/>
          <w:lang w:val="zh-CN"/>
        </w:rPr>
      </w:pPr>
    </w:p>
    <w:p w14:paraId="39997454">
      <w:pPr>
        <w:pStyle w:val="2"/>
        <w:rPr>
          <w:rFonts w:hint="eastAsia" w:ascii="宋体" w:hAnsi="宋体" w:eastAsia="宋体" w:cs="宋体"/>
          <w:b/>
          <w:bCs/>
          <w:color w:val="auto"/>
          <w:highlight w:val="none"/>
          <w:lang w:val="zh-CN"/>
        </w:rPr>
      </w:pPr>
    </w:p>
    <w:p w14:paraId="32771160">
      <w:pPr>
        <w:pStyle w:val="3"/>
        <w:rPr>
          <w:rFonts w:hint="eastAsia" w:ascii="宋体" w:hAnsi="宋体" w:eastAsia="宋体" w:cs="宋体"/>
          <w:b/>
          <w:bCs/>
          <w:color w:val="auto"/>
          <w:highlight w:val="none"/>
          <w:lang w:val="zh-CN"/>
        </w:rPr>
      </w:pPr>
    </w:p>
    <w:p w14:paraId="36A5713D">
      <w:pPr>
        <w:rPr>
          <w:rFonts w:hint="eastAsia" w:ascii="宋体" w:hAnsi="宋体" w:eastAsia="宋体" w:cs="宋体"/>
          <w:b/>
          <w:bCs/>
          <w:color w:val="auto"/>
          <w:highlight w:val="none"/>
          <w:lang w:val="zh-CN"/>
        </w:rPr>
      </w:pPr>
    </w:p>
    <w:p w14:paraId="59855FCC">
      <w:pPr>
        <w:pStyle w:val="3"/>
        <w:rPr>
          <w:rFonts w:hint="eastAsia" w:ascii="宋体" w:hAnsi="宋体" w:eastAsia="宋体" w:cs="宋体"/>
          <w:b/>
          <w:bCs/>
          <w:color w:val="auto"/>
          <w:highlight w:val="none"/>
          <w:lang w:val="zh-CN"/>
        </w:rPr>
      </w:pPr>
    </w:p>
    <w:p w14:paraId="495D8175">
      <w:pPr>
        <w:rPr>
          <w:rFonts w:hint="eastAsia" w:ascii="宋体" w:hAnsi="宋体" w:eastAsia="宋体" w:cs="宋体"/>
          <w:b/>
          <w:bCs/>
          <w:color w:val="auto"/>
          <w:highlight w:val="none"/>
          <w:lang w:val="zh-CN"/>
        </w:rPr>
      </w:pPr>
    </w:p>
    <w:p w14:paraId="4D9B3E54">
      <w:pPr>
        <w:pStyle w:val="3"/>
        <w:rPr>
          <w:rFonts w:hint="eastAsia" w:ascii="宋体" w:hAnsi="宋体" w:eastAsia="宋体" w:cs="宋体"/>
          <w:b/>
          <w:bCs/>
          <w:color w:val="auto"/>
          <w:highlight w:val="none"/>
          <w:lang w:val="zh-CN"/>
        </w:rPr>
      </w:pPr>
    </w:p>
    <w:p w14:paraId="4227B601">
      <w:pPr>
        <w:rPr>
          <w:rFonts w:hint="eastAsia" w:ascii="宋体" w:hAnsi="宋体" w:eastAsia="宋体" w:cs="宋体"/>
          <w:b/>
          <w:bCs/>
          <w:color w:val="auto"/>
          <w:highlight w:val="none"/>
          <w:lang w:val="zh-CN"/>
        </w:rPr>
      </w:pPr>
    </w:p>
    <w:p w14:paraId="16A97E37">
      <w:pPr>
        <w:pStyle w:val="3"/>
        <w:rPr>
          <w:rFonts w:hint="eastAsia" w:ascii="宋体" w:hAnsi="宋体" w:eastAsia="宋体" w:cs="宋体"/>
          <w:b/>
          <w:bCs/>
          <w:color w:val="auto"/>
          <w:highlight w:val="none"/>
          <w:lang w:val="zh-CN"/>
        </w:rPr>
      </w:pPr>
    </w:p>
    <w:p w14:paraId="18A66393">
      <w:pPr>
        <w:rPr>
          <w:rFonts w:hint="eastAsia" w:ascii="宋体" w:hAnsi="宋体" w:eastAsia="宋体" w:cs="宋体"/>
          <w:b/>
          <w:bCs/>
          <w:color w:val="auto"/>
          <w:highlight w:val="none"/>
          <w:lang w:val="zh-CN"/>
        </w:rPr>
      </w:pPr>
    </w:p>
    <w:p w14:paraId="150E0223">
      <w:pPr>
        <w:pStyle w:val="3"/>
        <w:rPr>
          <w:rFonts w:hint="eastAsia"/>
          <w:color w:val="auto"/>
          <w:lang w:val="zh-CN"/>
        </w:rPr>
      </w:pPr>
    </w:p>
    <w:p w14:paraId="72F23503">
      <w:pPr>
        <w:spacing w:line="360" w:lineRule="auto"/>
        <w:jc w:val="left"/>
        <w:rPr>
          <w:rFonts w:hint="eastAsia" w:ascii="宋体" w:hAnsi="宋体" w:eastAsia="宋体" w:cs="宋体"/>
          <w:b/>
          <w:bCs/>
          <w:color w:val="auto"/>
          <w:sz w:val="24"/>
          <w:szCs w:val="24"/>
          <w:highlight w:val="none"/>
          <w:lang w:val="zh-CN"/>
        </w:rPr>
      </w:pPr>
    </w:p>
    <w:p w14:paraId="56937B93">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商务技术文件</w:t>
      </w:r>
    </w:p>
    <w:p w14:paraId="2F8A6B62">
      <w:pPr>
        <w:spacing w:line="360" w:lineRule="auto"/>
        <w:jc w:val="center"/>
        <w:rPr>
          <w:rFonts w:hint="eastAsia" w:ascii="宋体" w:hAnsi="宋体" w:eastAsia="宋体" w:cs="宋体"/>
          <w:b/>
          <w:bCs/>
          <w:color w:val="auto"/>
          <w:kern w:val="0"/>
          <w:sz w:val="36"/>
          <w:szCs w:val="36"/>
          <w:highlight w:val="none"/>
        </w:rPr>
      </w:pPr>
    </w:p>
    <w:p w14:paraId="6C04748D">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bookmarkStart w:id="109" w:name="_Toc10131"/>
    </w:p>
    <w:p w14:paraId="3B5E3282">
      <w:pPr>
        <w:spacing w:line="360" w:lineRule="auto"/>
        <w:jc w:val="center"/>
        <w:rPr>
          <w:rFonts w:hint="eastAsia" w:ascii="宋体" w:hAnsi="宋体" w:eastAsia="宋体" w:cs="宋体"/>
          <w:b/>
          <w:bCs/>
          <w:color w:val="auto"/>
          <w:kern w:val="0"/>
          <w:sz w:val="36"/>
          <w:szCs w:val="36"/>
          <w:highlight w:val="none"/>
        </w:rPr>
      </w:pPr>
    </w:p>
    <w:p w14:paraId="66446CE9">
      <w:pPr>
        <w:pStyle w:val="56"/>
        <w:numPr>
          <w:ilvl w:val="0"/>
          <w:numId w:val="17"/>
        </w:numPr>
        <w:spacing w:before="0" w:line="336"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评分对应表（格式见附件，主要用于评委对应评分内容）</w:t>
      </w:r>
    </w:p>
    <w:p w14:paraId="6FA14540">
      <w:pPr>
        <w:pStyle w:val="56"/>
        <w:numPr>
          <w:ilvl w:val="0"/>
          <w:numId w:val="17"/>
        </w:numPr>
        <w:spacing w:before="0" w:line="336"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供应商商务技术文件中资信分自评表（格式见附件）；</w:t>
      </w:r>
    </w:p>
    <w:p w14:paraId="3DC2E6EC">
      <w:pPr>
        <w:pStyle w:val="56"/>
        <w:numPr>
          <w:ilvl w:val="0"/>
          <w:numId w:val="17"/>
        </w:numPr>
        <w:spacing w:before="0" w:line="336"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磋商项目明细清单（格式见附件）；</w:t>
      </w:r>
    </w:p>
    <w:p w14:paraId="692E4BF1">
      <w:pPr>
        <w:pStyle w:val="56"/>
        <w:numPr>
          <w:ilvl w:val="0"/>
          <w:numId w:val="17"/>
        </w:numPr>
        <w:spacing w:before="0" w:line="336"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技术响应及建议表（格式见附件）；</w:t>
      </w:r>
    </w:p>
    <w:p w14:paraId="43B276D4">
      <w:pPr>
        <w:pStyle w:val="56"/>
        <w:numPr>
          <w:ilvl w:val="0"/>
          <w:numId w:val="17"/>
        </w:numPr>
        <w:spacing w:before="0" w:line="336" w:lineRule="auto"/>
        <w:ind w:firstLine="480"/>
        <w:rPr>
          <w:rFonts w:asciiTheme="minorEastAsia" w:hAnsiTheme="minorEastAsia" w:eastAsiaTheme="minorEastAsia"/>
          <w:color w:val="auto"/>
        </w:rPr>
      </w:pPr>
      <w:r>
        <w:rPr>
          <w:rFonts w:hint="eastAsia" w:cs="宋体" w:asciiTheme="minorEastAsia" w:hAnsiTheme="minorEastAsia" w:eastAsiaTheme="minorEastAsia"/>
          <w:color w:val="auto"/>
        </w:rPr>
        <w:t>商务响应表（格式见附件）；</w:t>
      </w:r>
    </w:p>
    <w:p w14:paraId="4B88FA52">
      <w:pPr>
        <w:pStyle w:val="56"/>
        <w:numPr>
          <w:ilvl w:val="0"/>
          <w:numId w:val="17"/>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现状分析</w:t>
      </w:r>
      <w:r>
        <w:rPr>
          <w:rFonts w:hint="eastAsia" w:ascii="宋体" w:hAnsi="宋体" w:cs="宋体"/>
          <w:color w:val="auto"/>
          <w:sz w:val="24"/>
          <w:szCs w:val="24"/>
          <w:lang w:eastAsia="zh-CN"/>
        </w:rPr>
        <w:t>；</w:t>
      </w:r>
    </w:p>
    <w:p w14:paraId="53C84B94">
      <w:pPr>
        <w:pStyle w:val="56"/>
        <w:numPr>
          <w:ilvl w:val="0"/>
          <w:numId w:val="17"/>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技术方案</w:t>
      </w:r>
      <w:r>
        <w:rPr>
          <w:rFonts w:hint="eastAsia" w:ascii="宋体" w:hAnsi="宋体" w:cs="宋体"/>
          <w:color w:val="auto"/>
          <w:sz w:val="24"/>
          <w:szCs w:val="24"/>
          <w:lang w:eastAsia="zh-CN"/>
        </w:rPr>
        <w:t>；</w:t>
      </w:r>
    </w:p>
    <w:p w14:paraId="4F298E5C">
      <w:pPr>
        <w:pStyle w:val="56"/>
        <w:numPr>
          <w:ilvl w:val="0"/>
          <w:numId w:val="17"/>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重点、难点及解决措施</w:t>
      </w:r>
      <w:r>
        <w:rPr>
          <w:rFonts w:hint="eastAsia" w:ascii="宋体" w:hAnsi="宋体" w:cs="宋体"/>
          <w:color w:val="auto"/>
          <w:sz w:val="24"/>
          <w:szCs w:val="24"/>
          <w:lang w:eastAsia="zh-CN"/>
        </w:rPr>
        <w:t>；</w:t>
      </w:r>
    </w:p>
    <w:p w14:paraId="7F911120">
      <w:pPr>
        <w:pStyle w:val="56"/>
        <w:numPr>
          <w:ilvl w:val="0"/>
          <w:numId w:val="17"/>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进度安排</w:t>
      </w:r>
      <w:r>
        <w:rPr>
          <w:rFonts w:hint="eastAsia" w:ascii="宋体" w:hAnsi="宋体" w:cs="宋体"/>
          <w:color w:val="auto"/>
          <w:sz w:val="24"/>
          <w:szCs w:val="24"/>
          <w:lang w:eastAsia="zh-CN"/>
        </w:rPr>
        <w:t>；</w:t>
      </w:r>
    </w:p>
    <w:p w14:paraId="0CD46CC2">
      <w:pPr>
        <w:pStyle w:val="56"/>
        <w:numPr>
          <w:ilvl w:val="0"/>
          <w:numId w:val="17"/>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质量保证</w:t>
      </w:r>
      <w:r>
        <w:rPr>
          <w:rFonts w:hint="eastAsia" w:ascii="宋体" w:hAnsi="宋体" w:cs="宋体"/>
          <w:color w:val="auto"/>
          <w:sz w:val="24"/>
          <w:szCs w:val="24"/>
          <w:lang w:eastAsia="zh-CN"/>
        </w:rPr>
        <w:t>；</w:t>
      </w:r>
    </w:p>
    <w:p w14:paraId="2AFE64F8">
      <w:pPr>
        <w:pStyle w:val="56"/>
        <w:numPr>
          <w:ilvl w:val="0"/>
          <w:numId w:val="17"/>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特殊时期的应急保障措施</w:t>
      </w:r>
      <w:r>
        <w:rPr>
          <w:rFonts w:hint="eastAsia" w:ascii="宋体" w:hAnsi="宋体" w:cs="宋体"/>
          <w:color w:val="auto"/>
          <w:sz w:val="24"/>
          <w:szCs w:val="24"/>
          <w:lang w:eastAsia="zh-CN"/>
        </w:rPr>
        <w:t>；</w:t>
      </w:r>
    </w:p>
    <w:p w14:paraId="12DD084C">
      <w:pPr>
        <w:pStyle w:val="56"/>
        <w:numPr>
          <w:ilvl w:val="0"/>
          <w:numId w:val="17"/>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人员配备</w:t>
      </w:r>
      <w:r>
        <w:rPr>
          <w:rFonts w:hint="eastAsia" w:ascii="宋体" w:hAnsi="宋体" w:cs="宋体"/>
          <w:color w:val="auto"/>
          <w:sz w:val="24"/>
          <w:szCs w:val="24"/>
          <w:lang w:eastAsia="zh-CN"/>
        </w:rPr>
        <w:t>；</w:t>
      </w:r>
    </w:p>
    <w:p w14:paraId="793AF37A">
      <w:pPr>
        <w:pStyle w:val="56"/>
        <w:numPr>
          <w:ilvl w:val="0"/>
          <w:numId w:val="17"/>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安全作业培训</w:t>
      </w:r>
      <w:r>
        <w:rPr>
          <w:rFonts w:hint="eastAsia" w:ascii="宋体" w:hAnsi="宋体" w:cs="宋体"/>
          <w:color w:val="auto"/>
          <w:sz w:val="24"/>
          <w:szCs w:val="24"/>
          <w:lang w:eastAsia="zh-CN"/>
        </w:rPr>
        <w:t>；</w:t>
      </w:r>
    </w:p>
    <w:p w14:paraId="21FEE5A5">
      <w:pPr>
        <w:pStyle w:val="56"/>
        <w:numPr>
          <w:ilvl w:val="0"/>
          <w:numId w:val="17"/>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内部管理制度</w:t>
      </w:r>
      <w:r>
        <w:rPr>
          <w:rFonts w:hint="eastAsia" w:ascii="宋体" w:hAnsi="宋体" w:cs="宋体"/>
          <w:color w:val="auto"/>
          <w:sz w:val="24"/>
          <w:szCs w:val="24"/>
          <w:lang w:eastAsia="zh-CN"/>
        </w:rPr>
        <w:t>；</w:t>
      </w:r>
    </w:p>
    <w:p w14:paraId="4030A44D">
      <w:pPr>
        <w:pStyle w:val="56"/>
        <w:numPr>
          <w:ilvl w:val="0"/>
          <w:numId w:val="17"/>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服务承诺</w:t>
      </w:r>
      <w:r>
        <w:rPr>
          <w:rFonts w:hint="eastAsia" w:ascii="宋体" w:hAnsi="宋体" w:cs="宋体"/>
          <w:color w:val="auto"/>
          <w:sz w:val="24"/>
          <w:szCs w:val="24"/>
          <w:lang w:eastAsia="zh-CN"/>
        </w:rPr>
        <w:t>；</w:t>
      </w:r>
    </w:p>
    <w:p w14:paraId="7293FA9B">
      <w:pPr>
        <w:pStyle w:val="56"/>
        <w:numPr>
          <w:ilvl w:val="0"/>
          <w:numId w:val="17"/>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合理化建议</w:t>
      </w:r>
      <w:r>
        <w:rPr>
          <w:rFonts w:hint="eastAsia" w:ascii="宋体" w:hAnsi="宋体" w:cs="宋体"/>
          <w:color w:val="auto"/>
          <w:sz w:val="24"/>
          <w:szCs w:val="24"/>
          <w:lang w:eastAsia="zh-CN"/>
        </w:rPr>
        <w:t>；</w:t>
      </w:r>
    </w:p>
    <w:p w14:paraId="521F0B7E">
      <w:pPr>
        <w:pStyle w:val="56"/>
        <w:numPr>
          <w:ilvl w:val="0"/>
          <w:numId w:val="17"/>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企业业绩</w:t>
      </w:r>
      <w:r>
        <w:rPr>
          <w:rFonts w:hint="eastAsia" w:ascii="宋体" w:hAnsi="宋体" w:cs="宋体"/>
          <w:color w:val="auto"/>
          <w:sz w:val="24"/>
          <w:szCs w:val="24"/>
          <w:lang w:eastAsia="zh-CN"/>
        </w:rPr>
        <w:t>；</w:t>
      </w:r>
    </w:p>
    <w:p w14:paraId="50C27385">
      <w:pPr>
        <w:pStyle w:val="56"/>
        <w:numPr>
          <w:ilvl w:val="0"/>
          <w:numId w:val="17"/>
        </w:numPr>
        <w:spacing w:before="0" w:line="336" w:lineRule="auto"/>
        <w:ind w:firstLine="480"/>
        <w:rPr>
          <w:rFonts w:hint="eastAsia" w:ascii="宋体" w:hAnsi="宋体" w:cs="宋体"/>
          <w:color w:val="auto"/>
          <w:sz w:val="24"/>
          <w:szCs w:val="24"/>
        </w:rPr>
      </w:pPr>
      <w:r>
        <w:rPr>
          <w:rFonts w:hint="eastAsia" w:ascii="宋体" w:hAnsi="宋体" w:cs="宋体"/>
          <w:color w:val="auto"/>
          <w:sz w:val="24"/>
          <w:szCs w:val="24"/>
        </w:rPr>
        <w:t>人员证书</w:t>
      </w:r>
      <w:r>
        <w:rPr>
          <w:rFonts w:hint="eastAsia" w:ascii="宋体" w:hAnsi="宋体" w:cs="宋体"/>
          <w:color w:val="auto"/>
          <w:sz w:val="24"/>
          <w:szCs w:val="24"/>
          <w:lang w:eastAsia="zh-CN"/>
        </w:rPr>
        <w:t>；</w:t>
      </w:r>
    </w:p>
    <w:p w14:paraId="38BDEF4E">
      <w:pPr>
        <w:pStyle w:val="56"/>
        <w:numPr>
          <w:ilvl w:val="0"/>
          <w:numId w:val="17"/>
        </w:numPr>
        <w:spacing w:before="0" w:line="336" w:lineRule="auto"/>
        <w:ind w:firstLine="480"/>
        <w:rPr>
          <w:rFonts w:asciiTheme="minorEastAsia" w:hAnsiTheme="minorEastAsia" w:eastAsiaTheme="minorEastAsia"/>
          <w:color w:val="auto"/>
        </w:rPr>
      </w:pPr>
      <w:r>
        <w:rPr>
          <w:rFonts w:hint="eastAsia" w:ascii="宋体" w:hAnsi="宋体" w:cs="宋体"/>
          <w:color w:val="auto"/>
          <w:sz w:val="24"/>
          <w:szCs w:val="24"/>
        </w:rPr>
        <w:t>企业证书</w:t>
      </w:r>
      <w:r>
        <w:rPr>
          <w:rFonts w:hint="eastAsia" w:cs="宋体" w:asciiTheme="minorEastAsia" w:hAnsiTheme="minorEastAsia" w:eastAsiaTheme="minorEastAsia"/>
          <w:color w:val="auto"/>
        </w:rPr>
        <w:t>供应商认为需要的其他文件资料。</w:t>
      </w:r>
    </w:p>
    <w:p w14:paraId="44E0AA65">
      <w:pPr>
        <w:snapToGrid w:val="0"/>
        <w:spacing w:before="50" w:after="50"/>
        <w:jc w:val="left"/>
        <w:rPr>
          <w:rFonts w:hint="eastAsia" w:ascii="宋体" w:hAnsi="宋体" w:eastAsia="宋体" w:cs="宋体"/>
          <w:b/>
          <w:bCs/>
          <w:color w:val="auto"/>
          <w:sz w:val="24"/>
          <w:szCs w:val="24"/>
          <w:highlight w:val="none"/>
          <w:lang w:val="zh-CN"/>
        </w:rPr>
      </w:pPr>
    </w:p>
    <w:p w14:paraId="3553BDE2">
      <w:pPr>
        <w:pStyle w:val="3"/>
        <w:rPr>
          <w:rFonts w:hint="eastAsia" w:ascii="宋体" w:hAnsi="宋体" w:eastAsia="宋体" w:cs="宋体"/>
          <w:b/>
          <w:bCs/>
          <w:color w:val="auto"/>
          <w:sz w:val="24"/>
          <w:szCs w:val="24"/>
          <w:highlight w:val="none"/>
          <w:lang w:val="zh-CN"/>
        </w:rPr>
      </w:pPr>
    </w:p>
    <w:p w14:paraId="471C658C">
      <w:pPr>
        <w:rPr>
          <w:rFonts w:hint="eastAsia"/>
          <w:color w:val="auto"/>
          <w:lang w:val="zh-CN"/>
        </w:rPr>
      </w:pPr>
    </w:p>
    <w:p w14:paraId="2C9DBDA9">
      <w:pPr>
        <w:pStyle w:val="3"/>
        <w:rPr>
          <w:rFonts w:hint="eastAsia"/>
          <w:color w:val="auto"/>
          <w:lang w:val="zh-CN"/>
        </w:rPr>
      </w:pPr>
    </w:p>
    <w:p w14:paraId="0480529D">
      <w:pPr>
        <w:rPr>
          <w:rFonts w:hint="eastAsia"/>
          <w:color w:val="auto"/>
          <w:lang w:val="zh-CN"/>
        </w:rPr>
      </w:pPr>
    </w:p>
    <w:p w14:paraId="0B73A0C6">
      <w:pPr>
        <w:rPr>
          <w:rFonts w:hint="eastAsia"/>
          <w:color w:val="auto"/>
          <w:lang w:val="zh-CN"/>
        </w:rPr>
      </w:pPr>
    </w:p>
    <w:p w14:paraId="215CB807">
      <w:pPr>
        <w:rPr>
          <w:rFonts w:hint="eastAsia"/>
          <w:color w:val="auto"/>
          <w:lang w:val="zh-CN"/>
        </w:rPr>
      </w:pPr>
    </w:p>
    <w:p w14:paraId="5667C519">
      <w:pPr>
        <w:rPr>
          <w:rFonts w:hint="eastAsia"/>
          <w:color w:val="auto"/>
          <w:lang w:val="zh-CN"/>
        </w:rPr>
      </w:pPr>
    </w:p>
    <w:p w14:paraId="4AC7C437">
      <w:pPr>
        <w:pStyle w:val="3"/>
        <w:rPr>
          <w:rFonts w:hint="eastAsia"/>
          <w:color w:val="auto"/>
          <w:lang w:val="zh-CN"/>
        </w:rPr>
      </w:pPr>
    </w:p>
    <w:p w14:paraId="6989CA63">
      <w:pPr>
        <w:snapToGrid w:val="0"/>
        <w:spacing w:before="50" w:after="5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zh-CN"/>
        </w:rPr>
        <w:t>六</w:t>
      </w:r>
      <w:r>
        <w:rPr>
          <w:rFonts w:hint="eastAsia" w:ascii="宋体" w:hAnsi="宋体" w:eastAsia="宋体" w:cs="宋体"/>
          <w:b/>
          <w:bCs/>
          <w:color w:val="auto"/>
          <w:sz w:val="24"/>
          <w:szCs w:val="24"/>
          <w:highlight w:val="none"/>
          <w:lang w:val="zh-CN"/>
        </w:rPr>
        <w:t>：</w:t>
      </w:r>
    </w:p>
    <w:p w14:paraId="648055A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评分对应表</w:t>
      </w:r>
    </w:p>
    <w:p w14:paraId="67C2E8D7">
      <w:pPr>
        <w:snapToGrid w:val="0"/>
        <w:spacing w:before="50"/>
        <w:jc w:val="center"/>
        <w:rPr>
          <w:rFonts w:hint="eastAsia" w:ascii="宋体" w:hAnsi="宋体" w:eastAsia="宋体" w:cs="宋体"/>
          <w:b/>
          <w:bCs/>
          <w:color w:val="auto"/>
          <w:sz w:val="32"/>
          <w:szCs w:val="32"/>
          <w:highlight w:val="none"/>
        </w:rPr>
      </w:pPr>
    </w:p>
    <w:p w14:paraId="69584C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2FF1E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6"/>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5462E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EAA0B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6CB89F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30116B4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7D6B4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4556FD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对应评分办法及评分标准</w:t>
            </w:r>
          </w:p>
          <w:p w14:paraId="6FA6934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1B10E274">
            <w:pP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D8725C7">
            <w:pPr>
              <w:jc w:val="center"/>
              <w:rPr>
                <w:rFonts w:hint="eastAsia" w:ascii="宋体" w:hAnsi="宋体" w:eastAsia="宋体" w:cs="宋体"/>
                <w:color w:val="auto"/>
                <w:sz w:val="24"/>
                <w:szCs w:val="24"/>
                <w:highlight w:val="none"/>
              </w:rPr>
            </w:pPr>
          </w:p>
        </w:tc>
      </w:tr>
      <w:tr w14:paraId="42BB9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935EC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5117EDC3">
            <w:pP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AF07829">
            <w:pPr>
              <w:jc w:val="center"/>
              <w:rPr>
                <w:rFonts w:hint="eastAsia" w:ascii="宋体" w:hAnsi="宋体" w:eastAsia="宋体" w:cs="宋体"/>
                <w:color w:val="auto"/>
                <w:sz w:val="24"/>
                <w:szCs w:val="24"/>
                <w:highlight w:val="none"/>
              </w:rPr>
            </w:pPr>
          </w:p>
        </w:tc>
      </w:tr>
      <w:tr w14:paraId="42FF5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9CCB2C3">
            <w:pPr>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D04FD2C">
            <w:pPr>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2FEAB3E">
            <w:pPr>
              <w:jc w:val="center"/>
              <w:rPr>
                <w:rFonts w:hint="eastAsia" w:ascii="宋体" w:hAnsi="宋体" w:eastAsia="宋体" w:cs="宋体"/>
                <w:color w:val="auto"/>
                <w:sz w:val="24"/>
                <w:szCs w:val="24"/>
                <w:highlight w:val="none"/>
              </w:rPr>
            </w:pPr>
          </w:p>
        </w:tc>
      </w:tr>
      <w:tr w14:paraId="482D5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6E2A6E6">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1D0A936">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E856854">
            <w:pPr>
              <w:spacing w:line="360" w:lineRule="auto"/>
              <w:ind w:firstLine="480" w:firstLineChars="200"/>
              <w:jc w:val="center"/>
              <w:rPr>
                <w:rFonts w:hint="eastAsia" w:ascii="宋体" w:hAnsi="宋体" w:eastAsia="宋体" w:cs="宋体"/>
                <w:color w:val="auto"/>
                <w:sz w:val="24"/>
                <w:szCs w:val="24"/>
                <w:highlight w:val="none"/>
              </w:rPr>
            </w:pPr>
          </w:p>
        </w:tc>
      </w:tr>
      <w:tr w14:paraId="6E20E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BCCD5F2">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D567968">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5C2AA37">
            <w:pPr>
              <w:spacing w:line="360" w:lineRule="auto"/>
              <w:ind w:firstLine="480" w:firstLineChars="200"/>
              <w:jc w:val="center"/>
              <w:rPr>
                <w:rFonts w:hint="eastAsia" w:ascii="宋体" w:hAnsi="宋体" w:eastAsia="宋体" w:cs="宋体"/>
                <w:color w:val="auto"/>
                <w:sz w:val="24"/>
                <w:szCs w:val="24"/>
                <w:highlight w:val="none"/>
              </w:rPr>
            </w:pPr>
          </w:p>
        </w:tc>
      </w:tr>
      <w:tr w14:paraId="532F4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DE5140E">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1F4A14A">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43666DC">
            <w:pPr>
              <w:spacing w:line="360" w:lineRule="auto"/>
              <w:ind w:firstLine="480" w:firstLineChars="200"/>
              <w:jc w:val="center"/>
              <w:rPr>
                <w:rFonts w:hint="eastAsia" w:ascii="宋体" w:hAnsi="宋体" w:eastAsia="宋体" w:cs="宋体"/>
                <w:color w:val="auto"/>
                <w:sz w:val="24"/>
                <w:szCs w:val="24"/>
                <w:highlight w:val="none"/>
              </w:rPr>
            </w:pPr>
          </w:p>
        </w:tc>
      </w:tr>
      <w:tr w14:paraId="7876F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A668D7D">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B210E9A">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59D5838">
            <w:pPr>
              <w:spacing w:line="360" w:lineRule="auto"/>
              <w:ind w:firstLine="480" w:firstLineChars="200"/>
              <w:jc w:val="center"/>
              <w:rPr>
                <w:rFonts w:hint="eastAsia" w:ascii="宋体" w:hAnsi="宋体" w:eastAsia="宋体" w:cs="宋体"/>
                <w:color w:val="auto"/>
                <w:sz w:val="24"/>
                <w:szCs w:val="24"/>
                <w:highlight w:val="none"/>
              </w:rPr>
            </w:pPr>
          </w:p>
        </w:tc>
      </w:tr>
      <w:tr w14:paraId="6677B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CCB1708">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680D03D">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A003A1F">
            <w:pPr>
              <w:spacing w:line="360" w:lineRule="auto"/>
              <w:ind w:firstLine="480" w:firstLineChars="200"/>
              <w:jc w:val="center"/>
              <w:rPr>
                <w:rFonts w:hint="eastAsia" w:ascii="宋体" w:hAnsi="宋体" w:eastAsia="宋体" w:cs="宋体"/>
                <w:color w:val="auto"/>
                <w:sz w:val="24"/>
                <w:szCs w:val="24"/>
                <w:highlight w:val="none"/>
              </w:rPr>
            </w:pPr>
          </w:p>
        </w:tc>
      </w:tr>
      <w:tr w14:paraId="23000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B767B0A">
            <w:pPr>
              <w:spacing w:line="360" w:lineRule="auto"/>
              <w:ind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DEC7573">
            <w:pPr>
              <w:spacing w:line="360" w:lineRule="auto"/>
              <w:ind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8FDA9F3">
            <w:pPr>
              <w:spacing w:line="360" w:lineRule="auto"/>
              <w:ind w:firstLine="480" w:firstLineChars="200"/>
              <w:jc w:val="center"/>
              <w:rPr>
                <w:rFonts w:hint="eastAsia" w:ascii="宋体" w:hAnsi="宋体" w:eastAsia="宋体" w:cs="宋体"/>
                <w:color w:val="auto"/>
                <w:sz w:val="24"/>
                <w:szCs w:val="24"/>
                <w:highlight w:val="none"/>
              </w:rPr>
            </w:pPr>
          </w:p>
        </w:tc>
      </w:tr>
    </w:tbl>
    <w:p w14:paraId="6A1770BC">
      <w:pPr>
        <w:spacing w:line="360" w:lineRule="auto"/>
        <w:ind w:firstLine="480" w:firstLineChars="200"/>
        <w:rPr>
          <w:rFonts w:hint="eastAsia" w:ascii="宋体" w:hAnsi="宋体" w:eastAsia="宋体" w:cs="宋体"/>
          <w:color w:val="auto"/>
          <w:sz w:val="24"/>
          <w:szCs w:val="24"/>
          <w:highlight w:val="none"/>
        </w:rPr>
      </w:pPr>
    </w:p>
    <w:p w14:paraId="0D574473">
      <w:pPr>
        <w:spacing w:line="360" w:lineRule="auto"/>
        <w:ind w:left="3780" w:leftChars="1800" w:firstLine="480" w:firstLineChars="200"/>
        <w:rPr>
          <w:rFonts w:hint="eastAsia" w:ascii="宋体" w:hAnsi="宋体" w:eastAsia="宋体" w:cs="宋体"/>
          <w:color w:val="auto"/>
          <w:sz w:val="24"/>
          <w:szCs w:val="24"/>
          <w:highlight w:val="none"/>
        </w:rPr>
      </w:pPr>
    </w:p>
    <w:p w14:paraId="696A43C8">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2202AB40">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4D48689A">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266B536D">
      <w:pPr>
        <w:rPr>
          <w:rFonts w:hint="eastAsia" w:ascii="宋体" w:hAnsi="宋体" w:eastAsia="宋体" w:cs="宋体"/>
          <w:color w:val="auto"/>
          <w:highlight w:val="none"/>
          <w:lang w:val="zh-CN"/>
        </w:rPr>
      </w:pPr>
    </w:p>
    <w:p w14:paraId="23FC9F08">
      <w:pP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p>
    <w:p w14:paraId="2467AE2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供应商商务技术文件中资信分自评表</w:t>
      </w:r>
      <w:bookmarkEnd w:id="109"/>
    </w:p>
    <w:p w14:paraId="6C300D41">
      <w:pPr>
        <w:snapToGrid w:val="0"/>
        <w:spacing w:before="50"/>
        <w:jc w:val="center"/>
        <w:rPr>
          <w:rFonts w:hint="eastAsia" w:ascii="宋体" w:hAnsi="宋体" w:eastAsia="宋体" w:cs="宋体"/>
          <w:b/>
          <w:bCs/>
          <w:color w:val="auto"/>
          <w:sz w:val="32"/>
          <w:szCs w:val="32"/>
          <w:highlight w:val="none"/>
        </w:rPr>
      </w:pPr>
    </w:p>
    <w:p w14:paraId="7D6EA7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172C89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6"/>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31185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CD6428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87" w:type="dxa"/>
            <w:vAlign w:val="center"/>
          </w:tcPr>
          <w:p w14:paraId="3CCEB8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资信分内容</w:t>
            </w:r>
          </w:p>
        </w:tc>
        <w:tc>
          <w:tcPr>
            <w:tcW w:w="1462" w:type="dxa"/>
            <w:vAlign w:val="center"/>
          </w:tcPr>
          <w:p w14:paraId="42ACEB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自评得分</w:t>
            </w:r>
          </w:p>
        </w:tc>
        <w:tc>
          <w:tcPr>
            <w:tcW w:w="2415" w:type="dxa"/>
            <w:tcBorders>
              <w:right w:val="single" w:color="auto" w:sz="4" w:space="0"/>
            </w:tcBorders>
            <w:vAlign w:val="center"/>
          </w:tcPr>
          <w:p w14:paraId="7088574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746" w:type="dxa"/>
            <w:tcBorders>
              <w:left w:val="single" w:color="auto" w:sz="4" w:space="0"/>
            </w:tcBorders>
            <w:vAlign w:val="center"/>
          </w:tcPr>
          <w:p w14:paraId="677E2F1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7CA91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1C364B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87" w:type="dxa"/>
          </w:tcPr>
          <w:p w14:paraId="08E618F8">
            <w:pPr>
              <w:jc w:val="center"/>
              <w:rPr>
                <w:rFonts w:hint="eastAsia" w:ascii="宋体" w:hAnsi="宋体" w:eastAsia="宋体" w:cs="宋体"/>
                <w:color w:val="auto"/>
                <w:sz w:val="24"/>
                <w:szCs w:val="24"/>
                <w:highlight w:val="none"/>
              </w:rPr>
            </w:pPr>
          </w:p>
        </w:tc>
        <w:tc>
          <w:tcPr>
            <w:tcW w:w="1462" w:type="dxa"/>
          </w:tcPr>
          <w:p w14:paraId="519773C5">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793F3448">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32F78E70">
            <w:pPr>
              <w:jc w:val="center"/>
              <w:rPr>
                <w:rFonts w:hint="eastAsia" w:ascii="宋体" w:hAnsi="宋体" w:eastAsia="宋体" w:cs="宋体"/>
                <w:color w:val="auto"/>
                <w:sz w:val="24"/>
                <w:szCs w:val="24"/>
                <w:highlight w:val="none"/>
              </w:rPr>
            </w:pPr>
          </w:p>
        </w:tc>
      </w:tr>
      <w:tr w14:paraId="181BC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45A50E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87" w:type="dxa"/>
          </w:tcPr>
          <w:p w14:paraId="1015BE6F">
            <w:pPr>
              <w:jc w:val="center"/>
              <w:rPr>
                <w:rFonts w:hint="eastAsia" w:ascii="宋体" w:hAnsi="宋体" w:eastAsia="宋体" w:cs="宋体"/>
                <w:color w:val="auto"/>
                <w:sz w:val="24"/>
                <w:szCs w:val="24"/>
                <w:highlight w:val="none"/>
              </w:rPr>
            </w:pPr>
          </w:p>
        </w:tc>
        <w:tc>
          <w:tcPr>
            <w:tcW w:w="1462" w:type="dxa"/>
          </w:tcPr>
          <w:p w14:paraId="22B25256">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029B3953">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1BE14D67">
            <w:pPr>
              <w:jc w:val="center"/>
              <w:rPr>
                <w:rFonts w:hint="eastAsia" w:ascii="宋体" w:hAnsi="宋体" w:eastAsia="宋体" w:cs="宋体"/>
                <w:color w:val="auto"/>
                <w:sz w:val="24"/>
                <w:szCs w:val="24"/>
                <w:highlight w:val="none"/>
              </w:rPr>
            </w:pPr>
          </w:p>
        </w:tc>
      </w:tr>
      <w:tr w14:paraId="680EC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DAE4DE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87" w:type="dxa"/>
          </w:tcPr>
          <w:p w14:paraId="695D2E71">
            <w:pPr>
              <w:jc w:val="center"/>
              <w:rPr>
                <w:rFonts w:hint="eastAsia" w:ascii="宋体" w:hAnsi="宋体" w:eastAsia="宋体" w:cs="宋体"/>
                <w:color w:val="auto"/>
                <w:sz w:val="24"/>
                <w:szCs w:val="24"/>
                <w:highlight w:val="none"/>
              </w:rPr>
            </w:pPr>
          </w:p>
        </w:tc>
        <w:tc>
          <w:tcPr>
            <w:tcW w:w="1462" w:type="dxa"/>
          </w:tcPr>
          <w:p w14:paraId="03D0F7E5">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4C9D2FF7">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03AE5A4E">
            <w:pPr>
              <w:jc w:val="center"/>
              <w:rPr>
                <w:rFonts w:hint="eastAsia" w:ascii="宋体" w:hAnsi="宋体" w:eastAsia="宋体" w:cs="宋体"/>
                <w:color w:val="auto"/>
                <w:sz w:val="24"/>
                <w:szCs w:val="24"/>
                <w:highlight w:val="none"/>
              </w:rPr>
            </w:pPr>
          </w:p>
        </w:tc>
      </w:tr>
      <w:tr w14:paraId="1A7D5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EF0F1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87" w:type="dxa"/>
          </w:tcPr>
          <w:p w14:paraId="66188916">
            <w:pPr>
              <w:jc w:val="center"/>
              <w:rPr>
                <w:rFonts w:hint="eastAsia" w:ascii="宋体" w:hAnsi="宋体" w:eastAsia="宋体" w:cs="宋体"/>
                <w:color w:val="auto"/>
                <w:sz w:val="24"/>
                <w:szCs w:val="24"/>
                <w:highlight w:val="none"/>
              </w:rPr>
            </w:pPr>
          </w:p>
        </w:tc>
        <w:tc>
          <w:tcPr>
            <w:tcW w:w="1462" w:type="dxa"/>
          </w:tcPr>
          <w:p w14:paraId="70AD603B">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66C10A5C">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6ABD7D5D">
            <w:pPr>
              <w:jc w:val="center"/>
              <w:rPr>
                <w:rFonts w:hint="eastAsia" w:ascii="宋体" w:hAnsi="宋体" w:eastAsia="宋体" w:cs="宋体"/>
                <w:color w:val="auto"/>
                <w:sz w:val="24"/>
                <w:szCs w:val="24"/>
                <w:highlight w:val="none"/>
              </w:rPr>
            </w:pPr>
          </w:p>
        </w:tc>
      </w:tr>
      <w:tr w14:paraId="14D1A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AD4CE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87" w:type="dxa"/>
          </w:tcPr>
          <w:p w14:paraId="2EB3E667">
            <w:pPr>
              <w:jc w:val="center"/>
              <w:rPr>
                <w:rFonts w:hint="eastAsia" w:ascii="宋体" w:hAnsi="宋体" w:eastAsia="宋体" w:cs="宋体"/>
                <w:color w:val="auto"/>
                <w:sz w:val="24"/>
                <w:szCs w:val="24"/>
                <w:highlight w:val="none"/>
              </w:rPr>
            </w:pPr>
          </w:p>
        </w:tc>
        <w:tc>
          <w:tcPr>
            <w:tcW w:w="1462" w:type="dxa"/>
          </w:tcPr>
          <w:p w14:paraId="1AB9108A">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20797B48">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5DA5D6CD">
            <w:pPr>
              <w:jc w:val="center"/>
              <w:rPr>
                <w:rFonts w:hint="eastAsia" w:ascii="宋体" w:hAnsi="宋体" w:eastAsia="宋体" w:cs="宋体"/>
                <w:color w:val="auto"/>
                <w:sz w:val="24"/>
                <w:szCs w:val="24"/>
                <w:highlight w:val="none"/>
              </w:rPr>
            </w:pPr>
          </w:p>
        </w:tc>
      </w:tr>
      <w:tr w14:paraId="037DF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8FF43B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87" w:type="dxa"/>
          </w:tcPr>
          <w:p w14:paraId="4B144B7B">
            <w:pPr>
              <w:jc w:val="center"/>
              <w:rPr>
                <w:rFonts w:hint="eastAsia" w:ascii="宋体" w:hAnsi="宋体" w:eastAsia="宋体" w:cs="宋体"/>
                <w:color w:val="auto"/>
                <w:sz w:val="24"/>
                <w:szCs w:val="24"/>
                <w:highlight w:val="none"/>
              </w:rPr>
            </w:pPr>
          </w:p>
        </w:tc>
        <w:tc>
          <w:tcPr>
            <w:tcW w:w="1462" w:type="dxa"/>
          </w:tcPr>
          <w:p w14:paraId="3FFA9F2E">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23214B2F">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311DC91B">
            <w:pPr>
              <w:jc w:val="center"/>
              <w:rPr>
                <w:rFonts w:hint="eastAsia" w:ascii="宋体" w:hAnsi="宋体" w:eastAsia="宋体" w:cs="宋体"/>
                <w:color w:val="auto"/>
                <w:sz w:val="24"/>
                <w:szCs w:val="24"/>
                <w:highlight w:val="none"/>
              </w:rPr>
            </w:pPr>
          </w:p>
        </w:tc>
      </w:tr>
      <w:tr w14:paraId="40890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FD635C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87" w:type="dxa"/>
          </w:tcPr>
          <w:p w14:paraId="0BAE5C9E">
            <w:pPr>
              <w:jc w:val="center"/>
              <w:rPr>
                <w:rFonts w:hint="eastAsia" w:ascii="宋体" w:hAnsi="宋体" w:eastAsia="宋体" w:cs="宋体"/>
                <w:color w:val="auto"/>
                <w:sz w:val="24"/>
                <w:szCs w:val="24"/>
                <w:highlight w:val="none"/>
              </w:rPr>
            </w:pPr>
          </w:p>
        </w:tc>
        <w:tc>
          <w:tcPr>
            <w:tcW w:w="1462" w:type="dxa"/>
          </w:tcPr>
          <w:p w14:paraId="0EB30550">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4691F757">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73CD7527">
            <w:pPr>
              <w:jc w:val="center"/>
              <w:rPr>
                <w:rFonts w:hint="eastAsia" w:ascii="宋体" w:hAnsi="宋体" w:eastAsia="宋体" w:cs="宋体"/>
                <w:color w:val="auto"/>
                <w:sz w:val="24"/>
                <w:szCs w:val="24"/>
                <w:highlight w:val="none"/>
              </w:rPr>
            </w:pPr>
          </w:p>
        </w:tc>
      </w:tr>
      <w:tr w14:paraId="2B0ED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979BEC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87" w:type="dxa"/>
          </w:tcPr>
          <w:p w14:paraId="5A3448B0">
            <w:pPr>
              <w:jc w:val="center"/>
              <w:rPr>
                <w:rFonts w:hint="eastAsia" w:ascii="宋体" w:hAnsi="宋体" w:eastAsia="宋体" w:cs="宋体"/>
                <w:color w:val="auto"/>
                <w:sz w:val="24"/>
                <w:szCs w:val="24"/>
                <w:highlight w:val="none"/>
              </w:rPr>
            </w:pPr>
          </w:p>
        </w:tc>
        <w:tc>
          <w:tcPr>
            <w:tcW w:w="1462" w:type="dxa"/>
          </w:tcPr>
          <w:p w14:paraId="55735D19">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54C1AF8F">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1D3CDDB1">
            <w:pPr>
              <w:jc w:val="center"/>
              <w:rPr>
                <w:rFonts w:hint="eastAsia" w:ascii="宋体" w:hAnsi="宋体" w:eastAsia="宋体" w:cs="宋体"/>
                <w:color w:val="auto"/>
                <w:sz w:val="24"/>
                <w:szCs w:val="24"/>
                <w:highlight w:val="none"/>
              </w:rPr>
            </w:pPr>
          </w:p>
        </w:tc>
      </w:tr>
      <w:tr w14:paraId="2E802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6755C1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387" w:type="dxa"/>
          </w:tcPr>
          <w:p w14:paraId="03750908">
            <w:pPr>
              <w:jc w:val="center"/>
              <w:rPr>
                <w:rFonts w:hint="eastAsia" w:ascii="宋体" w:hAnsi="宋体" w:eastAsia="宋体" w:cs="宋体"/>
                <w:color w:val="auto"/>
                <w:sz w:val="24"/>
                <w:szCs w:val="24"/>
                <w:highlight w:val="none"/>
              </w:rPr>
            </w:pPr>
          </w:p>
        </w:tc>
        <w:tc>
          <w:tcPr>
            <w:tcW w:w="1462" w:type="dxa"/>
          </w:tcPr>
          <w:p w14:paraId="234097B5">
            <w:pPr>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56171237">
            <w:pPr>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274438AA">
            <w:pPr>
              <w:jc w:val="center"/>
              <w:rPr>
                <w:rFonts w:hint="eastAsia" w:ascii="宋体" w:hAnsi="宋体" w:eastAsia="宋体" w:cs="宋体"/>
                <w:color w:val="auto"/>
                <w:sz w:val="24"/>
                <w:szCs w:val="24"/>
                <w:highlight w:val="none"/>
              </w:rPr>
            </w:pPr>
          </w:p>
        </w:tc>
      </w:tr>
    </w:tbl>
    <w:p w14:paraId="7ABF8D34">
      <w:pPr>
        <w:spacing w:line="360" w:lineRule="auto"/>
        <w:ind w:firstLine="480" w:firstLineChars="200"/>
        <w:rPr>
          <w:rFonts w:hint="eastAsia" w:ascii="宋体" w:hAnsi="宋体" w:eastAsia="宋体" w:cs="宋体"/>
          <w:color w:val="auto"/>
          <w:sz w:val="24"/>
          <w:szCs w:val="24"/>
          <w:highlight w:val="none"/>
        </w:rPr>
      </w:pPr>
    </w:p>
    <w:p w14:paraId="26FC76DB">
      <w:pPr>
        <w:spacing w:line="360" w:lineRule="auto"/>
        <w:ind w:left="3780" w:leftChars="1800" w:firstLine="480" w:firstLineChars="200"/>
        <w:rPr>
          <w:rFonts w:hint="eastAsia" w:ascii="宋体" w:hAnsi="宋体" w:eastAsia="宋体" w:cs="宋体"/>
          <w:color w:val="auto"/>
          <w:sz w:val="24"/>
          <w:szCs w:val="24"/>
          <w:highlight w:val="none"/>
        </w:rPr>
      </w:pPr>
    </w:p>
    <w:p w14:paraId="17F9CAF5">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07C43D8B">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2EC1B15">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28526C93">
      <w:pPr>
        <w:snapToGrid w:val="0"/>
        <w:spacing w:before="50" w:afterLines="5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zh-CN"/>
        </w:rPr>
        <w:t>：</w:t>
      </w:r>
    </w:p>
    <w:p w14:paraId="7A674BA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投标项目明细清单</w:t>
      </w:r>
    </w:p>
    <w:p w14:paraId="2A592A40">
      <w:pPr>
        <w:spacing w:line="360" w:lineRule="auto"/>
        <w:ind w:firstLine="480" w:firstLineChars="200"/>
        <w:rPr>
          <w:rFonts w:hint="eastAsia" w:ascii="宋体" w:hAnsi="宋体" w:eastAsia="宋体" w:cs="宋体"/>
          <w:color w:val="auto"/>
          <w:sz w:val="24"/>
          <w:szCs w:val="24"/>
          <w:highlight w:val="none"/>
        </w:rPr>
      </w:pPr>
    </w:p>
    <w:p w14:paraId="46CB95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CE553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76576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D18A9C1">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560BA522">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2B66FE7">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5BB65525">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工作量</w:t>
            </w:r>
          </w:p>
        </w:tc>
      </w:tr>
      <w:tr w14:paraId="1C98A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72D82CAD">
            <w:pP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14859A2F">
            <w:pP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F68A4A7">
            <w:pPr>
              <w:snapToGrid w:val="0"/>
              <w:spacing w:before="50" w:after="50"/>
              <w:ind w:left="48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71060986">
            <w:pPr>
              <w:snapToGrid w:val="0"/>
              <w:spacing w:before="50" w:after="50"/>
              <w:jc w:val="center"/>
              <w:rPr>
                <w:rFonts w:hint="eastAsia" w:ascii="宋体" w:hAnsi="宋体" w:eastAsia="宋体" w:cs="宋体"/>
                <w:color w:val="auto"/>
                <w:sz w:val="24"/>
                <w:szCs w:val="24"/>
                <w:highlight w:val="none"/>
              </w:rPr>
            </w:pPr>
          </w:p>
        </w:tc>
      </w:tr>
      <w:tr w14:paraId="14ADA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61D8B78C">
            <w:pP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2671C8CD">
            <w:pPr>
              <w:snapToGrid w:val="0"/>
              <w:spacing w:before="50" w:after="5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213C2CF">
            <w:pPr>
              <w:snapToGrid w:val="0"/>
              <w:spacing w:before="50" w:after="50"/>
              <w:ind w:left="48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0617CEC9">
            <w:pPr>
              <w:snapToGrid w:val="0"/>
              <w:spacing w:before="50" w:after="50"/>
              <w:jc w:val="center"/>
              <w:rPr>
                <w:rFonts w:hint="eastAsia" w:ascii="宋体" w:hAnsi="宋体" w:eastAsia="宋体" w:cs="宋体"/>
                <w:color w:val="auto"/>
                <w:sz w:val="24"/>
                <w:szCs w:val="24"/>
                <w:highlight w:val="none"/>
              </w:rPr>
            </w:pPr>
          </w:p>
        </w:tc>
      </w:tr>
    </w:tbl>
    <w:p w14:paraId="7E808B75">
      <w:pPr>
        <w:snapToGrid w:val="0"/>
        <w:spacing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注：在填写时，如上表不适合本项目的实际情况，可在确保投标明细内容完整的情况下，根据上表格式自行划表填写。</w:t>
      </w:r>
    </w:p>
    <w:p w14:paraId="78364C7E">
      <w:pPr>
        <w:pStyle w:val="4"/>
        <w:rPr>
          <w:rFonts w:hint="eastAsia" w:ascii="宋体" w:hAnsi="宋体" w:eastAsia="宋体" w:cs="宋体"/>
          <w:color w:val="auto"/>
          <w:highlight w:val="none"/>
        </w:rPr>
      </w:pPr>
    </w:p>
    <w:p w14:paraId="27942D78">
      <w:pPr>
        <w:pStyle w:val="4"/>
        <w:rPr>
          <w:rFonts w:hint="eastAsia" w:ascii="宋体" w:hAnsi="宋体" w:eastAsia="宋体" w:cs="宋体"/>
          <w:color w:val="auto"/>
          <w:highlight w:val="none"/>
        </w:rPr>
      </w:pPr>
    </w:p>
    <w:p w14:paraId="5BCA9FC5">
      <w:pPr>
        <w:pStyle w:val="4"/>
        <w:rPr>
          <w:rFonts w:hint="eastAsia" w:ascii="宋体" w:hAnsi="宋体" w:eastAsia="宋体" w:cs="宋体"/>
          <w:color w:val="auto"/>
          <w:highlight w:val="none"/>
        </w:rPr>
      </w:pPr>
    </w:p>
    <w:p w14:paraId="3087CCCD">
      <w:pPr>
        <w:snapToGrid w:val="0"/>
        <w:spacing w:beforeLines="50"/>
        <w:rPr>
          <w:rFonts w:hint="eastAsia" w:ascii="宋体" w:hAnsi="宋体" w:eastAsia="宋体" w:cs="宋体"/>
          <w:color w:val="auto"/>
          <w:sz w:val="24"/>
          <w:szCs w:val="24"/>
          <w:highlight w:val="none"/>
        </w:rPr>
      </w:pPr>
    </w:p>
    <w:p w14:paraId="19842A16">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0CB102B4">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1493D2BE">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3CF4F35D">
      <w:pPr>
        <w:snapToGrid w:val="0"/>
        <w:spacing w:before="50" w:after="50"/>
        <w:rPr>
          <w:rFonts w:hint="eastAsia" w:ascii="宋体" w:hAnsi="宋体" w:eastAsia="宋体" w:cs="宋体"/>
          <w:color w:val="auto"/>
          <w:spacing w:val="20"/>
          <w:sz w:val="24"/>
          <w:szCs w:val="24"/>
          <w:highlight w:val="none"/>
        </w:rPr>
      </w:pPr>
    </w:p>
    <w:p w14:paraId="64CF6257">
      <w:pPr>
        <w:snapToGrid w:val="0"/>
        <w:spacing w:before="50" w:after="50"/>
        <w:rPr>
          <w:rFonts w:hint="eastAsia" w:ascii="宋体" w:hAnsi="宋体" w:eastAsia="宋体" w:cs="宋体"/>
          <w:color w:val="auto"/>
          <w:spacing w:val="20"/>
          <w:sz w:val="30"/>
          <w:szCs w:val="30"/>
          <w:highlight w:val="none"/>
        </w:rPr>
      </w:pPr>
    </w:p>
    <w:p w14:paraId="65E665E5">
      <w:pPr>
        <w:pStyle w:val="4"/>
        <w:ind w:firstLine="686"/>
        <w:rPr>
          <w:rFonts w:hint="eastAsia" w:ascii="宋体" w:hAnsi="宋体" w:eastAsia="宋体" w:cs="宋体"/>
          <w:color w:val="auto"/>
          <w:spacing w:val="20"/>
          <w:sz w:val="30"/>
          <w:szCs w:val="30"/>
          <w:highlight w:val="none"/>
        </w:rPr>
      </w:pPr>
    </w:p>
    <w:p w14:paraId="5652AC3E">
      <w:pPr>
        <w:pStyle w:val="4"/>
        <w:ind w:firstLine="686"/>
        <w:rPr>
          <w:rFonts w:hint="eastAsia" w:ascii="宋体" w:hAnsi="宋体" w:eastAsia="宋体" w:cs="宋体"/>
          <w:color w:val="auto"/>
          <w:spacing w:val="20"/>
          <w:sz w:val="30"/>
          <w:szCs w:val="30"/>
          <w:highlight w:val="none"/>
        </w:rPr>
        <w:sectPr>
          <w:pgSz w:w="11906" w:h="16838"/>
          <w:pgMar w:top="1440" w:right="1800" w:bottom="1440" w:left="1800" w:header="851" w:footer="992" w:gutter="0"/>
          <w:cols w:space="425" w:num="1"/>
          <w:docGrid w:type="lines" w:linePitch="312" w:charSpace="0"/>
        </w:sectPr>
      </w:pPr>
    </w:p>
    <w:p w14:paraId="6D1854D3">
      <w:pPr>
        <w:rPr>
          <w:rFonts w:hint="eastAsia" w:ascii="宋体" w:hAnsi="宋体" w:eastAsia="宋体" w:cs="宋体"/>
          <w:b/>
          <w:bCs/>
          <w:color w:val="auto"/>
          <w:sz w:val="24"/>
          <w:szCs w:val="24"/>
          <w:highlight w:val="none"/>
        </w:rPr>
      </w:pPr>
      <w:bookmarkStart w:id="110" w:name="_Toc2823"/>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p>
    <w:p w14:paraId="446DFF63">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技术响应及建议表</w:t>
      </w:r>
      <w:bookmarkEnd w:id="110"/>
    </w:p>
    <w:p w14:paraId="4A94E8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8AC57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D87E2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6305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24F33075">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40" w:type="dxa"/>
            <w:vAlign w:val="center"/>
          </w:tcPr>
          <w:p w14:paraId="134F09A8">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980" w:type="dxa"/>
            <w:vAlign w:val="center"/>
          </w:tcPr>
          <w:p w14:paraId="4B6D49E6">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2520" w:type="dxa"/>
            <w:vAlign w:val="center"/>
          </w:tcPr>
          <w:p w14:paraId="77F1E22B">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w:t>
            </w:r>
          </w:p>
        </w:tc>
        <w:tc>
          <w:tcPr>
            <w:tcW w:w="1953" w:type="dxa"/>
            <w:vAlign w:val="center"/>
          </w:tcPr>
          <w:p w14:paraId="53CD8E7E">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w:t>
            </w:r>
          </w:p>
        </w:tc>
      </w:tr>
      <w:tr w14:paraId="01BC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A02DA8F">
            <w:pP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2148E1E4">
            <w:pP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0BD0192D">
            <w:pP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799D0321">
            <w:pP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28A049FC">
            <w:pPr>
              <w:snapToGrid w:val="0"/>
              <w:spacing w:before="50" w:after="50"/>
              <w:jc w:val="center"/>
              <w:rPr>
                <w:rFonts w:hint="eastAsia" w:ascii="宋体" w:hAnsi="宋体" w:eastAsia="宋体" w:cs="宋体"/>
                <w:color w:val="auto"/>
                <w:sz w:val="24"/>
                <w:szCs w:val="24"/>
                <w:highlight w:val="none"/>
              </w:rPr>
            </w:pPr>
          </w:p>
        </w:tc>
      </w:tr>
      <w:tr w14:paraId="669F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1A476F4">
            <w:pP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2FE7305F">
            <w:pP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33826F93">
            <w:pP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424B2A8E">
            <w:pP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09C348F9">
            <w:pPr>
              <w:snapToGrid w:val="0"/>
              <w:spacing w:before="50" w:after="50"/>
              <w:jc w:val="center"/>
              <w:rPr>
                <w:rFonts w:hint="eastAsia" w:ascii="宋体" w:hAnsi="宋体" w:eastAsia="宋体" w:cs="宋体"/>
                <w:color w:val="auto"/>
                <w:sz w:val="24"/>
                <w:szCs w:val="24"/>
                <w:highlight w:val="none"/>
              </w:rPr>
            </w:pPr>
          </w:p>
        </w:tc>
      </w:tr>
      <w:tr w14:paraId="1738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0216ADF">
            <w:pP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36880087">
            <w:pP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7C7F2A23">
            <w:pP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0EFF4701">
            <w:pP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6546450A">
            <w:pPr>
              <w:snapToGrid w:val="0"/>
              <w:spacing w:before="50" w:after="50"/>
              <w:jc w:val="center"/>
              <w:rPr>
                <w:rFonts w:hint="eastAsia" w:ascii="宋体" w:hAnsi="宋体" w:eastAsia="宋体" w:cs="宋体"/>
                <w:color w:val="auto"/>
                <w:sz w:val="24"/>
                <w:szCs w:val="24"/>
                <w:highlight w:val="none"/>
              </w:rPr>
            </w:pPr>
          </w:p>
        </w:tc>
      </w:tr>
      <w:tr w14:paraId="191C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2F40635">
            <w:pP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3501FC2E">
            <w:pP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4D298043">
            <w:pP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630A8DE6">
            <w:pP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232B5010">
            <w:pPr>
              <w:snapToGrid w:val="0"/>
              <w:spacing w:before="50" w:after="50"/>
              <w:jc w:val="center"/>
              <w:rPr>
                <w:rFonts w:hint="eastAsia" w:ascii="宋体" w:hAnsi="宋体" w:eastAsia="宋体" w:cs="宋体"/>
                <w:color w:val="auto"/>
                <w:sz w:val="24"/>
                <w:szCs w:val="24"/>
                <w:highlight w:val="none"/>
              </w:rPr>
            </w:pPr>
          </w:p>
        </w:tc>
      </w:tr>
      <w:tr w14:paraId="03B1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42E0BA5">
            <w:pPr>
              <w:snapToGrid w:val="0"/>
              <w:spacing w:before="50" w:after="50"/>
              <w:jc w:val="center"/>
              <w:rPr>
                <w:rFonts w:hint="eastAsia" w:ascii="宋体" w:hAnsi="宋体" w:eastAsia="宋体" w:cs="宋体"/>
                <w:color w:val="auto"/>
                <w:sz w:val="24"/>
                <w:szCs w:val="24"/>
                <w:highlight w:val="none"/>
              </w:rPr>
            </w:pPr>
          </w:p>
        </w:tc>
        <w:tc>
          <w:tcPr>
            <w:tcW w:w="1440" w:type="dxa"/>
            <w:vAlign w:val="center"/>
          </w:tcPr>
          <w:p w14:paraId="1C64A39E">
            <w:pPr>
              <w:snapToGrid w:val="0"/>
              <w:spacing w:before="50" w:after="50"/>
              <w:jc w:val="center"/>
              <w:rPr>
                <w:rFonts w:hint="eastAsia" w:ascii="宋体" w:hAnsi="宋体" w:eastAsia="宋体" w:cs="宋体"/>
                <w:color w:val="auto"/>
                <w:sz w:val="24"/>
                <w:szCs w:val="24"/>
                <w:highlight w:val="none"/>
              </w:rPr>
            </w:pPr>
          </w:p>
        </w:tc>
        <w:tc>
          <w:tcPr>
            <w:tcW w:w="1980" w:type="dxa"/>
            <w:vAlign w:val="center"/>
          </w:tcPr>
          <w:p w14:paraId="276BFCA4">
            <w:pPr>
              <w:snapToGrid w:val="0"/>
              <w:spacing w:before="50" w:after="50"/>
              <w:jc w:val="center"/>
              <w:rPr>
                <w:rFonts w:hint="eastAsia" w:ascii="宋体" w:hAnsi="宋体" w:eastAsia="宋体" w:cs="宋体"/>
                <w:color w:val="auto"/>
                <w:sz w:val="24"/>
                <w:szCs w:val="24"/>
                <w:highlight w:val="none"/>
              </w:rPr>
            </w:pPr>
          </w:p>
        </w:tc>
        <w:tc>
          <w:tcPr>
            <w:tcW w:w="2520" w:type="dxa"/>
            <w:vAlign w:val="center"/>
          </w:tcPr>
          <w:p w14:paraId="2E09C1F2">
            <w:pPr>
              <w:snapToGrid w:val="0"/>
              <w:spacing w:before="50" w:after="50"/>
              <w:jc w:val="center"/>
              <w:rPr>
                <w:rFonts w:hint="eastAsia" w:ascii="宋体" w:hAnsi="宋体" w:eastAsia="宋体" w:cs="宋体"/>
                <w:color w:val="auto"/>
                <w:sz w:val="24"/>
                <w:szCs w:val="24"/>
                <w:highlight w:val="none"/>
              </w:rPr>
            </w:pPr>
          </w:p>
        </w:tc>
        <w:tc>
          <w:tcPr>
            <w:tcW w:w="1953" w:type="dxa"/>
            <w:vAlign w:val="center"/>
          </w:tcPr>
          <w:p w14:paraId="111ED831">
            <w:pPr>
              <w:snapToGrid w:val="0"/>
              <w:spacing w:before="50" w:after="50"/>
              <w:jc w:val="center"/>
              <w:rPr>
                <w:rFonts w:hint="eastAsia" w:ascii="宋体" w:hAnsi="宋体" w:eastAsia="宋体" w:cs="宋体"/>
                <w:color w:val="auto"/>
                <w:sz w:val="24"/>
                <w:szCs w:val="24"/>
                <w:highlight w:val="none"/>
              </w:rPr>
            </w:pPr>
          </w:p>
        </w:tc>
      </w:tr>
      <w:tr w14:paraId="5EBF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5FA23045">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投标建议</w:t>
            </w:r>
          </w:p>
        </w:tc>
        <w:tc>
          <w:tcPr>
            <w:tcW w:w="6453" w:type="dxa"/>
            <w:gridSpan w:val="3"/>
            <w:vAlign w:val="center"/>
          </w:tcPr>
          <w:p w14:paraId="400C4E71">
            <w:pPr>
              <w:spacing w:line="360" w:lineRule="auto"/>
              <w:jc w:val="center"/>
              <w:rPr>
                <w:rFonts w:hint="eastAsia" w:ascii="宋体" w:hAnsi="宋体" w:eastAsia="宋体" w:cs="宋体"/>
                <w:color w:val="auto"/>
                <w:sz w:val="24"/>
                <w:szCs w:val="24"/>
                <w:highlight w:val="none"/>
              </w:rPr>
            </w:pPr>
          </w:p>
        </w:tc>
      </w:tr>
    </w:tbl>
    <w:p w14:paraId="190E2F68">
      <w:pPr>
        <w:snapToGrid w:val="0"/>
        <w:spacing w:line="360" w:lineRule="auto"/>
        <w:rPr>
          <w:rFonts w:hint="eastAsia" w:ascii="宋体" w:hAnsi="宋体" w:eastAsia="宋体" w:cs="宋体"/>
          <w:color w:val="auto"/>
          <w:sz w:val="24"/>
          <w:szCs w:val="24"/>
          <w:highlight w:val="none"/>
        </w:rPr>
      </w:pPr>
    </w:p>
    <w:p w14:paraId="1F1D01E4">
      <w:pPr>
        <w:pStyle w:val="1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注：名称可基于项目清单根据供应商实际情况调整。</w:t>
      </w:r>
    </w:p>
    <w:p w14:paraId="7F356DDD">
      <w:pPr>
        <w:rPr>
          <w:rFonts w:hint="eastAsia" w:ascii="宋体" w:hAnsi="宋体" w:eastAsia="宋体" w:cs="宋体"/>
          <w:color w:val="auto"/>
          <w:sz w:val="24"/>
          <w:szCs w:val="24"/>
          <w:highlight w:val="none"/>
        </w:rPr>
      </w:pPr>
    </w:p>
    <w:p w14:paraId="286A15D4">
      <w:pPr>
        <w:pStyle w:val="4"/>
        <w:rPr>
          <w:rFonts w:hint="eastAsia" w:ascii="宋体" w:hAnsi="宋体" w:eastAsia="宋体" w:cs="宋体"/>
          <w:color w:val="auto"/>
          <w:highlight w:val="none"/>
        </w:rPr>
      </w:pPr>
    </w:p>
    <w:p w14:paraId="7D9ECF09">
      <w:pPr>
        <w:snapToGrid w:val="0"/>
        <w:spacing w:line="360" w:lineRule="auto"/>
        <w:rPr>
          <w:rFonts w:hint="eastAsia" w:ascii="宋体" w:hAnsi="宋体" w:eastAsia="宋体" w:cs="宋体"/>
          <w:color w:val="auto"/>
          <w:sz w:val="24"/>
          <w:szCs w:val="24"/>
          <w:highlight w:val="none"/>
        </w:rPr>
      </w:pPr>
    </w:p>
    <w:p w14:paraId="7FAAC93E">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4528AE96">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772D3AA5">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5AFF090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43EBF17">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w:t>
      </w:r>
    </w:p>
    <w:p w14:paraId="0BA6C37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商务响应表</w:t>
      </w:r>
    </w:p>
    <w:p w14:paraId="4E693819">
      <w:pPr>
        <w:snapToGrid w:val="0"/>
        <w:spacing w:before="50"/>
        <w:jc w:val="center"/>
        <w:rPr>
          <w:rFonts w:hint="eastAsia" w:ascii="宋体" w:hAnsi="宋体" w:eastAsia="宋体" w:cs="宋体"/>
          <w:b/>
          <w:bCs/>
          <w:color w:val="auto"/>
          <w:sz w:val="32"/>
          <w:szCs w:val="32"/>
          <w:highlight w:val="none"/>
        </w:rPr>
      </w:pPr>
    </w:p>
    <w:p w14:paraId="755853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0E68E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6"/>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3F5FD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093A4AD">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3082DAFB">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15CBE628">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w:t>
            </w:r>
          </w:p>
          <w:p w14:paraId="5F7E2A5B">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p>
        </w:tc>
        <w:tc>
          <w:tcPr>
            <w:tcW w:w="3020" w:type="dxa"/>
            <w:tcBorders>
              <w:top w:val="single" w:color="auto" w:sz="4" w:space="0"/>
              <w:left w:val="single" w:color="auto" w:sz="4" w:space="0"/>
              <w:bottom w:val="single" w:color="auto" w:sz="4" w:space="0"/>
            </w:tcBorders>
            <w:vAlign w:val="center"/>
          </w:tcPr>
          <w:p w14:paraId="611CF3C0">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供应商的承诺或说明</w:t>
            </w:r>
          </w:p>
        </w:tc>
      </w:tr>
      <w:tr w14:paraId="0C99E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256AF5A">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67B60137">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D77976">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25B4EA23">
            <w:pPr>
              <w:snapToGrid w:val="0"/>
              <w:spacing w:before="50" w:after="50"/>
              <w:jc w:val="center"/>
              <w:rPr>
                <w:rFonts w:hint="eastAsia" w:ascii="宋体" w:hAnsi="宋体" w:eastAsia="宋体" w:cs="宋体"/>
                <w:color w:val="auto"/>
                <w:sz w:val="24"/>
                <w:szCs w:val="24"/>
                <w:highlight w:val="none"/>
              </w:rPr>
            </w:pPr>
          </w:p>
        </w:tc>
      </w:tr>
      <w:tr w14:paraId="3D49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4B808ED">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38F5113D">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E239946">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C3C4397">
            <w:pPr>
              <w:snapToGrid w:val="0"/>
              <w:spacing w:before="50" w:after="50"/>
              <w:jc w:val="center"/>
              <w:rPr>
                <w:rFonts w:hint="eastAsia" w:ascii="宋体" w:hAnsi="宋体" w:eastAsia="宋体" w:cs="宋体"/>
                <w:color w:val="auto"/>
                <w:sz w:val="24"/>
                <w:szCs w:val="24"/>
                <w:highlight w:val="none"/>
              </w:rPr>
            </w:pPr>
          </w:p>
        </w:tc>
      </w:tr>
      <w:tr w14:paraId="6A17E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713A7395">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6708CBB6">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AF05DC8">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232AC1F">
            <w:pPr>
              <w:snapToGrid w:val="0"/>
              <w:spacing w:before="50" w:after="50"/>
              <w:jc w:val="center"/>
              <w:rPr>
                <w:rFonts w:hint="eastAsia" w:ascii="宋体" w:hAnsi="宋体" w:eastAsia="宋体" w:cs="宋体"/>
                <w:color w:val="auto"/>
                <w:sz w:val="24"/>
                <w:szCs w:val="24"/>
                <w:highlight w:val="none"/>
              </w:rPr>
            </w:pPr>
          </w:p>
        </w:tc>
      </w:tr>
      <w:tr w14:paraId="6EC5B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E3D9BE1">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项目维护计划</w:t>
            </w:r>
          </w:p>
        </w:tc>
        <w:tc>
          <w:tcPr>
            <w:tcW w:w="2700" w:type="dxa"/>
            <w:tcBorders>
              <w:top w:val="single" w:color="auto" w:sz="4" w:space="0"/>
              <w:left w:val="single" w:color="auto" w:sz="4" w:space="0"/>
              <w:bottom w:val="single" w:color="auto" w:sz="4" w:space="0"/>
              <w:right w:val="single" w:color="auto" w:sz="4" w:space="0"/>
            </w:tcBorders>
            <w:vAlign w:val="center"/>
          </w:tcPr>
          <w:p w14:paraId="211D69EF">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373BED3">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00BE6FA5">
            <w:pPr>
              <w:snapToGrid w:val="0"/>
              <w:spacing w:before="50" w:after="50"/>
              <w:jc w:val="center"/>
              <w:rPr>
                <w:rFonts w:hint="eastAsia" w:ascii="宋体" w:hAnsi="宋体" w:eastAsia="宋体" w:cs="宋体"/>
                <w:color w:val="auto"/>
                <w:sz w:val="24"/>
                <w:szCs w:val="24"/>
                <w:highlight w:val="none"/>
              </w:rPr>
            </w:pPr>
          </w:p>
        </w:tc>
      </w:tr>
      <w:tr w14:paraId="2698C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BF1C60A">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14:paraId="45F04E21">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08F26A">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14FDAC0">
            <w:pPr>
              <w:snapToGrid w:val="0"/>
              <w:spacing w:before="50" w:after="50"/>
              <w:jc w:val="center"/>
              <w:rPr>
                <w:rFonts w:hint="eastAsia" w:ascii="宋体" w:hAnsi="宋体" w:eastAsia="宋体" w:cs="宋体"/>
                <w:color w:val="auto"/>
                <w:sz w:val="24"/>
                <w:szCs w:val="24"/>
                <w:highlight w:val="none"/>
              </w:rPr>
            </w:pPr>
          </w:p>
        </w:tc>
      </w:tr>
      <w:tr w14:paraId="5C152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AF5AA4E">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本地化服务</w:t>
            </w:r>
          </w:p>
        </w:tc>
        <w:tc>
          <w:tcPr>
            <w:tcW w:w="2700" w:type="dxa"/>
            <w:tcBorders>
              <w:top w:val="single" w:color="auto" w:sz="4" w:space="0"/>
              <w:left w:val="single" w:color="auto" w:sz="4" w:space="0"/>
              <w:bottom w:val="single" w:color="auto" w:sz="4" w:space="0"/>
              <w:right w:val="single" w:color="auto" w:sz="4" w:space="0"/>
            </w:tcBorders>
            <w:vAlign w:val="center"/>
          </w:tcPr>
          <w:p w14:paraId="245C6628">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BEFC60">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379F16B6">
            <w:pPr>
              <w:snapToGrid w:val="0"/>
              <w:spacing w:before="50" w:after="50"/>
              <w:jc w:val="center"/>
              <w:rPr>
                <w:rFonts w:hint="eastAsia" w:ascii="宋体" w:hAnsi="宋体" w:eastAsia="宋体" w:cs="宋体"/>
                <w:color w:val="auto"/>
                <w:sz w:val="24"/>
                <w:szCs w:val="24"/>
                <w:highlight w:val="none"/>
              </w:rPr>
            </w:pPr>
          </w:p>
        </w:tc>
      </w:tr>
      <w:tr w14:paraId="33A4D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841673C">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技术培训</w:t>
            </w:r>
          </w:p>
        </w:tc>
        <w:tc>
          <w:tcPr>
            <w:tcW w:w="2700" w:type="dxa"/>
            <w:tcBorders>
              <w:top w:val="single" w:color="auto" w:sz="4" w:space="0"/>
              <w:left w:val="single" w:color="auto" w:sz="4" w:space="0"/>
              <w:bottom w:val="single" w:color="auto" w:sz="4" w:space="0"/>
              <w:right w:val="single" w:color="auto" w:sz="4" w:space="0"/>
            </w:tcBorders>
            <w:vAlign w:val="center"/>
          </w:tcPr>
          <w:p w14:paraId="55377BFE">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02611B3">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CB3A9E3">
            <w:pPr>
              <w:snapToGrid w:val="0"/>
              <w:spacing w:before="50" w:after="50"/>
              <w:jc w:val="center"/>
              <w:rPr>
                <w:rFonts w:hint="eastAsia" w:ascii="宋体" w:hAnsi="宋体" w:eastAsia="宋体" w:cs="宋体"/>
                <w:color w:val="auto"/>
                <w:sz w:val="24"/>
                <w:szCs w:val="24"/>
                <w:highlight w:val="none"/>
              </w:rPr>
            </w:pPr>
          </w:p>
        </w:tc>
      </w:tr>
      <w:tr w14:paraId="186A0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vAlign w:val="center"/>
          </w:tcPr>
          <w:p w14:paraId="1E6A9199">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vAlign w:val="center"/>
          </w:tcPr>
          <w:p w14:paraId="7F8A4939">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BC75383">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91F080C">
            <w:pPr>
              <w:snapToGrid w:val="0"/>
              <w:spacing w:before="50" w:after="50"/>
              <w:jc w:val="center"/>
              <w:rPr>
                <w:rFonts w:hint="eastAsia" w:ascii="宋体" w:hAnsi="宋体" w:eastAsia="宋体" w:cs="宋体"/>
                <w:color w:val="auto"/>
                <w:sz w:val="24"/>
                <w:szCs w:val="24"/>
                <w:highlight w:val="none"/>
              </w:rPr>
            </w:pPr>
          </w:p>
        </w:tc>
      </w:tr>
      <w:tr w14:paraId="1C24D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2E5B98A">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14:paraId="2C9C9382">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9957D2">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814DE5B">
            <w:pPr>
              <w:snapToGrid w:val="0"/>
              <w:spacing w:before="50" w:after="50"/>
              <w:jc w:val="center"/>
              <w:rPr>
                <w:rFonts w:hint="eastAsia" w:ascii="宋体" w:hAnsi="宋体" w:eastAsia="宋体" w:cs="宋体"/>
                <w:color w:val="auto"/>
                <w:sz w:val="24"/>
                <w:szCs w:val="24"/>
                <w:highlight w:val="none"/>
              </w:rPr>
            </w:pPr>
          </w:p>
        </w:tc>
      </w:tr>
      <w:tr w14:paraId="67F8C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FF2A6A7">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48F2F9B5">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5F2BD9">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031B2BA1">
            <w:pPr>
              <w:snapToGrid w:val="0"/>
              <w:spacing w:before="50" w:after="50"/>
              <w:jc w:val="center"/>
              <w:rPr>
                <w:rFonts w:hint="eastAsia" w:ascii="宋体" w:hAnsi="宋体" w:eastAsia="宋体" w:cs="宋体"/>
                <w:color w:val="auto"/>
                <w:sz w:val="24"/>
                <w:szCs w:val="24"/>
                <w:highlight w:val="none"/>
              </w:rPr>
            </w:pPr>
          </w:p>
        </w:tc>
      </w:tr>
      <w:tr w14:paraId="428B5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4DD4B8C">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43EA74AB">
            <w:pPr>
              <w:snapToGrid w:val="0"/>
              <w:spacing w:before="50" w:after="50"/>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3B6383">
            <w:pPr>
              <w:snapToGrid w:val="0"/>
              <w:spacing w:before="50" w:after="50"/>
              <w:jc w:val="center"/>
              <w:rPr>
                <w:rFonts w:hint="eastAsia" w:ascii="宋体" w:hAnsi="宋体" w:eastAsia="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6F1B0E37">
            <w:pPr>
              <w:snapToGrid w:val="0"/>
              <w:spacing w:before="50" w:after="50"/>
              <w:jc w:val="center"/>
              <w:rPr>
                <w:rFonts w:hint="eastAsia" w:ascii="宋体" w:hAnsi="宋体" w:eastAsia="宋体" w:cs="宋体"/>
                <w:color w:val="auto"/>
                <w:sz w:val="24"/>
                <w:szCs w:val="24"/>
                <w:highlight w:val="none"/>
              </w:rPr>
            </w:pPr>
          </w:p>
        </w:tc>
      </w:tr>
    </w:tbl>
    <w:p w14:paraId="5BECECF8">
      <w:pPr>
        <w:spacing w:line="360" w:lineRule="auto"/>
        <w:ind w:left="3780" w:leftChars="1800" w:firstLine="480" w:firstLineChars="200"/>
        <w:rPr>
          <w:rFonts w:hint="eastAsia" w:ascii="宋体" w:hAnsi="宋体" w:eastAsia="宋体" w:cs="宋体"/>
          <w:color w:val="auto"/>
          <w:sz w:val="24"/>
          <w:szCs w:val="24"/>
          <w:highlight w:val="none"/>
        </w:rPr>
      </w:pPr>
    </w:p>
    <w:p w14:paraId="5095346D">
      <w:pPr>
        <w:spacing w:line="360" w:lineRule="auto"/>
        <w:ind w:left="3780" w:leftChars="1800" w:firstLine="480" w:firstLineChars="200"/>
        <w:rPr>
          <w:rFonts w:hint="eastAsia" w:ascii="宋体" w:hAnsi="宋体" w:eastAsia="宋体" w:cs="宋体"/>
          <w:color w:val="auto"/>
          <w:sz w:val="24"/>
          <w:szCs w:val="24"/>
          <w:highlight w:val="none"/>
        </w:rPr>
      </w:pPr>
    </w:p>
    <w:p w14:paraId="5D4A1A16">
      <w:pPr>
        <w:spacing w:line="360" w:lineRule="auto"/>
        <w:ind w:left="3780" w:leftChars="1800" w:firstLine="480" w:firstLineChars="200"/>
        <w:rPr>
          <w:rFonts w:hint="eastAsia" w:ascii="宋体" w:hAnsi="宋体" w:eastAsia="宋体" w:cs="宋体"/>
          <w:color w:val="auto"/>
          <w:sz w:val="24"/>
          <w:szCs w:val="24"/>
          <w:highlight w:val="none"/>
        </w:rPr>
      </w:pPr>
    </w:p>
    <w:p w14:paraId="3F0D1AD9">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7DE550F8">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8EABBAE">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00FA3255">
      <w:pPr>
        <w:snapToGrid w:val="0"/>
        <w:spacing w:before="50" w:after="50"/>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lang w:val="zh-CN"/>
        </w:rPr>
        <w:t>：</w:t>
      </w:r>
    </w:p>
    <w:p w14:paraId="2FA1D3C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项目组人员清单</w:t>
      </w:r>
    </w:p>
    <w:p w14:paraId="3372AC25">
      <w:pPr>
        <w:snapToGrid w:val="0"/>
        <w:spacing w:beforeLines="50" w:after="50"/>
        <w:jc w:val="center"/>
        <w:rPr>
          <w:rFonts w:hint="eastAsia" w:ascii="宋体" w:hAnsi="宋体" w:eastAsia="宋体" w:cs="宋体"/>
          <w:b/>
          <w:bCs/>
          <w:color w:val="auto"/>
          <w:sz w:val="30"/>
          <w:szCs w:val="30"/>
          <w:highlight w:val="none"/>
        </w:rPr>
      </w:pPr>
    </w:p>
    <w:p w14:paraId="2FC133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1FB44D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6"/>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2E1CF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65D13A15">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D7D9F48">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A046556">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6F1BC342">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2F96A4F2">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0C17EB62">
            <w:pPr>
              <w:snapToGrid w:val="0"/>
              <w:spacing w:before="50" w:after="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劳动合同编号</w:t>
            </w:r>
          </w:p>
        </w:tc>
      </w:tr>
      <w:tr w14:paraId="1ED0A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02846AD">
            <w:pP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296E9A2">
            <w:pP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0B98523">
            <w:pP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4B6567F">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05F7D46">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611FBB8">
            <w:pPr>
              <w:snapToGrid w:val="0"/>
              <w:spacing w:before="156" w:beforeLines="50" w:after="50" w:line="460" w:lineRule="exact"/>
              <w:rPr>
                <w:rFonts w:hint="eastAsia" w:ascii="宋体" w:hAnsi="宋体" w:eastAsia="宋体" w:cs="宋体"/>
                <w:color w:val="auto"/>
                <w:sz w:val="24"/>
                <w:szCs w:val="24"/>
                <w:highlight w:val="none"/>
              </w:rPr>
            </w:pPr>
          </w:p>
        </w:tc>
      </w:tr>
      <w:tr w14:paraId="01659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5138F1C">
            <w:pP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9930827">
            <w:pP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9D21DFE">
            <w:pP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110B346">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0456A53">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CD52F43">
            <w:pPr>
              <w:snapToGrid w:val="0"/>
              <w:spacing w:before="156" w:beforeLines="50" w:after="50" w:line="460" w:lineRule="exact"/>
              <w:rPr>
                <w:rFonts w:hint="eastAsia" w:ascii="宋体" w:hAnsi="宋体" w:eastAsia="宋体" w:cs="宋体"/>
                <w:color w:val="auto"/>
                <w:sz w:val="24"/>
                <w:szCs w:val="24"/>
                <w:highlight w:val="none"/>
              </w:rPr>
            </w:pPr>
          </w:p>
        </w:tc>
      </w:tr>
      <w:tr w14:paraId="3F040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5E801E7">
            <w:pP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E13C9DE">
            <w:pP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AC7B461">
            <w:pPr>
              <w:pStyle w:val="17"/>
              <w:snapToGrid w:val="0"/>
              <w:spacing w:before="156" w:beforeLines="50" w:after="50" w:line="460" w:lineRule="exact"/>
              <w:ind w:left="5250"/>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37EE942C">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DDBC364">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2036343">
            <w:pPr>
              <w:snapToGrid w:val="0"/>
              <w:spacing w:before="156" w:beforeLines="50" w:after="50" w:line="460" w:lineRule="exact"/>
              <w:rPr>
                <w:rFonts w:hint="eastAsia" w:ascii="宋体" w:hAnsi="宋体" w:eastAsia="宋体" w:cs="宋体"/>
                <w:color w:val="auto"/>
                <w:sz w:val="24"/>
                <w:szCs w:val="24"/>
                <w:highlight w:val="none"/>
              </w:rPr>
            </w:pPr>
          </w:p>
        </w:tc>
      </w:tr>
      <w:tr w14:paraId="68F7B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35A5C88">
            <w:pP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280F944">
            <w:pP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EFED6C7">
            <w:pP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4608DEB">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6612FE4">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4EA0B1C">
            <w:pPr>
              <w:snapToGrid w:val="0"/>
              <w:spacing w:before="156" w:beforeLines="50" w:after="50" w:line="460" w:lineRule="exact"/>
              <w:rPr>
                <w:rFonts w:hint="eastAsia" w:ascii="宋体" w:hAnsi="宋体" w:eastAsia="宋体" w:cs="宋体"/>
                <w:color w:val="auto"/>
                <w:sz w:val="24"/>
                <w:szCs w:val="24"/>
                <w:highlight w:val="none"/>
              </w:rPr>
            </w:pPr>
          </w:p>
        </w:tc>
      </w:tr>
      <w:tr w14:paraId="3C6E0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D57CF2D">
            <w:pP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C472220">
            <w:pP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D282922">
            <w:pP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C2308C6">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BEAE4BC">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BD0B760">
            <w:pPr>
              <w:snapToGrid w:val="0"/>
              <w:spacing w:before="156" w:beforeLines="50" w:after="50" w:line="460" w:lineRule="exact"/>
              <w:rPr>
                <w:rFonts w:hint="eastAsia" w:ascii="宋体" w:hAnsi="宋体" w:eastAsia="宋体" w:cs="宋体"/>
                <w:color w:val="auto"/>
                <w:sz w:val="24"/>
                <w:szCs w:val="24"/>
                <w:highlight w:val="none"/>
              </w:rPr>
            </w:pPr>
          </w:p>
        </w:tc>
      </w:tr>
      <w:tr w14:paraId="63F14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FFA27E2">
            <w:pP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ACDD989">
            <w:pP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AD4F51F">
            <w:pP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85219AD">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185723E">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D568CD8">
            <w:pPr>
              <w:snapToGrid w:val="0"/>
              <w:spacing w:before="156" w:beforeLines="50" w:after="50" w:line="460" w:lineRule="exact"/>
              <w:rPr>
                <w:rFonts w:hint="eastAsia" w:ascii="宋体" w:hAnsi="宋体" w:eastAsia="宋体" w:cs="宋体"/>
                <w:color w:val="auto"/>
                <w:sz w:val="24"/>
                <w:szCs w:val="24"/>
                <w:highlight w:val="none"/>
              </w:rPr>
            </w:pPr>
          </w:p>
        </w:tc>
      </w:tr>
      <w:tr w14:paraId="04E0E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ED2C170">
            <w:pP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755C235">
            <w:pP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C5C8276">
            <w:pP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535F777">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248D421">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7ACA328C">
            <w:pPr>
              <w:snapToGrid w:val="0"/>
              <w:spacing w:before="156" w:beforeLines="50" w:after="50" w:line="460" w:lineRule="exact"/>
              <w:rPr>
                <w:rFonts w:hint="eastAsia" w:ascii="宋体" w:hAnsi="宋体" w:eastAsia="宋体" w:cs="宋体"/>
                <w:color w:val="auto"/>
                <w:sz w:val="24"/>
                <w:szCs w:val="24"/>
                <w:highlight w:val="none"/>
              </w:rPr>
            </w:pPr>
          </w:p>
        </w:tc>
      </w:tr>
      <w:tr w14:paraId="74FB1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512C50B">
            <w:pP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1E2CF85">
            <w:pP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98F9C6E">
            <w:pP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F9BD952">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31E5AE1">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A9CC00B">
            <w:pPr>
              <w:snapToGrid w:val="0"/>
              <w:spacing w:before="156" w:beforeLines="50" w:after="50" w:line="460" w:lineRule="exact"/>
              <w:rPr>
                <w:rFonts w:hint="eastAsia" w:ascii="宋体" w:hAnsi="宋体" w:eastAsia="宋体" w:cs="宋体"/>
                <w:color w:val="auto"/>
                <w:sz w:val="24"/>
                <w:szCs w:val="24"/>
                <w:highlight w:val="none"/>
              </w:rPr>
            </w:pPr>
          </w:p>
        </w:tc>
      </w:tr>
      <w:tr w14:paraId="191EC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2A424F9">
            <w:pPr>
              <w:snapToGrid w:val="0"/>
              <w:spacing w:before="156" w:beforeLines="50" w:after="50" w:line="460" w:lineRule="exact"/>
              <w:rPr>
                <w:rFonts w:hint="eastAsia" w:ascii="宋体" w:hAnsi="宋体" w:eastAsia="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29CB4B8">
            <w:pPr>
              <w:snapToGrid w:val="0"/>
              <w:spacing w:before="156" w:beforeLines="50" w:after="50" w:line="460" w:lineRule="exact"/>
              <w:rPr>
                <w:rFonts w:hint="eastAsia" w:ascii="宋体" w:hAns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ACB2D9C">
            <w:pPr>
              <w:snapToGrid w:val="0"/>
              <w:spacing w:before="156" w:beforeLines="50" w:after="50" w:line="460" w:lineRule="exac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A3B34E0">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DA2B04B">
            <w:pPr>
              <w:snapToGrid w:val="0"/>
              <w:spacing w:before="156" w:beforeLines="50" w:after="50" w:line="460" w:lineRule="exact"/>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8AACBCB">
            <w:pPr>
              <w:snapToGrid w:val="0"/>
              <w:spacing w:before="156" w:beforeLines="50" w:after="50" w:line="460" w:lineRule="exact"/>
              <w:rPr>
                <w:rFonts w:hint="eastAsia" w:ascii="宋体" w:hAnsi="宋体" w:eastAsia="宋体" w:cs="宋体"/>
                <w:color w:val="auto"/>
                <w:sz w:val="24"/>
                <w:szCs w:val="24"/>
                <w:highlight w:val="none"/>
              </w:rPr>
            </w:pPr>
          </w:p>
        </w:tc>
      </w:tr>
    </w:tbl>
    <w:p w14:paraId="096990BB">
      <w:pPr>
        <w:spacing w:line="360" w:lineRule="auto"/>
        <w:ind w:firstLine="480" w:firstLineChars="200"/>
        <w:rPr>
          <w:rFonts w:hint="eastAsia" w:ascii="宋体" w:hAnsi="宋体" w:eastAsia="宋体" w:cs="宋体"/>
          <w:color w:val="auto"/>
          <w:sz w:val="24"/>
          <w:szCs w:val="24"/>
          <w:highlight w:val="none"/>
        </w:rPr>
      </w:pPr>
    </w:p>
    <w:p w14:paraId="3D895AF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注：在填写时，如本表格不适合投标单位的实际情况，可根据本表格式自行划表填写。 </w:t>
      </w:r>
    </w:p>
    <w:p w14:paraId="35895B24">
      <w:pPr>
        <w:pStyle w:val="4"/>
        <w:rPr>
          <w:rFonts w:hint="eastAsia" w:ascii="宋体" w:hAnsi="宋体" w:eastAsia="宋体" w:cs="宋体"/>
          <w:color w:val="auto"/>
          <w:highlight w:val="none"/>
        </w:rPr>
      </w:pPr>
    </w:p>
    <w:p w14:paraId="2A1E4581">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58C7A5CC">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48F1C67A">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16F3C8FC">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color w:val="auto"/>
          <w:spacing w:val="20"/>
          <w:sz w:val="30"/>
          <w:szCs w:val="30"/>
          <w:highlight w:val="none"/>
        </w:rPr>
        <w:br w:type="page"/>
      </w:r>
      <w:r>
        <w:rPr>
          <w:rFonts w:hint="eastAsia" w:ascii="宋体" w:hAnsi="宋体" w:eastAsia="宋体" w:cs="宋体"/>
          <w:b/>
          <w:bCs/>
          <w:color w:val="auto"/>
          <w:kern w:val="0"/>
          <w:sz w:val="36"/>
          <w:szCs w:val="36"/>
          <w:highlight w:val="none"/>
        </w:rPr>
        <w:t>报价文件</w:t>
      </w:r>
    </w:p>
    <w:p w14:paraId="7F473FAB">
      <w:pPr>
        <w:spacing w:line="360" w:lineRule="auto"/>
        <w:jc w:val="center"/>
        <w:rPr>
          <w:rFonts w:hint="eastAsia" w:ascii="宋体" w:hAnsi="宋体" w:eastAsia="宋体" w:cs="宋体"/>
          <w:b/>
          <w:bCs/>
          <w:color w:val="auto"/>
          <w:kern w:val="0"/>
          <w:sz w:val="36"/>
          <w:szCs w:val="36"/>
          <w:highlight w:val="none"/>
        </w:rPr>
      </w:pPr>
    </w:p>
    <w:p w14:paraId="47D67061">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62413D00">
      <w:pPr>
        <w:pStyle w:val="4"/>
        <w:ind w:firstLine="723"/>
        <w:rPr>
          <w:rFonts w:hint="eastAsia" w:ascii="宋体" w:hAnsi="宋体" w:eastAsia="宋体" w:cs="宋体"/>
          <w:b/>
          <w:bCs/>
          <w:color w:val="auto"/>
          <w:kern w:val="0"/>
          <w:sz w:val="36"/>
          <w:szCs w:val="36"/>
          <w:highlight w:val="none"/>
        </w:rPr>
      </w:pPr>
    </w:p>
    <w:p w14:paraId="64AAA8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（1）磋商函（格式见附件）；</w:t>
      </w:r>
    </w:p>
    <w:p w14:paraId="4205750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（2）报价一览表（格式见附件）；</w:t>
      </w:r>
    </w:p>
    <w:p w14:paraId="79114128">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（3）磋商报价明细表（格式见附件）</w:t>
      </w:r>
      <w:r>
        <w:rPr>
          <w:rFonts w:hint="eastAsia" w:ascii="宋体" w:hAnsi="宋体" w:eastAsia="宋体" w:cs="宋体"/>
          <w:color w:val="auto"/>
          <w:sz w:val="24"/>
          <w:szCs w:val="24"/>
          <w:highlight w:val="none"/>
          <w:lang w:eastAsia="zh-CN"/>
        </w:rPr>
        <w:t>；</w:t>
      </w:r>
    </w:p>
    <w:p w14:paraId="541E893A">
      <w:pPr>
        <w:rPr>
          <w:rFonts w:hint="eastAsia" w:ascii="宋体" w:hAnsi="宋体" w:eastAsia="宋体" w:cs="宋体"/>
          <w:color w:val="auto"/>
          <w:highlight w:val="none"/>
        </w:rPr>
      </w:pPr>
    </w:p>
    <w:p w14:paraId="380ADD3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51AF437">
      <w:pPr>
        <w:rPr>
          <w:rFonts w:hint="eastAsia" w:ascii="宋体" w:hAnsi="宋体" w:eastAsia="宋体" w:cs="宋体"/>
          <w:b/>
          <w:bCs/>
          <w:color w:val="auto"/>
          <w:highlight w:val="none"/>
          <w:lang w:val="zh-CN"/>
        </w:rPr>
      </w:pPr>
      <w:bookmarkStart w:id="111" w:name="_Toc3094"/>
      <w:r>
        <w:rPr>
          <w:rFonts w:hint="eastAsia" w:ascii="宋体" w:hAnsi="宋体" w:eastAsia="宋体" w:cs="宋体"/>
          <w:b/>
          <w:bCs/>
          <w:color w:val="auto"/>
          <w:sz w:val="24"/>
          <w:szCs w:val="24"/>
          <w:highlight w:val="none"/>
          <w:lang w:val="zh-CN"/>
        </w:rPr>
        <w:t>附件</w:t>
      </w:r>
      <w:bookmarkStart w:id="112" w:name="_Toc130094924"/>
      <w:bookmarkStart w:id="113" w:name="_Toc98731770"/>
      <w:r>
        <w:rPr>
          <w:rFonts w:hint="eastAsia" w:ascii="宋体" w:hAnsi="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rPr>
        <w:t>：</w:t>
      </w:r>
    </w:p>
    <w:p w14:paraId="3321A4D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 商 函</w:t>
      </w:r>
      <w:bookmarkEnd w:id="111"/>
      <w:bookmarkEnd w:id="112"/>
      <w:bookmarkEnd w:id="113"/>
    </w:p>
    <w:p w14:paraId="4D0ADC87">
      <w:pPr>
        <w:spacing w:line="360" w:lineRule="auto"/>
        <w:ind w:firstLine="480" w:firstLineChars="200"/>
        <w:rPr>
          <w:rFonts w:hint="eastAsia" w:ascii="宋体" w:hAnsi="宋体" w:eastAsia="宋体" w:cs="宋体"/>
          <w:color w:val="auto"/>
          <w:sz w:val="24"/>
          <w:szCs w:val="24"/>
          <w:highlight w:val="none"/>
          <w:u w:val="single"/>
        </w:rPr>
      </w:pPr>
    </w:p>
    <w:p w14:paraId="7118217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绍兴市上虞区道墟街道办事处</w:t>
      </w:r>
      <w:r>
        <w:rPr>
          <w:rFonts w:hint="eastAsia" w:ascii="宋体" w:hAnsi="宋体" w:eastAsia="宋体" w:cs="宋体"/>
          <w:color w:val="auto"/>
          <w:sz w:val="24"/>
          <w:szCs w:val="24"/>
          <w:highlight w:val="none"/>
        </w:rPr>
        <w:t>：</w:t>
      </w:r>
    </w:p>
    <w:p w14:paraId="60C6CA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浙江省成套工程有限公司</w:t>
      </w:r>
      <w:r>
        <w:rPr>
          <w:rFonts w:hint="eastAsia" w:ascii="宋体" w:hAnsi="宋体" w:eastAsia="宋体" w:cs="宋体"/>
          <w:color w:val="auto"/>
          <w:sz w:val="24"/>
          <w:szCs w:val="24"/>
          <w:highlight w:val="none"/>
        </w:rPr>
        <w:t>：</w:t>
      </w:r>
    </w:p>
    <w:p w14:paraId="0055EED3">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我单位认真研究了关于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186E7195">
      <w:pPr>
        <w:spacing w:line="360" w:lineRule="auto"/>
        <w:ind w:firstLine="504" w:firstLineChars="240"/>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rPr>
        <w:t>1、一旦我单位中标，我单位愿意承接报价一览表中所列的技术服务，服务期为：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lang w:eastAsia="zh-CN"/>
        </w:rPr>
        <w:t>年</w:t>
      </w:r>
      <w:r>
        <w:rPr>
          <w:rFonts w:hint="eastAsia" w:ascii="宋体" w:hAnsi="宋体" w:eastAsia="宋体" w:cs="宋体"/>
          <w:color w:val="auto"/>
          <w:sz w:val="24"/>
          <w:szCs w:val="24"/>
          <w:highlight w:val="none"/>
        </w:rPr>
        <w:t>。</w:t>
      </w:r>
    </w:p>
    <w:p w14:paraId="7245C8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我单位同意提供按照采购人的可能要求与其投标有关的一切数据和资料，完全理解采购人不一定要接受最低价者作为成交供应商。</w:t>
      </w:r>
    </w:p>
    <w:p w14:paraId="0B3F458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3、一旦我单位中标，我们保证按照磋商文件的要求，完成服务。</w:t>
      </w:r>
    </w:p>
    <w:p w14:paraId="05AE2B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4、如果我单位中标，我方将按照要求严格履行合同义务。</w:t>
      </w:r>
    </w:p>
    <w:p w14:paraId="463126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5、除非另行达成协议并生效，你方的成交通知书和本磋商函将构成约束你我双方的合同。</w:t>
      </w:r>
    </w:p>
    <w:p w14:paraId="0D612C7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6、我单位承诺，一旦发生磋商文件第二部分第11条规定情形之一的，承担该条款约定的责任。</w:t>
      </w:r>
    </w:p>
    <w:p w14:paraId="4767FFD5">
      <w:pPr>
        <w:pStyle w:val="16"/>
        <w:snapToGrid w:val="0"/>
        <w:spacing w:line="360" w:lineRule="auto"/>
        <w:ind w:left="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77740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479301FD">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0AFE00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5A280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w:t>
      </w:r>
    </w:p>
    <w:p w14:paraId="4A1376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（公章）：                   </w:t>
      </w:r>
    </w:p>
    <w:p w14:paraId="7EE9C7C8">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6D5ABC71">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4C5A3F06">
      <w:pPr>
        <w:spacing w:line="360" w:lineRule="auto"/>
        <w:ind w:firstLine="5280" w:firstLineChars="2200"/>
        <w:rPr>
          <w:rFonts w:hint="eastAsia" w:ascii="宋体" w:hAnsi="宋体" w:eastAsia="宋体" w:cs="宋体"/>
          <w:color w:val="auto"/>
          <w:sz w:val="24"/>
          <w:szCs w:val="24"/>
          <w:highlight w:val="none"/>
        </w:rPr>
      </w:pPr>
    </w:p>
    <w:p w14:paraId="252A97E0">
      <w:pPr>
        <w:rPr>
          <w:rFonts w:hint="eastAsia" w:ascii="宋体" w:hAnsi="宋体" w:eastAsia="宋体" w:cs="宋体"/>
          <w:color w:val="auto"/>
          <w:sz w:val="24"/>
          <w:szCs w:val="24"/>
          <w:highlight w:val="none"/>
          <w:lang w:val="zh-CN"/>
        </w:rPr>
      </w:pPr>
      <w:bookmarkStart w:id="114" w:name="_Toc12011"/>
      <w:r>
        <w:rPr>
          <w:rFonts w:hint="eastAsia" w:ascii="宋体" w:hAnsi="宋体" w:eastAsia="宋体" w:cs="宋体"/>
          <w:color w:val="auto"/>
          <w:sz w:val="24"/>
          <w:szCs w:val="24"/>
          <w:highlight w:val="none"/>
          <w:lang w:val="zh-CN"/>
        </w:rPr>
        <w:br w:type="page"/>
      </w:r>
    </w:p>
    <w:p w14:paraId="22DBB02F">
      <w:pP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bookmarkStart w:id="115" w:name="_Toc130094925"/>
      <w:bookmarkStart w:id="116" w:name="_Toc98731771"/>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eastAsia="zh-CN"/>
        </w:rPr>
        <w:t>三</w:t>
      </w:r>
      <w:r>
        <w:rPr>
          <w:rFonts w:hint="eastAsia" w:ascii="宋体" w:hAnsi="宋体" w:eastAsia="宋体" w:cs="宋体"/>
          <w:b/>
          <w:bCs/>
          <w:color w:val="auto"/>
          <w:sz w:val="24"/>
          <w:szCs w:val="24"/>
          <w:highlight w:val="none"/>
        </w:rPr>
        <w:t>：</w:t>
      </w:r>
    </w:p>
    <w:p w14:paraId="716E60B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报价一览表</w:t>
      </w:r>
      <w:bookmarkEnd w:id="114"/>
      <w:bookmarkEnd w:id="115"/>
      <w:bookmarkEnd w:id="116"/>
    </w:p>
    <w:p w14:paraId="03BBD247">
      <w:pPr>
        <w:pStyle w:val="16"/>
        <w:spacing w:line="360" w:lineRule="auto"/>
        <w:rPr>
          <w:rFonts w:hint="eastAsia" w:ascii="宋体" w:hAnsi="宋体" w:eastAsia="宋体" w:cs="宋体"/>
          <w:color w:val="auto"/>
          <w:sz w:val="24"/>
          <w:szCs w:val="24"/>
          <w:highlight w:val="none"/>
        </w:rPr>
      </w:pPr>
    </w:p>
    <w:p w14:paraId="31A5EE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40EF77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p>
    <w:tbl>
      <w:tblPr>
        <w:tblStyle w:val="26"/>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6862"/>
      </w:tblGrid>
      <w:tr w14:paraId="40C2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jc w:val="center"/>
        </w:trPr>
        <w:tc>
          <w:tcPr>
            <w:tcW w:w="2137" w:type="dxa"/>
            <w:noWrap w:val="0"/>
            <w:vAlign w:val="center"/>
          </w:tcPr>
          <w:p w14:paraId="5DB443BE">
            <w:pPr>
              <w:pStyle w:val="16"/>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投标总价</w:t>
            </w:r>
          </w:p>
        </w:tc>
        <w:tc>
          <w:tcPr>
            <w:tcW w:w="6862" w:type="dxa"/>
            <w:noWrap w:val="0"/>
            <w:vAlign w:val="center"/>
          </w:tcPr>
          <w:p w14:paraId="0DEC4C5A">
            <w:pPr>
              <w:pStyle w:val="16"/>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大写：</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元（小写：</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w:t>
            </w:r>
          </w:p>
        </w:tc>
      </w:tr>
      <w:tr w14:paraId="68ED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atLeast"/>
          <w:jc w:val="center"/>
        </w:trPr>
        <w:tc>
          <w:tcPr>
            <w:tcW w:w="8999" w:type="dxa"/>
            <w:gridSpan w:val="2"/>
            <w:noWrap w:val="0"/>
            <w:vAlign w:val="center"/>
          </w:tcPr>
          <w:p w14:paraId="6BB4BCF6">
            <w:pPr>
              <w:pStyle w:val="16"/>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投标报价应包含项目所需全部服务，不得缺漏，是履行合同的最终价格，包括</w:t>
            </w:r>
            <w:r>
              <w:rPr>
                <w:rFonts w:hint="eastAsia" w:hAnsi="宋体" w:cs="宋体"/>
                <w:b/>
                <w:bCs/>
                <w:color w:val="auto"/>
                <w:sz w:val="24"/>
                <w:szCs w:val="24"/>
                <w:highlight w:val="none"/>
                <w:lang w:eastAsia="zh-CN"/>
              </w:rPr>
              <w:t>服务内容</w:t>
            </w:r>
            <w:r>
              <w:rPr>
                <w:rFonts w:hint="eastAsia" w:ascii="宋体" w:hAnsi="宋体" w:eastAsia="宋体" w:cs="宋体"/>
                <w:b/>
                <w:bCs/>
                <w:color w:val="auto"/>
                <w:sz w:val="24"/>
                <w:szCs w:val="24"/>
                <w:highlight w:val="none"/>
              </w:rPr>
              <w:t>、税金、代理服务费及不可预见费用等一切费用。凡投标人在报价中未列明但又为本次采购所必备的项目或遗漏项目，采购方将一律视为已包括在合同价中，在合同执行中将不予考虑。</w:t>
            </w:r>
          </w:p>
        </w:tc>
      </w:tr>
    </w:tbl>
    <w:p w14:paraId="696C6B6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24B4D8E">
      <w:pPr>
        <w:pStyle w:val="16"/>
        <w:spacing w:line="360" w:lineRule="auto"/>
        <w:rPr>
          <w:rFonts w:hint="eastAsia" w:ascii="宋体" w:hAnsi="宋体" w:eastAsia="宋体" w:cs="宋体"/>
          <w:color w:val="auto"/>
          <w:sz w:val="24"/>
          <w:szCs w:val="24"/>
          <w:highlight w:val="none"/>
        </w:rPr>
      </w:pPr>
    </w:p>
    <w:p w14:paraId="247AD6C1">
      <w:pPr>
        <w:pStyle w:val="16"/>
        <w:spacing w:line="360" w:lineRule="auto"/>
        <w:rPr>
          <w:rFonts w:hint="eastAsia" w:ascii="宋体" w:hAnsi="宋体" w:eastAsia="宋体" w:cs="宋体"/>
          <w:color w:val="auto"/>
          <w:sz w:val="24"/>
          <w:szCs w:val="24"/>
          <w:highlight w:val="none"/>
        </w:rPr>
      </w:pPr>
    </w:p>
    <w:p w14:paraId="6EDD97B2">
      <w:pPr>
        <w:pStyle w:val="16"/>
        <w:spacing w:line="360" w:lineRule="auto"/>
        <w:rPr>
          <w:rFonts w:hint="eastAsia" w:ascii="宋体" w:hAnsi="宋体" w:eastAsia="宋体" w:cs="宋体"/>
          <w:color w:val="auto"/>
          <w:sz w:val="24"/>
          <w:szCs w:val="24"/>
          <w:highlight w:val="none"/>
        </w:rPr>
      </w:pPr>
    </w:p>
    <w:p w14:paraId="6E79C15B">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1052AEB1">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225D1150">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544FFF57">
      <w:pPr>
        <w:snapToGrid w:val="0"/>
        <w:spacing w:line="360" w:lineRule="auto"/>
        <w:ind w:firstLine="435"/>
        <w:rPr>
          <w:rFonts w:hint="eastAsia" w:ascii="宋体" w:hAnsi="宋体" w:eastAsia="宋体" w:cs="宋体"/>
          <w:color w:val="auto"/>
          <w:highlight w:val="none"/>
        </w:rPr>
      </w:pPr>
    </w:p>
    <w:p w14:paraId="13F602C3">
      <w:pPr>
        <w:snapToGrid w:val="0"/>
        <w:spacing w:line="360" w:lineRule="auto"/>
        <w:ind w:firstLine="435"/>
        <w:rPr>
          <w:rFonts w:hint="eastAsia" w:ascii="宋体" w:hAnsi="宋体" w:eastAsia="宋体" w:cs="宋体"/>
          <w:color w:val="auto"/>
          <w:highlight w:val="none"/>
        </w:rPr>
      </w:pPr>
    </w:p>
    <w:p w14:paraId="7DE59CC9">
      <w:pPr>
        <w:spacing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highlight w:val="none"/>
        </w:rPr>
        <w:br w:type="page"/>
      </w:r>
      <w:bookmarkStart w:id="117" w:name="_Toc7196"/>
      <w:r>
        <w:rPr>
          <w:rFonts w:hint="eastAsia" w:ascii="宋体" w:hAnsi="宋体" w:eastAsia="宋体" w:cs="宋体"/>
          <w:b/>
          <w:bCs/>
          <w:color w:val="auto"/>
          <w:sz w:val="24"/>
          <w:szCs w:val="24"/>
          <w:highlight w:val="none"/>
          <w:lang w:val="zh-CN"/>
        </w:rPr>
        <w:t>附件十</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zh-CN"/>
        </w:rPr>
        <w:t>：</w:t>
      </w:r>
    </w:p>
    <w:p w14:paraId="3BABA1AB">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磋商报价明细表</w:t>
      </w:r>
    </w:p>
    <w:p w14:paraId="550136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659E2A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p>
    <w:tbl>
      <w:tblPr>
        <w:tblStyle w:val="26"/>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27"/>
        <w:gridCol w:w="1065"/>
        <w:gridCol w:w="1755"/>
        <w:gridCol w:w="480"/>
        <w:gridCol w:w="1049"/>
        <w:gridCol w:w="1148"/>
        <w:gridCol w:w="1124"/>
      </w:tblGrid>
      <w:tr w14:paraId="2712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1A4EAF46">
            <w:pPr>
              <w:pStyle w:val="1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w:t>
            </w:r>
          </w:p>
          <w:p w14:paraId="06A2CAE4">
            <w:pPr>
              <w:pStyle w:val="1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号</w:t>
            </w:r>
          </w:p>
        </w:tc>
        <w:tc>
          <w:tcPr>
            <w:tcW w:w="1927" w:type="dxa"/>
            <w:vMerge w:val="restart"/>
            <w:vAlign w:val="center"/>
          </w:tcPr>
          <w:p w14:paraId="716E1E64">
            <w:pPr>
              <w:pStyle w:val="1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1065" w:type="dxa"/>
            <w:vMerge w:val="restart"/>
            <w:vAlign w:val="center"/>
          </w:tcPr>
          <w:p w14:paraId="68DE1C04">
            <w:pPr>
              <w:pStyle w:val="1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1755" w:type="dxa"/>
            <w:vMerge w:val="restart"/>
            <w:vAlign w:val="center"/>
          </w:tcPr>
          <w:p w14:paraId="43558106">
            <w:pPr>
              <w:pStyle w:val="1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480" w:type="dxa"/>
            <w:vMerge w:val="restart"/>
            <w:vAlign w:val="center"/>
          </w:tcPr>
          <w:p w14:paraId="24FFB795">
            <w:pPr>
              <w:pStyle w:val="1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w:t>
            </w:r>
          </w:p>
          <w:p w14:paraId="76800ABE">
            <w:pPr>
              <w:pStyle w:val="1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位</w:t>
            </w:r>
          </w:p>
        </w:tc>
        <w:tc>
          <w:tcPr>
            <w:tcW w:w="1049" w:type="dxa"/>
            <w:vMerge w:val="restart"/>
            <w:vAlign w:val="center"/>
          </w:tcPr>
          <w:p w14:paraId="7023AEAA">
            <w:pPr>
              <w:pStyle w:val="1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2272" w:type="dxa"/>
            <w:gridSpan w:val="2"/>
            <w:vAlign w:val="center"/>
          </w:tcPr>
          <w:p w14:paraId="0190EC66">
            <w:pPr>
              <w:pStyle w:val="1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投标报价（元）</w:t>
            </w:r>
          </w:p>
        </w:tc>
      </w:tr>
      <w:tr w14:paraId="667B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2E7B3588">
            <w:pPr>
              <w:pStyle w:val="16"/>
              <w:spacing w:line="360" w:lineRule="auto"/>
              <w:jc w:val="center"/>
              <w:rPr>
                <w:rFonts w:hint="eastAsia" w:ascii="宋体" w:hAnsi="宋体" w:eastAsia="宋体" w:cs="宋体"/>
                <w:color w:val="auto"/>
                <w:sz w:val="22"/>
                <w:szCs w:val="22"/>
                <w:highlight w:val="none"/>
              </w:rPr>
            </w:pPr>
          </w:p>
        </w:tc>
        <w:tc>
          <w:tcPr>
            <w:tcW w:w="1927" w:type="dxa"/>
            <w:vMerge w:val="continue"/>
            <w:vAlign w:val="center"/>
          </w:tcPr>
          <w:p w14:paraId="791E7DF2">
            <w:pPr>
              <w:pStyle w:val="16"/>
              <w:spacing w:line="360" w:lineRule="auto"/>
              <w:jc w:val="center"/>
              <w:rPr>
                <w:rFonts w:hint="eastAsia" w:ascii="宋体" w:hAnsi="宋体" w:eastAsia="宋体" w:cs="宋体"/>
                <w:color w:val="auto"/>
                <w:sz w:val="22"/>
                <w:szCs w:val="22"/>
                <w:highlight w:val="none"/>
              </w:rPr>
            </w:pPr>
          </w:p>
        </w:tc>
        <w:tc>
          <w:tcPr>
            <w:tcW w:w="1065" w:type="dxa"/>
            <w:vMerge w:val="continue"/>
            <w:vAlign w:val="center"/>
          </w:tcPr>
          <w:p w14:paraId="5DBE4622">
            <w:pPr>
              <w:pStyle w:val="16"/>
              <w:spacing w:line="360" w:lineRule="auto"/>
              <w:jc w:val="center"/>
              <w:rPr>
                <w:rFonts w:hint="eastAsia" w:ascii="宋体" w:hAnsi="宋体" w:eastAsia="宋体" w:cs="宋体"/>
                <w:color w:val="auto"/>
                <w:sz w:val="22"/>
                <w:szCs w:val="22"/>
                <w:highlight w:val="none"/>
              </w:rPr>
            </w:pPr>
          </w:p>
        </w:tc>
        <w:tc>
          <w:tcPr>
            <w:tcW w:w="1755" w:type="dxa"/>
            <w:vMerge w:val="continue"/>
            <w:vAlign w:val="center"/>
          </w:tcPr>
          <w:p w14:paraId="32A35531">
            <w:pPr>
              <w:pStyle w:val="16"/>
              <w:spacing w:line="360" w:lineRule="auto"/>
              <w:jc w:val="center"/>
              <w:rPr>
                <w:rFonts w:hint="eastAsia" w:ascii="宋体" w:hAnsi="宋体" w:eastAsia="宋体" w:cs="宋体"/>
                <w:color w:val="auto"/>
                <w:sz w:val="22"/>
                <w:szCs w:val="22"/>
                <w:highlight w:val="none"/>
              </w:rPr>
            </w:pPr>
          </w:p>
        </w:tc>
        <w:tc>
          <w:tcPr>
            <w:tcW w:w="480" w:type="dxa"/>
            <w:vMerge w:val="continue"/>
            <w:vAlign w:val="center"/>
          </w:tcPr>
          <w:p w14:paraId="1B715C12">
            <w:pPr>
              <w:pStyle w:val="16"/>
              <w:spacing w:line="360" w:lineRule="auto"/>
              <w:jc w:val="center"/>
              <w:rPr>
                <w:rFonts w:hint="eastAsia" w:ascii="宋体" w:hAnsi="宋体" w:eastAsia="宋体" w:cs="宋体"/>
                <w:color w:val="auto"/>
                <w:sz w:val="22"/>
                <w:szCs w:val="22"/>
                <w:highlight w:val="none"/>
              </w:rPr>
            </w:pPr>
          </w:p>
        </w:tc>
        <w:tc>
          <w:tcPr>
            <w:tcW w:w="1049" w:type="dxa"/>
            <w:vMerge w:val="continue"/>
            <w:vAlign w:val="center"/>
          </w:tcPr>
          <w:p w14:paraId="4E058B9B">
            <w:pPr>
              <w:pStyle w:val="16"/>
              <w:spacing w:line="360" w:lineRule="auto"/>
              <w:jc w:val="center"/>
              <w:rPr>
                <w:rFonts w:hint="eastAsia" w:ascii="宋体" w:hAnsi="宋体" w:eastAsia="宋体" w:cs="宋体"/>
                <w:color w:val="auto"/>
                <w:sz w:val="22"/>
                <w:szCs w:val="22"/>
                <w:highlight w:val="none"/>
              </w:rPr>
            </w:pPr>
          </w:p>
        </w:tc>
        <w:tc>
          <w:tcPr>
            <w:tcW w:w="1148" w:type="dxa"/>
            <w:vAlign w:val="center"/>
          </w:tcPr>
          <w:p w14:paraId="332B972B">
            <w:pPr>
              <w:pStyle w:val="1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单价</w:t>
            </w:r>
          </w:p>
        </w:tc>
        <w:tc>
          <w:tcPr>
            <w:tcW w:w="1124" w:type="dxa"/>
            <w:vAlign w:val="center"/>
          </w:tcPr>
          <w:p w14:paraId="3EC6ACCE">
            <w:pPr>
              <w:pStyle w:val="1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小计</w:t>
            </w:r>
          </w:p>
        </w:tc>
      </w:tr>
      <w:tr w14:paraId="0594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0F63C56D">
            <w:pPr>
              <w:pStyle w:val="1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927" w:type="dxa"/>
            <w:vAlign w:val="center"/>
          </w:tcPr>
          <w:p w14:paraId="57FD0B8B">
            <w:pPr>
              <w:pStyle w:val="16"/>
              <w:rPr>
                <w:rFonts w:hint="eastAsia" w:ascii="宋体" w:hAnsi="宋体" w:eastAsia="宋体" w:cs="宋体"/>
                <w:color w:val="auto"/>
                <w:sz w:val="22"/>
                <w:szCs w:val="22"/>
                <w:highlight w:val="none"/>
              </w:rPr>
            </w:pPr>
          </w:p>
        </w:tc>
        <w:tc>
          <w:tcPr>
            <w:tcW w:w="1065" w:type="dxa"/>
            <w:vAlign w:val="center"/>
          </w:tcPr>
          <w:p w14:paraId="65D30097">
            <w:pPr>
              <w:pStyle w:val="16"/>
              <w:spacing w:line="360" w:lineRule="auto"/>
              <w:rPr>
                <w:rFonts w:hint="eastAsia" w:ascii="宋体" w:hAnsi="宋体" w:eastAsia="宋体" w:cs="宋体"/>
                <w:b/>
                <w:bCs/>
                <w:color w:val="auto"/>
                <w:sz w:val="22"/>
                <w:szCs w:val="22"/>
                <w:highlight w:val="none"/>
              </w:rPr>
            </w:pPr>
          </w:p>
        </w:tc>
        <w:tc>
          <w:tcPr>
            <w:tcW w:w="1755" w:type="dxa"/>
            <w:vAlign w:val="center"/>
          </w:tcPr>
          <w:p w14:paraId="7CE58DC7">
            <w:pPr>
              <w:pStyle w:val="16"/>
              <w:spacing w:line="360" w:lineRule="auto"/>
              <w:rPr>
                <w:rFonts w:hint="eastAsia" w:ascii="宋体" w:hAnsi="宋体" w:eastAsia="宋体" w:cs="宋体"/>
                <w:b/>
                <w:bCs/>
                <w:color w:val="auto"/>
                <w:sz w:val="22"/>
                <w:szCs w:val="22"/>
                <w:highlight w:val="none"/>
              </w:rPr>
            </w:pPr>
          </w:p>
        </w:tc>
        <w:tc>
          <w:tcPr>
            <w:tcW w:w="480" w:type="dxa"/>
            <w:vAlign w:val="center"/>
          </w:tcPr>
          <w:p w14:paraId="1163ED94">
            <w:pPr>
              <w:pStyle w:val="16"/>
              <w:spacing w:line="360" w:lineRule="auto"/>
              <w:rPr>
                <w:rFonts w:hint="eastAsia" w:ascii="宋体" w:hAnsi="宋体" w:eastAsia="宋体" w:cs="宋体"/>
                <w:b w:val="0"/>
                <w:bCs w:val="0"/>
                <w:color w:val="auto"/>
                <w:sz w:val="22"/>
                <w:szCs w:val="22"/>
                <w:highlight w:val="none"/>
                <w:lang w:val="en-US" w:eastAsia="zh-CN"/>
              </w:rPr>
            </w:pPr>
          </w:p>
        </w:tc>
        <w:tc>
          <w:tcPr>
            <w:tcW w:w="1049" w:type="dxa"/>
            <w:vAlign w:val="center"/>
          </w:tcPr>
          <w:p w14:paraId="5EC64FB5">
            <w:pPr>
              <w:pStyle w:val="16"/>
              <w:spacing w:line="360" w:lineRule="auto"/>
              <w:rPr>
                <w:rFonts w:hint="eastAsia" w:ascii="宋体" w:hAnsi="宋体" w:eastAsia="宋体" w:cs="宋体"/>
                <w:b w:val="0"/>
                <w:bCs w:val="0"/>
                <w:color w:val="auto"/>
                <w:sz w:val="22"/>
                <w:szCs w:val="22"/>
                <w:highlight w:val="none"/>
                <w:lang w:val="en-US" w:eastAsia="zh-CN"/>
              </w:rPr>
            </w:pPr>
          </w:p>
        </w:tc>
        <w:tc>
          <w:tcPr>
            <w:tcW w:w="1148" w:type="dxa"/>
          </w:tcPr>
          <w:p w14:paraId="35C00092">
            <w:pPr>
              <w:pStyle w:val="16"/>
              <w:spacing w:line="360" w:lineRule="auto"/>
              <w:rPr>
                <w:rFonts w:hint="eastAsia" w:ascii="宋体" w:hAnsi="宋体" w:eastAsia="宋体" w:cs="宋体"/>
                <w:color w:val="auto"/>
                <w:sz w:val="22"/>
                <w:szCs w:val="22"/>
                <w:highlight w:val="none"/>
              </w:rPr>
            </w:pPr>
          </w:p>
        </w:tc>
        <w:tc>
          <w:tcPr>
            <w:tcW w:w="1124" w:type="dxa"/>
          </w:tcPr>
          <w:p w14:paraId="4EEB6D58">
            <w:pPr>
              <w:pStyle w:val="16"/>
              <w:spacing w:line="360" w:lineRule="auto"/>
              <w:rPr>
                <w:rFonts w:hint="eastAsia" w:ascii="宋体" w:hAnsi="宋体" w:eastAsia="宋体" w:cs="宋体"/>
                <w:color w:val="auto"/>
                <w:sz w:val="22"/>
                <w:szCs w:val="22"/>
                <w:highlight w:val="none"/>
              </w:rPr>
            </w:pPr>
          </w:p>
        </w:tc>
      </w:tr>
      <w:tr w14:paraId="7C6C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24AF0EEA">
            <w:pPr>
              <w:pStyle w:val="1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927" w:type="dxa"/>
            <w:vAlign w:val="center"/>
          </w:tcPr>
          <w:p w14:paraId="0C2DE237">
            <w:pPr>
              <w:pStyle w:val="16"/>
              <w:rPr>
                <w:rFonts w:hint="eastAsia" w:ascii="宋体" w:hAnsi="宋体" w:eastAsia="宋体" w:cs="宋体"/>
                <w:color w:val="auto"/>
                <w:sz w:val="22"/>
                <w:szCs w:val="22"/>
                <w:highlight w:val="none"/>
              </w:rPr>
            </w:pPr>
          </w:p>
        </w:tc>
        <w:tc>
          <w:tcPr>
            <w:tcW w:w="1065" w:type="dxa"/>
            <w:vAlign w:val="center"/>
          </w:tcPr>
          <w:p w14:paraId="042BF51B">
            <w:pPr>
              <w:pStyle w:val="16"/>
              <w:spacing w:line="360" w:lineRule="auto"/>
              <w:rPr>
                <w:rFonts w:hint="eastAsia" w:ascii="宋体" w:hAnsi="宋体" w:eastAsia="宋体" w:cs="宋体"/>
                <w:b/>
                <w:bCs/>
                <w:color w:val="auto"/>
                <w:sz w:val="22"/>
                <w:szCs w:val="22"/>
                <w:highlight w:val="none"/>
              </w:rPr>
            </w:pPr>
          </w:p>
        </w:tc>
        <w:tc>
          <w:tcPr>
            <w:tcW w:w="1755" w:type="dxa"/>
            <w:vAlign w:val="center"/>
          </w:tcPr>
          <w:p w14:paraId="79137254">
            <w:pPr>
              <w:pStyle w:val="16"/>
              <w:spacing w:line="360" w:lineRule="auto"/>
              <w:rPr>
                <w:rFonts w:hint="eastAsia" w:ascii="宋体" w:hAnsi="宋体" w:eastAsia="宋体" w:cs="宋体"/>
                <w:b/>
                <w:bCs/>
                <w:color w:val="auto"/>
                <w:sz w:val="22"/>
                <w:szCs w:val="22"/>
                <w:highlight w:val="none"/>
              </w:rPr>
            </w:pPr>
          </w:p>
        </w:tc>
        <w:tc>
          <w:tcPr>
            <w:tcW w:w="480" w:type="dxa"/>
            <w:vAlign w:val="center"/>
          </w:tcPr>
          <w:p w14:paraId="5785AE83">
            <w:pPr>
              <w:pStyle w:val="16"/>
              <w:spacing w:line="360" w:lineRule="auto"/>
              <w:rPr>
                <w:rFonts w:hint="eastAsia" w:ascii="宋体" w:hAnsi="宋体" w:eastAsia="宋体" w:cs="宋体"/>
                <w:b w:val="0"/>
                <w:bCs w:val="0"/>
                <w:color w:val="auto"/>
                <w:sz w:val="22"/>
                <w:szCs w:val="22"/>
                <w:highlight w:val="none"/>
                <w:lang w:val="en-US" w:eastAsia="zh-CN"/>
              </w:rPr>
            </w:pPr>
          </w:p>
        </w:tc>
        <w:tc>
          <w:tcPr>
            <w:tcW w:w="1049" w:type="dxa"/>
            <w:vAlign w:val="center"/>
          </w:tcPr>
          <w:p w14:paraId="2307B061">
            <w:pPr>
              <w:pStyle w:val="16"/>
              <w:spacing w:line="360" w:lineRule="auto"/>
              <w:rPr>
                <w:rFonts w:hint="eastAsia" w:ascii="宋体" w:hAnsi="宋体" w:eastAsia="宋体" w:cs="宋体"/>
                <w:b w:val="0"/>
                <w:bCs w:val="0"/>
                <w:color w:val="auto"/>
                <w:sz w:val="22"/>
                <w:szCs w:val="22"/>
                <w:highlight w:val="none"/>
                <w:lang w:val="en-US" w:eastAsia="zh-CN"/>
              </w:rPr>
            </w:pPr>
          </w:p>
        </w:tc>
        <w:tc>
          <w:tcPr>
            <w:tcW w:w="1148" w:type="dxa"/>
          </w:tcPr>
          <w:p w14:paraId="074A9151">
            <w:pPr>
              <w:pStyle w:val="16"/>
              <w:spacing w:line="360" w:lineRule="auto"/>
              <w:rPr>
                <w:rFonts w:hint="eastAsia" w:ascii="宋体" w:hAnsi="宋体" w:eastAsia="宋体" w:cs="宋体"/>
                <w:color w:val="auto"/>
                <w:sz w:val="22"/>
                <w:szCs w:val="22"/>
                <w:highlight w:val="none"/>
              </w:rPr>
            </w:pPr>
          </w:p>
        </w:tc>
        <w:tc>
          <w:tcPr>
            <w:tcW w:w="1124" w:type="dxa"/>
          </w:tcPr>
          <w:p w14:paraId="13505E04">
            <w:pPr>
              <w:pStyle w:val="16"/>
              <w:spacing w:line="360" w:lineRule="auto"/>
              <w:rPr>
                <w:rFonts w:hint="eastAsia" w:ascii="宋体" w:hAnsi="宋体" w:eastAsia="宋体" w:cs="宋体"/>
                <w:color w:val="auto"/>
                <w:sz w:val="22"/>
                <w:szCs w:val="22"/>
                <w:highlight w:val="none"/>
              </w:rPr>
            </w:pPr>
          </w:p>
        </w:tc>
      </w:tr>
      <w:tr w14:paraId="5F55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060CB3ED">
            <w:pPr>
              <w:pStyle w:val="1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927" w:type="dxa"/>
            <w:vAlign w:val="center"/>
          </w:tcPr>
          <w:p w14:paraId="07430C51">
            <w:pPr>
              <w:pStyle w:val="16"/>
              <w:rPr>
                <w:rFonts w:hint="eastAsia" w:ascii="宋体" w:hAnsi="宋体" w:eastAsia="宋体" w:cs="宋体"/>
                <w:color w:val="auto"/>
                <w:sz w:val="22"/>
                <w:szCs w:val="22"/>
                <w:highlight w:val="none"/>
              </w:rPr>
            </w:pPr>
          </w:p>
        </w:tc>
        <w:tc>
          <w:tcPr>
            <w:tcW w:w="1065" w:type="dxa"/>
            <w:vAlign w:val="center"/>
          </w:tcPr>
          <w:p w14:paraId="1903A246">
            <w:pPr>
              <w:pStyle w:val="16"/>
              <w:spacing w:line="360" w:lineRule="auto"/>
              <w:rPr>
                <w:rFonts w:hint="eastAsia" w:ascii="宋体" w:hAnsi="宋体" w:eastAsia="宋体" w:cs="宋体"/>
                <w:b/>
                <w:bCs/>
                <w:color w:val="auto"/>
                <w:sz w:val="22"/>
                <w:szCs w:val="22"/>
                <w:highlight w:val="none"/>
              </w:rPr>
            </w:pPr>
          </w:p>
        </w:tc>
        <w:tc>
          <w:tcPr>
            <w:tcW w:w="1755" w:type="dxa"/>
            <w:vAlign w:val="center"/>
          </w:tcPr>
          <w:p w14:paraId="4B8AEB17">
            <w:pPr>
              <w:pStyle w:val="16"/>
              <w:spacing w:line="360" w:lineRule="auto"/>
              <w:rPr>
                <w:rFonts w:hint="eastAsia" w:ascii="宋体" w:hAnsi="宋体" w:eastAsia="宋体" w:cs="宋体"/>
                <w:b/>
                <w:bCs/>
                <w:color w:val="auto"/>
                <w:sz w:val="22"/>
                <w:szCs w:val="22"/>
                <w:highlight w:val="none"/>
              </w:rPr>
            </w:pPr>
          </w:p>
        </w:tc>
        <w:tc>
          <w:tcPr>
            <w:tcW w:w="480" w:type="dxa"/>
            <w:vAlign w:val="center"/>
          </w:tcPr>
          <w:p w14:paraId="3756AA5F">
            <w:pPr>
              <w:pStyle w:val="16"/>
              <w:spacing w:line="360" w:lineRule="auto"/>
              <w:rPr>
                <w:rFonts w:hint="eastAsia" w:ascii="宋体" w:hAnsi="宋体" w:eastAsia="宋体" w:cs="宋体"/>
                <w:b/>
                <w:bCs/>
                <w:color w:val="auto"/>
                <w:sz w:val="22"/>
                <w:szCs w:val="22"/>
                <w:highlight w:val="none"/>
              </w:rPr>
            </w:pPr>
          </w:p>
        </w:tc>
        <w:tc>
          <w:tcPr>
            <w:tcW w:w="1049" w:type="dxa"/>
            <w:vAlign w:val="center"/>
          </w:tcPr>
          <w:p w14:paraId="786028BC">
            <w:pPr>
              <w:pStyle w:val="16"/>
              <w:spacing w:line="360" w:lineRule="auto"/>
              <w:rPr>
                <w:rFonts w:hint="eastAsia" w:ascii="宋体" w:hAnsi="宋体" w:eastAsia="宋体" w:cs="宋体"/>
                <w:b/>
                <w:bCs/>
                <w:color w:val="auto"/>
                <w:sz w:val="22"/>
                <w:szCs w:val="22"/>
                <w:highlight w:val="none"/>
              </w:rPr>
            </w:pPr>
          </w:p>
        </w:tc>
        <w:tc>
          <w:tcPr>
            <w:tcW w:w="1148" w:type="dxa"/>
          </w:tcPr>
          <w:p w14:paraId="6AB0EFBE">
            <w:pPr>
              <w:pStyle w:val="16"/>
              <w:spacing w:line="360" w:lineRule="auto"/>
              <w:rPr>
                <w:rFonts w:hint="eastAsia" w:ascii="宋体" w:hAnsi="宋体" w:eastAsia="宋体" w:cs="宋体"/>
                <w:color w:val="auto"/>
                <w:sz w:val="22"/>
                <w:szCs w:val="22"/>
                <w:highlight w:val="none"/>
              </w:rPr>
            </w:pPr>
          </w:p>
        </w:tc>
        <w:tc>
          <w:tcPr>
            <w:tcW w:w="1124" w:type="dxa"/>
          </w:tcPr>
          <w:p w14:paraId="07D40A77">
            <w:pPr>
              <w:pStyle w:val="16"/>
              <w:spacing w:line="360" w:lineRule="auto"/>
              <w:rPr>
                <w:rFonts w:hint="eastAsia" w:ascii="宋体" w:hAnsi="宋体" w:eastAsia="宋体" w:cs="宋体"/>
                <w:color w:val="auto"/>
                <w:sz w:val="22"/>
                <w:szCs w:val="22"/>
                <w:highlight w:val="none"/>
              </w:rPr>
            </w:pPr>
          </w:p>
        </w:tc>
      </w:tr>
      <w:tr w14:paraId="5F11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3E9FD42A">
            <w:pPr>
              <w:pStyle w:val="1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927" w:type="dxa"/>
            <w:vAlign w:val="center"/>
          </w:tcPr>
          <w:p w14:paraId="24EEF000">
            <w:pPr>
              <w:pStyle w:val="16"/>
              <w:rPr>
                <w:rFonts w:hint="eastAsia" w:ascii="宋体" w:hAnsi="宋体" w:eastAsia="宋体" w:cs="宋体"/>
                <w:color w:val="auto"/>
                <w:sz w:val="22"/>
                <w:szCs w:val="22"/>
                <w:highlight w:val="none"/>
              </w:rPr>
            </w:pPr>
          </w:p>
        </w:tc>
        <w:tc>
          <w:tcPr>
            <w:tcW w:w="1065" w:type="dxa"/>
            <w:vAlign w:val="center"/>
          </w:tcPr>
          <w:p w14:paraId="6E549021">
            <w:pPr>
              <w:pStyle w:val="16"/>
              <w:spacing w:line="360" w:lineRule="auto"/>
              <w:jc w:val="center"/>
              <w:rPr>
                <w:rFonts w:hint="eastAsia" w:ascii="宋体" w:hAnsi="宋体" w:eastAsia="宋体" w:cs="宋体"/>
                <w:color w:val="auto"/>
                <w:sz w:val="22"/>
                <w:szCs w:val="22"/>
                <w:highlight w:val="none"/>
              </w:rPr>
            </w:pPr>
          </w:p>
        </w:tc>
        <w:tc>
          <w:tcPr>
            <w:tcW w:w="1755" w:type="dxa"/>
            <w:vAlign w:val="center"/>
          </w:tcPr>
          <w:p w14:paraId="57E1A837">
            <w:pPr>
              <w:pStyle w:val="16"/>
              <w:spacing w:line="360" w:lineRule="auto"/>
              <w:jc w:val="center"/>
              <w:rPr>
                <w:rFonts w:hint="eastAsia" w:ascii="宋体" w:hAnsi="宋体" w:eastAsia="宋体" w:cs="宋体"/>
                <w:color w:val="auto"/>
                <w:sz w:val="22"/>
                <w:szCs w:val="22"/>
                <w:highlight w:val="none"/>
              </w:rPr>
            </w:pPr>
          </w:p>
        </w:tc>
        <w:tc>
          <w:tcPr>
            <w:tcW w:w="480" w:type="dxa"/>
            <w:vAlign w:val="center"/>
          </w:tcPr>
          <w:p w14:paraId="57CF6AA4">
            <w:pPr>
              <w:pStyle w:val="16"/>
              <w:spacing w:line="360" w:lineRule="auto"/>
              <w:jc w:val="center"/>
              <w:rPr>
                <w:rFonts w:hint="eastAsia" w:ascii="宋体" w:hAnsi="宋体" w:eastAsia="宋体" w:cs="宋体"/>
                <w:color w:val="auto"/>
                <w:sz w:val="22"/>
                <w:szCs w:val="22"/>
                <w:highlight w:val="none"/>
              </w:rPr>
            </w:pPr>
          </w:p>
        </w:tc>
        <w:tc>
          <w:tcPr>
            <w:tcW w:w="1049" w:type="dxa"/>
            <w:vAlign w:val="center"/>
          </w:tcPr>
          <w:p w14:paraId="0079B443">
            <w:pPr>
              <w:pStyle w:val="16"/>
              <w:spacing w:line="360" w:lineRule="auto"/>
              <w:jc w:val="center"/>
              <w:rPr>
                <w:rFonts w:hint="eastAsia" w:ascii="宋体" w:hAnsi="宋体" w:eastAsia="宋体" w:cs="宋体"/>
                <w:color w:val="auto"/>
                <w:sz w:val="22"/>
                <w:szCs w:val="22"/>
                <w:highlight w:val="none"/>
              </w:rPr>
            </w:pPr>
          </w:p>
        </w:tc>
        <w:tc>
          <w:tcPr>
            <w:tcW w:w="1148" w:type="dxa"/>
          </w:tcPr>
          <w:p w14:paraId="4CFC1D72">
            <w:pPr>
              <w:pStyle w:val="16"/>
              <w:spacing w:line="360" w:lineRule="auto"/>
              <w:rPr>
                <w:rFonts w:hint="eastAsia" w:ascii="宋体" w:hAnsi="宋体" w:eastAsia="宋体" w:cs="宋体"/>
                <w:color w:val="auto"/>
                <w:sz w:val="22"/>
                <w:szCs w:val="22"/>
                <w:highlight w:val="none"/>
              </w:rPr>
            </w:pPr>
          </w:p>
        </w:tc>
        <w:tc>
          <w:tcPr>
            <w:tcW w:w="1124" w:type="dxa"/>
          </w:tcPr>
          <w:p w14:paraId="1F69C0EC">
            <w:pPr>
              <w:pStyle w:val="16"/>
              <w:spacing w:line="360" w:lineRule="auto"/>
              <w:rPr>
                <w:rFonts w:hint="eastAsia" w:ascii="宋体" w:hAnsi="宋体" w:eastAsia="宋体" w:cs="宋体"/>
                <w:color w:val="auto"/>
                <w:sz w:val="22"/>
                <w:szCs w:val="22"/>
                <w:highlight w:val="none"/>
              </w:rPr>
            </w:pPr>
          </w:p>
        </w:tc>
      </w:tr>
      <w:tr w14:paraId="160B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132C276E">
            <w:pPr>
              <w:pStyle w:val="1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927" w:type="dxa"/>
            <w:vAlign w:val="center"/>
          </w:tcPr>
          <w:p w14:paraId="53A097B8">
            <w:pPr>
              <w:pStyle w:val="16"/>
              <w:spacing w:line="360" w:lineRule="auto"/>
              <w:jc w:val="center"/>
              <w:rPr>
                <w:rFonts w:hint="eastAsia" w:ascii="宋体" w:hAnsi="宋体" w:eastAsia="宋体" w:cs="宋体"/>
                <w:color w:val="auto"/>
                <w:sz w:val="22"/>
                <w:szCs w:val="22"/>
                <w:highlight w:val="none"/>
              </w:rPr>
            </w:pPr>
          </w:p>
        </w:tc>
        <w:tc>
          <w:tcPr>
            <w:tcW w:w="1065" w:type="dxa"/>
            <w:vAlign w:val="center"/>
          </w:tcPr>
          <w:p w14:paraId="448EE068">
            <w:pPr>
              <w:jc w:val="center"/>
              <w:rPr>
                <w:rFonts w:hint="eastAsia" w:ascii="宋体" w:hAnsi="宋体" w:eastAsia="宋体" w:cs="宋体"/>
                <w:b/>
                <w:bCs/>
                <w:color w:val="auto"/>
                <w:sz w:val="22"/>
                <w:szCs w:val="22"/>
                <w:highlight w:val="none"/>
              </w:rPr>
            </w:pPr>
          </w:p>
        </w:tc>
        <w:tc>
          <w:tcPr>
            <w:tcW w:w="1755" w:type="dxa"/>
            <w:vAlign w:val="center"/>
          </w:tcPr>
          <w:p w14:paraId="016073F8">
            <w:pPr>
              <w:jc w:val="center"/>
              <w:rPr>
                <w:rFonts w:hint="eastAsia" w:ascii="宋体" w:hAnsi="宋体" w:eastAsia="宋体" w:cs="宋体"/>
                <w:b/>
                <w:bCs/>
                <w:color w:val="auto"/>
                <w:sz w:val="22"/>
                <w:szCs w:val="22"/>
                <w:highlight w:val="none"/>
              </w:rPr>
            </w:pPr>
          </w:p>
        </w:tc>
        <w:tc>
          <w:tcPr>
            <w:tcW w:w="480" w:type="dxa"/>
            <w:vAlign w:val="center"/>
          </w:tcPr>
          <w:p w14:paraId="6EE406E1">
            <w:pPr>
              <w:pStyle w:val="16"/>
              <w:spacing w:line="360" w:lineRule="auto"/>
              <w:jc w:val="center"/>
              <w:rPr>
                <w:rFonts w:hint="eastAsia" w:ascii="宋体" w:hAnsi="宋体" w:eastAsia="宋体" w:cs="宋体"/>
                <w:b/>
                <w:bCs/>
                <w:color w:val="auto"/>
                <w:sz w:val="22"/>
                <w:szCs w:val="22"/>
                <w:highlight w:val="none"/>
              </w:rPr>
            </w:pPr>
          </w:p>
        </w:tc>
        <w:tc>
          <w:tcPr>
            <w:tcW w:w="1049" w:type="dxa"/>
            <w:vAlign w:val="center"/>
          </w:tcPr>
          <w:p w14:paraId="3F802B64">
            <w:pPr>
              <w:pStyle w:val="16"/>
              <w:spacing w:line="360" w:lineRule="auto"/>
              <w:jc w:val="center"/>
              <w:rPr>
                <w:rFonts w:hint="eastAsia" w:ascii="宋体" w:hAnsi="宋体" w:eastAsia="宋体" w:cs="宋体"/>
                <w:b/>
                <w:bCs/>
                <w:color w:val="auto"/>
                <w:sz w:val="22"/>
                <w:szCs w:val="22"/>
                <w:highlight w:val="none"/>
              </w:rPr>
            </w:pPr>
          </w:p>
        </w:tc>
        <w:tc>
          <w:tcPr>
            <w:tcW w:w="1148" w:type="dxa"/>
            <w:vAlign w:val="center"/>
          </w:tcPr>
          <w:p w14:paraId="6BBC3294">
            <w:pPr>
              <w:pStyle w:val="16"/>
              <w:spacing w:line="360" w:lineRule="auto"/>
              <w:jc w:val="center"/>
              <w:rPr>
                <w:rFonts w:hint="eastAsia" w:ascii="宋体" w:hAnsi="宋体" w:eastAsia="宋体" w:cs="宋体"/>
                <w:b/>
                <w:bCs/>
                <w:color w:val="auto"/>
                <w:sz w:val="22"/>
                <w:szCs w:val="22"/>
                <w:highlight w:val="none"/>
              </w:rPr>
            </w:pPr>
          </w:p>
        </w:tc>
        <w:tc>
          <w:tcPr>
            <w:tcW w:w="1124" w:type="dxa"/>
            <w:vAlign w:val="center"/>
          </w:tcPr>
          <w:p w14:paraId="7A9483AD">
            <w:pPr>
              <w:pStyle w:val="16"/>
              <w:spacing w:line="360" w:lineRule="auto"/>
              <w:jc w:val="center"/>
              <w:rPr>
                <w:rFonts w:hint="eastAsia" w:ascii="宋体" w:hAnsi="宋体" w:eastAsia="宋体" w:cs="宋体"/>
                <w:b/>
                <w:bCs/>
                <w:color w:val="auto"/>
                <w:sz w:val="22"/>
                <w:szCs w:val="22"/>
                <w:highlight w:val="none"/>
              </w:rPr>
            </w:pPr>
          </w:p>
        </w:tc>
      </w:tr>
      <w:tr w14:paraId="51DD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64F8829B">
            <w:pPr>
              <w:pStyle w:val="16"/>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927" w:type="dxa"/>
            <w:vAlign w:val="center"/>
          </w:tcPr>
          <w:p w14:paraId="02035CFB">
            <w:pPr>
              <w:pStyle w:val="1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065" w:type="dxa"/>
            <w:vAlign w:val="center"/>
          </w:tcPr>
          <w:p w14:paraId="28D33C56">
            <w:pPr>
              <w:jc w:val="center"/>
              <w:rPr>
                <w:rFonts w:hint="eastAsia" w:ascii="宋体" w:hAnsi="宋体" w:eastAsia="宋体" w:cs="宋体"/>
                <w:color w:val="auto"/>
                <w:sz w:val="22"/>
                <w:szCs w:val="22"/>
                <w:highlight w:val="none"/>
              </w:rPr>
            </w:pPr>
          </w:p>
        </w:tc>
        <w:tc>
          <w:tcPr>
            <w:tcW w:w="1755" w:type="dxa"/>
            <w:vAlign w:val="center"/>
          </w:tcPr>
          <w:p w14:paraId="3044577F">
            <w:pPr>
              <w:jc w:val="center"/>
              <w:rPr>
                <w:rFonts w:hint="eastAsia" w:ascii="宋体" w:hAnsi="宋体" w:eastAsia="宋体" w:cs="宋体"/>
                <w:color w:val="auto"/>
                <w:sz w:val="22"/>
                <w:szCs w:val="22"/>
                <w:highlight w:val="none"/>
              </w:rPr>
            </w:pPr>
          </w:p>
        </w:tc>
        <w:tc>
          <w:tcPr>
            <w:tcW w:w="480" w:type="dxa"/>
            <w:vAlign w:val="center"/>
          </w:tcPr>
          <w:p w14:paraId="6186D1D6">
            <w:pPr>
              <w:pStyle w:val="16"/>
              <w:spacing w:line="360" w:lineRule="auto"/>
              <w:jc w:val="center"/>
              <w:rPr>
                <w:rFonts w:hint="eastAsia" w:ascii="宋体" w:hAnsi="宋体" w:eastAsia="宋体" w:cs="宋体"/>
                <w:color w:val="auto"/>
                <w:sz w:val="22"/>
                <w:szCs w:val="22"/>
                <w:highlight w:val="none"/>
              </w:rPr>
            </w:pPr>
          </w:p>
        </w:tc>
        <w:tc>
          <w:tcPr>
            <w:tcW w:w="1049" w:type="dxa"/>
            <w:vAlign w:val="center"/>
          </w:tcPr>
          <w:p w14:paraId="7D73ABD0">
            <w:pPr>
              <w:pStyle w:val="16"/>
              <w:spacing w:line="360" w:lineRule="auto"/>
              <w:jc w:val="center"/>
              <w:rPr>
                <w:rFonts w:hint="eastAsia" w:ascii="宋体" w:hAnsi="宋体" w:eastAsia="宋体" w:cs="宋体"/>
                <w:color w:val="auto"/>
                <w:sz w:val="22"/>
                <w:szCs w:val="22"/>
                <w:highlight w:val="none"/>
              </w:rPr>
            </w:pPr>
          </w:p>
        </w:tc>
        <w:tc>
          <w:tcPr>
            <w:tcW w:w="1148" w:type="dxa"/>
          </w:tcPr>
          <w:p w14:paraId="129D2142">
            <w:pPr>
              <w:pStyle w:val="16"/>
              <w:spacing w:line="360" w:lineRule="auto"/>
              <w:rPr>
                <w:rFonts w:hint="eastAsia" w:ascii="宋体" w:hAnsi="宋体" w:eastAsia="宋体" w:cs="宋体"/>
                <w:color w:val="auto"/>
                <w:sz w:val="22"/>
                <w:szCs w:val="22"/>
                <w:highlight w:val="none"/>
              </w:rPr>
            </w:pPr>
          </w:p>
        </w:tc>
        <w:tc>
          <w:tcPr>
            <w:tcW w:w="1124" w:type="dxa"/>
          </w:tcPr>
          <w:p w14:paraId="383C5ADF">
            <w:pPr>
              <w:pStyle w:val="16"/>
              <w:spacing w:line="360" w:lineRule="auto"/>
              <w:rPr>
                <w:rFonts w:hint="eastAsia" w:ascii="宋体" w:hAnsi="宋体" w:eastAsia="宋体" w:cs="宋体"/>
                <w:color w:val="auto"/>
                <w:sz w:val="22"/>
                <w:szCs w:val="22"/>
                <w:highlight w:val="none"/>
              </w:rPr>
            </w:pPr>
          </w:p>
        </w:tc>
      </w:tr>
      <w:tr w14:paraId="4FA0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416" w:type="dxa"/>
            <w:gridSpan w:val="2"/>
            <w:vAlign w:val="center"/>
          </w:tcPr>
          <w:p w14:paraId="610F4B11">
            <w:pPr>
              <w:pStyle w:val="1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投标总价</w:t>
            </w:r>
          </w:p>
        </w:tc>
        <w:tc>
          <w:tcPr>
            <w:tcW w:w="6621" w:type="dxa"/>
            <w:gridSpan w:val="6"/>
            <w:vAlign w:val="center"/>
          </w:tcPr>
          <w:p w14:paraId="2BE88EC1">
            <w:pPr>
              <w:pStyle w:val="16"/>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大写：　　　　                元（小写：　　　　　）</w:t>
            </w:r>
          </w:p>
        </w:tc>
      </w:tr>
      <w:tr w14:paraId="256E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3EB2677B">
            <w:pPr>
              <w:pStyle w:val="16"/>
              <w:spacing w:line="360" w:lineRule="auto"/>
              <w:ind w:firstLine="48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4"/>
                <w:szCs w:val="24"/>
                <w:highlight w:val="none"/>
              </w:rPr>
              <w:t>本次报价应包含项目所需全部服务，不得缺漏，是履行合同的最终价格，包括</w:t>
            </w:r>
            <w:r>
              <w:rPr>
                <w:rFonts w:hint="eastAsia" w:hAnsi="宋体" w:cs="宋体"/>
                <w:color w:val="auto"/>
                <w:sz w:val="24"/>
                <w:szCs w:val="24"/>
                <w:highlight w:val="none"/>
                <w:lang w:eastAsia="zh-CN"/>
              </w:rPr>
              <w:t>服务内容</w:t>
            </w:r>
            <w:r>
              <w:rPr>
                <w:rFonts w:hint="eastAsia" w:ascii="宋体" w:hAnsi="宋体" w:eastAsia="宋体" w:cs="宋体"/>
                <w:color w:val="auto"/>
                <w:sz w:val="24"/>
                <w:szCs w:val="24"/>
                <w:highlight w:val="none"/>
              </w:rPr>
              <w:t>、税金、代理服务费及不可预见费用等一切费用。凡投标人在报价中未列明但又为本次采购所必备的项目或遗漏项目，采购方将一律视为已包括在合同价中，在合同执行中将不予考虑。</w:t>
            </w:r>
          </w:p>
        </w:tc>
      </w:tr>
    </w:tbl>
    <w:p w14:paraId="5B7BE4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13800F5">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注：内容可根据供应商实际情况自行调整。</w:t>
      </w:r>
    </w:p>
    <w:p w14:paraId="157F6761">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09284E64">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7BFEAB4E">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618B5759">
      <w:pPr>
        <w:pStyle w:val="2"/>
        <w:rPr>
          <w:rFonts w:hint="eastAsia" w:ascii="宋体" w:hAnsi="宋体" w:eastAsia="宋体" w:cs="宋体"/>
          <w:color w:val="auto"/>
          <w:sz w:val="24"/>
          <w:szCs w:val="24"/>
          <w:highlight w:val="none"/>
        </w:rPr>
      </w:pPr>
    </w:p>
    <w:p w14:paraId="70950FF3">
      <w:pPr>
        <w:pStyle w:val="2"/>
        <w:rPr>
          <w:rFonts w:hint="eastAsia" w:ascii="宋体" w:hAnsi="宋体" w:eastAsia="宋体" w:cs="宋体"/>
          <w:b/>
          <w:bCs/>
          <w:color w:val="auto"/>
          <w:highlight w:val="none"/>
          <w:lang w:val="zh-CN"/>
        </w:rPr>
      </w:pPr>
    </w:p>
    <w:p w14:paraId="4CE36335">
      <w:pPr>
        <w:pStyle w:val="3"/>
        <w:rPr>
          <w:rFonts w:hint="eastAsia" w:ascii="宋体" w:hAnsi="宋体" w:eastAsia="宋体" w:cs="宋体"/>
          <w:b/>
          <w:bCs/>
          <w:color w:val="auto"/>
          <w:highlight w:val="none"/>
          <w:lang w:val="zh-CN"/>
        </w:rPr>
      </w:pPr>
    </w:p>
    <w:bookmarkEnd w:id="117"/>
    <w:p w14:paraId="4FDE0748">
      <w:pPr>
        <w:spacing w:line="360" w:lineRule="auto"/>
        <w:jc w:val="left"/>
        <w:rPr>
          <w:rFonts w:hint="eastAsia" w:ascii="宋体" w:hAnsi="宋体" w:eastAsia="宋体" w:cs="宋体"/>
          <w:b/>
          <w:bCs/>
          <w:color w:val="auto"/>
          <w:sz w:val="24"/>
          <w:szCs w:val="24"/>
          <w:highlight w:val="none"/>
          <w:lang w:val="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98584">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E18E6">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690C11">
                          <w:pPr>
                            <w:pStyle w:val="19"/>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63690C11">
                    <w:pPr>
                      <w:pStyle w:val="1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F49F">
    <w:pPr>
      <w:pStyle w:val="19"/>
      <w:rPr>
        <w:rStyle w:val="3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2644A3F3">
                          <w:pPr>
                            <w:pStyle w:val="19"/>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2644A3F3">
                    <w:pPr>
                      <w:pStyle w:val="19"/>
                    </w:pPr>
                    <w:r>
                      <w:fldChar w:fldCharType="begin"/>
                    </w:r>
                    <w:r>
                      <w:instrText xml:space="preserve"> PAGE  \* MERGEFORMAT </w:instrText>
                    </w:r>
                    <w:r>
                      <w:fldChar w:fldCharType="separate"/>
                    </w:r>
                    <w:r>
                      <w:t>59</w:t>
                    </w:r>
                    <w:r>
                      <w:fldChar w:fldCharType="end"/>
                    </w:r>
                  </w:p>
                </w:txbxContent>
              </v:textbox>
            </v:shape>
          </w:pict>
        </mc:Fallback>
      </mc:AlternateContent>
    </w:r>
  </w:p>
  <w:p w14:paraId="0EA5EBA4">
    <w:pPr>
      <w:pStyle w:val="19"/>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B0C2B">
    <w:pPr>
      <w:pStyle w:val="2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D436F"/>
    <w:multiLevelType w:val="singleLevel"/>
    <w:tmpl w:val="9E7D436F"/>
    <w:lvl w:ilvl="0" w:tentative="0">
      <w:start w:val="1"/>
      <w:numFmt w:val="chineseCounting"/>
      <w:suff w:val="nothing"/>
      <w:lvlText w:val="%1、"/>
      <w:lvlJc w:val="left"/>
      <w:rPr>
        <w:rFonts w:hint="eastAsia"/>
      </w:rPr>
    </w:lvl>
  </w:abstractNum>
  <w:abstractNum w:abstractNumId="1">
    <w:nsid w:val="D5C663A9"/>
    <w:multiLevelType w:val="singleLevel"/>
    <w:tmpl w:val="D5C663A9"/>
    <w:lvl w:ilvl="0" w:tentative="0">
      <w:start w:val="1"/>
      <w:numFmt w:val="decimalEnclosedCircleChinese"/>
      <w:suff w:val="nothing"/>
      <w:lvlText w:val="%1　"/>
      <w:lvlJc w:val="left"/>
      <w:pPr>
        <w:ind w:firstLine="1134"/>
      </w:pPr>
      <w:rPr>
        <w:rFonts w:hint="eastAsia"/>
      </w:rPr>
    </w:lvl>
  </w:abstractNum>
  <w:abstractNum w:abstractNumId="2">
    <w:nsid w:val="F4396F3A"/>
    <w:multiLevelType w:val="singleLevel"/>
    <w:tmpl w:val="F4396F3A"/>
    <w:lvl w:ilvl="0" w:tentative="0">
      <w:start w:val="2"/>
      <w:numFmt w:val="chineseCounting"/>
      <w:suff w:val="nothing"/>
      <w:lvlText w:val="%1、"/>
      <w:lvlJc w:val="left"/>
      <w:rPr>
        <w:rFonts w:hint="eastAsia"/>
      </w:rPr>
    </w:lvl>
  </w:abstractNum>
  <w:abstractNum w:abstractNumId="3">
    <w:nsid w:val="00000004"/>
    <w:multiLevelType w:val="singleLevel"/>
    <w:tmpl w:val="00000004"/>
    <w:lvl w:ilvl="0" w:tentative="0">
      <w:start w:val="1"/>
      <w:numFmt w:val="decimal"/>
      <w:suff w:val="nothing"/>
      <w:lvlText w:val="%1．"/>
      <w:lvlJc w:val="left"/>
      <w:pPr>
        <w:ind w:firstLine="397"/>
      </w:pPr>
      <w:rPr>
        <w:rFonts w:hint="default"/>
      </w:rPr>
    </w:lvl>
  </w:abstractNum>
  <w:abstractNum w:abstractNumId="4">
    <w:nsid w:val="07B5D497"/>
    <w:multiLevelType w:val="singleLevel"/>
    <w:tmpl w:val="07B5D497"/>
    <w:lvl w:ilvl="0" w:tentative="0">
      <w:start w:val="1"/>
      <w:numFmt w:val="decimalEnclosedCircleChinese"/>
      <w:suff w:val="nothing"/>
      <w:lvlText w:val="%1　"/>
      <w:lvlJc w:val="left"/>
      <w:pPr>
        <w:ind w:firstLine="1134"/>
      </w:pPr>
      <w:rPr>
        <w:rFonts w:hint="eastAsia"/>
      </w:rPr>
    </w:lvl>
  </w:abstractNum>
  <w:abstractNum w:abstractNumId="5">
    <w:nsid w:val="12F353C5"/>
    <w:multiLevelType w:val="singleLevel"/>
    <w:tmpl w:val="12F353C5"/>
    <w:lvl w:ilvl="0" w:tentative="0">
      <w:start w:val="1"/>
      <w:numFmt w:val="chineseCounting"/>
      <w:suff w:val="nothing"/>
      <w:lvlText w:val="%1、"/>
      <w:lvlJc w:val="left"/>
      <w:rPr>
        <w:rFonts w:hint="eastAsia"/>
      </w:rPr>
    </w:lvl>
  </w:abstractNum>
  <w:abstractNum w:abstractNumId="6">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7">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8">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9">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0">
    <w:nsid w:val="31213A5A"/>
    <w:multiLevelType w:val="singleLevel"/>
    <w:tmpl w:val="31213A5A"/>
    <w:lvl w:ilvl="0" w:tentative="0">
      <w:start w:val="4"/>
      <w:numFmt w:val="chineseCounting"/>
      <w:suff w:val="nothing"/>
      <w:lvlText w:val="%1、"/>
      <w:lvlJc w:val="left"/>
      <w:rPr>
        <w:rFonts w:hint="eastAsia"/>
      </w:rPr>
    </w:lvl>
  </w:abstractNum>
  <w:abstractNum w:abstractNumId="11">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2">
    <w:nsid w:val="466C6E1F"/>
    <w:multiLevelType w:val="multilevel"/>
    <w:tmpl w:val="466C6E1F"/>
    <w:lvl w:ilvl="0" w:tentative="0">
      <w:start w:val="1"/>
      <w:numFmt w:val="upperLetter"/>
      <w:pStyle w:val="10"/>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3">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4">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5">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16">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12"/>
  </w:num>
  <w:num w:numId="2">
    <w:abstractNumId w:val="3"/>
  </w:num>
  <w:num w:numId="3">
    <w:abstractNumId w:val="14"/>
  </w:num>
  <w:num w:numId="4">
    <w:abstractNumId w:val="7"/>
  </w:num>
  <w:num w:numId="5">
    <w:abstractNumId w:val="16"/>
  </w:num>
  <w:num w:numId="6">
    <w:abstractNumId w:val="8"/>
  </w:num>
  <w:num w:numId="7">
    <w:abstractNumId w:val="15"/>
  </w:num>
  <w:num w:numId="8">
    <w:abstractNumId w:val="5"/>
  </w:num>
  <w:num w:numId="9">
    <w:abstractNumId w:val="6"/>
  </w:num>
  <w:num w:numId="10">
    <w:abstractNumId w:val="13"/>
  </w:num>
  <w:num w:numId="11">
    <w:abstractNumId w:val="11"/>
  </w:num>
  <w:num w:numId="12">
    <w:abstractNumId w:val="1"/>
  </w:num>
  <w:num w:numId="13">
    <w:abstractNumId w:val="9"/>
  </w:num>
  <w:num w:numId="14">
    <w:abstractNumId w:val="0"/>
  </w:num>
  <w:num w:numId="15">
    <w:abstractNumId w:val="10"/>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Yjc2MzdjMzNlOTYwYmU2MzlkZjg2MzRhMDA5MTgifQ=="/>
  </w:docVars>
  <w:rsids>
    <w:rsidRoot w:val="5AA412FE"/>
    <w:rsid w:val="00003EF7"/>
    <w:rsid w:val="000122B4"/>
    <w:rsid w:val="00027C5B"/>
    <w:rsid w:val="00043EEC"/>
    <w:rsid w:val="00046957"/>
    <w:rsid w:val="0005045A"/>
    <w:rsid w:val="00084F39"/>
    <w:rsid w:val="00085ECB"/>
    <w:rsid w:val="000B3BC7"/>
    <w:rsid w:val="000D30BB"/>
    <w:rsid w:val="000F06EE"/>
    <w:rsid w:val="001039CA"/>
    <w:rsid w:val="0012684B"/>
    <w:rsid w:val="001339E2"/>
    <w:rsid w:val="00161E6F"/>
    <w:rsid w:val="00213CF6"/>
    <w:rsid w:val="00221416"/>
    <w:rsid w:val="00223E24"/>
    <w:rsid w:val="00234866"/>
    <w:rsid w:val="00234D57"/>
    <w:rsid w:val="00255FD2"/>
    <w:rsid w:val="00264C08"/>
    <w:rsid w:val="00273F1A"/>
    <w:rsid w:val="0027526D"/>
    <w:rsid w:val="00284949"/>
    <w:rsid w:val="00297FF4"/>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C2439"/>
    <w:rsid w:val="008E3963"/>
    <w:rsid w:val="00913BA9"/>
    <w:rsid w:val="00913DF5"/>
    <w:rsid w:val="00922646"/>
    <w:rsid w:val="009241BF"/>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BD1729"/>
    <w:rsid w:val="00C144DF"/>
    <w:rsid w:val="00C15659"/>
    <w:rsid w:val="00C32FC8"/>
    <w:rsid w:val="00C4588E"/>
    <w:rsid w:val="00C70180"/>
    <w:rsid w:val="00C755F3"/>
    <w:rsid w:val="00C93598"/>
    <w:rsid w:val="00C94384"/>
    <w:rsid w:val="00C97640"/>
    <w:rsid w:val="00CA29A3"/>
    <w:rsid w:val="00CA75C3"/>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E109DA"/>
    <w:rsid w:val="00E30080"/>
    <w:rsid w:val="00E53562"/>
    <w:rsid w:val="00E666D2"/>
    <w:rsid w:val="00E7041C"/>
    <w:rsid w:val="00F47432"/>
    <w:rsid w:val="00F673E5"/>
    <w:rsid w:val="00FD3C5B"/>
    <w:rsid w:val="00FD77B5"/>
    <w:rsid w:val="01044A81"/>
    <w:rsid w:val="014526C0"/>
    <w:rsid w:val="0149271B"/>
    <w:rsid w:val="01A77E95"/>
    <w:rsid w:val="01A86A05"/>
    <w:rsid w:val="01B77FDC"/>
    <w:rsid w:val="02710CE9"/>
    <w:rsid w:val="02851A7D"/>
    <w:rsid w:val="028B5EE0"/>
    <w:rsid w:val="028F657D"/>
    <w:rsid w:val="02C15155"/>
    <w:rsid w:val="02FB0AA9"/>
    <w:rsid w:val="02FB1EF4"/>
    <w:rsid w:val="03146882"/>
    <w:rsid w:val="034321D6"/>
    <w:rsid w:val="03A870EA"/>
    <w:rsid w:val="03E70B83"/>
    <w:rsid w:val="044134E4"/>
    <w:rsid w:val="049251C3"/>
    <w:rsid w:val="050E411D"/>
    <w:rsid w:val="052D21DD"/>
    <w:rsid w:val="05F663F0"/>
    <w:rsid w:val="06046B53"/>
    <w:rsid w:val="06082700"/>
    <w:rsid w:val="064935A9"/>
    <w:rsid w:val="066C1A43"/>
    <w:rsid w:val="06C410C1"/>
    <w:rsid w:val="07010B40"/>
    <w:rsid w:val="07401E45"/>
    <w:rsid w:val="07893F2F"/>
    <w:rsid w:val="07FF7612"/>
    <w:rsid w:val="08D56A64"/>
    <w:rsid w:val="090B4CBB"/>
    <w:rsid w:val="099E2A5B"/>
    <w:rsid w:val="09A27D61"/>
    <w:rsid w:val="09B06C83"/>
    <w:rsid w:val="09D249E0"/>
    <w:rsid w:val="0ABC596C"/>
    <w:rsid w:val="0AFB449D"/>
    <w:rsid w:val="0B065E39"/>
    <w:rsid w:val="0B0C3424"/>
    <w:rsid w:val="0B7E72EA"/>
    <w:rsid w:val="0BE54EA7"/>
    <w:rsid w:val="0C7A6A78"/>
    <w:rsid w:val="0D094597"/>
    <w:rsid w:val="0DC018E5"/>
    <w:rsid w:val="0E090AFD"/>
    <w:rsid w:val="0E22642F"/>
    <w:rsid w:val="0E2D1637"/>
    <w:rsid w:val="0EA5368B"/>
    <w:rsid w:val="0EC76B81"/>
    <w:rsid w:val="0EEA1524"/>
    <w:rsid w:val="0F0B3FC1"/>
    <w:rsid w:val="0F9E5390"/>
    <w:rsid w:val="102670BD"/>
    <w:rsid w:val="104145F9"/>
    <w:rsid w:val="10B64C1C"/>
    <w:rsid w:val="10BA6CED"/>
    <w:rsid w:val="10C9129C"/>
    <w:rsid w:val="10EC6512"/>
    <w:rsid w:val="11015514"/>
    <w:rsid w:val="113C27FB"/>
    <w:rsid w:val="115644ED"/>
    <w:rsid w:val="11AF1066"/>
    <w:rsid w:val="11CF6577"/>
    <w:rsid w:val="11F55F82"/>
    <w:rsid w:val="120954BB"/>
    <w:rsid w:val="121A05A5"/>
    <w:rsid w:val="12313422"/>
    <w:rsid w:val="12792BFB"/>
    <w:rsid w:val="129F37E3"/>
    <w:rsid w:val="12E30368"/>
    <w:rsid w:val="12FC45DD"/>
    <w:rsid w:val="133920CC"/>
    <w:rsid w:val="13495BED"/>
    <w:rsid w:val="13781A27"/>
    <w:rsid w:val="13B61C81"/>
    <w:rsid w:val="141645BF"/>
    <w:rsid w:val="1497767E"/>
    <w:rsid w:val="14F43330"/>
    <w:rsid w:val="155D552F"/>
    <w:rsid w:val="15703332"/>
    <w:rsid w:val="157D7686"/>
    <w:rsid w:val="15830AE2"/>
    <w:rsid w:val="15A07E8D"/>
    <w:rsid w:val="15AC51FA"/>
    <w:rsid w:val="15BC6282"/>
    <w:rsid w:val="162B04E9"/>
    <w:rsid w:val="1648774C"/>
    <w:rsid w:val="16671B3B"/>
    <w:rsid w:val="16B952CB"/>
    <w:rsid w:val="16D01B7A"/>
    <w:rsid w:val="16EB43B2"/>
    <w:rsid w:val="174B7A0D"/>
    <w:rsid w:val="17D3547E"/>
    <w:rsid w:val="19061AA7"/>
    <w:rsid w:val="190D09AE"/>
    <w:rsid w:val="19214C14"/>
    <w:rsid w:val="192F2FE5"/>
    <w:rsid w:val="194A559B"/>
    <w:rsid w:val="199D3F96"/>
    <w:rsid w:val="19B03AD9"/>
    <w:rsid w:val="1A156465"/>
    <w:rsid w:val="1A485F5E"/>
    <w:rsid w:val="1A686CC5"/>
    <w:rsid w:val="1AB84A87"/>
    <w:rsid w:val="1AFB0A1E"/>
    <w:rsid w:val="1B155261"/>
    <w:rsid w:val="1B4A7538"/>
    <w:rsid w:val="1B4F1500"/>
    <w:rsid w:val="1B6755DD"/>
    <w:rsid w:val="1B976E81"/>
    <w:rsid w:val="1BC45F57"/>
    <w:rsid w:val="1BDB27A5"/>
    <w:rsid w:val="1C177D71"/>
    <w:rsid w:val="1CC874BD"/>
    <w:rsid w:val="1CFF0A9F"/>
    <w:rsid w:val="1D1E7984"/>
    <w:rsid w:val="1DB9235F"/>
    <w:rsid w:val="1DC74A1D"/>
    <w:rsid w:val="1DDB508D"/>
    <w:rsid w:val="1E031779"/>
    <w:rsid w:val="1E157011"/>
    <w:rsid w:val="1E6019F9"/>
    <w:rsid w:val="1E8C459E"/>
    <w:rsid w:val="1E934307"/>
    <w:rsid w:val="1EDA1EFB"/>
    <w:rsid w:val="1F2B0346"/>
    <w:rsid w:val="1F431821"/>
    <w:rsid w:val="1F890C4B"/>
    <w:rsid w:val="1FCD59D3"/>
    <w:rsid w:val="1FD10B66"/>
    <w:rsid w:val="1FDA3069"/>
    <w:rsid w:val="1FE10863"/>
    <w:rsid w:val="20005C4C"/>
    <w:rsid w:val="202C4AF6"/>
    <w:rsid w:val="205B73C3"/>
    <w:rsid w:val="20626028"/>
    <w:rsid w:val="20B44398"/>
    <w:rsid w:val="20D34487"/>
    <w:rsid w:val="20EB4820"/>
    <w:rsid w:val="215A3622"/>
    <w:rsid w:val="219416B8"/>
    <w:rsid w:val="21C31E07"/>
    <w:rsid w:val="21FF3D3B"/>
    <w:rsid w:val="220A1EFE"/>
    <w:rsid w:val="2227579B"/>
    <w:rsid w:val="2231339B"/>
    <w:rsid w:val="22514430"/>
    <w:rsid w:val="226704C8"/>
    <w:rsid w:val="22D7095E"/>
    <w:rsid w:val="231177A3"/>
    <w:rsid w:val="234B0952"/>
    <w:rsid w:val="23720885"/>
    <w:rsid w:val="24054003"/>
    <w:rsid w:val="243A0EE4"/>
    <w:rsid w:val="248E2E3A"/>
    <w:rsid w:val="25B14925"/>
    <w:rsid w:val="26451EEA"/>
    <w:rsid w:val="26704F2E"/>
    <w:rsid w:val="269A56FB"/>
    <w:rsid w:val="26B27C06"/>
    <w:rsid w:val="26B506EC"/>
    <w:rsid w:val="27210100"/>
    <w:rsid w:val="27DC3878"/>
    <w:rsid w:val="27E76477"/>
    <w:rsid w:val="28254CD6"/>
    <w:rsid w:val="286D4B1E"/>
    <w:rsid w:val="28AF339E"/>
    <w:rsid w:val="28C62F56"/>
    <w:rsid w:val="28DA203A"/>
    <w:rsid w:val="28E84A2F"/>
    <w:rsid w:val="28F0407A"/>
    <w:rsid w:val="290F208E"/>
    <w:rsid w:val="29124844"/>
    <w:rsid w:val="29152822"/>
    <w:rsid w:val="291A7D32"/>
    <w:rsid w:val="29320499"/>
    <w:rsid w:val="29655706"/>
    <w:rsid w:val="29693257"/>
    <w:rsid w:val="29837904"/>
    <w:rsid w:val="29AC284E"/>
    <w:rsid w:val="29B0557C"/>
    <w:rsid w:val="2A1A0F4E"/>
    <w:rsid w:val="2AB06233"/>
    <w:rsid w:val="2B3E2250"/>
    <w:rsid w:val="2BF7A349"/>
    <w:rsid w:val="2C1D57D4"/>
    <w:rsid w:val="2C263A29"/>
    <w:rsid w:val="2CAE51CD"/>
    <w:rsid w:val="2CCF49F6"/>
    <w:rsid w:val="2CE05BB9"/>
    <w:rsid w:val="2CF23945"/>
    <w:rsid w:val="2D346E5C"/>
    <w:rsid w:val="2D91275F"/>
    <w:rsid w:val="2DD52751"/>
    <w:rsid w:val="2E664953"/>
    <w:rsid w:val="2EB07460"/>
    <w:rsid w:val="2EB5699C"/>
    <w:rsid w:val="2F022232"/>
    <w:rsid w:val="2F6E3D48"/>
    <w:rsid w:val="300C303E"/>
    <w:rsid w:val="3036363E"/>
    <w:rsid w:val="30474804"/>
    <w:rsid w:val="30A901B1"/>
    <w:rsid w:val="30FB7A19"/>
    <w:rsid w:val="310261A7"/>
    <w:rsid w:val="315D4606"/>
    <w:rsid w:val="3177411A"/>
    <w:rsid w:val="318D0B53"/>
    <w:rsid w:val="32076543"/>
    <w:rsid w:val="32A75185"/>
    <w:rsid w:val="32E75E2A"/>
    <w:rsid w:val="32F53E43"/>
    <w:rsid w:val="33340B4D"/>
    <w:rsid w:val="335F41BA"/>
    <w:rsid w:val="338713C1"/>
    <w:rsid w:val="33B962F5"/>
    <w:rsid w:val="33BA34B0"/>
    <w:rsid w:val="34367DA9"/>
    <w:rsid w:val="34655594"/>
    <w:rsid w:val="3477488D"/>
    <w:rsid w:val="349413EA"/>
    <w:rsid w:val="349D2C44"/>
    <w:rsid w:val="34C54BE3"/>
    <w:rsid w:val="34C574CF"/>
    <w:rsid w:val="350607E8"/>
    <w:rsid w:val="350D6182"/>
    <w:rsid w:val="3628478F"/>
    <w:rsid w:val="367C4935"/>
    <w:rsid w:val="36CE34E8"/>
    <w:rsid w:val="37020770"/>
    <w:rsid w:val="3703001E"/>
    <w:rsid w:val="37B838EA"/>
    <w:rsid w:val="387939C8"/>
    <w:rsid w:val="3904514B"/>
    <w:rsid w:val="39606472"/>
    <w:rsid w:val="39706B79"/>
    <w:rsid w:val="39FB6A6E"/>
    <w:rsid w:val="39FC282B"/>
    <w:rsid w:val="3A164E28"/>
    <w:rsid w:val="3A7B3A28"/>
    <w:rsid w:val="3A9C1064"/>
    <w:rsid w:val="3ACF16E5"/>
    <w:rsid w:val="3AF143FE"/>
    <w:rsid w:val="3B1064BD"/>
    <w:rsid w:val="3B2C33D8"/>
    <w:rsid w:val="3B2C358C"/>
    <w:rsid w:val="3BE04637"/>
    <w:rsid w:val="3BF15362"/>
    <w:rsid w:val="3C6148B0"/>
    <w:rsid w:val="3C8B319B"/>
    <w:rsid w:val="3CD27730"/>
    <w:rsid w:val="3D267363"/>
    <w:rsid w:val="3D390470"/>
    <w:rsid w:val="3D4D11D6"/>
    <w:rsid w:val="3D593B6E"/>
    <w:rsid w:val="3DC76F84"/>
    <w:rsid w:val="3DCE50EF"/>
    <w:rsid w:val="3DDF7E2A"/>
    <w:rsid w:val="3E062B0C"/>
    <w:rsid w:val="3E1918E3"/>
    <w:rsid w:val="3E3759DF"/>
    <w:rsid w:val="3E96513D"/>
    <w:rsid w:val="3E98229E"/>
    <w:rsid w:val="3EA64B1B"/>
    <w:rsid w:val="3EE902D6"/>
    <w:rsid w:val="3EEE2128"/>
    <w:rsid w:val="3F00274D"/>
    <w:rsid w:val="3F894898"/>
    <w:rsid w:val="40E80A95"/>
    <w:rsid w:val="40FB3E72"/>
    <w:rsid w:val="41131941"/>
    <w:rsid w:val="411E7DFD"/>
    <w:rsid w:val="41C50CBF"/>
    <w:rsid w:val="42234900"/>
    <w:rsid w:val="42310D45"/>
    <w:rsid w:val="425D450F"/>
    <w:rsid w:val="42914373"/>
    <w:rsid w:val="4297507F"/>
    <w:rsid w:val="42A44E8B"/>
    <w:rsid w:val="42DA32B5"/>
    <w:rsid w:val="42E47ABD"/>
    <w:rsid w:val="43393B20"/>
    <w:rsid w:val="43495ACF"/>
    <w:rsid w:val="436C497E"/>
    <w:rsid w:val="438579A6"/>
    <w:rsid w:val="43F54CF5"/>
    <w:rsid w:val="448D6A38"/>
    <w:rsid w:val="44913E48"/>
    <w:rsid w:val="454D3269"/>
    <w:rsid w:val="45F46FB0"/>
    <w:rsid w:val="46562959"/>
    <w:rsid w:val="467F690A"/>
    <w:rsid w:val="468346FF"/>
    <w:rsid w:val="46B85F59"/>
    <w:rsid w:val="46C644C3"/>
    <w:rsid w:val="46DB1B02"/>
    <w:rsid w:val="46E961D3"/>
    <w:rsid w:val="476A6C24"/>
    <w:rsid w:val="47EF50CB"/>
    <w:rsid w:val="47F1203C"/>
    <w:rsid w:val="48621071"/>
    <w:rsid w:val="487B1097"/>
    <w:rsid w:val="48873289"/>
    <w:rsid w:val="48A97E76"/>
    <w:rsid w:val="492D7C31"/>
    <w:rsid w:val="495C25B9"/>
    <w:rsid w:val="498B48F2"/>
    <w:rsid w:val="499A360F"/>
    <w:rsid w:val="499D0869"/>
    <w:rsid w:val="49A50688"/>
    <w:rsid w:val="49C12AD9"/>
    <w:rsid w:val="49C134CC"/>
    <w:rsid w:val="49F80755"/>
    <w:rsid w:val="4A1B668D"/>
    <w:rsid w:val="4A396CAF"/>
    <w:rsid w:val="4A3E14BB"/>
    <w:rsid w:val="4AD245F0"/>
    <w:rsid w:val="4B0C6773"/>
    <w:rsid w:val="4B1957B9"/>
    <w:rsid w:val="4B5C045F"/>
    <w:rsid w:val="4B674B1E"/>
    <w:rsid w:val="4B82567D"/>
    <w:rsid w:val="4B91641F"/>
    <w:rsid w:val="4BE44EED"/>
    <w:rsid w:val="4C347AA3"/>
    <w:rsid w:val="4C964BBF"/>
    <w:rsid w:val="4D1A4304"/>
    <w:rsid w:val="4D284DE2"/>
    <w:rsid w:val="4D782815"/>
    <w:rsid w:val="4D8D2223"/>
    <w:rsid w:val="4DBE4790"/>
    <w:rsid w:val="4DE4323A"/>
    <w:rsid w:val="4E1560C6"/>
    <w:rsid w:val="4E2B5EFB"/>
    <w:rsid w:val="4E835670"/>
    <w:rsid w:val="4EE96853"/>
    <w:rsid w:val="4EEF6B88"/>
    <w:rsid w:val="4EF549D4"/>
    <w:rsid w:val="4F8E227A"/>
    <w:rsid w:val="4FA72F38"/>
    <w:rsid w:val="4FFC17B4"/>
    <w:rsid w:val="50702768"/>
    <w:rsid w:val="50CF3D2E"/>
    <w:rsid w:val="50FE0AB7"/>
    <w:rsid w:val="51696EE6"/>
    <w:rsid w:val="516E1798"/>
    <w:rsid w:val="51BD5D57"/>
    <w:rsid w:val="51F03A65"/>
    <w:rsid w:val="525C5D72"/>
    <w:rsid w:val="52FE55DB"/>
    <w:rsid w:val="537961D3"/>
    <w:rsid w:val="53D224B3"/>
    <w:rsid w:val="53E87428"/>
    <w:rsid w:val="53FA1456"/>
    <w:rsid w:val="5447281C"/>
    <w:rsid w:val="549D5EDD"/>
    <w:rsid w:val="54A90D98"/>
    <w:rsid w:val="54E44556"/>
    <w:rsid w:val="54F65EBA"/>
    <w:rsid w:val="55AF412E"/>
    <w:rsid w:val="55D27624"/>
    <w:rsid w:val="56324628"/>
    <w:rsid w:val="56336B0D"/>
    <w:rsid w:val="567A6E51"/>
    <w:rsid w:val="56B45E9F"/>
    <w:rsid w:val="56F203B4"/>
    <w:rsid w:val="57472D83"/>
    <w:rsid w:val="57747C3B"/>
    <w:rsid w:val="579A11F6"/>
    <w:rsid w:val="57B64F52"/>
    <w:rsid w:val="57FB19B1"/>
    <w:rsid w:val="57FC55AA"/>
    <w:rsid w:val="580928E7"/>
    <w:rsid w:val="583E1CF5"/>
    <w:rsid w:val="58501BF8"/>
    <w:rsid w:val="58551F7D"/>
    <w:rsid w:val="58AE4C17"/>
    <w:rsid w:val="595B76D2"/>
    <w:rsid w:val="5A30784F"/>
    <w:rsid w:val="5AA412FE"/>
    <w:rsid w:val="5AAE70AA"/>
    <w:rsid w:val="5ABA7A19"/>
    <w:rsid w:val="5AC72F10"/>
    <w:rsid w:val="5B136F0D"/>
    <w:rsid w:val="5B56778E"/>
    <w:rsid w:val="5B840C5F"/>
    <w:rsid w:val="5B964D28"/>
    <w:rsid w:val="5BB71F8E"/>
    <w:rsid w:val="5BC44F00"/>
    <w:rsid w:val="5D002209"/>
    <w:rsid w:val="5D1A6C78"/>
    <w:rsid w:val="5D217374"/>
    <w:rsid w:val="5D487342"/>
    <w:rsid w:val="5D7960CD"/>
    <w:rsid w:val="5DE81AA6"/>
    <w:rsid w:val="5DE943DE"/>
    <w:rsid w:val="5E2B51A2"/>
    <w:rsid w:val="5E4E4E2C"/>
    <w:rsid w:val="5EB62375"/>
    <w:rsid w:val="5ECC7AFE"/>
    <w:rsid w:val="5EF679FF"/>
    <w:rsid w:val="5EF724E5"/>
    <w:rsid w:val="5F0E600B"/>
    <w:rsid w:val="5F436DCC"/>
    <w:rsid w:val="5F5B667A"/>
    <w:rsid w:val="5F6067D6"/>
    <w:rsid w:val="5FD125EC"/>
    <w:rsid w:val="603D2D4A"/>
    <w:rsid w:val="60D51B08"/>
    <w:rsid w:val="610552EA"/>
    <w:rsid w:val="61162C50"/>
    <w:rsid w:val="613F6CAD"/>
    <w:rsid w:val="61490A69"/>
    <w:rsid w:val="617203D0"/>
    <w:rsid w:val="61EC0543"/>
    <w:rsid w:val="622320AD"/>
    <w:rsid w:val="62460B06"/>
    <w:rsid w:val="626A5FAC"/>
    <w:rsid w:val="626C41FD"/>
    <w:rsid w:val="62F7205C"/>
    <w:rsid w:val="631840FD"/>
    <w:rsid w:val="634B16C2"/>
    <w:rsid w:val="638717D9"/>
    <w:rsid w:val="647D6B2F"/>
    <w:rsid w:val="64981C38"/>
    <w:rsid w:val="64A14715"/>
    <w:rsid w:val="64AA3487"/>
    <w:rsid w:val="64AE2EEE"/>
    <w:rsid w:val="64B672B1"/>
    <w:rsid w:val="64E71BB9"/>
    <w:rsid w:val="64F70EA9"/>
    <w:rsid w:val="654F1A47"/>
    <w:rsid w:val="6559389C"/>
    <w:rsid w:val="65C03700"/>
    <w:rsid w:val="65EC15AB"/>
    <w:rsid w:val="666B40A1"/>
    <w:rsid w:val="671B6AB8"/>
    <w:rsid w:val="67996221"/>
    <w:rsid w:val="681E7F53"/>
    <w:rsid w:val="69610B03"/>
    <w:rsid w:val="69A14E77"/>
    <w:rsid w:val="69A714AC"/>
    <w:rsid w:val="69CC227F"/>
    <w:rsid w:val="6A1671DC"/>
    <w:rsid w:val="6A6C2E15"/>
    <w:rsid w:val="6AA36AD3"/>
    <w:rsid w:val="6AF74155"/>
    <w:rsid w:val="6B584AFC"/>
    <w:rsid w:val="6B59453E"/>
    <w:rsid w:val="6BE66EA4"/>
    <w:rsid w:val="6D137960"/>
    <w:rsid w:val="6D31158B"/>
    <w:rsid w:val="6D88336F"/>
    <w:rsid w:val="6DDE33AA"/>
    <w:rsid w:val="6E627A21"/>
    <w:rsid w:val="6E957640"/>
    <w:rsid w:val="6EE33674"/>
    <w:rsid w:val="6EE442D1"/>
    <w:rsid w:val="6F20011E"/>
    <w:rsid w:val="6F297E76"/>
    <w:rsid w:val="6F4C3024"/>
    <w:rsid w:val="6FA10C39"/>
    <w:rsid w:val="6FB40867"/>
    <w:rsid w:val="6FDF47DE"/>
    <w:rsid w:val="70B34FC2"/>
    <w:rsid w:val="70BA3726"/>
    <w:rsid w:val="70D016D0"/>
    <w:rsid w:val="7101188A"/>
    <w:rsid w:val="718D5813"/>
    <w:rsid w:val="71A224E9"/>
    <w:rsid w:val="71D074AE"/>
    <w:rsid w:val="72310D3B"/>
    <w:rsid w:val="72741EBA"/>
    <w:rsid w:val="72EA0AEA"/>
    <w:rsid w:val="73253CFE"/>
    <w:rsid w:val="734A6100"/>
    <w:rsid w:val="73767D80"/>
    <w:rsid w:val="738854C1"/>
    <w:rsid w:val="739E4C23"/>
    <w:rsid w:val="73B1244F"/>
    <w:rsid w:val="73EB3D22"/>
    <w:rsid w:val="74064BED"/>
    <w:rsid w:val="7415373C"/>
    <w:rsid w:val="74494BE5"/>
    <w:rsid w:val="74533BD1"/>
    <w:rsid w:val="747948CE"/>
    <w:rsid w:val="74E22169"/>
    <w:rsid w:val="75126D7A"/>
    <w:rsid w:val="75285314"/>
    <w:rsid w:val="75A65E27"/>
    <w:rsid w:val="75BA5477"/>
    <w:rsid w:val="769918E2"/>
    <w:rsid w:val="76BFAF13"/>
    <w:rsid w:val="76C81BF1"/>
    <w:rsid w:val="771A12B8"/>
    <w:rsid w:val="77537603"/>
    <w:rsid w:val="77C436E5"/>
    <w:rsid w:val="785513ED"/>
    <w:rsid w:val="78937CF7"/>
    <w:rsid w:val="78973897"/>
    <w:rsid w:val="78D167C0"/>
    <w:rsid w:val="78FBF684"/>
    <w:rsid w:val="79096067"/>
    <w:rsid w:val="799C2E68"/>
    <w:rsid w:val="79ED6971"/>
    <w:rsid w:val="79FE2D83"/>
    <w:rsid w:val="7A057571"/>
    <w:rsid w:val="7A263419"/>
    <w:rsid w:val="7A96669D"/>
    <w:rsid w:val="7AA33536"/>
    <w:rsid w:val="7AE8472F"/>
    <w:rsid w:val="7B4D35F3"/>
    <w:rsid w:val="7B7D91F1"/>
    <w:rsid w:val="7B9E1ACE"/>
    <w:rsid w:val="7BCD5242"/>
    <w:rsid w:val="7BED0CD8"/>
    <w:rsid w:val="7BF37442"/>
    <w:rsid w:val="7BF88BF8"/>
    <w:rsid w:val="7BFE1E83"/>
    <w:rsid w:val="7CB7F70C"/>
    <w:rsid w:val="7CF32A66"/>
    <w:rsid w:val="7D1E303C"/>
    <w:rsid w:val="7D464221"/>
    <w:rsid w:val="7D673C72"/>
    <w:rsid w:val="7D6FFF83"/>
    <w:rsid w:val="7D71438E"/>
    <w:rsid w:val="7DB163E5"/>
    <w:rsid w:val="7DBF21A5"/>
    <w:rsid w:val="7DE93C59"/>
    <w:rsid w:val="7DFBF8B8"/>
    <w:rsid w:val="7E6D67B0"/>
    <w:rsid w:val="7E72183B"/>
    <w:rsid w:val="7E9F6C1F"/>
    <w:rsid w:val="7EFF7F74"/>
    <w:rsid w:val="7F3F6140"/>
    <w:rsid w:val="7F413799"/>
    <w:rsid w:val="7FAF2B89"/>
    <w:rsid w:val="7FB33084"/>
    <w:rsid w:val="7FF91A5C"/>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9">
    <w:name w:val="heading 1"/>
    <w:basedOn w:val="1"/>
    <w:next w:val="1"/>
    <w:link w:val="40"/>
    <w:autoRedefine/>
    <w:qFormat/>
    <w:uiPriority w:val="99"/>
    <w:pPr>
      <w:keepNext/>
      <w:keepLines/>
      <w:spacing w:line="576" w:lineRule="auto"/>
      <w:outlineLvl w:val="0"/>
    </w:pPr>
    <w:rPr>
      <w:rFonts w:ascii="Calibri" w:hAnsi="Calibri" w:cs="Calibri"/>
      <w:b/>
      <w:bCs/>
      <w:kern w:val="44"/>
      <w:sz w:val="44"/>
      <w:szCs w:val="44"/>
    </w:rPr>
  </w:style>
  <w:style w:type="paragraph" w:styleId="2">
    <w:name w:val="heading 2"/>
    <w:basedOn w:val="1"/>
    <w:next w:val="3"/>
    <w:link w:val="41"/>
    <w:autoRedefine/>
    <w:qFormat/>
    <w:uiPriority w:val="99"/>
    <w:pPr>
      <w:keepNext/>
      <w:spacing w:line="216" w:lineRule="auto"/>
      <w:outlineLvl w:val="1"/>
    </w:pPr>
    <w:rPr>
      <w:rFonts w:ascii="宋体" w:hAnsi="Calibri" w:cs="宋体"/>
      <w:b/>
      <w:bCs/>
      <w:sz w:val="28"/>
      <w:szCs w:val="28"/>
    </w:rPr>
  </w:style>
  <w:style w:type="paragraph" w:styleId="10">
    <w:name w:val="heading 3"/>
    <w:basedOn w:val="1"/>
    <w:next w:val="1"/>
    <w:link w:val="42"/>
    <w:autoRedefine/>
    <w:qFormat/>
    <w:uiPriority w:val="99"/>
    <w:pPr>
      <w:keepNext/>
      <w:numPr>
        <w:ilvl w:val="0"/>
        <w:numId w:val="1"/>
      </w:numPr>
      <w:spacing w:line="216" w:lineRule="auto"/>
      <w:outlineLvl w:val="2"/>
    </w:pPr>
    <w:rPr>
      <w:rFonts w:ascii="宋体" w:hAnsi="Calibri" w:cs="宋体"/>
      <w:b/>
      <w:bCs/>
      <w:sz w:val="28"/>
      <w:szCs w:val="28"/>
    </w:rPr>
  </w:style>
  <w:style w:type="paragraph" w:styleId="11">
    <w:name w:val="heading 4"/>
    <w:basedOn w:val="1"/>
    <w:next w:val="1"/>
    <w:autoRedefine/>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paragraph" w:styleId="12">
    <w:name w:val="heading 6"/>
    <w:basedOn w:val="1"/>
    <w:next w:val="1"/>
    <w:qFormat/>
    <w:locked/>
    <w:uiPriority w:val="0"/>
    <w:pPr>
      <w:keepNext/>
      <w:keepLines/>
      <w:tabs>
        <w:tab w:val="left" w:pos="1152"/>
      </w:tabs>
      <w:adjustRightInd w:val="0"/>
      <w:spacing w:before="240" w:after="64" w:line="320" w:lineRule="auto"/>
      <w:ind w:left="1152" w:hanging="1152"/>
      <w:outlineLvl w:val="5"/>
    </w:pPr>
    <w:rPr>
      <w:rFonts w:ascii="Arial" w:hAnsi="Arial" w:eastAsia="黑体"/>
      <w:b/>
      <w:bCs/>
      <w:snapToGrid/>
      <w:kern w:val="2"/>
      <w:sz w:val="24"/>
      <w:szCs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99"/>
    <w:pPr>
      <w:ind w:firstLine="420"/>
    </w:pPr>
  </w:style>
  <w:style w:type="paragraph" w:styleId="4">
    <w:name w:val="Body Text Indent"/>
    <w:basedOn w:val="1"/>
    <w:next w:val="5"/>
    <w:link w:val="49"/>
    <w:autoRedefine/>
    <w:qFormat/>
    <w:uiPriority w:val="99"/>
    <w:pPr>
      <w:adjustRightInd w:val="0"/>
      <w:spacing w:line="360" w:lineRule="auto"/>
      <w:ind w:firstLine="490"/>
      <w:jc w:val="left"/>
    </w:pPr>
    <w:rPr>
      <w:rFonts w:ascii="宋体" w:hAnsi="宋体" w:cs="宋体"/>
      <w:sz w:val="24"/>
      <w:szCs w:val="24"/>
    </w:rPr>
  </w:style>
  <w:style w:type="paragraph" w:styleId="5">
    <w:name w:val="Body Text First Indent 2"/>
    <w:basedOn w:val="4"/>
    <w:next w:val="6"/>
    <w:autoRedefine/>
    <w:qFormat/>
    <w:uiPriority w:val="0"/>
    <w:pPr>
      <w:ind w:firstLine="420"/>
    </w:pPr>
  </w:style>
  <w:style w:type="paragraph" w:styleId="6">
    <w:name w:val="Body Text First Indent"/>
    <w:basedOn w:val="7"/>
    <w:next w:val="8"/>
    <w:link w:val="55"/>
    <w:autoRedefine/>
    <w:qFormat/>
    <w:uiPriority w:val="99"/>
    <w:pPr>
      <w:ind w:firstLine="420" w:firstLineChars="100"/>
    </w:pPr>
  </w:style>
  <w:style w:type="paragraph" w:styleId="7">
    <w:name w:val="Body Text"/>
    <w:basedOn w:val="1"/>
    <w:next w:val="6"/>
    <w:link w:val="43"/>
    <w:autoRedefine/>
    <w:qFormat/>
    <w:uiPriority w:val="99"/>
  </w:style>
  <w:style w:type="paragraph" w:styleId="8">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13">
    <w:name w:val="annotation text"/>
    <w:basedOn w:val="1"/>
    <w:autoRedefine/>
    <w:semiHidden/>
    <w:unhideWhenUsed/>
    <w:qFormat/>
    <w:uiPriority w:val="99"/>
    <w:pPr>
      <w:jc w:val="left"/>
    </w:pPr>
  </w:style>
  <w:style w:type="paragraph" w:styleId="14">
    <w:name w:val="Block Text"/>
    <w:basedOn w:val="1"/>
    <w:autoRedefine/>
    <w:qFormat/>
    <w:uiPriority w:val="0"/>
    <w:pPr>
      <w:spacing w:before="120" w:line="360" w:lineRule="auto"/>
      <w:ind w:left="824" w:right="202"/>
    </w:pPr>
    <w:rPr>
      <w:rFonts w:ascii="宋体" w:hAnsi="宋体"/>
      <w:sz w:val="24"/>
      <w:szCs w:val="21"/>
    </w:rPr>
  </w:style>
  <w:style w:type="paragraph" w:styleId="15">
    <w:name w:val="toc 3"/>
    <w:basedOn w:val="1"/>
    <w:next w:val="1"/>
    <w:autoRedefine/>
    <w:semiHidden/>
    <w:qFormat/>
    <w:uiPriority w:val="99"/>
    <w:pPr>
      <w:ind w:left="840" w:leftChars="400"/>
    </w:pPr>
  </w:style>
  <w:style w:type="paragraph" w:styleId="16">
    <w:name w:val="Plain Text"/>
    <w:basedOn w:val="1"/>
    <w:next w:val="1"/>
    <w:link w:val="50"/>
    <w:autoRedefine/>
    <w:qFormat/>
    <w:uiPriority w:val="99"/>
    <w:rPr>
      <w:rFonts w:ascii="宋体" w:hAnsi="Courier New" w:cs="宋体"/>
    </w:rPr>
  </w:style>
  <w:style w:type="paragraph" w:styleId="17">
    <w:name w:val="Date"/>
    <w:basedOn w:val="1"/>
    <w:next w:val="1"/>
    <w:link w:val="51"/>
    <w:autoRedefine/>
    <w:qFormat/>
    <w:uiPriority w:val="99"/>
    <w:pPr>
      <w:ind w:left="100" w:leftChars="2500"/>
    </w:pPr>
    <w:rPr>
      <w:rFonts w:ascii="宋体" w:hAnsi="宋体" w:cs="宋体"/>
      <w:color w:val="000000"/>
      <w:sz w:val="24"/>
      <w:szCs w:val="24"/>
    </w:rPr>
  </w:style>
  <w:style w:type="paragraph" w:styleId="18">
    <w:name w:val="Balloon Text"/>
    <w:basedOn w:val="1"/>
    <w:link w:val="52"/>
    <w:autoRedefine/>
    <w:semiHidden/>
    <w:qFormat/>
    <w:uiPriority w:val="99"/>
    <w:rPr>
      <w:sz w:val="18"/>
      <w:szCs w:val="18"/>
    </w:rPr>
  </w:style>
  <w:style w:type="paragraph" w:styleId="19">
    <w:name w:val="footer"/>
    <w:basedOn w:val="1"/>
    <w:link w:val="53"/>
    <w:autoRedefine/>
    <w:qFormat/>
    <w:uiPriority w:val="99"/>
    <w:pPr>
      <w:tabs>
        <w:tab w:val="center" w:pos="4153"/>
        <w:tab w:val="right" w:pos="8306"/>
      </w:tabs>
      <w:snapToGrid w:val="0"/>
      <w:jc w:val="left"/>
    </w:pPr>
    <w:rPr>
      <w:sz w:val="18"/>
      <w:szCs w:val="18"/>
    </w:rPr>
  </w:style>
  <w:style w:type="paragraph" w:styleId="20">
    <w:name w:val="header"/>
    <w:basedOn w:val="1"/>
    <w:link w:val="54"/>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1">
    <w:name w:val="toc 1"/>
    <w:basedOn w:val="1"/>
    <w:next w:val="1"/>
    <w:autoRedefine/>
    <w:semiHidden/>
    <w:qFormat/>
    <w:uiPriority w:val="99"/>
  </w:style>
  <w:style w:type="paragraph" w:styleId="22">
    <w:name w:val="toc 4"/>
    <w:basedOn w:val="1"/>
    <w:next w:val="1"/>
    <w:autoRedefine/>
    <w:qFormat/>
    <w:uiPriority w:val="39"/>
    <w:pPr>
      <w:ind w:left="1260" w:leftChars="600"/>
    </w:pPr>
    <w:rPr>
      <w:szCs w:val="24"/>
    </w:rPr>
  </w:style>
  <w:style w:type="paragraph" w:styleId="23">
    <w:name w:val="toc 2"/>
    <w:basedOn w:val="1"/>
    <w:next w:val="1"/>
    <w:autoRedefine/>
    <w:semiHidden/>
    <w:qFormat/>
    <w:uiPriority w:val="99"/>
    <w:pPr>
      <w:ind w:left="420" w:leftChars="200"/>
    </w:pPr>
  </w:style>
  <w:style w:type="paragraph" w:styleId="2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sz w:val="24"/>
      <w:szCs w:val="24"/>
    </w:rPr>
  </w:style>
  <w:style w:type="table" w:styleId="27">
    <w:name w:val="Table Grid"/>
    <w:basedOn w:val="26"/>
    <w:autoRedefine/>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99"/>
    <w:rPr>
      <w:b/>
      <w:bCs/>
    </w:rPr>
  </w:style>
  <w:style w:type="character" w:styleId="30">
    <w:name w:val="page number"/>
    <w:basedOn w:val="28"/>
    <w:autoRedefine/>
    <w:qFormat/>
    <w:uiPriority w:val="99"/>
  </w:style>
  <w:style w:type="character" w:styleId="31">
    <w:name w:val="Hyperlink"/>
    <w:basedOn w:val="28"/>
    <w:autoRedefine/>
    <w:qFormat/>
    <w:uiPriority w:val="99"/>
    <w:rPr>
      <w:color w:val="0000FF"/>
      <w:u w:val="single"/>
    </w:rPr>
  </w:style>
  <w:style w:type="paragraph" w:customStyle="1" w:styleId="32">
    <w:name w:val="BodyText1I2"/>
    <w:basedOn w:val="33"/>
    <w:autoRedefine/>
    <w:qFormat/>
    <w:uiPriority w:val="0"/>
    <w:pPr>
      <w:ind w:firstLine="420"/>
    </w:pPr>
    <w:rPr>
      <w:sz w:val="21"/>
    </w:rPr>
  </w:style>
  <w:style w:type="paragraph" w:customStyle="1" w:styleId="33">
    <w:name w:val="BodyTextIndent"/>
    <w:basedOn w:val="1"/>
    <w:next w:val="32"/>
    <w:autoRedefine/>
    <w:qFormat/>
    <w:uiPriority w:val="0"/>
    <w:pPr>
      <w:spacing w:line="360" w:lineRule="auto"/>
      <w:ind w:firstLine="490"/>
      <w:jc w:val="left"/>
    </w:pPr>
    <w:rPr>
      <w:rFonts w:ascii="宋体" w:hAnsi="宋体"/>
      <w:sz w:val="24"/>
    </w:rPr>
  </w:style>
  <w:style w:type="paragraph" w:styleId="34">
    <w:name w:val="Quote"/>
    <w:basedOn w:val="1"/>
    <w:next w:val="1"/>
    <w:autoRedefine/>
    <w:qFormat/>
    <w:uiPriority w:val="0"/>
    <w:pPr>
      <w:wordWrap w:val="0"/>
      <w:spacing w:before="200" w:after="160"/>
      <w:ind w:left="864" w:right="864"/>
      <w:jc w:val="center"/>
    </w:pPr>
    <w:rPr>
      <w:i/>
    </w:rPr>
  </w:style>
  <w:style w:type="paragraph" w:customStyle="1" w:styleId="35">
    <w:name w:val="Body Text First Indent1"/>
    <w:basedOn w:val="7"/>
    <w:autoRedefine/>
    <w:qFormat/>
    <w:uiPriority w:val="0"/>
    <w:pPr>
      <w:tabs>
        <w:tab w:val="left" w:pos="1275"/>
      </w:tabs>
      <w:ind w:firstLine="420" w:firstLineChars="100"/>
    </w:pPr>
  </w:style>
  <w:style w:type="paragraph" w:customStyle="1" w:styleId="36">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37">
    <w:name w:val="表格文字"/>
    <w:basedOn w:val="1"/>
    <w:next w:val="7"/>
    <w:autoRedefine/>
    <w:qFormat/>
    <w:uiPriority w:val="0"/>
    <w:pPr>
      <w:adjustRightInd w:val="0"/>
      <w:spacing w:line="420" w:lineRule="atLeast"/>
      <w:textAlignment w:val="baseline"/>
    </w:pPr>
  </w:style>
  <w:style w:type="paragraph" w:customStyle="1" w:styleId="38">
    <w:name w:val="正文缩进1"/>
    <w:basedOn w:val="1"/>
    <w:autoRedefine/>
    <w:qFormat/>
    <w:uiPriority w:val="0"/>
    <w:pPr>
      <w:ind w:firstLine="420" w:firstLineChars="200"/>
    </w:pPr>
  </w:style>
  <w:style w:type="paragraph" w:customStyle="1" w:styleId="39">
    <w:name w:val="正文（首行缩进2字符）"/>
    <w:basedOn w:val="1"/>
    <w:autoRedefine/>
    <w:qFormat/>
    <w:uiPriority w:val="0"/>
    <w:pPr>
      <w:spacing w:line="360" w:lineRule="auto"/>
      <w:ind w:firstLine="480" w:firstLineChars="200"/>
    </w:pPr>
    <w:rPr>
      <w:sz w:val="24"/>
      <w:szCs w:val="20"/>
    </w:rPr>
  </w:style>
  <w:style w:type="character" w:customStyle="1" w:styleId="40">
    <w:name w:val="标题 1 Char"/>
    <w:basedOn w:val="28"/>
    <w:link w:val="9"/>
    <w:autoRedefine/>
    <w:qFormat/>
    <w:locked/>
    <w:uiPriority w:val="99"/>
    <w:rPr>
      <w:b/>
      <w:bCs/>
      <w:kern w:val="44"/>
      <w:sz w:val="44"/>
      <w:szCs w:val="44"/>
    </w:rPr>
  </w:style>
  <w:style w:type="character" w:customStyle="1" w:styleId="41">
    <w:name w:val="标题 2 Char"/>
    <w:basedOn w:val="28"/>
    <w:link w:val="2"/>
    <w:autoRedefine/>
    <w:qFormat/>
    <w:locked/>
    <w:uiPriority w:val="99"/>
    <w:rPr>
      <w:rFonts w:ascii="宋体" w:cs="宋体"/>
      <w:b/>
      <w:bCs/>
      <w:kern w:val="2"/>
      <w:sz w:val="28"/>
      <w:szCs w:val="28"/>
    </w:rPr>
  </w:style>
  <w:style w:type="character" w:customStyle="1" w:styleId="42">
    <w:name w:val="标题 3 Char"/>
    <w:basedOn w:val="28"/>
    <w:link w:val="10"/>
    <w:autoRedefine/>
    <w:qFormat/>
    <w:locked/>
    <w:uiPriority w:val="99"/>
    <w:rPr>
      <w:rFonts w:ascii="宋体" w:cs="宋体"/>
      <w:b/>
      <w:bCs/>
      <w:kern w:val="2"/>
      <w:sz w:val="28"/>
      <w:szCs w:val="28"/>
    </w:rPr>
  </w:style>
  <w:style w:type="character" w:customStyle="1" w:styleId="43">
    <w:name w:val="正文文本 Char"/>
    <w:basedOn w:val="28"/>
    <w:link w:val="7"/>
    <w:autoRedefine/>
    <w:semiHidden/>
    <w:qFormat/>
    <w:uiPriority w:val="99"/>
    <w:rPr>
      <w:rFonts w:ascii="Times New Roman" w:hAnsi="Times New Roman"/>
      <w:szCs w:val="21"/>
    </w:rPr>
  </w:style>
  <w:style w:type="paragraph" w:customStyle="1" w:styleId="44">
    <w:name w:val="样式 表格正文 + 两端对齐"/>
    <w:basedOn w:val="1"/>
    <w:next w:val="45"/>
    <w:autoRedefine/>
    <w:qFormat/>
    <w:uiPriority w:val="99"/>
    <w:pPr>
      <w:spacing w:line="300" w:lineRule="auto"/>
    </w:pPr>
    <w:rPr>
      <w:sz w:val="24"/>
      <w:szCs w:val="24"/>
    </w:rPr>
  </w:style>
  <w:style w:type="paragraph" w:customStyle="1" w:styleId="45">
    <w:name w:val="正文1"/>
    <w:basedOn w:val="1"/>
    <w:next w:val="46"/>
    <w:autoRedefine/>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46">
    <w:name w:val="自动更正"/>
    <w:next w:val="4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7">
    <w:name w:val="xl39"/>
    <w:basedOn w:val="1"/>
    <w:next w:val="48"/>
    <w:autoRedefine/>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48">
    <w:name w:val="分手多日，近况如何？"/>
    <w:next w:val="1"/>
    <w:autoRedefine/>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49">
    <w:name w:val="正文文本缩进 Char"/>
    <w:basedOn w:val="28"/>
    <w:link w:val="4"/>
    <w:autoRedefine/>
    <w:semiHidden/>
    <w:qFormat/>
    <w:uiPriority w:val="99"/>
    <w:rPr>
      <w:rFonts w:ascii="Times New Roman" w:hAnsi="Times New Roman"/>
      <w:szCs w:val="21"/>
    </w:rPr>
  </w:style>
  <w:style w:type="character" w:customStyle="1" w:styleId="50">
    <w:name w:val="纯文本 Char"/>
    <w:basedOn w:val="28"/>
    <w:link w:val="16"/>
    <w:autoRedefine/>
    <w:semiHidden/>
    <w:qFormat/>
    <w:uiPriority w:val="99"/>
    <w:rPr>
      <w:rFonts w:ascii="宋体" w:hAnsi="Courier New" w:cs="Courier New"/>
      <w:szCs w:val="21"/>
    </w:rPr>
  </w:style>
  <w:style w:type="character" w:customStyle="1" w:styleId="51">
    <w:name w:val="日期 Char"/>
    <w:basedOn w:val="28"/>
    <w:link w:val="17"/>
    <w:autoRedefine/>
    <w:semiHidden/>
    <w:qFormat/>
    <w:uiPriority w:val="99"/>
    <w:rPr>
      <w:rFonts w:ascii="Times New Roman" w:hAnsi="Times New Roman"/>
      <w:szCs w:val="21"/>
    </w:rPr>
  </w:style>
  <w:style w:type="character" w:customStyle="1" w:styleId="52">
    <w:name w:val="批注框文本 Char"/>
    <w:basedOn w:val="28"/>
    <w:link w:val="18"/>
    <w:autoRedefine/>
    <w:qFormat/>
    <w:locked/>
    <w:uiPriority w:val="99"/>
    <w:rPr>
      <w:kern w:val="2"/>
      <w:sz w:val="18"/>
      <w:szCs w:val="18"/>
    </w:rPr>
  </w:style>
  <w:style w:type="character" w:customStyle="1" w:styleId="53">
    <w:name w:val="页脚 Char"/>
    <w:basedOn w:val="28"/>
    <w:link w:val="19"/>
    <w:autoRedefine/>
    <w:semiHidden/>
    <w:qFormat/>
    <w:uiPriority w:val="99"/>
    <w:rPr>
      <w:rFonts w:ascii="Times New Roman" w:hAnsi="Times New Roman"/>
      <w:sz w:val="18"/>
      <w:szCs w:val="18"/>
    </w:rPr>
  </w:style>
  <w:style w:type="character" w:customStyle="1" w:styleId="54">
    <w:name w:val="页眉 Char"/>
    <w:basedOn w:val="28"/>
    <w:link w:val="20"/>
    <w:autoRedefine/>
    <w:semiHidden/>
    <w:qFormat/>
    <w:uiPriority w:val="99"/>
    <w:rPr>
      <w:rFonts w:ascii="Times New Roman" w:hAnsi="Times New Roman"/>
      <w:sz w:val="18"/>
      <w:szCs w:val="18"/>
    </w:rPr>
  </w:style>
  <w:style w:type="character" w:customStyle="1" w:styleId="55">
    <w:name w:val="正文首行缩进 Char"/>
    <w:basedOn w:val="43"/>
    <w:link w:val="6"/>
    <w:autoRedefine/>
    <w:semiHidden/>
    <w:qFormat/>
    <w:uiPriority w:val="99"/>
    <w:rPr>
      <w:rFonts w:ascii="Times New Roman" w:hAnsi="Times New Roman"/>
      <w:szCs w:val="21"/>
    </w:rPr>
  </w:style>
  <w:style w:type="paragraph" w:customStyle="1" w:styleId="56">
    <w:name w:val="正文2"/>
    <w:basedOn w:val="1"/>
    <w:autoRedefine/>
    <w:qFormat/>
    <w:uiPriority w:val="99"/>
    <w:pPr>
      <w:adjustRightInd w:val="0"/>
      <w:spacing w:before="156" w:line="360" w:lineRule="auto"/>
      <w:ind w:firstLine="510" w:firstLineChars="200"/>
    </w:pPr>
    <w:rPr>
      <w:sz w:val="24"/>
      <w:szCs w:val="24"/>
    </w:rPr>
  </w:style>
  <w:style w:type="paragraph" w:customStyle="1" w:styleId="57">
    <w:name w:val="List Paragraph1"/>
    <w:basedOn w:val="1"/>
    <w:autoRedefine/>
    <w:qFormat/>
    <w:uiPriority w:val="99"/>
    <w:pPr>
      <w:widowControl/>
      <w:ind w:firstLine="420" w:firstLineChars="200"/>
      <w:jc w:val="left"/>
    </w:pPr>
    <w:rPr>
      <w:rFonts w:ascii="Calibri" w:hAnsi="Calibri" w:cs="Calibri"/>
    </w:rPr>
  </w:style>
  <w:style w:type="character" w:customStyle="1" w:styleId="58">
    <w:name w:val="style81"/>
    <w:autoRedefine/>
    <w:qFormat/>
    <w:uiPriority w:val="99"/>
    <w:rPr>
      <w:sz w:val="20"/>
      <w:szCs w:val="20"/>
    </w:rPr>
  </w:style>
  <w:style w:type="paragraph" w:customStyle="1" w:styleId="59">
    <w:name w:val="列出段落1"/>
    <w:basedOn w:val="1"/>
    <w:autoRedefine/>
    <w:qFormat/>
    <w:uiPriority w:val="99"/>
    <w:pPr>
      <w:ind w:firstLine="420"/>
      <w:jc w:val="left"/>
    </w:pPr>
  </w:style>
  <w:style w:type="paragraph" w:customStyle="1" w:styleId="60">
    <w:name w:val="表格"/>
    <w:basedOn w:val="1"/>
    <w:autoRedefine/>
    <w:qFormat/>
    <w:uiPriority w:val="99"/>
    <w:pPr>
      <w:autoSpaceDE w:val="0"/>
      <w:autoSpaceDN w:val="0"/>
      <w:jc w:val="center"/>
      <w:textAlignment w:val="baseline"/>
    </w:pPr>
    <w:rPr>
      <w:color w:val="000000"/>
      <w:kern w:val="0"/>
    </w:rPr>
  </w:style>
  <w:style w:type="character" w:customStyle="1" w:styleId="61">
    <w:name w:val="02 Char"/>
    <w:link w:val="62"/>
    <w:autoRedefine/>
    <w:qFormat/>
    <w:locked/>
    <w:uiPriority w:val="99"/>
    <w:rPr>
      <w:rFonts w:ascii="宋体" w:cs="宋体"/>
      <w:b/>
      <w:bCs/>
      <w:color w:val="FF0000"/>
      <w:kern w:val="2"/>
      <w:sz w:val="28"/>
      <w:szCs w:val="28"/>
    </w:rPr>
  </w:style>
  <w:style w:type="paragraph" w:customStyle="1" w:styleId="62">
    <w:name w:val="02"/>
    <w:basedOn w:val="2"/>
    <w:link w:val="61"/>
    <w:autoRedefine/>
    <w:qFormat/>
    <w:uiPriority w:val="99"/>
    <w:pPr>
      <w:jc w:val="center"/>
    </w:pPr>
    <w:rPr>
      <w:color w:val="FF0000"/>
    </w:rPr>
  </w:style>
  <w:style w:type="character" w:customStyle="1" w:styleId="63">
    <w:name w:val="03 Char"/>
    <w:link w:val="64"/>
    <w:autoRedefine/>
    <w:qFormat/>
    <w:locked/>
    <w:uiPriority w:val="99"/>
    <w:rPr>
      <w:rFonts w:ascii="宋体" w:cs="宋体"/>
      <w:b/>
      <w:bCs/>
      <w:kern w:val="2"/>
      <w:sz w:val="28"/>
      <w:szCs w:val="28"/>
    </w:rPr>
  </w:style>
  <w:style w:type="paragraph" w:customStyle="1" w:styleId="64">
    <w:name w:val="03"/>
    <w:basedOn w:val="10"/>
    <w:link w:val="63"/>
    <w:autoRedefine/>
    <w:qFormat/>
    <w:uiPriority w:val="99"/>
    <w:pPr>
      <w:numPr>
        <w:ilvl w:val="0"/>
        <w:numId w:val="0"/>
      </w:numPr>
    </w:pPr>
  </w:style>
  <w:style w:type="character" w:customStyle="1" w:styleId="65">
    <w:name w:val="宋体小四 Char"/>
    <w:link w:val="66"/>
    <w:autoRedefine/>
    <w:qFormat/>
    <w:locked/>
    <w:uiPriority w:val="99"/>
    <w:rPr>
      <w:rFonts w:ascii="宋体" w:eastAsia="宋体" w:cs="宋体"/>
      <w:kern w:val="2"/>
      <w:sz w:val="24"/>
      <w:szCs w:val="24"/>
    </w:rPr>
  </w:style>
  <w:style w:type="paragraph" w:customStyle="1" w:styleId="66">
    <w:name w:val="宋体小四"/>
    <w:basedOn w:val="1"/>
    <w:link w:val="65"/>
    <w:autoRedefine/>
    <w:qFormat/>
    <w:uiPriority w:val="99"/>
    <w:pPr>
      <w:spacing w:line="360" w:lineRule="auto"/>
      <w:ind w:firstLine="480" w:firstLineChars="200"/>
    </w:pPr>
    <w:rPr>
      <w:rFonts w:ascii="宋体" w:hAnsi="宋体" w:cs="宋体"/>
      <w:sz w:val="24"/>
      <w:szCs w:val="24"/>
    </w:rPr>
  </w:style>
  <w:style w:type="character" w:customStyle="1" w:styleId="67">
    <w:name w:val="fontstyle01"/>
    <w:basedOn w:val="28"/>
    <w:autoRedefine/>
    <w:qFormat/>
    <w:uiPriority w:val="99"/>
    <w:rPr>
      <w:rFonts w:ascii="宋体" w:eastAsia="宋体" w:cs="宋体"/>
      <w:color w:val="000000"/>
      <w:sz w:val="22"/>
      <w:szCs w:val="22"/>
    </w:rPr>
  </w:style>
  <w:style w:type="paragraph" w:customStyle="1" w:styleId="68">
    <w:name w:val="正文首行缩进2字符"/>
    <w:basedOn w:val="1"/>
    <w:autoRedefine/>
    <w:qFormat/>
    <w:uiPriority w:val="99"/>
    <w:pPr>
      <w:spacing w:line="360" w:lineRule="auto"/>
      <w:ind w:firstLine="200" w:firstLineChars="200"/>
    </w:pPr>
  </w:style>
  <w:style w:type="paragraph" w:customStyle="1" w:styleId="69">
    <w:name w:val="居中表格内容标题"/>
    <w:basedOn w:val="70"/>
    <w:autoRedefine/>
    <w:qFormat/>
    <w:uiPriority w:val="0"/>
    <w:pPr>
      <w:jc w:val="center"/>
    </w:pPr>
    <w:rPr>
      <w:b/>
    </w:rPr>
  </w:style>
  <w:style w:type="paragraph" w:customStyle="1" w:styleId="70">
    <w:name w:val="居中表格内容"/>
    <w:basedOn w:val="1"/>
    <w:next w:val="1"/>
    <w:autoRedefine/>
    <w:qFormat/>
    <w:uiPriority w:val="0"/>
    <w:pPr>
      <w:jc w:val="left"/>
    </w:pPr>
    <w:rPr>
      <w:szCs w:val="28"/>
    </w:rPr>
  </w:style>
  <w:style w:type="paragraph" w:customStyle="1" w:styleId="71">
    <w:name w:val="Body text|1"/>
    <w:basedOn w:val="1"/>
    <w:autoRedefine/>
    <w:qFormat/>
    <w:uiPriority w:val="0"/>
    <w:pPr>
      <w:spacing w:line="374" w:lineRule="auto"/>
      <w:ind w:firstLine="400"/>
    </w:pPr>
    <w:rPr>
      <w:rFonts w:ascii="宋体" w:hAnsi="宋体" w:cs="宋体"/>
      <w:sz w:val="30"/>
      <w:szCs w:val="30"/>
      <w:lang w:val="zh-TW" w:eastAsia="zh-TW" w:bidi="zh-TW"/>
    </w:rPr>
  </w:style>
  <w:style w:type="paragraph" w:customStyle="1" w:styleId="72">
    <w:name w:val="Body text|2"/>
    <w:basedOn w:val="1"/>
    <w:autoRedefine/>
    <w:qFormat/>
    <w:uiPriority w:val="0"/>
    <w:pPr>
      <w:spacing w:line="360" w:lineRule="auto"/>
      <w:ind w:firstLine="660"/>
    </w:pPr>
    <w:rPr>
      <w:sz w:val="32"/>
      <w:szCs w:val="32"/>
      <w:lang w:val="zh-TW" w:eastAsia="zh-TW" w:bidi="zh-TW"/>
    </w:rPr>
  </w:style>
  <w:style w:type="character" w:customStyle="1" w:styleId="73">
    <w:name w:val="NormalCharacter"/>
    <w:autoRedefine/>
    <w:semiHidden/>
    <w:qFormat/>
    <w:uiPriority w:val="0"/>
  </w:style>
  <w:style w:type="paragraph" w:customStyle="1" w:styleId="74">
    <w:name w:val="CM26"/>
    <w:basedOn w:val="1"/>
    <w:next w:val="1"/>
    <w:autoRedefine/>
    <w:qFormat/>
    <w:uiPriority w:val="0"/>
    <w:pPr>
      <w:autoSpaceDE w:val="0"/>
      <w:autoSpaceDN w:val="0"/>
      <w:adjustRightInd w:val="0"/>
      <w:spacing w:line="400" w:lineRule="atLeast"/>
      <w:jc w:val="left"/>
    </w:pPr>
    <w:rPr>
      <w:rFonts w:ascii="宋体" w:hAnsi="宋体"/>
      <w:kern w:val="0"/>
      <w:sz w:val="24"/>
    </w:rPr>
  </w:style>
  <w:style w:type="paragraph" w:customStyle="1" w:styleId="75">
    <w:name w:val="xc正文"/>
    <w:basedOn w:val="1"/>
    <w:autoRedefine/>
    <w:qFormat/>
    <w:uiPriority w:val="0"/>
    <w:pPr>
      <w:ind w:firstLine="200" w:firstLineChars="200"/>
    </w:pPr>
    <w:rPr>
      <w:szCs w:val="24"/>
    </w:rPr>
  </w:style>
  <w:style w:type="paragraph" w:styleId="76">
    <w:name w:val="List Paragraph"/>
    <w:basedOn w:val="1"/>
    <w:autoRedefine/>
    <w:qFormat/>
    <w:uiPriority w:val="1"/>
    <w:pPr>
      <w:ind w:firstLine="420" w:firstLineChars="200"/>
    </w:pPr>
    <w:rPr>
      <w:szCs w:val="24"/>
    </w:rPr>
  </w:style>
  <w:style w:type="character" w:customStyle="1" w:styleId="77">
    <w:name w:val="fontstyle21"/>
    <w:autoRedefine/>
    <w:qFormat/>
    <w:uiPriority w:val="0"/>
    <w:rPr>
      <w:rFonts w:hint="default" w:ascii="TimesNewRomanPSMT" w:hAnsi="TimesNewRomanPSMT"/>
      <w:color w:val="000000"/>
      <w:sz w:val="32"/>
      <w:szCs w:val="32"/>
    </w:rPr>
  </w:style>
  <w:style w:type="paragraph" w:customStyle="1" w:styleId="78">
    <w:name w:val="_Style 16"/>
    <w:next w:val="1"/>
    <w:autoRedefine/>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79">
    <w:name w:val="_Style 76"/>
    <w:basedOn w:val="1"/>
    <w:next w:val="76"/>
    <w:autoRedefine/>
    <w:qFormat/>
    <w:uiPriority w:val="34"/>
    <w:pPr>
      <w:ind w:firstLine="420" w:firstLineChars="200"/>
    </w:pPr>
    <w:rPr>
      <w:szCs w:val="24"/>
    </w:rPr>
  </w:style>
  <w:style w:type="paragraph" w:customStyle="1" w:styleId="80">
    <w:name w:val="纯文本1"/>
    <w:basedOn w:val="1"/>
    <w:autoRedefine/>
    <w:qFormat/>
    <w:uiPriority w:val="0"/>
    <w:pPr>
      <w:ind w:firstLine="280" w:firstLineChars="100"/>
    </w:pPr>
    <w:rPr>
      <w:rFonts w:hAnsi="宋体" w:cs="Courier New"/>
    </w:rPr>
  </w:style>
  <w:style w:type="paragraph" w:customStyle="1" w:styleId="81">
    <w:name w:val="居中表名"/>
    <w:basedOn w:val="1"/>
    <w:next w:val="1"/>
    <w:autoRedefine/>
    <w:qFormat/>
    <w:uiPriority w:val="0"/>
    <w:pPr>
      <w:jc w:val="center"/>
    </w:pPr>
    <w:rPr>
      <w:rFonts w:eastAsia="黑体"/>
      <w:b/>
      <w:szCs w:val="28"/>
    </w:rPr>
  </w:style>
  <w:style w:type="paragraph" w:customStyle="1" w:styleId="82">
    <w:name w:val="列表段落1"/>
    <w:basedOn w:val="1"/>
    <w:autoRedefine/>
    <w:qFormat/>
    <w:uiPriority w:val="0"/>
    <w:pPr>
      <w:ind w:firstLine="420"/>
    </w:pPr>
  </w:style>
  <w:style w:type="paragraph" w:customStyle="1" w:styleId="83">
    <w:name w:val="[Normal]"/>
    <w:autoRedefine/>
    <w:qFormat/>
    <w:uiPriority w:val="0"/>
    <w:rPr>
      <w:rFonts w:ascii="宋体" w:hAnsi="宋体" w:eastAsia="宋体" w:cs="Times New Roman"/>
      <w:sz w:val="24"/>
      <w:szCs w:val="22"/>
      <w:lang w:val="zh-CN" w:eastAsia="zh-CN" w:bidi="ar-SA"/>
    </w:rPr>
  </w:style>
  <w:style w:type="paragraph" w:customStyle="1" w:styleId="84">
    <w:name w:val="列出段落2"/>
    <w:basedOn w:val="1"/>
    <w:autoRedefine/>
    <w:qFormat/>
    <w:uiPriority w:val="1"/>
    <w:pPr>
      <w:ind w:firstLine="420" w:firstLineChars="200"/>
    </w:pPr>
    <w:rPr>
      <w:szCs w:val="24"/>
    </w:rPr>
  </w:style>
  <w:style w:type="character" w:customStyle="1" w:styleId="85">
    <w:name w:val="font21"/>
    <w:autoRedefine/>
    <w:qFormat/>
    <w:uiPriority w:val="0"/>
    <w:rPr>
      <w:rFonts w:hint="eastAsia" w:ascii="宋体" w:hAnsi="宋体" w:eastAsia="宋体" w:cs="宋体"/>
      <w:b/>
      <w:color w:val="FF0000"/>
      <w:sz w:val="24"/>
      <w:szCs w:val="24"/>
      <w:u w:val="none"/>
    </w:rPr>
  </w:style>
  <w:style w:type="paragraph" w:customStyle="1" w:styleId="86">
    <w:name w:val="样式6"/>
    <w:basedOn w:val="16"/>
    <w:autoRedefine/>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87">
    <w:name w:val="Plain Text"/>
    <w:basedOn w:val="1"/>
    <w:autoRedefine/>
    <w:qFormat/>
    <w:uiPriority w:val="0"/>
    <w:rPr>
      <w:rFonts w:hint="eastAsia" w:ascii="宋体" w:hAnsi="Courier New"/>
      <w:szCs w:val="20"/>
    </w:rPr>
  </w:style>
  <w:style w:type="paragraph" w:customStyle="1" w:styleId="88">
    <w:name w:val="p0"/>
    <w:basedOn w:val="1"/>
    <w:autoRedefine/>
    <w:qFormat/>
    <w:uiPriority w:val="99"/>
    <w:pPr>
      <w:widowControl/>
    </w:pPr>
    <w:rPr>
      <w:kern w:val="0"/>
      <w:szCs w:val="21"/>
    </w:rPr>
  </w:style>
  <w:style w:type="character" w:customStyle="1" w:styleId="89">
    <w:name w:val="font01"/>
    <w:autoRedefine/>
    <w:qFormat/>
    <w:uiPriority w:val="0"/>
    <w:rPr>
      <w:rFonts w:hint="eastAsia" w:ascii="宋体" w:hAnsi="宋体" w:eastAsia="宋体" w:cs="Arial"/>
      <w:snapToGrid w:val="0"/>
      <w:color w:val="000000"/>
      <w:kern w:val="0"/>
      <w:sz w:val="24"/>
      <w:szCs w:val="24"/>
      <w:u w:val="none"/>
    </w:rPr>
  </w:style>
  <w:style w:type="character" w:customStyle="1" w:styleId="90">
    <w:name w:val="font11"/>
    <w:basedOn w:val="28"/>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55</Pages>
  <Words>27404</Words>
  <Characters>28841</Characters>
  <Lines>267</Lines>
  <Paragraphs>75</Paragraphs>
  <TotalTime>11</TotalTime>
  <ScaleCrop>false</ScaleCrop>
  <LinksUpToDate>false</LinksUpToDate>
  <CharactersWithSpaces>29949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2021-12-06T19:03:00Z</dcterms:created>
  <dc:creator>陈圣楠</dc:creator>
  <cp:lastModifiedBy>hh</cp:lastModifiedBy>
  <cp:lastPrinted>2022-01-06T21:58:00Z</cp:lastPrinted>
  <dcterms:modified xsi:type="dcterms:W3CDTF">2024-12-09T08:05:37Z</dcterms:modified>
  <dc:title>上虞区自然资源变更监测项目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9F1BB708F2CB44B5BA4D5F1A3BCE812C_13</vt:lpwstr>
  </property>
  <property fmtid="{D5CDD505-2E9C-101B-9397-08002B2CF9AE}" pid="4" name="commondata">
    <vt:lpwstr>eyJoZGlkIjoiNjY1YWU2ZTk2MGU1NDNlZGY5MzE0NzM2ODJlNDA4NTkifQ==</vt:lpwstr>
  </property>
</Properties>
</file>