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3E3F1">
      <w:pPr>
        <w:pStyle w:val="4"/>
        <w:shd w:val="clear"/>
        <w:rPr>
          <w:rFonts w:hint="eastAsia" w:ascii="宋体" w:hAnsi="宋体" w:eastAsia="宋体" w:cs="宋体"/>
          <w:color w:val="auto"/>
          <w:highlight w:val="none"/>
        </w:rPr>
      </w:pPr>
    </w:p>
    <w:p w14:paraId="24963666">
      <w:pPr>
        <w:shd w:val="clear"/>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44"/>
          <w:szCs w:val="44"/>
          <w:highlight w:val="none"/>
          <w:lang w:eastAsia="zh-CN"/>
        </w:rPr>
        <w:t>上虞区生活垃圾分类智能监管平台（二期）（第二次）</w:t>
      </w:r>
    </w:p>
    <w:p w14:paraId="08DC6DE2">
      <w:pPr>
        <w:pStyle w:val="5"/>
        <w:shd w:val="clear"/>
        <w:rPr>
          <w:rFonts w:hint="eastAsia" w:ascii="宋体" w:hAnsi="宋体" w:eastAsia="宋体" w:cs="宋体"/>
          <w:b/>
          <w:bCs/>
          <w:color w:val="auto"/>
          <w:sz w:val="44"/>
          <w:szCs w:val="44"/>
          <w:highlight w:val="none"/>
        </w:rPr>
      </w:pPr>
    </w:p>
    <w:p w14:paraId="4466B219">
      <w:pPr>
        <w:pStyle w:val="5"/>
        <w:shd w:val="clear"/>
        <w:rPr>
          <w:rFonts w:hint="eastAsia" w:ascii="宋体" w:hAnsi="宋体" w:eastAsia="宋体" w:cs="宋体"/>
          <w:b/>
          <w:bCs/>
          <w:color w:val="auto"/>
          <w:sz w:val="44"/>
          <w:szCs w:val="44"/>
          <w:highlight w:val="none"/>
        </w:rPr>
      </w:pPr>
    </w:p>
    <w:p w14:paraId="40579F63">
      <w:pPr>
        <w:pStyle w:val="10"/>
        <w:shd w:val="clear"/>
        <w:rPr>
          <w:rFonts w:hint="eastAsia"/>
          <w:color w:val="auto"/>
          <w:highlight w:val="none"/>
        </w:rPr>
      </w:pPr>
    </w:p>
    <w:p w14:paraId="172DCBA2">
      <w:pPr>
        <w:pStyle w:val="25"/>
        <w:shd w:val="clear"/>
        <w:rPr>
          <w:rFonts w:hint="eastAsia"/>
          <w:color w:val="auto"/>
          <w:highlight w:val="none"/>
        </w:rPr>
      </w:pPr>
    </w:p>
    <w:p w14:paraId="298A2ACE">
      <w:pPr>
        <w:pStyle w:val="5"/>
        <w:shd w:val="clear"/>
        <w:rPr>
          <w:rFonts w:hint="eastAsia" w:ascii="宋体" w:hAnsi="宋体" w:eastAsia="宋体" w:cs="宋体"/>
          <w:b/>
          <w:bCs/>
          <w:color w:val="auto"/>
          <w:sz w:val="44"/>
          <w:szCs w:val="44"/>
          <w:highlight w:val="none"/>
        </w:rPr>
      </w:pPr>
    </w:p>
    <w:p w14:paraId="4B818DF8">
      <w:pPr>
        <w:pStyle w:val="5"/>
        <w:shd w:val="clear"/>
        <w:rPr>
          <w:rFonts w:hint="eastAsia" w:ascii="宋体" w:hAnsi="宋体" w:eastAsia="宋体" w:cs="宋体"/>
          <w:b/>
          <w:bCs/>
          <w:color w:val="auto"/>
          <w:sz w:val="44"/>
          <w:szCs w:val="44"/>
          <w:highlight w:val="none"/>
        </w:rPr>
      </w:pPr>
    </w:p>
    <w:p w14:paraId="087A110D">
      <w:pPr>
        <w:pStyle w:val="5"/>
        <w:shd w:val="clear"/>
        <w:rPr>
          <w:rFonts w:hint="eastAsia" w:ascii="宋体" w:hAnsi="宋体" w:eastAsia="宋体" w:cs="宋体"/>
          <w:color w:val="auto"/>
          <w:highlight w:val="none"/>
        </w:rPr>
      </w:pPr>
    </w:p>
    <w:p w14:paraId="63C1C579">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65CE026F">
      <w:pPr>
        <w:shd w:val="clear"/>
        <w:spacing w:line="360" w:lineRule="auto"/>
        <w:jc w:val="center"/>
        <w:rPr>
          <w:rFonts w:hint="eastAsia" w:ascii="宋体" w:hAnsi="宋体" w:eastAsia="宋体" w:cs="宋体"/>
          <w:b/>
          <w:bCs/>
          <w:color w:val="auto"/>
          <w:sz w:val="24"/>
          <w:szCs w:val="24"/>
          <w:highlight w:val="none"/>
        </w:rPr>
      </w:pPr>
    </w:p>
    <w:p w14:paraId="5FE15BFF">
      <w:pPr>
        <w:shd w:val="clear"/>
        <w:snapToGrid w:val="0"/>
        <w:spacing w:line="360" w:lineRule="auto"/>
        <w:ind w:firstLine="2301" w:firstLineChars="767"/>
        <w:jc w:val="left"/>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val="en-US" w:eastAsia="zh-CN"/>
        </w:rPr>
        <w:t>ZJCTSY-2024-1114X</w:t>
      </w:r>
    </w:p>
    <w:p w14:paraId="52C3D731">
      <w:pPr>
        <w:shd w:val="clear"/>
        <w:snapToGrid w:val="0"/>
        <w:spacing w:line="360" w:lineRule="auto"/>
        <w:ind w:firstLine="2301" w:firstLineChars="767"/>
        <w:jc w:val="left"/>
        <w:rPr>
          <w:rFonts w:hint="eastAsia" w:ascii="宋体" w:hAnsi="宋体" w:eastAsia="宋体" w:cs="宋体"/>
          <w:color w:val="auto"/>
          <w:sz w:val="30"/>
          <w:szCs w:val="30"/>
          <w:highlight w:val="none"/>
        </w:rPr>
      </w:pPr>
    </w:p>
    <w:p w14:paraId="65E647E8">
      <w:pPr>
        <w:shd w:val="clear"/>
        <w:spacing w:line="360" w:lineRule="auto"/>
        <w:rPr>
          <w:rFonts w:hint="eastAsia" w:ascii="宋体" w:hAnsi="宋体" w:eastAsia="宋体" w:cs="宋体"/>
          <w:color w:val="auto"/>
          <w:sz w:val="28"/>
          <w:szCs w:val="28"/>
          <w:highlight w:val="none"/>
        </w:rPr>
      </w:pPr>
    </w:p>
    <w:p w14:paraId="03AFC113">
      <w:pPr>
        <w:shd w:val="clear"/>
        <w:spacing w:line="360" w:lineRule="auto"/>
        <w:jc w:val="center"/>
        <w:rPr>
          <w:rFonts w:hint="eastAsia" w:ascii="宋体" w:hAnsi="宋体" w:eastAsia="宋体" w:cs="宋体"/>
          <w:color w:val="auto"/>
          <w:sz w:val="24"/>
          <w:szCs w:val="24"/>
          <w:highlight w:val="none"/>
        </w:rPr>
      </w:pPr>
    </w:p>
    <w:p w14:paraId="1A29B515">
      <w:pPr>
        <w:pStyle w:val="4"/>
        <w:shd w:val="clear"/>
        <w:rPr>
          <w:rFonts w:hint="eastAsia"/>
          <w:color w:val="auto"/>
          <w:highlight w:val="none"/>
        </w:rPr>
      </w:pPr>
    </w:p>
    <w:p w14:paraId="22BA524C">
      <w:pPr>
        <w:shd w:val="clear"/>
        <w:spacing w:line="360" w:lineRule="auto"/>
        <w:jc w:val="center"/>
        <w:rPr>
          <w:rFonts w:hint="eastAsia" w:ascii="宋体" w:hAnsi="宋体" w:eastAsia="宋体" w:cs="宋体"/>
          <w:color w:val="auto"/>
          <w:sz w:val="24"/>
          <w:szCs w:val="24"/>
          <w:highlight w:val="none"/>
        </w:rPr>
      </w:pPr>
    </w:p>
    <w:p w14:paraId="297AF118">
      <w:pPr>
        <w:shd w:val="clear"/>
        <w:spacing w:line="360" w:lineRule="auto"/>
        <w:jc w:val="center"/>
        <w:rPr>
          <w:rFonts w:hint="eastAsia" w:ascii="宋体" w:hAnsi="宋体" w:eastAsia="宋体" w:cs="宋体"/>
          <w:color w:val="auto"/>
          <w:sz w:val="24"/>
          <w:szCs w:val="24"/>
          <w:highlight w:val="none"/>
        </w:rPr>
      </w:pPr>
    </w:p>
    <w:p w14:paraId="01185C45">
      <w:pPr>
        <w:shd w:val="clear"/>
        <w:spacing w:line="360" w:lineRule="auto"/>
        <w:jc w:val="center"/>
        <w:rPr>
          <w:rFonts w:hint="eastAsia" w:ascii="宋体" w:hAnsi="宋体" w:eastAsia="宋体" w:cs="宋体"/>
          <w:color w:val="auto"/>
          <w:sz w:val="24"/>
          <w:szCs w:val="24"/>
          <w:highlight w:val="none"/>
        </w:rPr>
      </w:pPr>
    </w:p>
    <w:p w14:paraId="4F5D59F4">
      <w:pPr>
        <w:shd w:val="clear"/>
        <w:spacing w:line="360" w:lineRule="auto"/>
        <w:jc w:val="center"/>
        <w:rPr>
          <w:rFonts w:hint="eastAsia" w:ascii="宋体" w:hAnsi="宋体" w:eastAsia="宋体" w:cs="宋体"/>
          <w:color w:val="auto"/>
          <w:sz w:val="24"/>
          <w:szCs w:val="24"/>
          <w:highlight w:val="none"/>
        </w:rPr>
      </w:pPr>
    </w:p>
    <w:p w14:paraId="389A8794">
      <w:pPr>
        <w:shd w:val="clea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绍兴市上虞区市容环境卫生管理服务中心</w:t>
      </w:r>
    </w:p>
    <w:p w14:paraId="16FF332A">
      <w:pPr>
        <w:shd w:val="clear"/>
        <w:snapToGrid w:val="0"/>
        <w:spacing w:line="360" w:lineRule="auto"/>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eastAsia="zh-CN"/>
        </w:rPr>
        <w:t>浙江省成套工程有限公司</w:t>
      </w:r>
    </w:p>
    <w:p w14:paraId="725705E6">
      <w:pPr>
        <w:shd w:val="clear"/>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w:t>
      </w:r>
      <w:r>
        <w:rPr>
          <w:rFonts w:hint="eastAsia" w:ascii="宋体" w:hAnsi="宋体" w:cs="宋体"/>
          <w:color w:val="auto"/>
          <w:sz w:val="30"/>
          <w:szCs w:val="30"/>
          <w:highlight w:val="none"/>
          <w:lang w:val="en-US" w:eastAsia="zh-CN"/>
        </w:rPr>
        <w:t>〇二四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十一</w:t>
      </w:r>
      <w:r>
        <w:rPr>
          <w:rFonts w:hint="eastAsia" w:ascii="宋体" w:hAnsi="宋体" w:eastAsia="宋体" w:cs="宋体"/>
          <w:color w:val="auto"/>
          <w:sz w:val="30"/>
          <w:szCs w:val="30"/>
          <w:highlight w:val="none"/>
        </w:rPr>
        <w:t>月</w:t>
      </w:r>
    </w:p>
    <w:p w14:paraId="6305EC4D">
      <w:pPr>
        <w:shd w:val="clear"/>
        <w:spacing w:line="360" w:lineRule="auto"/>
        <w:jc w:val="center"/>
        <w:rPr>
          <w:rFonts w:hint="eastAsia" w:ascii="宋体" w:hAnsi="宋体" w:eastAsia="宋体" w:cs="宋体"/>
          <w:b/>
          <w:bCs/>
          <w:color w:val="auto"/>
          <w:sz w:val="32"/>
          <w:szCs w:val="32"/>
          <w:highlight w:val="none"/>
        </w:rPr>
      </w:pPr>
    </w:p>
    <w:p w14:paraId="08F519F7">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61BF7DFF">
      <w:pPr>
        <w:pStyle w:val="18"/>
        <w:shd w:val="clear"/>
        <w:tabs>
          <w:tab w:val="right" w:leader="dot" w:pos="8306"/>
        </w:tabs>
        <w:spacing w:line="360" w:lineRule="auto"/>
        <w:rPr>
          <w:rFonts w:hint="eastAsia" w:ascii="宋体" w:hAnsi="宋体" w:eastAsia="宋体" w:cs="宋体"/>
          <w:color w:val="auto"/>
          <w:sz w:val="28"/>
          <w:szCs w:val="28"/>
          <w:highlight w:val="none"/>
        </w:rPr>
      </w:pPr>
    </w:p>
    <w:p w14:paraId="48AE8A8B">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_Toc30433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第一部分 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62D456C">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_Toc5238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CE0115F">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_Toc7992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EB3F01E">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_Toc6940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58D3A5C">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_Toc16098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竞争性磋商响应文件的编写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93311A9">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_Toc2412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5D9E6DF">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_Toc21419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五、 磋商无效的情形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911EA14">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_Toc21771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六、 采购中止的情形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A695905">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_Toc22404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七、 确定成交供应商与签订合同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5BEAF16">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_Toc1917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DB20583">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_Toc12245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第一章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8EF0928">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_Toc12984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lang w:val="en-US" w:eastAsia="zh-CN"/>
        </w:rPr>
        <w:t>第二章 付款方式及要求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A4D9CB7">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第四部分 磋商原则及磋商方法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DE33C87">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_Toc14171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磋商原则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3395028">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_Toc31855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磋商程序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B89786B">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_Toc20874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04C442D">
      <w:pPr>
        <w:pStyle w:val="21"/>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_Toc21029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评分细则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64627B0">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_Toc18878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第五部分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2A5FA92">
      <w:pPr>
        <w:pStyle w:val="18"/>
        <w:shd w:val="clear"/>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_Toc19237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D97EF02">
      <w:pPr>
        <w:pStyle w:val="4"/>
        <w:shd w:val="clea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70E27A05">
      <w:pPr>
        <w:shd w:val="clear"/>
        <w:rPr>
          <w:rFonts w:hint="eastAsia" w:ascii="宋体" w:hAnsi="宋体" w:eastAsia="宋体" w:cs="宋体"/>
          <w:color w:val="auto"/>
          <w:highlight w:val="none"/>
        </w:rPr>
      </w:pPr>
    </w:p>
    <w:p w14:paraId="6D6735DC">
      <w:pPr>
        <w:shd w:val="clear"/>
        <w:rPr>
          <w:rFonts w:hint="eastAsia" w:ascii="宋体" w:hAnsi="宋体" w:eastAsia="宋体" w:cs="宋体"/>
          <w:color w:val="auto"/>
          <w:highlight w:val="none"/>
        </w:rPr>
      </w:pPr>
    </w:p>
    <w:p w14:paraId="569C2BC2">
      <w:pPr>
        <w:shd w:val="clear"/>
        <w:rPr>
          <w:rFonts w:hint="eastAsia" w:ascii="宋体" w:hAnsi="宋体" w:eastAsia="宋体" w:cs="宋体"/>
          <w:color w:val="auto"/>
          <w:highlight w:val="none"/>
        </w:rPr>
      </w:pPr>
    </w:p>
    <w:p w14:paraId="53277156">
      <w:pPr>
        <w:shd w:val="clear"/>
        <w:rPr>
          <w:rFonts w:hint="eastAsia" w:ascii="宋体" w:hAnsi="宋体" w:eastAsia="宋体" w:cs="宋体"/>
          <w:color w:val="auto"/>
          <w:highlight w:val="none"/>
        </w:rPr>
      </w:pPr>
    </w:p>
    <w:p w14:paraId="40FBE248">
      <w:pPr>
        <w:shd w:val="clea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33CC4502">
      <w:pPr>
        <w:pStyle w:val="3"/>
        <w:shd w:val="clear"/>
        <w:jc w:val="center"/>
        <w:rPr>
          <w:rFonts w:hint="eastAsia" w:ascii="宋体" w:hAnsi="宋体" w:eastAsia="宋体" w:cs="宋体"/>
          <w:color w:val="auto"/>
          <w:highlight w:val="none"/>
        </w:rPr>
      </w:pPr>
      <w:bookmarkStart w:id="0" w:name="_Toc31034"/>
      <w:bookmarkStart w:id="1" w:name="_Toc32199"/>
      <w:bookmarkStart w:id="2" w:name="_Toc30433"/>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3C5B472F">
      <w:pPr>
        <w:shd w:val="clear"/>
        <w:adjustRightInd w:val="0"/>
        <w:spacing w:line="360" w:lineRule="auto"/>
        <w:ind w:right="-313" w:rightChars="-149"/>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浙江省成套工程有限公司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绍兴市上虞区市容环境卫生管理服务中心上虞区生活垃圾分类智能监管平台（二期）（第二次）</w:t>
      </w:r>
      <w:r>
        <w:rPr>
          <w:rFonts w:hint="eastAsia" w:ascii="宋体" w:hAnsi="宋体" w:eastAsia="宋体" w:cs="宋体"/>
          <w:color w:val="auto"/>
          <w:sz w:val="28"/>
          <w:szCs w:val="28"/>
          <w:highlight w:val="none"/>
        </w:rPr>
        <w:t>的竞争性磋商公告</w:t>
      </w:r>
    </w:p>
    <w:p w14:paraId="49A4B4BE">
      <w:pPr>
        <w:shd w:val="clea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rPr>
        <w:t>日</w:t>
      </w:r>
    </w:p>
    <w:p w14:paraId="4A6986E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绍兴市上虞区市容环境卫生管理服务中心</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上虞区生活垃圾分类智能监管平台（二期）（第二次）</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竞争性磋商采购进行</w:t>
      </w:r>
      <w:r>
        <w:rPr>
          <w:rFonts w:hint="eastAsia" w:ascii="宋体" w:hAnsi="宋体" w:eastAsia="宋体" w:cs="宋体"/>
          <w:color w:val="auto"/>
          <w:sz w:val="24"/>
          <w:szCs w:val="24"/>
          <w:highlight w:val="none"/>
          <w:u w:val="single"/>
        </w:rPr>
        <w:t>竞争性磋商公告</w:t>
      </w:r>
      <w:r>
        <w:rPr>
          <w:rFonts w:hint="eastAsia" w:ascii="宋体" w:hAnsi="宋体" w:eastAsia="宋体" w:cs="宋体"/>
          <w:color w:val="auto"/>
          <w:sz w:val="24"/>
          <w:szCs w:val="24"/>
          <w:highlight w:val="none"/>
        </w:rPr>
        <w:t>，欢迎国内合格的供应商参加本次采购活动。</w:t>
      </w:r>
    </w:p>
    <w:p w14:paraId="173D0A8B">
      <w:pPr>
        <w:shd w:val="clear"/>
        <w:adjustRightIn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 磋商项目编号：</w:t>
      </w:r>
      <w:r>
        <w:rPr>
          <w:rFonts w:hint="eastAsia" w:ascii="宋体" w:hAnsi="宋体" w:cs="宋体"/>
          <w:color w:val="auto"/>
          <w:sz w:val="24"/>
          <w:szCs w:val="24"/>
          <w:highlight w:val="none"/>
          <w:lang w:val="en-US" w:eastAsia="zh-CN"/>
        </w:rPr>
        <w:t xml:space="preserve">ZJCTSY-2024-1114X </w:t>
      </w:r>
    </w:p>
    <w:p w14:paraId="7743CEA9">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采购组织类型：</w:t>
      </w:r>
      <w:r>
        <w:rPr>
          <w:rFonts w:hint="eastAsia" w:ascii="宋体" w:hAnsi="宋体" w:eastAsia="宋体" w:cs="宋体"/>
          <w:color w:val="auto"/>
          <w:sz w:val="24"/>
          <w:szCs w:val="24"/>
          <w:highlight w:val="none"/>
          <w:u w:val="single"/>
        </w:rPr>
        <w:t xml:space="preserve"> 分散采购（中介代理）</w:t>
      </w:r>
      <w:r>
        <w:rPr>
          <w:rFonts w:hint="eastAsia" w:ascii="宋体" w:hAnsi="宋体" w:eastAsia="宋体" w:cs="宋体"/>
          <w:color w:val="auto"/>
          <w:sz w:val="24"/>
          <w:szCs w:val="24"/>
          <w:highlight w:val="none"/>
        </w:rPr>
        <w:t xml:space="preserve"> </w:t>
      </w:r>
    </w:p>
    <w:p w14:paraId="7584277B">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p>
    <w:tbl>
      <w:tblPr>
        <w:tblStyle w:val="26"/>
        <w:tblW w:w="897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007"/>
        <w:gridCol w:w="2781"/>
        <w:gridCol w:w="941"/>
        <w:gridCol w:w="648"/>
      </w:tblGrid>
      <w:tr w14:paraId="24ADB96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335BC03F">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7" w:type="dxa"/>
            <w:tcBorders>
              <w:top w:val="single" w:color="000000" w:sz="4" w:space="0"/>
            </w:tcBorders>
            <w:vAlign w:val="center"/>
          </w:tcPr>
          <w:p w14:paraId="2EC87B22">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 w:type="dxa"/>
            <w:tcBorders>
              <w:top w:val="single" w:color="000000" w:sz="4" w:space="0"/>
            </w:tcBorders>
            <w:vAlign w:val="center"/>
          </w:tcPr>
          <w:p w14:paraId="27EFD388">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75" w:type="dxa"/>
            <w:tcBorders>
              <w:top w:val="single" w:color="000000" w:sz="4" w:space="0"/>
            </w:tcBorders>
            <w:vAlign w:val="center"/>
          </w:tcPr>
          <w:p w14:paraId="578909B3">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07" w:type="dxa"/>
            <w:tcBorders>
              <w:top w:val="single" w:color="000000" w:sz="4" w:space="0"/>
            </w:tcBorders>
            <w:vAlign w:val="center"/>
          </w:tcPr>
          <w:p w14:paraId="2B65341E">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2781" w:type="dxa"/>
            <w:tcBorders>
              <w:top w:val="single" w:color="000000" w:sz="4" w:space="0"/>
            </w:tcBorders>
            <w:vAlign w:val="center"/>
          </w:tcPr>
          <w:p w14:paraId="47AE0B7E">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941" w:type="dxa"/>
            <w:tcBorders>
              <w:top w:val="single" w:color="000000" w:sz="4" w:space="0"/>
            </w:tcBorders>
            <w:vAlign w:val="center"/>
          </w:tcPr>
          <w:p w14:paraId="23A0EBBE">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648" w:type="dxa"/>
            <w:tcBorders>
              <w:top w:val="single" w:color="000000" w:sz="4" w:space="0"/>
            </w:tcBorders>
            <w:vAlign w:val="center"/>
          </w:tcPr>
          <w:p w14:paraId="118E3927">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51F96D5">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28BBA961">
            <w:pPr>
              <w:shd w:val="clea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7" w:type="dxa"/>
            <w:tcBorders>
              <w:bottom w:val="single" w:color="000000" w:sz="4" w:space="0"/>
            </w:tcBorders>
            <w:vAlign w:val="center"/>
          </w:tcPr>
          <w:p w14:paraId="4DB38D71">
            <w:pPr>
              <w:pStyle w:val="13"/>
              <w:shd w:val="clear"/>
              <w:snapToGrid w:val="0"/>
              <w:spacing w:before="120" w:after="120"/>
              <w:jc w:val="center"/>
              <w:rPr>
                <w:rFonts w:hint="eastAsia" w:ascii="宋体" w:hAnsi="宋体" w:eastAsia="宋体" w:cs="宋体"/>
                <w:color w:val="auto"/>
                <w:sz w:val="24"/>
                <w:szCs w:val="24"/>
                <w:highlight w:val="none"/>
                <w:lang w:eastAsia="zh-CN"/>
              </w:rPr>
            </w:pPr>
            <w:bookmarkStart w:id="108" w:name="_GoBack"/>
            <w:r>
              <w:rPr>
                <w:rFonts w:hint="eastAsia" w:hAnsi="宋体" w:cs="宋体"/>
                <w:color w:val="auto"/>
                <w:sz w:val="24"/>
                <w:szCs w:val="24"/>
                <w:highlight w:val="none"/>
                <w:lang w:val="en-US" w:eastAsia="zh-CN"/>
              </w:rPr>
              <w:t>上虞区生活垃圾分类智能监管平台（二期）（第二次）</w:t>
            </w:r>
            <w:bookmarkEnd w:id="108"/>
          </w:p>
        </w:tc>
        <w:tc>
          <w:tcPr>
            <w:tcW w:w="645" w:type="dxa"/>
            <w:tcBorders>
              <w:bottom w:val="single" w:color="000000" w:sz="4" w:space="0"/>
            </w:tcBorders>
            <w:vAlign w:val="center"/>
          </w:tcPr>
          <w:p w14:paraId="4A016E73">
            <w:pPr>
              <w:shd w:val="clea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75" w:type="dxa"/>
            <w:tcBorders>
              <w:bottom w:val="single" w:color="000000" w:sz="4" w:space="0"/>
            </w:tcBorders>
            <w:vAlign w:val="center"/>
          </w:tcPr>
          <w:p w14:paraId="7A44AB5D">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007" w:type="dxa"/>
            <w:tcBorders>
              <w:bottom w:val="single" w:color="000000" w:sz="4" w:space="0"/>
            </w:tcBorders>
            <w:vAlign w:val="center"/>
          </w:tcPr>
          <w:p w14:paraId="66939646">
            <w:pPr>
              <w:widowControl/>
              <w:shd w:val="clear"/>
              <w:spacing w:before="100" w:after="100"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63.09</w:t>
            </w:r>
          </w:p>
        </w:tc>
        <w:tc>
          <w:tcPr>
            <w:tcW w:w="2781" w:type="dxa"/>
            <w:tcBorders>
              <w:bottom w:val="single" w:color="000000" w:sz="4" w:space="0"/>
            </w:tcBorders>
            <w:vAlign w:val="center"/>
          </w:tcPr>
          <w:p w14:paraId="0293706E">
            <w:pPr>
              <w:pStyle w:val="13"/>
              <w:shd w:val="clear"/>
              <w:snapToGrid w:val="0"/>
              <w:spacing w:before="120" w:after="120"/>
              <w:jc w:val="center"/>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bidi="ar-SA"/>
              </w:rPr>
              <w:t>详见采购需求</w:t>
            </w:r>
          </w:p>
        </w:tc>
        <w:tc>
          <w:tcPr>
            <w:tcW w:w="941" w:type="dxa"/>
            <w:tcBorders>
              <w:bottom w:val="single" w:color="000000" w:sz="4" w:space="0"/>
            </w:tcBorders>
            <w:vAlign w:val="center"/>
          </w:tcPr>
          <w:p w14:paraId="088CC9E9">
            <w:pPr>
              <w:shd w:val="clea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63.09</w:t>
            </w:r>
          </w:p>
        </w:tc>
        <w:tc>
          <w:tcPr>
            <w:tcW w:w="648" w:type="dxa"/>
            <w:tcBorders>
              <w:bottom w:val="single" w:color="000000" w:sz="4" w:space="0"/>
            </w:tcBorders>
            <w:vAlign w:val="center"/>
          </w:tcPr>
          <w:p w14:paraId="0CF179EF">
            <w:pPr>
              <w:shd w:val="clea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0FB836BF">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p>
    <w:p w14:paraId="2169D548">
      <w:pPr>
        <w:numPr>
          <w:ilvl w:val="0"/>
          <w:numId w:val="2"/>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6A9515DF">
      <w:pPr>
        <w:numPr>
          <w:ilvl w:val="0"/>
          <w:numId w:val="0"/>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不接受 </w:t>
      </w:r>
      <w:r>
        <w:rPr>
          <w:rFonts w:hint="eastAsia" w:ascii="宋体" w:hAnsi="宋体" w:eastAsia="宋体" w:cs="宋体"/>
          <w:color w:val="auto"/>
          <w:sz w:val="24"/>
          <w:szCs w:val="24"/>
          <w:highlight w:val="none"/>
        </w:rPr>
        <w:t>联合体参加磋商。</w:t>
      </w:r>
    </w:p>
    <w:p w14:paraId="7BE902E0">
      <w:pPr>
        <w:numPr>
          <w:ilvl w:val="0"/>
          <w:numId w:val="0"/>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本项目采用资格后审的审查方式，由磋商小组负责审查。</w:t>
      </w:r>
    </w:p>
    <w:p w14:paraId="33838AD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31C369BB">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09:30</w:t>
      </w:r>
      <w:r>
        <w:rPr>
          <w:rFonts w:hint="eastAsia" w:ascii="宋体" w:hAnsi="宋体" w:eastAsia="宋体" w:cs="宋体"/>
          <w:color w:val="auto"/>
          <w:sz w:val="24"/>
          <w:szCs w:val="24"/>
          <w:highlight w:val="none"/>
        </w:rPr>
        <w:t>之前获取。</w:t>
      </w:r>
    </w:p>
    <w:p w14:paraId="22E876AF">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2EA18A18">
      <w:pPr>
        <w:numPr>
          <w:ilvl w:val="0"/>
          <w:numId w:val="3"/>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648F4A0B">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79043A40">
      <w:pPr>
        <w:numPr>
          <w:ilvl w:val="0"/>
          <w:numId w:val="4"/>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55C736E9">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471EC380">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0F86CF10">
      <w:pPr>
        <w:numPr>
          <w:ilvl w:val="0"/>
          <w:numId w:val="5"/>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8B81243">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28B549FD">
      <w:pPr>
        <w:shd w:val="clea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4D06772F">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412F1ED7">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2BCEBFB2">
      <w:pPr>
        <w:shd w:val="clea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3E76BA0F">
      <w:pPr>
        <w:shd w:val="clea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http://zfcg.czt.zj.gov.cn/bidClientTemplate/2019-05-27/12945.html</w:t>
      </w:r>
    </w:p>
    <w:p w14:paraId="32E500CF">
      <w:pPr>
        <w:numPr>
          <w:ilvl w:val="0"/>
          <w:numId w:val="5"/>
        </w:num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25E6D163">
      <w:pPr>
        <w:keepNext w:val="0"/>
        <w:keepLines w:val="0"/>
        <w:pageBreakBefore w:val="0"/>
        <w:widowControl w:val="0"/>
        <w:numPr>
          <w:ilvl w:val="0"/>
          <w:numId w:val="6"/>
        </w:numPr>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54D468F8">
      <w:pPr>
        <w:keepNext w:val="0"/>
        <w:keepLines w:val="0"/>
        <w:pageBreakBefore w:val="0"/>
        <w:widowControl w:val="0"/>
        <w:numPr>
          <w:ilvl w:val="0"/>
          <w:numId w:val="6"/>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1EF8BC17">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41C84CFB">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http://zfcg.czt.zj.gov.cn/bidClientTemplate/2019-09-24/12975.html</w:t>
      </w:r>
    </w:p>
    <w:p w14:paraId="0A178E69">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36EE9485">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https://service.zcygov.cn/#/knowledges/tree?tag=AG1DtGwBFdiHxlNdhY0r</w:t>
      </w:r>
    </w:p>
    <w:p w14:paraId="40097410">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14:paraId="489486E6">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680AC26A">
      <w:pPr>
        <w:keepNext w:val="0"/>
        <w:keepLines w:val="0"/>
        <w:pageBreakBefore w:val="0"/>
        <w:widowControl w:val="0"/>
        <w:shd w:val="clea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45A523A3">
      <w:pPr>
        <w:keepNext w:val="0"/>
        <w:keepLines w:val="0"/>
        <w:pageBreakBefore w:val="0"/>
        <w:widowControl w:val="0"/>
        <w:numPr>
          <w:ilvl w:val="0"/>
          <w:numId w:val="7"/>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2B2D0979">
      <w:pPr>
        <w:keepNext w:val="0"/>
        <w:keepLines w:val="0"/>
        <w:pageBreakBefore w:val="0"/>
        <w:widowControl w:val="0"/>
        <w:numPr>
          <w:ilvl w:val="0"/>
          <w:numId w:val="7"/>
        </w:numPr>
        <w:shd w:val="clea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t>。</w:t>
      </w:r>
    </w:p>
    <w:p w14:paraId="50B5039D">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6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19C4BB2F">
      <w:pPr>
        <w:shd w:val="clea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6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分整在</w:t>
      </w:r>
      <w:r>
        <w:rPr>
          <w:rFonts w:hint="eastAsia" w:ascii="宋体" w:hAnsi="宋体" w:cs="宋体"/>
          <w:color w:val="auto"/>
          <w:sz w:val="24"/>
          <w:szCs w:val="24"/>
          <w:highlight w:val="none"/>
          <w:lang w:eastAsia="zh-CN"/>
        </w:rPr>
        <w:t>浙江省成套工程有限公司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绍兴市上虞区</w:t>
      </w:r>
      <w:r>
        <w:rPr>
          <w:rFonts w:hint="eastAsia" w:ascii="宋体" w:hAnsi="宋体" w:cs="宋体"/>
          <w:color w:val="auto"/>
          <w:sz w:val="24"/>
          <w:szCs w:val="24"/>
          <w:highlight w:val="none"/>
          <w:lang w:val="en-US" w:eastAsia="zh-CN"/>
        </w:rPr>
        <w:t>财富广场6号楼902)</w:t>
      </w:r>
      <w:r>
        <w:rPr>
          <w:rFonts w:hint="eastAsia" w:ascii="宋体" w:hAnsi="宋体" w:eastAsia="宋体" w:cs="宋体"/>
          <w:color w:val="auto"/>
          <w:sz w:val="24"/>
          <w:szCs w:val="24"/>
          <w:highlight w:val="none"/>
        </w:rPr>
        <w:t>开标室开标。</w:t>
      </w:r>
      <w:bookmarkEnd w:id="6"/>
    </w:p>
    <w:p w14:paraId="616FC0E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前）供应商可以登录“政采云”平台，用“项目采购-开标评标”功能进行解密响应文件。若供应商在规定时间内（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2485B16D">
      <w:pPr>
        <w:shd w:val="clea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22B2BD6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25AECB2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2C3687B4">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73124404">
      <w:pPr>
        <w:shd w:val="clea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1．采购代理机构名称：</w:t>
      </w:r>
      <w:r>
        <w:rPr>
          <w:rFonts w:hint="eastAsia" w:ascii="宋体" w:hAnsi="宋体" w:cs="宋体"/>
          <w:color w:val="auto"/>
          <w:sz w:val="24"/>
          <w:szCs w:val="24"/>
          <w:highlight w:val="none"/>
          <w:lang w:eastAsia="zh-CN"/>
        </w:rPr>
        <w:t>浙江省成套工程有限公司</w:t>
      </w:r>
    </w:p>
    <w:p w14:paraId="55B2DC98">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项建海</w:t>
      </w:r>
      <w:r>
        <w:rPr>
          <w:rFonts w:hint="eastAsia" w:ascii="宋体" w:hAnsi="宋体" w:eastAsia="宋体" w:cs="宋体"/>
          <w:color w:val="auto"/>
          <w:sz w:val="24"/>
          <w:szCs w:val="24"/>
          <w:highlight w:val="none"/>
        </w:rPr>
        <w:t xml:space="preserve">              </w:t>
      </w:r>
    </w:p>
    <w:p w14:paraId="57FADAAF">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13819570604</w:t>
      </w:r>
      <w:r>
        <w:rPr>
          <w:rFonts w:hint="eastAsia" w:ascii="宋体" w:hAnsi="宋体" w:eastAsia="宋体" w:cs="宋体"/>
          <w:color w:val="auto"/>
          <w:sz w:val="24"/>
          <w:szCs w:val="24"/>
          <w:highlight w:val="none"/>
        </w:rPr>
        <w:t xml:space="preserve">         </w:t>
      </w:r>
    </w:p>
    <w:p w14:paraId="70B3D26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章建锋</w:t>
      </w:r>
      <w:r>
        <w:rPr>
          <w:rFonts w:hint="eastAsia" w:ascii="宋体" w:hAnsi="宋体" w:eastAsia="宋体" w:cs="宋体"/>
          <w:color w:val="auto"/>
          <w:sz w:val="24"/>
          <w:szCs w:val="24"/>
          <w:highlight w:val="none"/>
        </w:rPr>
        <w:t xml:space="preserve">            </w:t>
      </w:r>
    </w:p>
    <w:p w14:paraId="38A718B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质疑联系方式：13372401551     </w:t>
      </w:r>
    </w:p>
    <w:p w14:paraId="744BE800">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w:t>
      </w:r>
      <w:r>
        <w:rPr>
          <w:rFonts w:hint="eastAsia" w:ascii="宋体" w:hAnsi="宋体" w:cs="宋体"/>
          <w:color w:val="auto"/>
          <w:sz w:val="24"/>
          <w:szCs w:val="24"/>
          <w:highlight w:val="none"/>
          <w:lang w:val="en-US" w:eastAsia="zh-CN"/>
        </w:rPr>
        <w:t>财富广场6号楼902</w:t>
      </w:r>
      <w:r>
        <w:rPr>
          <w:rFonts w:hint="eastAsia" w:ascii="宋体" w:hAnsi="宋体" w:eastAsia="宋体" w:cs="宋体"/>
          <w:color w:val="auto"/>
          <w:sz w:val="24"/>
          <w:szCs w:val="24"/>
          <w:highlight w:val="none"/>
        </w:rPr>
        <w:t xml:space="preserve">  </w:t>
      </w:r>
    </w:p>
    <w:p w14:paraId="61C23764">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绍兴市上虞区市容环境卫生管理服务中心</w:t>
      </w:r>
      <w:r>
        <w:rPr>
          <w:rFonts w:hint="eastAsia" w:ascii="宋体" w:hAnsi="宋体" w:eastAsia="宋体" w:cs="宋体"/>
          <w:color w:val="auto"/>
          <w:sz w:val="24"/>
          <w:szCs w:val="24"/>
          <w:highlight w:val="none"/>
        </w:rPr>
        <w:t xml:space="preserve">  </w:t>
      </w:r>
    </w:p>
    <w:p w14:paraId="67010A95">
      <w:pPr>
        <w:shd w:val="clea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黄先生 </w:t>
      </w:r>
    </w:p>
    <w:p w14:paraId="6F421646">
      <w:pPr>
        <w:shd w:val="clea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15258518981</w:t>
      </w:r>
    </w:p>
    <w:p w14:paraId="2E4CA932">
      <w:pPr>
        <w:shd w:val="clea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质疑联系人：梁女士</w:t>
      </w:r>
      <w:r>
        <w:rPr>
          <w:rFonts w:hint="eastAsia" w:ascii="宋体" w:hAnsi="宋体" w:cs="宋体"/>
          <w:color w:val="auto"/>
          <w:sz w:val="24"/>
          <w:szCs w:val="24"/>
          <w:highlight w:val="none"/>
          <w:lang w:val="en-US" w:eastAsia="zh-CN"/>
        </w:rPr>
        <w:t xml:space="preserve"> </w:t>
      </w:r>
    </w:p>
    <w:p w14:paraId="55C527C0">
      <w:pPr>
        <w:shd w:val="clea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质疑联系方式：0575-82311746</w:t>
      </w:r>
      <w:r>
        <w:rPr>
          <w:rFonts w:hint="eastAsia" w:ascii="宋体" w:hAnsi="宋体" w:cs="宋体"/>
          <w:color w:val="auto"/>
          <w:sz w:val="24"/>
          <w:szCs w:val="24"/>
          <w:highlight w:val="none"/>
          <w:lang w:val="en-US" w:eastAsia="zh-CN"/>
        </w:rPr>
        <w:t xml:space="preserve"> </w:t>
      </w:r>
    </w:p>
    <w:p w14:paraId="0E413F4E">
      <w:pPr>
        <w:shd w:val="clea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default" w:ascii="宋体" w:hAnsi="宋体" w:eastAsia="宋体" w:cs="宋体"/>
          <w:color w:val="auto"/>
          <w:sz w:val="24"/>
          <w:szCs w:val="24"/>
          <w:highlight w:val="none"/>
        </w:rPr>
        <w:t xml:space="preserve">绍兴市上虞区曹娥街道腾达路158号 </w:t>
      </w:r>
    </w:p>
    <w:p w14:paraId="4937BCE1">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3AEFCC42">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18682A55">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2FBB2486">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传真：0575-821</w:t>
      </w:r>
      <w:r>
        <w:rPr>
          <w:rFonts w:hint="eastAsia" w:ascii="宋体" w:hAnsi="宋体" w:eastAsia="宋体" w:cs="宋体"/>
          <w:color w:val="auto"/>
          <w:sz w:val="24"/>
          <w:szCs w:val="24"/>
          <w:highlight w:val="none"/>
          <w:lang w:val="en-US" w:eastAsia="zh-CN"/>
        </w:rPr>
        <w:t>54859</w:t>
      </w:r>
    </w:p>
    <w:p w14:paraId="53D07A8B">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1641F82D">
      <w:pPr>
        <w:shd w:val="clea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7" w:name="_Toc546"/>
      <w:bookmarkStart w:id="8" w:name="_Toc5238"/>
      <w:bookmarkStart w:id="9" w:name="_Toc29834"/>
      <w:r>
        <w:rPr>
          <w:rStyle w:val="43"/>
          <w:rFonts w:hint="eastAsia" w:ascii="宋体" w:hAnsi="宋体" w:eastAsia="宋体" w:cs="宋体"/>
          <w:color w:val="auto"/>
          <w:sz w:val="36"/>
          <w:szCs w:val="36"/>
          <w:highlight w:val="none"/>
        </w:rPr>
        <w:t>第二部分</w:t>
      </w:r>
      <w:bookmarkEnd w:id="3"/>
      <w:r>
        <w:rPr>
          <w:rStyle w:val="43"/>
          <w:rFonts w:hint="eastAsia" w:ascii="宋体" w:hAnsi="宋体" w:eastAsia="宋体" w:cs="宋体"/>
          <w:color w:val="auto"/>
          <w:sz w:val="36"/>
          <w:szCs w:val="36"/>
          <w:highlight w:val="none"/>
        </w:rPr>
        <w:t xml:space="preserve"> </w:t>
      </w:r>
      <w:bookmarkEnd w:id="4"/>
      <w:r>
        <w:rPr>
          <w:rStyle w:val="43"/>
          <w:rFonts w:hint="eastAsia" w:ascii="宋体" w:hAnsi="宋体" w:eastAsia="宋体" w:cs="宋体"/>
          <w:color w:val="auto"/>
          <w:sz w:val="36"/>
          <w:szCs w:val="36"/>
          <w:highlight w:val="none"/>
        </w:rPr>
        <w:t>供应商须知</w:t>
      </w:r>
      <w:bookmarkEnd w:id="7"/>
      <w:bookmarkEnd w:id="8"/>
      <w:bookmarkEnd w:id="9"/>
    </w:p>
    <w:p w14:paraId="374844E4">
      <w:pPr>
        <w:widowControl/>
        <w:shd w:val="clear"/>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6A70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5089D997">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673FE35B">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0D8AEA98">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22F278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559C621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58F706E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6317377B">
            <w:pPr>
              <w:shd w:val="clea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上虞区生活垃圾分类智能监管平台（二期）（第二次）</w:t>
            </w:r>
          </w:p>
        </w:tc>
      </w:tr>
      <w:tr w14:paraId="63922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790FDAD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4DDA2EB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64C87D35">
            <w:pPr>
              <w:shd w:val="clea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274021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35B8173">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3ABD583F">
            <w:pPr>
              <w:shd w:val="clea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6CF1D613">
            <w:pPr>
              <w:shd w:val="clear"/>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color w:val="auto"/>
                <w:highlight w:val="none"/>
              </w:rPr>
              <w:t>本项目最高限价人民币</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63.09</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p>
        </w:tc>
      </w:tr>
      <w:tr w14:paraId="2F923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38CCF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615C484F">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5E5E72E2">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6F64E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46551F3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2874C801">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718F9E8D">
            <w:pPr>
              <w:shd w:val="clea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41628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9F355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5F8C021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21BB7C5B">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7A0D1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FAF66D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591F3F34">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48C02C5A">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572D87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4C7E413">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29D6B51F">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2A281749">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0FB57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0AC8C56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63BC4C4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6A12F4F4">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56BCF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07AF2A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68D7798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2DD2951D">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31BCD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369C4D5">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05BB499E">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370382F1">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70F378ED">
            <w:pPr>
              <w:shd w:val="clea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108CE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B5D42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30535B00">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20E36814">
            <w:pPr>
              <w:shd w:val="clea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330F0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48" w:type="dxa"/>
            <w:vAlign w:val="center"/>
          </w:tcPr>
          <w:p w14:paraId="418E8CA9">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800" w:type="dxa"/>
            <w:vAlign w:val="center"/>
          </w:tcPr>
          <w:p w14:paraId="7C662BEF">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履约保证金</w:t>
            </w:r>
          </w:p>
        </w:tc>
        <w:tc>
          <w:tcPr>
            <w:tcW w:w="6682" w:type="dxa"/>
            <w:vAlign w:val="center"/>
          </w:tcPr>
          <w:p w14:paraId="0CE57751">
            <w:pPr>
              <w:widowControl/>
              <w:shd w:val="clear"/>
              <w:ind w:firstLine="420" w:firstLineChars="200"/>
              <w:jc w:val="left"/>
              <w:rPr>
                <w:rFonts w:hint="eastAsia" w:ascii="宋体" w:hAnsi="宋体" w:eastAsia="宋体" w:cs="宋体"/>
                <w:color w:val="auto"/>
                <w:kern w:val="0"/>
                <w:highlight w:val="none"/>
                <w:lang w:val="en-US" w:eastAsia="zh-CN"/>
              </w:rPr>
            </w:pPr>
            <w:r>
              <w:rPr>
                <w:rFonts w:hint="eastAsia" w:ascii="宋体" w:hAnsi="宋体" w:cs="宋体"/>
                <w:snapToGrid w:val="0"/>
                <w:color w:val="auto"/>
                <w:sz w:val="21"/>
                <w:szCs w:val="21"/>
                <w:highlight w:val="none"/>
              </w:rPr>
              <w:t>中标单位在收到中标通知书后，需向采购人提供中标价的1%作为履约保证金，全部设备安装调试完毕并通过验收合格后一次性无息退还。（供应商应当以支票、汇票、本票或者金融机构、保险公司、担保机构出具的保函等非现金形式提交。）</w:t>
            </w:r>
          </w:p>
        </w:tc>
      </w:tr>
      <w:tr w14:paraId="2B0D1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6F56F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800" w:type="dxa"/>
            <w:vAlign w:val="center"/>
          </w:tcPr>
          <w:p w14:paraId="50F6469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1AB6DA8C">
            <w:pPr>
              <w:pStyle w:val="13"/>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0187EB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58325FC">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800" w:type="dxa"/>
            <w:vAlign w:val="center"/>
          </w:tcPr>
          <w:p w14:paraId="4A86661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7DB765B8">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根据《中华人民共和国政府采购法》第五十二条、《中华人民共和国政府采购法实施条例》第五十三条、《浙江省政府采购供应商质疑处理办法》的规定：</w:t>
            </w:r>
          </w:p>
          <w:p w14:paraId="3AB9483C">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14:paraId="37A225FF">
            <w:pPr>
              <w:shd w:val="clea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供应商如认为采购过程使自身的合法权益受到损害的，应于各采购程序环节结束之日起七个工作日内以书面形式向采购机构提出质疑；</w:t>
            </w:r>
          </w:p>
          <w:p w14:paraId="308398EB">
            <w:pPr>
              <w:shd w:val="clea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highlight w:val="none"/>
              </w:rPr>
              <w:t>。</w:t>
            </w:r>
          </w:p>
        </w:tc>
      </w:tr>
      <w:tr w14:paraId="6734C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5181BD">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7799BE58">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3D03327F">
            <w:pPr>
              <w:shd w:val="clea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F538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0C6152">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6BEA5AC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6A2D6DBF">
            <w:pPr>
              <w:pStyle w:val="13"/>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20006666">
            <w:pPr>
              <w:pStyle w:val="13"/>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1552885">
            <w:pPr>
              <w:pStyle w:val="13"/>
              <w:shd w:val="clear"/>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质疑、投诉人未按前列进行质疑、投诉（申诉），均属于扰乱政府采购市场不良行为。</w:t>
            </w:r>
          </w:p>
          <w:p w14:paraId="0B45FD44">
            <w:pPr>
              <w:pStyle w:val="13"/>
              <w:shd w:val="clear"/>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磋商文件中凡标注“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”的条款均为实质性要求，不响应的响应文件将作无效标处理。</w:t>
            </w:r>
          </w:p>
        </w:tc>
      </w:tr>
      <w:tr w14:paraId="787BB4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14A527CF">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574BD4CF">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0951B67D">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26DAAE28">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58328B73">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7AF41A29">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117350C5">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303A3F90">
            <w:pPr>
              <w:shd w:val="clear"/>
              <w:snapToGrid w:val="0"/>
              <w:jc w:val="center"/>
              <w:rPr>
                <w:rFonts w:hint="eastAsia" w:ascii="宋体" w:hAnsi="宋体" w:eastAsia="宋体" w:cs="宋体"/>
                <w:color w:val="auto"/>
                <w:highlight w:val="none"/>
              </w:rPr>
            </w:pPr>
          </w:p>
        </w:tc>
        <w:tc>
          <w:tcPr>
            <w:tcW w:w="6682" w:type="dxa"/>
            <w:vAlign w:val="center"/>
          </w:tcPr>
          <w:p w14:paraId="1301FCB5">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85FE98D">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0CFCD155">
            <w:pPr>
              <w:shd w:val="clea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854C4B8">
            <w:pPr>
              <w:shd w:val="clea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29206222">
            <w:pPr>
              <w:shd w:val="clear"/>
              <w:bidi w:val="0"/>
              <w:ind w:firstLine="420" w:firstLineChars="200"/>
              <w:rPr>
                <w:rFonts w:hint="eastAsia" w:ascii="宋体" w:hAnsi="宋体" w:eastAsia="宋体" w:cs="宋体"/>
                <w:color w:val="auto"/>
                <w:highlight w:val="none"/>
              </w:rPr>
            </w:pPr>
            <w:bookmarkStart w:id="10" w:name="_Toc16526"/>
            <w:r>
              <w:rPr>
                <w:rFonts w:hint="eastAsia" w:ascii="宋体" w:hAnsi="宋体" w:eastAsia="宋体" w:cs="宋体"/>
                <w:color w:val="auto"/>
                <w:highlight w:val="none"/>
              </w:rPr>
              <w:t>联合体各方均为小型、微型企业的，联合体视同为小型、微型企业。</w:t>
            </w:r>
            <w:bookmarkEnd w:id="10"/>
          </w:p>
          <w:p w14:paraId="4BB07000">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02C74D">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2DA9193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7B5D9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1FAB8F6">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13D7E8EB">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220E9E82">
            <w:pPr>
              <w:shd w:val="clear"/>
              <w:autoSpaceDN w:val="0"/>
              <w:spacing w:line="3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招标代理服务费由成交供应商支付，按下列服务招标计算方式</w:t>
            </w:r>
            <w:r>
              <w:rPr>
                <w:rFonts w:hint="eastAsia" w:ascii="宋体" w:hAnsi="宋体" w:cs="宋体"/>
                <w:snapToGrid w:val="0"/>
                <w:color w:val="auto"/>
                <w:kern w:val="0"/>
                <w:highlight w:val="none"/>
                <w:lang w:eastAsia="zh-CN"/>
              </w:rPr>
              <w:t>按累进制</w:t>
            </w:r>
            <w:r>
              <w:rPr>
                <w:rFonts w:hint="eastAsia" w:ascii="宋体" w:hAnsi="宋体" w:eastAsia="宋体" w:cs="宋体"/>
                <w:snapToGrid w:val="0"/>
                <w:color w:val="auto"/>
                <w:kern w:val="0"/>
                <w:highlight w:val="none"/>
              </w:rPr>
              <w:t>计取。</w:t>
            </w:r>
          </w:p>
          <w:tbl>
            <w:tblPr>
              <w:tblStyle w:val="26"/>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4EF7DE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5EAC6C2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4ADF72E3">
                  <w:pPr>
                    <w:pStyle w:val="23"/>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40E714C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4A75F70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0C64C0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F7D8C0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31602C8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5F942B8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148E454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F7964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172105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450AB9C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14842CA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4D86944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8AB5C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4D4E54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04D0216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679D1E1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2C557C0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41C6FA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130A99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51F5154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3AEB648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31D01A1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4CD46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2F9449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2124982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14321CA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601CBDC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478A66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0749F0F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6CEE5DB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2665A40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77BE90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0EB279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4CECAA7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69FF6D7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2B6AFFC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17C1603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5BA5EBD1">
            <w:pPr>
              <w:shd w:val="clea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0C4270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9332D5C">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43B6F60B">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0CB4D5FE">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3BE32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4CD5335A">
            <w:pPr>
              <w:shd w:val="clea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6D420A8E">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480ADBD5">
            <w:pPr>
              <w:numPr>
                <w:ilvl w:val="0"/>
                <w:numId w:val="8"/>
              </w:numPr>
              <w:shd w:val="clear"/>
              <w:ind w:firstLine="420" w:firstLineChars="200"/>
              <w:rPr>
                <w:rFonts w:ascii="宋体" w:hAnsi="宋体" w:cs="宋体"/>
                <w:bCs/>
                <w:color w:val="auto"/>
                <w:sz w:val="21"/>
                <w:szCs w:val="18"/>
                <w:highlight w:val="none"/>
                <w:u w:val="single"/>
              </w:rPr>
            </w:pPr>
            <w:r>
              <w:rPr>
                <w:rFonts w:hint="eastAsia" w:ascii="宋体" w:hAnsi="宋体" w:cs="宋体"/>
                <w:bCs/>
                <w:color w:val="auto"/>
                <w:sz w:val="21"/>
                <w:szCs w:val="18"/>
                <w:highlight w:val="none"/>
                <w:u w:val="single"/>
              </w:rPr>
              <w:t>本项目需要提供功能演示。供应商</w:t>
            </w:r>
            <w:r>
              <w:rPr>
                <w:rFonts w:hint="eastAsia" w:ascii="宋体" w:hAnsi="宋体" w:cs="宋体"/>
                <w:bCs/>
                <w:color w:val="auto"/>
                <w:sz w:val="21"/>
                <w:szCs w:val="18"/>
                <w:highlight w:val="none"/>
                <w:u w:val="single"/>
                <w:lang w:eastAsia="zh-CN"/>
              </w:rPr>
              <w:t>把</w:t>
            </w:r>
            <w:r>
              <w:rPr>
                <w:rFonts w:hint="eastAsia" w:ascii="宋体" w:hAnsi="宋体" w:cs="宋体"/>
                <w:bCs/>
                <w:color w:val="auto"/>
                <w:sz w:val="21"/>
                <w:szCs w:val="18"/>
                <w:highlight w:val="none"/>
                <w:u w:val="single"/>
              </w:rPr>
              <w:t>演示视频</w:t>
            </w:r>
            <w:r>
              <w:rPr>
                <w:rFonts w:hint="eastAsia" w:ascii="宋体" w:hAnsi="宋体" w:cs="宋体"/>
                <w:bCs/>
                <w:color w:val="auto"/>
                <w:sz w:val="21"/>
                <w:szCs w:val="18"/>
                <w:highlight w:val="none"/>
                <w:u w:val="single"/>
                <w:lang w:eastAsia="zh-CN"/>
              </w:rPr>
              <w:t>存入</w:t>
            </w:r>
            <w:r>
              <w:rPr>
                <w:rFonts w:hint="eastAsia" w:ascii="宋体" w:hAnsi="宋体" w:cs="宋体"/>
                <w:bCs/>
                <w:color w:val="auto"/>
                <w:sz w:val="21"/>
                <w:szCs w:val="18"/>
                <w:highlight w:val="none"/>
                <w:u w:val="single"/>
                <w:lang w:val="en-US" w:eastAsia="zh-CN"/>
              </w:rPr>
              <w:t>U盘</w:t>
            </w:r>
            <w:r>
              <w:rPr>
                <w:rFonts w:hint="eastAsia" w:ascii="宋体" w:hAnsi="宋体" w:cs="宋体"/>
                <w:bCs/>
                <w:color w:val="auto"/>
                <w:sz w:val="21"/>
                <w:szCs w:val="18"/>
                <w:highlight w:val="none"/>
                <w:u w:val="single"/>
              </w:rPr>
              <w:t>邮寄</w:t>
            </w:r>
            <w:r>
              <w:rPr>
                <w:rFonts w:hint="eastAsia" w:ascii="宋体" w:hAnsi="宋体" w:cs="宋体"/>
                <w:bCs/>
                <w:color w:val="auto"/>
                <w:sz w:val="21"/>
                <w:szCs w:val="18"/>
                <w:highlight w:val="none"/>
                <w:u w:val="single"/>
                <w:lang w:eastAsia="zh-CN"/>
              </w:rPr>
              <w:t>至招标代理处，</w:t>
            </w:r>
            <w:r>
              <w:rPr>
                <w:rFonts w:hint="eastAsia" w:ascii="宋体" w:hAnsi="宋体" w:cs="宋体"/>
                <w:bCs/>
                <w:color w:val="auto"/>
                <w:sz w:val="21"/>
                <w:szCs w:val="18"/>
                <w:highlight w:val="none"/>
                <w:u w:val="single"/>
              </w:rPr>
              <w:t>未提供演示的做放弃演示处理，供应商自行承担相应后果。</w:t>
            </w:r>
          </w:p>
          <w:p w14:paraId="7713D945">
            <w:pPr>
              <w:pStyle w:val="23"/>
              <w:shd w:val="clear" w:color="auto"/>
              <w:ind w:firstLine="315" w:firstLineChars="150"/>
              <w:rPr>
                <w:color w:val="auto"/>
                <w:sz w:val="21"/>
                <w:szCs w:val="21"/>
                <w:highlight w:val="none"/>
              </w:rPr>
            </w:pPr>
            <w:r>
              <w:rPr>
                <w:rFonts w:hint="eastAsia"/>
                <w:bCs/>
                <w:color w:val="auto"/>
                <w:sz w:val="21"/>
                <w:szCs w:val="21"/>
                <w:highlight w:val="none"/>
              </w:rPr>
              <w:t>2、视频演示资料(U盘)</w:t>
            </w:r>
            <w:r>
              <w:rPr>
                <w:rFonts w:hint="eastAsia"/>
                <w:color w:val="auto"/>
                <w:sz w:val="21"/>
                <w:szCs w:val="21"/>
                <w:highlight w:val="none"/>
              </w:rPr>
              <w:t>邮寄送达最外层包装须注明项目名称、编号、</w:t>
            </w:r>
            <w:r>
              <w:rPr>
                <w:rFonts w:hint="eastAsia"/>
                <w:bCs/>
                <w:color w:val="auto"/>
                <w:sz w:val="21"/>
                <w:szCs w:val="21"/>
                <w:highlight w:val="none"/>
              </w:rPr>
              <w:t>投标人</w:t>
            </w:r>
            <w:r>
              <w:rPr>
                <w:rFonts w:hint="eastAsia"/>
                <w:color w:val="auto"/>
                <w:sz w:val="21"/>
                <w:szCs w:val="21"/>
                <w:highlight w:val="none"/>
              </w:rPr>
              <w:t xml:space="preserve">名称且加盖公章密封，评标现场由监督员在检查邮寄资料密封性后拆封; </w:t>
            </w:r>
          </w:p>
          <w:p w14:paraId="25970EB5">
            <w:pPr>
              <w:pStyle w:val="23"/>
              <w:shd w:val="clear" w:color="auto"/>
              <w:ind w:firstLine="315" w:firstLineChars="150"/>
              <w:rPr>
                <w:color w:val="auto"/>
                <w:sz w:val="21"/>
                <w:szCs w:val="21"/>
                <w:highlight w:val="none"/>
              </w:rPr>
            </w:pPr>
            <w:r>
              <w:rPr>
                <w:rFonts w:hint="eastAsia"/>
                <w:color w:val="auto"/>
                <w:sz w:val="21"/>
                <w:szCs w:val="21"/>
                <w:highlight w:val="none"/>
              </w:rPr>
              <w:t xml:space="preserve">3、邮寄送达时间须在投标响应截止时间前，以代理机构签收时间为准，否则不予接收，请各投标人综合考虑快递的安全、时效性、保密性，任何导致在投标响应截止时间前未接收到邮寄材料的，由投标人自行承担一切风险和责任; </w:t>
            </w:r>
          </w:p>
          <w:p w14:paraId="5911DD04">
            <w:pPr>
              <w:pStyle w:val="23"/>
              <w:shd w:val="clear" w:color="auto"/>
              <w:ind w:firstLine="315" w:firstLineChars="150"/>
              <w:rPr>
                <w:color w:val="auto"/>
                <w:sz w:val="21"/>
                <w:szCs w:val="21"/>
                <w:highlight w:val="none"/>
              </w:rPr>
            </w:pPr>
            <w:r>
              <w:rPr>
                <w:color w:val="auto"/>
                <w:sz w:val="21"/>
                <w:szCs w:val="21"/>
                <w:highlight w:val="none"/>
              </w:rPr>
              <w:t>4</w:t>
            </w:r>
            <w:r>
              <w:rPr>
                <w:rFonts w:hint="eastAsia"/>
                <w:color w:val="auto"/>
                <w:sz w:val="21"/>
                <w:szCs w:val="21"/>
                <w:highlight w:val="none"/>
              </w:rPr>
              <w:t xml:space="preserve">、投标人须确保所递交的 U 盘绿色安全无任何病毒，所 摄视频格式应采取通用可播放的视频格式。因投标人U盘视频格式问题导致无法播放等问题的，由投标人自行承担一切风险和责任。 </w:t>
            </w:r>
          </w:p>
          <w:p w14:paraId="19FBE2D4">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SA"/>
              </w:rPr>
              <w:t>5、邮寄/现场送达地址: 浙江省绍兴市上虞区百官街道财富广场6号楼902电话：1381970604 姓名：项先生</w:t>
            </w:r>
          </w:p>
        </w:tc>
      </w:tr>
      <w:tr w14:paraId="7CC7FE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1E82B5D3">
            <w:pPr>
              <w:shd w:val="clear"/>
              <w:snapToGrid w:val="0"/>
              <w:jc w:val="center"/>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0193069B">
            <w:pPr>
              <w:shd w:val="clea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预付款</w:t>
            </w:r>
          </w:p>
          <w:p w14:paraId="133F8C8B">
            <w:pPr>
              <w:shd w:val="clea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4F30078B">
            <w:pPr>
              <w:shd w:val="clea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本项目涉及预付款，预付款比例为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40</w:t>
            </w:r>
            <w:r>
              <w:rPr>
                <w:rFonts w:hint="eastAsia" w:ascii="宋体" w:hAnsi="宋体" w:eastAsia="宋体" w:cs="宋体"/>
                <w:color w:val="auto"/>
                <w:highlight w:val="none"/>
                <w:u w:val="single"/>
                <w:lang w:val="en-US" w:eastAsia="zh-CN"/>
              </w:rPr>
              <w:t xml:space="preserve"> %</w:t>
            </w:r>
          </w:p>
        </w:tc>
      </w:tr>
      <w:tr w14:paraId="5C30D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69E3E90B">
            <w:pPr>
              <w:shd w:val="clear"/>
              <w:snapToGrid w:val="0"/>
              <w:jc w:val="center"/>
              <w:rPr>
                <w:rFonts w:hint="eastAsia" w:ascii="宋体" w:hAnsi="宋体" w:eastAsia="宋体" w:cs="宋体"/>
                <w:snapToGrid w:val="0"/>
                <w:color w:val="auto"/>
                <w:kern w:val="0"/>
                <w:highlight w:val="none"/>
              </w:rPr>
            </w:pPr>
          </w:p>
        </w:tc>
        <w:tc>
          <w:tcPr>
            <w:tcW w:w="1800" w:type="dxa"/>
            <w:vMerge w:val="continue"/>
            <w:vAlign w:val="center"/>
          </w:tcPr>
          <w:p w14:paraId="61CB9948">
            <w:pPr>
              <w:shd w:val="clea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747A1A28">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3B4ED939">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663C4CC5">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2D0CF647">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4DE7064E">
            <w:pPr>
              <w:shd w:val="clea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015F0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646194">
            <w:pPr>
              <w:shd w:val="clea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7DBC04AC">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34E52260">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1、查询渠道：信用中国（网址：http://www.creditchina.gov.cn）、中国政府采购网(网址：http://www.ccgp.gov.cn）。</w:t>
            </w:r>
          </w:p>
          <w:p w14:paraId="1E76FBB7">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2、截止时点：开标后评标前。</w:t>
            </w:r>
          </w:p>
          <w:p w14:paraId="6B26585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3、信用信息查询记录和证据留存的具体方式：由采购组织机构在规定查询时间内打印信用信息查询记录并归入项目档案。</w:t>
            </w:r>
          </w:p>
          <w:p w14:paraId="742E915C">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808D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72A6F02">
            <w:pPr>
              <w:shd w:val="clea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41E332E6">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0BA75546">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为支持和促进中小企业发展，进一步发挥政府采购政策功能，企业若有融资意向，可登陆政采云平台融资服务（https://jinrong.zcygov.cn/），查看相应融资政策文件及各相关银行服务方案。</w:t>
            </w:r>
          </w:p>
        </w:tc>
      </w:tr>
      <w:tr w14:paraId="21FFC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D30610B">
            <w:pPr>
              <w:shd w:val="clea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3A819AB7">
            <w:pPr>
              <w:shd w:val="clea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2DD20491">
            <w:pPr>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本磋商文件要求提供的身份证复印件皆需提供正反面，否则按不提供处理。</w:t>
            </w:r>
          </w:p>
          <w:p w14:paraId="7D90554E">
            <w:pPr>
              <w:shd w:val="clea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2、本项目货物如涉及柴油动力移动源，柴油动力移动源应当符合低排放要求。</w:t>
            </w:r>
          </w:p>
        </w:tc>
      </w:tr>
    </w:tbl>
    <w:p w14:paraId="4848F9E7">
      <w:pPr>
        <w:pStyle w:val="5"/>
        <w:shd w:val="clear"/>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09AA18E9">
      <w:pPr>
        <w:pStyle w:val="4"/>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1" w:name="_Toc7992"/>
      <w:bookmarkStart w:id="12" w:name="_Toc25187"/>
      <w:r>
        <w:rPr>
          <w:rFonts w:hint="eastAsia" w:ascii="宋体" w:hAnsi="宋体" w:eastAsia="宋体" w:cs="宋体"/>
          <w:color w:val="auto"/>
          <w:highlight w:val="none"/>
        </w:rPr>
        <w:t>总则</w:t>
      </w:r>
      <w:bookmarkEnd w:id="11"/>
      <w:bookmarkEnd w:id="12"/>
    </w:p>
    <w:p w14:paraId="75C49612">
      <w:pPr>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61D400E3">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0206F8D7">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上虞区生活垃圾分类智能监管平台（二期）（第二次）</w:t>
      </w:r>
      <w:r>
        <w:rPr>
          <w:rFonts w:hint="eastAsia" w:ascii="宋体" w:hAnsi="宋体" w:eastAsia="宋体" w:cs="宋体"/>
          <w:color w:val="auto"/>
          <w:sz w:val="24"/>
          <w:szCs w:val="24"/>
          <w:highlight w:val="none"/>
        </w:rPr>
        <w:t>。</w:t>
      </w:r>
    </w:p>
    <w:p w14:paraId="74918DFB">
      <w:pPr>
        <w:pStyle w:val="24"/>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57AE394B">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064E515F">
      <w:pPr>
        <w:shd w:val="clea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绍兴市上虞区市容环境卫生管理服务中心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为本项目采购代理机构。</w:t>
      </w:r>
    </w:p>
    <w:p w14:paraId="5582ECC3">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5B8EFD23">
      <w:pPr>
        <w:shd w:val="clea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2D6DF1D2">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6DB1632E">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7830A3FC">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1BD0B8B9">
      <w:pPr>
        <w:shd w:val="clear"/>
        <w:spacing w:line="336" w:lineRule="auto"/>
        <w:ind w:firstLine="480" w:firstLineChars="200"/>
        <w:rPr>
          <w:rFonts w:hint="eastAsia" w:ascii="宋体" w:hAnsi="宋体" w:eastAsia="宋体" w:cs="宋体"/>
          <w:color w:val="auto"/>
          <w:sz w:val="24"/>
          <w:szCs w:val="24"/>
          <w:highlight w:val="none"/>
        </w:rPr>
      </w:pPr>
      <w:bookmarkStart w:id="13" w:name="_Toc207946571"/>
      <w:bookmarkStart w:id="14" w:name="_Toc197657950"/>
      <w:bookmarkStart w:id="15" w:name="_Toc209520993"/>
      <w:bookmarkStart w:id="16" w:name="_Toc211412066"/>
      <w:bookmarkStart w:id="17" w:name="_Toc208913145"/>
      <w:bookmarkStart w:id="18" w:name="_Toc193523219"/>
      <w:bookmarkStart w:id="19" w:name="_Toc197156227"/>
      <w:bookmarkStart w:id="20" w:name="_Toc204683265"/>
      <w:bookmarkStart w:id="21" w:name="_Toc208287611"/>
      <w:bookmarkStart w:id="22" w:name="_Toc193538208"/>
      <w:bookmarkStart w:id="23" w:name="_Toc197163261"/>
      <w:bookmarkStart w:id="24" w:name="_Toc209504018"/>
      <w:bookmarkStart w:id="25" w:name="_Toc209435242"/>
      <w:bookmarkStart w:id="26" w:name="_Toc197053926"/>
      <w:r>
        <w:rPr>
          <w:rFonts w:hint="eastAsia" w:ascii="宋体" w:hAnsi="宋体" w:eastAsia="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91AB38A">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24663E36">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71BCDC41">
      <w:pPr>
        <w:pStyle w:val="4"/>
        <w:numPr>
          <w:ilvl w:val="0"/>
          <w:numId w:val="9"/>
        </w:numPr>
        <w:shd w:val="clear"/>
        <w:spacing w:line="336" w:lineRule="auto"/>
        <w:jc w:val="center"/>
        <w:rPr>
          <w:rFonts w:hint="eastAsia" w:ascii="宋体" w:hAnsi="宋体" w:eastAsia="宋体" w:cs="宋体"/>
          <w:color w:val="auto"/>
          <w:highlight w:val="none"/>
        </w:rPr>
      </w:pPr>
      <w:bookmarkStart w:id="27" w:name="_Toc32689"/>
      <w:bookmarkStart w:id="28" w:name="_Toc416992151"/>
      <w:bookmarkStart w:id="29" w:name="_Toc25923"/>
      <w:r>
        <w:rPr>
          <w:rFonts w:hint="eastAsia" w:ascii="宋体" w:hAnsi="宋体" w:eastAsia="宋体" w:cs="宋体"/>
          <w:color w:val="auto"/>
          <w:highlight w:val="none"/>
        </w:rPr>
        <w:t xml:space="preserve"> </w:t>
      </w:r>
      <w:bookmarkStart w:id="30" w:name="_Toc6940"/>
      <w:bookmarkStart w:id="31" w:name="_Toc11814"/>
      <w:r>
        <w:rPr>
          <w:rFonts w:hint="eastAsia" w:ascii="宋体" w:hAnsi="宋体" w:eastAsia="宋体" w:cs="宋体"/>
          <w:color w:val="auto"/>
          <w:highlight w:val="none"/>
        </w:rPr>
        <w:t>竞争性磋商文件</w:t>
      </w:r>
      <w:bookmarkEnd w:id="27"/>
      <w:bookmarkEnd w:id="28"/>
      <w:bookmarkEnd w:id="29"/>
      <w:bookmarkEnd w:id="30"/>
      <w:bookmarkEnd w:id="31"/>
    </w:p>
    <w:p w14:paraId="79742976">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1C03B87C">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38247B05">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1810D2E7">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4BA6E0A2">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0C12E25">
      <w:pPr>
        <w:shd w:val="clea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3E92322C">
      <w:pPr>
        <w:pStyle w:val="10"/>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0F67CCF">
      <w:pPr>
        <w:pStyle w:val="10"/>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7.2磋商供应商要求解释或澄清的问题应以书面形式，并加盖公章、写明日期。</w:t>
      </w:r>
    </w:p>
    <w:p w14:paraId="219E2A2D">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7.3提交响应文件截止之日前，采购人、采购代理机构或者磋商小组可以对已发出的磋商文件进行必要的澄清或者修改，澄清或者修改的内容作为磋商文件的组成部分。</w:t>
      </w:r>
    </w:p>
    <w:p w14:paraId="0C7B58BC">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7.4竞争性磋商文件的澄清修改文件及更正补充公告，请自行登录浙江政府采购网或绍兴市上虞区公共资源交易中心网站，在采购公告页面中下载。</w:t>
      </w:r>
    </w:p>
    <w:p w14:paraId="47CE801F">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199F3A72">
      <w:pPr>
        <w:keepNext w:val="0"/>
        <w:keepLines w:val="0"/>
        <w:pageBreakBefore w:val="0"/>
        <w:widowControl w:val="0"/>
        <w:shd w:val="clear"/>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7.6竞争性磋商文件澄清、答复、修改、补充的内容为竞争性磋商文件的组成部分。</w:t>
      </w:r>
    </w:p>
    <w:p w14:paraId="464B802F">
      <w:pPr>
        <w:pStyle w:val="5"/>
        <w:keepNext w:val="0"/>
        <w:keepLines w:val="0"/>
        <w:pageBreakBefore w:val="0"/>
        <w:widowControl w:val="0"/>
        <w:shd w:val="clear"/>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7.7磋商文件发售截止日后，经采购人同意后购买磋商文件的磋商供应商不得对磋商文件和补充文件提出答疑或质疑。</w:t>
      </w:r>
    </w:p>
    <w:p w14:paraId="6D1AF7D6">
      <w:pPr>
        <w:pStyle w:val="4"/>
        <w:numPr>
          <w:ilvl w:val="0"/>
          <w:numId w:val="9"/>
        </w:numPr>
        <w:shd w:val="clear"/>
        <w:spacing w:line="336" w:lineRule="auto"/>
        <w:jc w:val="center"/>
        <w:rPr>
          <w:rFonts w:hint="eastAsia" w:ascii="宋体" w:hAnsi="宋体" w:eastAsia="宋体" w:cs="宋体"/>
          <w:color w:val="auto"/>
          <w:highlight w:val="none"/>
        </w:rPr>
      </w:pPr>
      <w:bookmarkStart w:id="32" w:name="_Toc10669"/>
      <w:bookmarkStart w:id="33" w:name="_Toc18702"/>
      <w:bookmarkStart w:id="34" w:name="_Toc23135"/>
      <w:bookmarkStart w:id="35" w:name="_Toc391298957"/>
      <w:bookmarkStart w:id="36" w:name="_Toc23975"/>
      <w:bookmarkStart w:id="37" w:name="_Toc24622"/>
      <w:bookmarkStart w:id="38" w:name="_Toc6273"/>
      <w:bookmarkStart w:id="39" w:name="_Toc26027"/>
      <w:bookmarkStart w:id="40" w:name="_Toc14650"/>
      <w:bookmarkStart w:id="41" w:name="_Toc31748"/>
      <w:bookmarkStart w:id="42" w:name="_Toc6079"/>
      <w:bookmarkStart w:id="43" w:name="_Toc11093"/>
      <w:bookmarkStart w:id="44" w:name="_Toc10810"/>
      <w:bookmarkStart w:id="45" w:name="_Toc26603"/>
      <w:bookmarkStart w:id="46" w:name="_Toc11692"/>
      <w:bookmarkStart w:id="47" w:name="_Toc7126"/>
      <w:bookmarkStart w:id="48" w:name="_Toc1729"/>
      <w:bookmarkStart w:id="49" w:name="_Toc1202"/>
      <w:bookmarkStart w:id="50" w:name="_Toc8860"/>
      <w:bookmarkStart w:id="51" w:name="_Toc1828"/>
      <w:bookmarkStart w:id="52" w:name="_Toc6457"/>
      <w:bookmarkStart w:id="53" w:name="_Toc11669"/>
      <w:r>
        <w:rPr>
          <w:rFonts w:hint="eastAsia" w:ascii="宋体" w:hAnsi="宋体" w:eastAsia="宋体" w:cs="宋体"/>
          <w:color w:val="auto"/>
          <w:highlight w:val="none"/>
        </w:rPr>
        <w:t xml:space="preserve"> </w:t>
      </w:r>
      <w:bookmarkStart w:id="54" w:name="_Toc16098"/>
      <w:bookmarkStart w:id="55" w:name="_Toc11515"/>
      <w:r>
        <w:rPr>
          <w:rFonts w:hint="eastAsia" w:ascii="宋体" w:hAnsi="宋体" w:eastAsia="宋体" w:cs="宋体"/>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2C47CE6">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5D68CE50">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16E47503">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555EC092">
      <w:pPr>
        <w:shd w:val="clear"/>
        <w:spacing w:line="336"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15FB09A">
      <w:pPr>
        <w:pStyle w:val="59"/>
        <w:shd w:val="clear"/>
        <w:tabs>
          <w:tab w:val="left" w:pos="0"/>
        </w:tabs>
        <w:spacing w:line="336"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8.2.2投标报价应包含项目所需全部服务，不得缺漏，是履行合同的最终价格，包括</w:t>
      </w:r>
      <w:r>
        <w:rPr>
          <w:rFonts w:hint="eastAsia" w:ascii="宋体" w:hAnsi="宋体" w:cs="宋体"/>
          <w:color w:val="auto"/>
          <w:highlight w:val="none"/>
          <w:u w:val="single"/>
          <w:lang w:eastAsia="zh-CN"/>
        </w:rPr>
        <w:t>服务内容</w:t>
      </w:r>
      <w:r>
        <w:rPr>
          <w:rFonts w:hint="eastAsia" w:ascii="宋体" w:hAnsi="宋体" w:eastAsia="宋体" w:cs="宋体"/>
          <w:color w:val="auto"/>
          <w:highlight w:val="none"/>
          <w:u w:val="single"/>
        </w:rPr>
        <w:t>、税金、代理服务费及不可预见费用等一切费用。</w:t>
      </w:r>
      <w:r>
        <w:rPr>
          <w:rFonts w:hint="eastAsia" w:ascii="宋体" w:hAnsi="宋体" w:eastAsia="宋体" w:cs="宋体"/>
          <w:color w:val="auto"/>
          <w:highlight w:val="none"/>
        </w:rPr>
        <w:t>投标报价为供应商所能承受的最低、最终报价，供应商不得再要求追加任何费用。</w:t>
      </w:r>
    </w:p>
    <w:p w14:paraId="656E418F">
      <w:pPr>
        <w:shd w:val="clea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280F0B63">
      <w:pPr>
        <w:shd w:val="clea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16AB752">
      <w:pPr>
        <w:pStyle w:val="13"/>
        <w:shd w:val="clear"/>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63A31327">
      <w:pPr>
        <w:pStyle w:val="59"/>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1FB55A80">
      <w:pPr>
        <w:pStyle w:val="59"/>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16D720ED">
      <w:pPr>
        <w:pStyle w:val="59"/>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504903B">
      <w:pPr>
        <w:pStyle w:val="59"/>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4FA76CA">
      <w:pPr>
        <w:pStyle w:val="59"/>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97F9C3B">
      <w:pPr>
        <w:pStyle w:val="59"/>
        <w:numPr>
          <w:ilvl w:val="0"/>
          <w:numId w:val="11"/>
        </w:numPr>
        <w:shd w:val="clear"/>
        <w:spacing w:before="0" w:line="336" w:lineRule="auto"/>
        <w:ind w:firstLine="480"/>
        <w:rPr>
          <w:rFonts w:hint="eastAsia" w:cs="宋体" w:asciiTheme="minorEastAsia" w:hAnsiTheme="minorEastAsia" w:eastAsiaTheme="minorEastAsia"/>
          <w:color w:val="auto"/>
          <w:highlight w:val="none"/>
          <w:lang w:val="en-US" w:eastAsia="zh-CN" w:bidi="ar-SA"/>
        </w:rPr>
      </w:pPr>
      <w:r>
        <w:rPr>
          <w:rFonts w:hint="eastAsia" w:cs="宋体" w:asciiTheme="minorEastAsia" w:hAnsiTheme="minorEastAsia" w:eastAsiaTheme="minorEastAsia"/>
          <w:color w:val="auto"/>
          <w:highlight w:val="none"/>
          <w:lang w:val="en-US" w:eastAsia="zh-CN" w:bidi="ar-SA"/>
        </w:rPr>
        <w:t>具有履行合同所必需的产品和专业技术能力的承诺函；</w:t>
      </w:r>
    </w:p>
    <w:p w14:paraId="1F283A6F">
      <w:pPr>
        <w:pStyle w:val="59"/>
        <w:numPr>
          <w:ilvl w:val="0"/>
          <w:numId w:val="11"/>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cs="宋体" w:asciiTheme="minorEastAsia" w:hAnsiTheme="minorEastAsia" w:eastAsiaTheme="minorEastAsia"/>
          <w:color w:val="auto"/>
          <w:highlight w:val="none"/>
          <w:lang w:val="en-US" w:eastAsia="zh-CN" w:bidi="ar-SA"/>
        </w:rPr>
        <w:t>投标人承诺函（格式见附件）。</w:t>
      </w:r>
    </w:p>
    <w:p w14:paraId="0F3FF8FC">
      <w:pPr>
        <w:pStyle w:val="59"/>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666C9901">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评分对应表（格式见附件，主要用于评委对应评分内容）</w:t>
      </w:r>
    </w:p>
    <w:p w14:paraId="23695BC5">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供应商商务技术文件中资信分自评表（格式见附件）；</w:t>
      </w:r>
    </w:p>
    <w:p w14:paraId="1FA9EAE0">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磋商项目明细清单（格式见附件）；</w:t>
      </w:r>
    </w:p>
    <w:p w14:paraId="7BB71EE0">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技术响应及建议表（格式见附件）；</w:t>
      </w:r>
    </w:p>
    <w:p w14:paraId="525FA041">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商务响应表（格式见附件）；</w:t>
      </w:r>
    </w:p>
    <w:p w14:paraId="38E61103">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系统演示；</w:t>
      </w:r>
    </w:p>
    <w:p w14:paraId="482A7CDB">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项目需求分析</w:t>
      </w:r>
      <w:r>
        <w:rPr>
          <w:rFonts w:hint="eastAsia" w:cs="宋体" w:asciiTheme="minorEastAsia" w:hAnsiTheme="minorEastAsia" w:eastAsiaTheme="minorEastAsia"/>
          <w:color w:val="auto"/>
          <w:highlight w:val="none"/>
          <w:lang w:eastAsia="zh-CN"/>
        </w:rPr>
        <w:t>；</w:t>
      </w:r>
    </w:p>
    <w:p w14:paraId="738B2C42">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项目整体设计方案</w:t>
      </w:r>
      <w:r>
        <w:rPr>
          <w:rFonts w:hint="eastAsia" w:cs="宋体" w:asciiTheme="minorEastAsia" w:hAnsiTheme="minorEastAsia" w:eastAsiaTheme="minorEastAsia"/>
          <w:color w:val="auto"/>
          <w:highlight w:val="none"/>
          <w:lang w:eastAsia="zh-CN"/>
        </w:rPr>
        <w:t>；</w:t>
      </w:r>
    </w:p>
    <w:p w14:paraId="5DEA330E">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系统功能方案设计</w:t>
      </w:r>
      <w:r>
        <w:rPr>
          <w:rFonts w:hint="eastAsia" w:cs="宋体" w:asciiTheme="minorEastAsia" w:hAnsiTheme="minorEastAsia" w:eastAsiaTheme="minorEastAsia"/>
          <w:color w:val="auto"/>
          <w:highlight w:val="none"/>
          <w:lang w:eastAsia="zh-CN"/>
        </w:rPr>
        <w:t>；</w:t>
      </w:r>
    </w:p>
    <w:p w14:paraId="561FAE84">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数据整合方案</w:t>
      </w:r>
      <w:r>
        <w:rPr>
          <w:rFonts w:hint="eastAsia" w:cs="宋体" w:asciiTheme="minorEastAsia" w:hAnsiTheme="minorEastAsia" w:eastAsiaTheme="minorEastAsia"/>
          <w:color w:val="auto"/>
          <w:highlight w:val="none"/>
          <w:lang w:eastAsia="zh-CN"/>
        </w:rPr>
        <w:t>；</w:t>
      </w:r>
    </w:p>
    <w:p w14:paraId="5184737A">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信创设计方案</w:t>
      </w:r>
      <w:r>
        <w:rPr>
          <w:rFonts w:hint="eastAsia" w:cs="宋体" w:asciiTheme="minorEastAsia" w:hAnsiTheme="minorEastAsia" w:eastAsiaTheme="minorEastAsia"/>
          <w:color w:val="auto"/>
          <w:highlight w:val="none"/>
          <w:lang w:eastAsia="zh-CN"/>
        </w:rPr>
        <w:t>；</w:t>
      </w:r>
    </w:p>
    <w:p w14:paraId="267B62BA">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系统安全设计</w:t>
      </w:r>
      <w:r>
        <w:rPr>
          <w:rFonts w:hint="eastAsia" w:cs="宋体" w:asciiTheme="minorEastAsia" w:hAnsiTheme="minorEastAsia" w:eastAsiaTheme="minorEastAsia"/>
          <w:color w:val="auto"/>
          <w:highlight w:val="none"/>
          <w:lang w:eastAsia="zh-CN"/>
        </w:rPr>
        <w:t>；</w:t>
      </w:r>
    </w:p>
    <w:p w14:paraId="212F6E73">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实施方案</w:t>
      </w:r>
      <w:r>
        <w:rPr>
          <w:rFonts w:hint="eastAsia" w:cs="宋体" w:asciiTheme="minorEastAsia" w:hAnsiTheme="minorEastAsia" w:eastAsiaTheme="minorEastAsia"/>
          <w:color w:val="auto"/>
          <w:highlight w:val="none"/>
          <w:lang w:eastAsia="zh-CN"/>
        </w:rPr>
        <w:t>；</w:t>
      </w:r>
    </w:p>
    <w:p w14:paraId="63A98AAE">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培训方案</w:t>
      </w:r>
      <w:r>
        <w:rPr>
          <w:rFonts w:hint="eastAsia" w:cs="宋体" w:asciiTheme="minorEastAsia" w:hAnsiTheme="minorEastAsia" w:eastAsiaTheme="minorEastAsia"/>
          <w:color w:val="auto"/>
          <w:highlight w:val="none"/>
          <w:lang w:eastAsia="zh-CN"/>
        </w:rPr>
        <w:t>；</w:t>
      </w:r>
    </w:p>
    <w:p w14:paraId="0E157413">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人员配置</w:t>
      </w:r>
      <w:r>
        <w:rPr>
          <w:rFonts w:hint="eastAsia" w:cs="宋体" w:asciiTheme="minorEastAsia" w:hAnsiTheme="minorEastAsia" w:eastAsiaTheme="minorEastAsia"/>
          <w:color w:val="auto"/>
          <w:highlight w:val="none"/>
          <w:lang w:eastAsia="zh-CN"/>
        </w:rPr>
        <w:t>；</w:t>
      </w:r>
    </w:p>
    <w:p w14:paraId="2B441010">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rPr>
        <w:t>售后服务</w:t>
      </w:r>
      <w:r>
        <w:rPr>
          <w:rFonts w:hint="eastAsia" w:cs="宋体" w:asciiTheme="minorEastAsia" w:hAnsiTheme="minorEastAsia" w:eastAsiaTheme="minorEastAsia"/>
          <w:color w:val="auto"/>
          <w:highlight w:val="none"/>
          <w:lang w:eastAsia="zh-CN"/>
        </w:rPr>
        <w:t>；</w:t>
      </w:r>
    </w:p>
    <w:p w14:paraId="1FFCBBBF">
      <w:pPr>
        <w:pStyle w:val="59"/>
        <w:numPr>
          <w:ilvl w:val="0"/>
          <w:numId w:val="12"/>
        </w:numPr>
        <w:shd w:val="clear"/>
        <w:spacing w:before="0" w:line="336" w:lineRule="auto"/>
        <w:ind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资质证书；</w:t>
      </w:r>
    </w:p>
    <w:p w14:paraId="0F7BD0BF">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eastAsia="zh-CN"/>
        </w:rPr>
        <w:t>团队实力；</w:t>
      </w:r>
    </w:p>
    <w:p w14:paraId="3506EA04">
      <w:pPr>
        <w:pStyle w:val="59"/>
        <w:numPr>
          <w:ilvl w:val="0"/>
          <w:numId w:val="1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供应商认为需要的其他文件资料。</w:t>
      </w:r>
    </w:p>
    <w:p w14:paraId="5242F99C">
      <w:pPr>
        <w:pStyle w:val="59"/>
        <w:shd w:val="clear"/>
        <w:tabs>
          <w:tab w:val="left" w:pos="0"/>
        </w:tabs>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注：以上内容应与评标办法中内容具有一致性。</w:t>
      </w:r>
    </w:p>
    <w:p w14:paraId="172E963F">
      <w:pPr>
        <w:pStyle w:val="59"/>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4964FD7">
      <w:pPr>
        <w:pStyle w:val="59"/>
        <w:shd w:val="clear"/>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67F60187">
      <w:pPr>
        <w:pStyle w:val="59"/>
        <w:numPr>
          <w:ilvl w:val="0"/>
          <w:numId w:val="10"/>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22B915EF">
      <w:pPr>
        <w:pStyle w:val="59"/>
        <w:numPr>
          <w:ilvl w:val="0"/>
          <w:numId w:val="13"/>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01EC8658">
      <w:pPr>
        <w:pStyle w:val="59"/>
        <w:numPr>
          <w:ilvl w:val="0"/>
          <w:numId w:val="13"/>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6B6E01FC">
      <w:pPr>
        <w:pStyle w:val="59"/>
        <w:numPr>
          <w:ilvl w:val="0"/>
          <w:numId w:val="13"/>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磋商报价明细表（格式见附件）</w:t>
      </w:r>
      <w:r>
        <w:rPr>
          <w:rFonts w:hint="eastAsia" w:ascii="宋体" w:hAnsi="宋体" w:cs="宋体"/>
          <w:color w:val="auto"/>
          <w:highlight w:val="none"/>
          <w:lang w:eastAsia="zh-CN"/>
        </w:rPr>
        <w:t>；</w:t>
      </w:r>
    </w:p>
    <w:p w14:paraId="76E2854E">
      <w:pPr>
        <w:pStyle w:val="59"/>
        <w:numPr>
          <w:ilvl w:val="0"/>
          <w:numId w:val="13"/>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中小企业声明函(如有)（格式见附件）； </w:t>
      </w:r>
    </w:p>
    <w:p w14:paraId="4A495688">
      <w:pPr>
        <w:pStyle w:val="59"/>
        <w:numPr>
          <w:ilvl w:val="0"/>
          <w:numId w:val="13"/>
        </w:numPr>
        <w:shd w:val="clea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残疾人福利性单位声明函(如有)（格式见附件）；</w:t>
      </w:r>
    </w:p>
    <w:p w14:paraId="36168760">
      <w:pPr>
        <w:pStyle w:val="59"/>
        <w:numPr>
          <w:ilvl w:val="0"/>
          <w:numId w:val="13"/>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监狱企业证明文件(如有)（格式见附件）。</w:t>
      </w:r>
    </w:p>
    <w:p w14:paraId="509B88F9">
      <w:pPr>
        <w:pStyle w:val="59"/>
        <w:shd w:val="clear"/>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171B0FFD">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613B90F3">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4808CF41">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6601484B">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680EB61B">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22637770">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2CCE6B8F">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14571808">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7D7D61FE">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1E808E63">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5B0A635C">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789B4152">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09ABD6DB">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4FC25EEA">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响应文件须按附件格式要求进行电子签章，供应商应写全称。（电子磋商响应文件中所须加盖公章部分均应采用电子签章）</w:t>
      </w:r>
    </w:p>
    <w:p w14:paraId="1FBF94F1">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250ED98E">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194A8DE7">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3B89E240">
      <w:pPr>
        <w:pStyle w:val="59"/>
        <w:keepNext w:val="0"/>
        <w:keepLines w:val="0"/>
        <w:pageBreakBefore w:val="0"/>
        <w:widowControl w:val="0"/>
        <w:shd w:val="clear"/>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6FFF8F22">
      <w:pPr>
        <w:pStyle w:val="4"/>
        <w:numPr>
          <w:ilvl w:val="0"/>
          <w:numId w:val="9"/>
        </w:numPr>
        <w:shd w:val="clear"/>
        <w:spacing w:line="336" w:lineRule="auto"/>
        <w:jc w:val="center"/>
        <w:rPr>
          <w:rFonts w:hint="eastAsia" w:ascii="宋体" w:hAnsi="宋体" w:eastAsia="宋体" w:cs="宋体"/>
          <w:color w:val="auto"/>
          <w:highlight w:val="none"/>
        </w:rPr>
      </w:pPr>
      <w:bookmarkStart w:id="56" w:name="_Toc1420"/>
      <w:r>
        <w:rPr>
          <w:rFonts w:hint="eastAsia" w:ascii="宋体" w:hAnsi="宋体" w:eastAsia="宋体" w:cs="宋体"/>
          <w:color w:val="auto"/>
          <w:highlight w:val="none"/>
        </w:rPr>
        <w:t xml:space="preserve"> </w:t>
      </w:r>
      <w:bookmarkStart w:id="57" w:name="_Toc2412"/>
      <w:bookmarkStart w:id="58" w:name="_Toc21266"/>
      <w:r>
        <w:rPr>
          <w:rFonts w:hint="eastAsia" w:ascii="宋体" w:hAnsi="宋体" w:eastAsia="宋体" w:cs="宋体"/>
          <w:color w:val="auto"/>
          <w:highlight w:val="none"/>
        </w:rPr>
        <w:t>响应文件的递交</w:t>
      </w:r>
      <w:bookmarkEnd w:id="56"/>
      <w:bookmarkEnd w:id="57"/>
      <w:bookmarkEnd w:id="58"/>
    </w:p>
    <w:p w14:paraId="2BBC0F30">
      <w:pPr>
        <w:pStyle w:val="13"/>
        <w:shd w:val="clear"/>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4D44777A">
      <w:pPr>
        <w:pStyle w:val="59"/>
        <w:keepNext w:val="0"/>
        <w:keepLines w:val="0"/>
        <w:pageBreakBefore w:val="0"/>
        <w:widowControl w:val="0"/>
        <w:numPr>
          <w:ilvl w:val="0"/>
          <w:numId w:val="0"/>
        </w:numPr>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14.1 </w:t>
      </w: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412FF30E">
      <w:pPr>
        <w:pStyle w:val="59"/>
        <w:keepNext w:val="0"/>
        <w:keepLines w:val="0"/>
        <w:pageBreakBefore w:val="0"/>
        <w:widowControl w:val="0"/>
        <w:numPr>
          <w:ilvl w:val="0"/>
          <w:numId w:val="0"/>
        </w:numPr>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14.2 </w:t>
      </w: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6387D3E9">
      <w:pPr>
        <w:pStyle w:val="13"/>
        <w:keepNext w:val="0"/>
        <w:keepLines w:val="0"/>
        <w:pageBreakBefore w:val="0"/>
        <w:widowControl w:val="0"/>
        <w:shd w:val="clear"/>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71139924">
      <w:pPr>
        <w:pStyle w:val="13"/>
        <w:keepNext w:val="0"/>
        <w:keepLines w:val="0"/>
        <w:pageBreakBefore w:val="0"/>
        <w:widowControl w:val="0"/>
        <w:shd w:val="clear"/>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28830C8F">
      <w:pPr>
        <w:pStyle w:val="4"/>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9" w:name="_Toc24120"/>
      <w:bookmarkStart w:id="60" w:name="_Toc21419"/>
      <w:r>
        <w:rPr>
          <w:rFonts w:hint="eastAsia" w:ascii="宋体" w:hAnsi="宋体" w:eastAsia="宋体" w:cs="宋体"/>
          <w:color w:val="auto"/>
          <w:highlight w:val="none"/>
        </w:rPr>
        <w:t>磋商无效的情形</w:t>
      </w:r>
      <w:bookmarkEnd w:id="59"/>
      <w:bookmarkEnd w:id="60"/>
    </w:p>
    <w:p w14:paraId="3D94C5CA">
      <w:pPr>
        <w:pStyle w:val="13"/>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463718A6">
      <w:pPr>
        <w:pStyle w:val="13"/>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0D94858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722548F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5C6FC9D6">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3A31D505">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70E59D6B">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5F25ED06">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6C73804D">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300841EC">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6AF62E89">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74D317BE">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4C7D09DC">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40882EB0">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26A7F4EB">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39AC31D6">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00196287">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734E226E">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41B493C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79014449">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478C60C0">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15193D7F">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76DAF4B2">
      <w:pPr>
        <w:shd w:val="clea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2819CE63">
      <w:pPr>
        <w:shd w:val="clea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其他违反法律、法规的情形。</w:t>
      </w:r>
    </w:p>
    <w:p w14:paraId="24D4463B">
      <w:pPr>
        <w:pStyle w:val="4"/>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1" w:name="_Toc21771"/>
      <w:bookmarkStart w:id="62" w:name="_Toc21752"/>
      <w:r>
        <w:rPr>
          <w:rFonts w:hint="eastAsia" w:ascii="宋体" w:hAnsi="宋体" w:eastAsia="宋体" w:cs="宋体"/>
          <w:color w:val="auto"/>
          <w:highlight w:val="none"/>
        </w:rPr>
        <w:t>采购中止的情形</w:t>
      </w:r>
      <w:bookmarkEnd w:id="61"/>
      <w:bookmarkEnd w:id="62"/>
    </w:p>
    <w:p w14:paraId="3768EA77">
      <w:pPr>
        <w:pStyle w:val="13"/>
        <w:keepNext w:val="0"/>
        <w:keepLines w:val="0"/>
        <w:pageBreakBefore w:val="0"/>
        <w:widowControl w:val="0"/>
        <w:shd w:val="clear"/>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7821BDEA">
      <w:pPr>
        <w:pStyle w:val="59"/>
        <w:keepNext w:val="0"/>
        <w:keepLines w:val="0"/>
        <w:pageBreakBefore w:val="0"/>
        <w:widowControl w:val="0"/>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7967AD77">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4AA958DA">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42B2A104">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126F08E4">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08ED94BC">
      <w:pPr>
        <w:keepNext w:val="0"/>
        <w:keepLines w:val="0"/>
        <w:pageBreakBefore w:val="0"/>
        <w:widowControl w:val="0"/>
        <w:numPr>
          <w:ilvl w:val="0"/>
          <w:numId w:val="14"/>
        </w:numPr>
        <w:shd w:val="clea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5692A38B">
      <w:pPr>
        <w:pStyle w:val="59"/>
        <w:keepNext w:val="0"/>
        <w:keepLines w:val="0"/>
        <w:pageBreakBefore w:val="0"/>
        <w:widowControl w:val="0"/>
        <w:shd w:val="clea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52F9C843">
      <w:pPr>
        <w:pStyle w:val="4"/>
        <w:numPr>
          <w:ilvl w:val="0"/>
          <w:numId w:val="9"/>
        </w:numPr>
        <w:shd w:val="clea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3" w:name="_Toc22404"/>
      <w:bookmarkStart w:id="64" w:name="_Toc14029"/>
      <w:r>
        <w:rPr>
          <w:rFonts w:hint="eastAsia" w:ascii="宋体" w:hAnsi="宋体" w:eastAsia="宋体" w:cs="宋体"/>
          <w:color w:val="auto"/>
          <w:highlight w:val="none"/>
        </w:rPr>
        <w:t>确定成交供应商与签订合同</w:t>
      </w:r>
      <w:bookmarkEnd w:id="63"/>
      <w:bookmarkEnd w:id="64"/>
    </w:p>
    <w:p w14:paraId="7B9F3C9A">
      <w:pPr>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48EF66A1">
      <w:pPr>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4676AFDE">
      <w:pPr>
        <w:shd w:val="clea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65702D1E">
      <w:pPr>
        <w:shd w:val="clea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5270648F">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6F105DB">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79243C11">
      <w:pPr>
        <w:shd w:val="clea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42D17FB0">
      <w:pPr>
        <w:pStyle w:val="59"/>
        <w:shd w:val="clear"/>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0A4A3F4F">
      <w:pPr>
        <w:pStyle w:val="59"/>
        <w:shd w:val="clear"/>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7D3577BC">
      <w:pPr>
        <w:shd w:val="clea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4E54712B">
      <w:pPr>
        <w:shd w:val="clea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绍兴市上虞区市容环境卫生管理服务中心</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76152B">
      <w:pPr>
        <w:pStyle w:val="3"/>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5" w:name="_Toc21248"/>
      <w:bookmarkStart w:id="66" w:name="_Toc1917"/>
      <w:r>
        <w:rPr>
          <w:rFonts w:hint="eastAsia" w:ascii="宋体" w:hAnsi="宋体" w:eastAsia="宋体" w:cs="宋体"/>
          <w:color w:val="auto"/>
          <w:sz w:val="36"/>
          <w:szCs w:val="36"/>
          <w:highlight w:val="none"/>
        </w:rPr>
        <w:t>第三部分 采购内容及要求</w:t>
      </w:r>
      <w:bookmarkEnd w:id="65"/>
      <w:bookmarkEnd w:id="66"/>
    </w:p>
    <w:p w14:paraId="54573EFA">
      <w:pPr>
        <w:pStyle w:val="4"/>
        <w:spacing w:line="360" w:lineRule="auto"/>
        <w:jc w:val="center"/>
        <w:rPr>
          <w:rFonts w:hint="eastAsia" w:ascii="宋体" w:hAnsi="宋体" w:eastAsia="宋体" w:cs="宋体"/>
          <w:color w:val="auto"/>
          <w:kern w:val="0"/>
          <w:highlight w:val="none"/>
        </w:rPr>
      </w:pPr>
      <w:bookmarkStart w:id="67" w:name="_Toc464549681"/>
      <w:bookmarkStart w:id="68" w:name="_Toc62476869"/>
      <w:bookmarkStart w:id="69" w:name="_Toc367946316"/>
      <w:bookmarkStart w:id="70" w:name="_Toc15284"/>
      <w:r>
        <w:rPr>
          <w:rFonts w:hint="eastAsia" w:ascii="宋体" w:hAnsi="宋体" w:eastAsia="宋体" w:cs="宋体"/>
          <w:color w:val="auto"/>
          <w:kern w:val="0"/>
          <w:highlight w:val="none"/>
        </w:rPr>
        <w:t>第一章　</w:t>
      </w:r>
      <w:bookmarkEnd w:id="67"/>
      <w:bookmarkEnd w:id="68"/>
      <w:bookmarkEnd w:id="69"/>
      <w:r>
        <w:rPr>
          <w:rFonts w:hint="eastAsia" w:ascii="宋体" w:hAnsi="宋体" w:eastAsia="宋体" w:cs="宋体"/>
          <w:color w:val="auto"/>
          <w:kern w:val="0"/>
          <w:highlight w:val="none"/>
        </w:rPr>
        <w:t>总则</w:t>
      </w:r>
    </w:p>
    <w:p w14:paraId="64FC8CCD">
      <w:pPr>
        <w:rPr>
          <w:rFonts w:ascii="宋体" w:hAnsi="宋体" w:cs="宋体"/>
          <w:color w:val="auto"/>
          <w:highlight w:val="none"/>
        </w:rPr>
      </w:pPr>
    </w:p>
    <w:p w14:paraId="05A391E5">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部分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28C92F6F">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所有设备的技术指标应符合国内已经制定的国家及行业技术标准，如果没有相关国内标准，也可参照相关国际技术标准执行。</w:t>
      </w:r>
    </w:p>
    <w:p w14:paraId="3A38D164">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供应商必须对全部招标内容进行投标，不允许只对其中部分内容进行投标，谢绝联合投标。</w:t>
      </w:r>
    </w:p>
    <w:p w14:paraId="1150FD73">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投标产品如与采购要求有细微偏差，采购人将有权要求供应商调整偏差，并不改变投标价格。</w:t>
      </w:r>
    </w:p>
    <w:p w14:paraId="24D9D3B3">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供应商须对招标文件中的各个条款一一给予实质性响应，不能仅复制粘贴本采购内容。</w:t>
      </w:r>
    </w:p>
    <w:p w14:paraId="39F03A51">
      <w:pPr>
        <w:numPr>
          <w:ilvl w:val="0"/>
          <w:numId w:val="15"/>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须保证所提供材料产品为厂家原装正品，符合国家有关规定。供应商须保证所提供产品具有合法的版权或使用权。本项目采购的产品，如在本项目范围内使用过程中出现版权或使用权纠纷，应由中标人负责，采购人不承担责任。</w:t>
      </w:r>
    </w:p>
    <w:p w14:paraId="3C016A60">
      <w:pPr>
        <w:pStyle w:val="4"/>
        <w:spacing w:line="360" w:lineRule="auto"/>
        <w:jc w:val="center"/>
        <w:rPr>
          <w:rFonts w:hAnsi="宋体"/>
          <w:color w:val="auto"/>
          <w:kern w:val="0"/>
          <w:highlight w:val="none"/>
        </w:rPr>
      </w:pPr>
      <w:r>
        <w:rPr>
          <w:rFonts w:hint="eastAsia" w:hAnsi="宋体"/>
          <w:color w:val="auto"/>
          <w:kern w:val="0"/>
          <w:highlight w:val="none"/>
        </w:rPr>
        <w:t>第二章　采购内容及要求</w:t>
      </w:r>
    </w:p>
    <w:p w14:paraId="791E1142">
      <w:pPr>
        <w:numPr>
          <w:ilvl w:val="0"/>
          <w:numId w:val="16"/>
        </w:numPr>
        <w:autoSpaceDE w:val="0"/>
        <w:autoSpaceDN w:val="0"/>
        <w:adjustRightInd w:val="0"/>
        <w:spacing w:line="60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项目背景</w:t>
      </w:r>
    </w:p>
    <w:p w14:paraId="29D695A5">
      <w:pPr>
        <w:pStyle w:val="9"/>
        <w:spacing w:line="389" w:lineRule="auto"/>
        <w:ind w:left="-85" w:right="147" w:firstLine="448"/>
        <w:rPr>
          <w:rFonts w:asciiTheme="minorEastAsia" w:hAnsiTheme="minorEastAsia" w:eastAsiaTheme="minorEastAsia"/>
          <w:color w:val="auto"/>
          <w:spacing w:val="-3"/>
          <w:sz w:val="24"/>
          <w:szCs w:val="24"/>
          <w:highlight w:val="none"/>
        </w:rPr>
      </w:pPr>
      <w:r>
        <w:rPr>
          <w:rFonts w:asciiTheme="minorEastAsia" w:hAnsiTheme="minorEastAsia" w:eastAsiaTheme="minorEastAsia"/>
          <w:color w:val="auto"/>
          <w:spacing w:val="-8"/>
          <w:sz w:val="24"/>
          <w:szCs w:val="24"/>
          <w:highlight w:val="none"/>
        </w:rPr>
        <w:t>为有序推进我市生活垃圾治理工作根据</w:t>
      </w:r>
      <w:r>
        <w:rPr>
          <w:rFonts w:hint="eastAsia" w:asciiTheme="minorEastAsia" w:hAnsiTheme="minorEastAsia" w:eastAsiaTheme="minorEastAsia"/>
          <w:color w:val="auto"/>
          <w:spacing w:val="-3"/>
          <w:sz w:val="24"/>
          <w:szCs w:val="24"/>
          <w:highlight w:val="none"/>
        </w:rPr>
        <w:t>《</w:t>
      </w:r>
      <w:r>
        <w:rPr>
          <w:rFonts w:asciiTheme="minorEastAsia" w:hAnsiTheme="minorEastAsia" w:eastAsiaTheme="minorEastAsia"/>
          <w:color w:val="auto"/>
          <w:spacing w:val="-8"/>
          <w:sz w:val="24"/>
          <w:szCs w:val="24"/>
          <w:highlight w:val="none"/>
        </w:rPr>
        <w:t>浙江省生活垃圾管理条例</w:t>
      </w:r>
      <w:r>
        <w:rPr>
          <w:rFonts w:hint="eastAsia" w:asciiTheme="minorEastAsia" w:hAnsiTheme="minorEastAsia" w:eastAsiaTheme="minorEastAsia"/>
          <w:color w:val="auto"/>
          <w:spacing w:val="-3"/>
          <w:sz w:val="24"/>
          <w:szCs w:val="24"/>
          <w:highlight w:val="none"/>
        </w:rPr>
        <w:t>》、《2023</w:t>
      </w:r>
      <w:r>
        <w:rPr>
          <w:rFonts w:asciiTheme="minorEastAsia" w:hAnsiTheme="minorEastAsia" w:eastAsiaTheme="minorEastAsia"/>
          <w:color w:val="auto"/>
          <w:sz w:val="24"/>
          <w:szCs w:val="24"/>
          <w:highlight w:val="none"/>
        </w:rPr>
        <w:t xml:space="preserve">年上虞区城乡生活垃圾分类处理工作实施方案》、《绍兴市生活垃圾“定时定点定量”分类投放和清运操作导则》（绍兴生活垃圾分类办[2021]6 号）文件要求， </w:t>
      </w:r>
      <w:r>
        <w:rPr>
          <w:rFonts w:asciiTheme="minorEastAsia" w:hAnsiTheme="minorEastAsia" w:eastAsiaTheme="minorEastAsia"/>
          <w:color w:val="auto"/>
          <w:spacing w:val="-1"/>
          <w:sz w:val="24"/>
          <w:szCs w:val="24"/>
          <w:highlight w:val="none"/>
        </w:rPr>
        <w:t xml:space="preserve">为推进生活垃圾减量化、资源化、无害化，改善城市环境，促进资源回收利用， </w:t>
      </w:r>
      <w:r>
        <w:rPr>
          <w:rFonts w:asciiTheme="minorEastAsia" w:hAnsiTheme="minorEastAsia" w:eastAsiaTheme="minorEastAsia"/>
          <w:color w:val="auto"/>
          <w:spacing w:val="-7"/>
          <w:sz w:val="24"/>
          <w:szCs w:val="24"/>
          <w:highlight w:val="none"/>
        </w:rPr>
        <w:t>提高新型城镇化质量和生态文明建设水平，按照区委、区政府关于生活垃圾分类</w:t>
      </w:r>
      <w:r>
        <w:rPr>
          <w:rFonts w:asciiTheme="minorEastAsia" w:hAnsiTheme="minorEastAsia" w:eastAsiaTheme="minorEastAsia"/>
          <w:color w:val="auto"/>
          <w:spacing w:val="-6"/>
          <w:sz w:val="24"/>
          <w:szCs w:val="24"/>
          <w:highlight w:val="none"/>
        </w:rPr>
        <w:t>工作部署，结合</w:t>
      </w:r>
      <w:r>
        <w:rPr>
          <w:rFonts w:asciiTheme="minorEastAsia" w:hAnsiTheme="minorEastAsia" w:eastAsiaTheme="minorEastAsia"/>
          <w:color w:val="auto"/>
          <w:sz w:val="24"/>
          <w:szCs w:val="24"/>
          <w:highlight w:val="none"/>
        </w:rPr>
        <w:t>“无废城市”</w:t>
      </w:r>
      <w:r>
        <w:rPr>
          <w:rFonts w:asciiTheme="minorEastAsia" w:hAnsiTheme="minorEastAsia" w:eastAsiaTheme="minorEastAsia"/>
          <w:color w:val="auto"/>
          <w:spacing w:val="-3"/>
          <w:sz w:val="24"/>
          <w:szCs w:val="24"/>
          <w:highlight w:val="none"/>
        </w:rPr>
        <w:t>建设试点工作，培养居民分类习惯，探索垃圾分类数字治理新思维、新路径。</w:t>
      </w:r>
    </w:p>
    <w:p w14:paraId="6F0F65A3">
      <w:pPr>
        <w:spacing w:after="120" w:line="389" w:lineRule="auto"/>
        <w:ind w:left="-85" w:right="147" w:firstLine="480" w:firstLineChars="200"/>
        <w:rPr>
          <w:rFonts w:asciiTheme="minorEastAsia" w:hAnsiTheme="minorEastAsia" w:eastAsiaTheme="minorEastAsia"/>
          <w:color w:val="auto"/>
          <w:sz w:val="24"/>
          <w:szCs w:val="28"/>
          <w:highlight w:val="none"/>
        </w:rPr>
      </w:pPr>
      <w:r>
        <w:rPr>
          <w:rFonts w:hint="eastAsia" w:cs="仿宋" w:asciiTheme="minorEastAsia" w:hAnsiTheme="minorEastAsia" w:eastAsiaTheme="minorEastAsia"/>
          <w:color w:val="auto"/>
          <w:sz w:val="24"/>
          <w:szCs w:val="36"/>
          <w:highlight w:val="none"/>
        </w:rPr>
        <w:t>同时，为满足上虞区垃圾分类信息化平台的进一步能力完善，实现并</w:t>
      </w:r>
      <w:r>
        <w:rPr>
          <w:rFonts w:hint="eastAsia" w:asciiTheme="minorEastAsia" w:hAnsiTheme="minorEastAsia" w:eastAsiaTheme="minorEastAsia"/>
          <w:color w:val="auto"/>
          <w:sz w:val="24"/>
          <w:szCs w:val="28"/>
          <w:highlight w:val="none"/>
        </w:rPr>
        <w:t>完成</w:t>
      </w:r>
      <w:r>
        <w:rPr>
          <w:rFonts w:asciiTheme="minorEastAsia" w:hAnsiTheme="minorEastAsia" w:eastAsiaTheme="minorEastAsia"/>
          <w:color w:val="auto"/>
          <w:sz w:val="24"/>
          <w:szCs w:val="28"/>
          <w:highlight w:val="none"/>
        </w:rPr>
        <w:t>管辖范围内的垃圾分类点位、分类投放、分类收运、分类督导等</w:t>
      </w:r>
      <w:r>
        <w:rPr>
          <w:rFonts w:hint="eastAsia" w:asciiTheme="minorEastAsia" w:hAnsiTheme="minorEastAsia" w:eastAsiaTheme="minorEastAsia"/>
          <w:color w:val="auto"/>
          <w:sz w:val="24"/>
          <w:szCs w:val="28"/>
          <w:highlight w:val="none"/>
        </w:rPr>
        <w:t>的</w:t>
      </w:r>
      <w:r>
        <w:rPr>
          <w:rFonts w:asciiTheme="minorEastAsia" w:hAnsiTheme="minorEastAsia" w:eastAsiaTheme="minorEastAsia"/>
          <w:color w:val="auto"/>
          <w:sz w:val="24"/>
          <w:szCs w:val="28"/>
          <w:highlight w:val="none"/>
        </w:rPr>
        <w:t>监管</w:t>
      </w:r>
      <w:r>
        <w:rPr>
          <w:rFonts w:hint="eastAsia" w:asciiTheme="minorEastAsia" w:hAnsiTheme="minorEastAsia" w:eastAsiaTheme="minorEastAsia"/>
          <w:color w:val="auto"/>
          <w:sz w:val="24"/>
          <w:szCs w:val="28"/>
          <w:highlight w:val="none"/>
        </w:rPr>
        <w:t>考核工作，同时应</w:t>
      </w:r>
      <w:r>
        <w:rPr>
          <w:rFonts w:asciiTheme="minorEastAsia" w:hAnsiTheme="minorEastAsia" w:eastAsiaTheme="minorEastAsia"/>
          <w:color w:val="auto"/>
          <w:sz w:val="24"/>
          <w:szCs w:val="28"/>
          <w:highlight w:val="none"/>
        </w:rPr>
        <w:t>按照</w:t>
      </w:r>
      <w:r>
        <w:rPr>
          <w:rFonts w:hint="eastAsia" w:asciiTheme="minorEastAsia" w:hAnsiTheme="minorEastAsia" w:eastAsiaTheme="minorEastAsia"/>
          <w:color w:val="auto"/>
          <w:sz w:val="24"/>
          <w:szCs w:val="28"/>
          <w:highlight w:val="none"/>
        </w:rPr>
        <w:t>省（市）</w:t>
      </w:r>
      <w:r>
        <w:rPr>
          <w:rFonts w:asciiTheme="minorEastAsia" w:hAnsiTheme="minorEastAsia" w:eastAsiaTheme="minorEastAsia"/>
          <w:color w:val="auto"/>
          <w:sz w:val="24"/>
          <w:szCs w:val="28"/>
          <w:highlight w:val="none"/>
        </w:rPr>
        <w:t>分类办的要求，完成省</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市</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分类平台的数据对接工作</w:t>
      </w:r>
      <w:r>
        <w:rPr>
          <w:rFonts w:hint="eastAsia" w:asciiTheme="minorEastAsia" w:hAnsiTheme="minorEastAsia" w:eastAsiaTheme="minorEastAsia"/>
          <w:color w:val="auto"/>
          <w:sz w:val="24"/>
          <w:szCs w:val="28"/>
          <w:highlight w:val="none"/>
        </w:rPr>
        <w:t>需求</w:t>
      </w:r>
      <w:r>
        <w:rPr>
          <w:rFonts w:asciiTheme="minorEastAsia" w:hAnsiTheme="minorEastAsia" w:eastAsiaTheme="minorEastAsia"/>
          <w:color w:val="auto"/>
          <w:sz w:val="24"/>
          <w:szCs w:val="28"/>
          <w:highlight w:val="none"/>
        </w:rPr>
        <w:t>。</w:t>
      </w:r>
    </w:p>
    <w:p w14:paraId="6FDF2C61">
      <w:pPr>
        <w:numPr>
          <w:ilvl w:val="0"/>
          <w:numId w:val="16"/>
        </w:numPr>
        <w:autoSpaceDE w:val="0"/>
        <w:autoSpaceDN w:val="0"/>
        <w:adjustRightInd w:val="0"/>
        <w:spacing w:line="60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项目建设主要内容及重点</w:t>
      </w:r>
    </w:p>
    <w:p w14:paraId="654E0A9C">
      <w:pPr>
        <w:spacing w:after="120" w:line="389" w:lineRule="auto"/>
        <w:ind w:left="-85" w:right="147"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上虞区垃圾分类监管平台（二期）</w:t>
      </w:r>
      <w:r>
        <w:rPr>
          <w:rFonts w:hint="eastAsia" w:asciiTheme="minorEastAsia" w:hAnsiTheme="minorEastAsia" w:eastAsiaTheme="minorEastAsia"/>
          <w:color w:val="auto"/>
          <w:sz w:val="24"/>
          <w:highlight w:val="none"/>
        </w:rPr>
        <w:t>的建设主要实现以下重点内容：</w:t>
      </w:r>
    </w:p>
    <w:p w14:paraId="495F4FD9">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重塑数据底座：</w:t>
      </w:r>
      <w:r>
        <w:rPr>
          <w:rFonts w:hint="eastAsia" w:asciiTheme="minorEastAsia" w:hAnsiTheme="minorEastAsia" w:eastAsiaTheme="minorEastAsia"/>
          <w:bCs/>
          <w:color w:val="auto"/>
          <w:sz w:val="24"/>
          <w:highlight w:val="none"/>
        </w:rPr>
        <w:t>打好数据底层基础-</w:t>
      </w:r>
      <w:r>
        <w:rPr>
          <w:rFonts w:hint="eastAsia" w:asciiTheme="minorEastAsia" w:hAnsiTheme="minorEastAsia" w:eastAsiaTheme="minorEastAsia"/>
          <w:bCs/>
          <w:color w:val="auto"/>
          <w:spacing w:val="-8"/>
          <w:sz w:val="24"/>
          <w:highlight w:val="none"/>
        </w:rPr>
        <w:t>完成数据底层的重塑，提升基础信息数据的维护能力，实现数据层级下钻的统计分析方式，实现多种维度组合的数据查询能力。</w:t>
      </w:r>
    </w:p>
    <w:p w14:paraId="6230A3A6">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满足AI接入能力：</w:t>
      </w:r>
      <w:r>
        <w:rPr>
          <w:rFonts w:hint="eastAsia" w:asciiTheme="minorEastAsia" w:hAnsiTheme="minorEastAsia" w:eastAsiaTheme="minorEastAsia"/>
          <w:bCs/>
          <w:color w:val="auto"/>
          <w:sz w:val="24"/>
          <w:highlight w:val="none"/>
        </w:rPr>
        <w:t>投放点智能AI督导接入-实现针对前端AI摄像头及前端AI算法分析能力的无缝接入，完成前端摄像头AI算法分析后汇聚至区平台，由区平台实现针对AI事件的整理归集，完成将事件推送到督导员（移动端）进行核实处理，实现业务的闭环。</w:t>
      </w:r>
    </w:p>
    <w:p w14:paraId="0536246B">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收、运、处智能化监管：</w:t>
      </w:r>
      <w:r>
        <w:rPr>
          <w:rFonts w:hint="eastAsia" w:asciiTheme="minorEastAsia" w:hAnsiTheme="minorEastAsia" w:eastAsiaTheme="minorEastAsia"/>
          <w:color w:val="auto"/>
          <w:sz w:val="24"/>
          <w:highlight w:val="none"/>
        </w:rPr>
        <w:t>根据绍兴市的要求，上虞区对收运车辆的硬件设施进行了升级改造，也赋能了AI能力，可对车辆的混收混运现象进行管理，生成对应的分析事件</w:t>
      </w:r>
      <w:r>
        <w:rPr>
          <w:rFonts w:hint="eastAsia"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highlight w:val="none"/>
        </w:rPr>
        <w:t>实现对车辆的全流程掌控，如配置车辆规定线路、车辆越界超区告警、违规行为记录，实现车辆收运过程溯源监管，保证中转站收运的安全性可靠性</w:t>
      </w:r>
      <w:r>
        <w:rPr>
          <w:rFonts w:hint="eastAsia" w:asciiTheme="minorEastAsia" w:hAnsiTheme="minorEastAsia" w:eastAsiaTheme="minorEastAsia"/>
          <w:bCs/>
          <w:color w:val="auto"/>
          <w:sz w:val="24"/>
          <w:highlight w:val="none"/>
        </w:rPr>
        <w:t>。</w:t>
      </w:r>
    </w:p>
    <w:p w14:paraId="4FD308CE">
      <w:pPr>
        <w:spacing w:after="120" w:line="389" w:lineRule="auto"/>
        <w:ind w:left="-85" w:right="147" w:firstLine="480" w:firstLineChars="200"/>
        <w:rPr>
          <w:rFonts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highlight w:val="none"/>
        </w:rPr>
        <w:t>末端实现对垃圾来源，垃圾类型，垃圾入场时间、垃圾出场时间、计量工况等一系列末端处置数据进行分析汇总，有效提升填埋场、焚烧厂、易腐垃圾资源化处置设施的监管</w:t>
      </w:r>
      <w:r>
        <w:rPr>
          <w:rFonts w:hint="eastAsia" w:asciiTheme="minorEastAsia" w:hAnsiTheme="minorEastAsia" w:eastAsiaTheme="minorEastAsia"/>
          <w:bCs/>
          <w:color w:val="auto"/>
          <w:sz w:val="24"/>
          <w:highlight w:val="none"/>
        </w:rPr>
        <w:t>。</w:t>
      </w:r>
    </w:p>
    <w:p w14:paraId="7C5867BD">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强化分类督导能力：</w:t>
      </w:r>
      <w:r>
        <w:rPr>
          <w:rFonts w:hint="eastAsia" w:asciiTheme="minorEastAsia" w:hAnsiTheme="minorEastAsia" w:eastAsiaTheme="minorEastAsia"/>
          <w:bCs/>
          <w:color w:val="auto"/>
          <w:sz w:val="24"/>
          <w:highlight w:val="none"/>
        </w:rPr>
        <w:t>强化督导员能力，实现督导小程序地图信息的展示，实现督导曝光的镇街层级反馈。</w:t>
      </w:r>
    </w:p>
    <w:p w14:paraId="54FC506F">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管理监管更全面</w:t>
      </w:r>
      <w:r>
        <w:rPr>
          <w:rFonts w:hint="eastAsia" w:asciiTheme="minorEastAsia" w:hAnsiTheme="minorEastAsia" w:eastAsiaTheme="minorEastAsia"/>
          <w:bCs/>
          <w:color w:val="auto"/>
          <w:sz w:val="24"/>
          <w:highlight w:val="none"/>
        </w:rPr>
        <w:t>：强化数据分析及告警能力，自动计算各类分类指标阈，当低于阈值时自动报警；强化数据分析及展示能力</w:t>
      </w:r>
    </w:p>
    <w:p w14:paraId="711C17C8">
      <w:pPr>
        <w:spacing w:after="120" w:line="389" w:lineRule="auto"/>
        <w:ind w:left="-85" w:right="147"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系统平台安全保障及信创化保障</w:t>
      </w:r>
      <w:r>
        <w:rPr>
          <w:rFonts w:hint="eastAsia" w:asciiTheme="minorEastAsia" w:hAnsiTheme="minorEastAsia" w:eastAsiaTheme="minorEastAsia"/>
          <w:bCs/>
          <w:color w:val="auto"/>
          <w:sz w:val="24"/>
          <w:highlight w:val="none"/>
        </w:rPr>
        <w:t>：在一期平台基础上进行等保二级测评、渗透测试等，添加WEB防火墙、数据库审计、堡垒机等安全产品；实现对一期系统信创改造要求。</w:t>
      </w:r>
    </w:p>
    <w:p w14:paraId="51452934">
      <w:pPr>
        <w:numPr>
          <w:ilvl w:val="0"/>
          <w:numId w:val="16"/>
        </w:numPr>
        <w:autoSpaceDE w:val="0"/>
        <w:autoSpaceDN w:val="0"/>
        <w:adjustRightInd w:val="0"/>
        <w:spacing w:line="60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采购内容及要求</w:t>
      </w:r>
    </w:p>
    <w:p w14:paraId="78EFBB1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（一）.软件需求清单</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83"/>
        <w:gridCol w:w="1559"/>
        <w:gridCol w:w="4899"/>
      </w:tblGrid>
      <w:tr w14:paraId="7C48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BEBEBE"/>
            <w:vAlign w:val="center"/>
          </w:tcPr>
          <w:p w14:paraId="24AB70CE">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283" w:type="dxa"/>
            <w:shd w:val="clear" w:color="000000" w:fill="BEBEBE"/>
            <w:vAlign w:val="center"/>
          </w:tcPr>
          <w:p w14:paraId="19927E7D">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功能模块</w:t>
            </w:r>
          </w:p>
        </w:tc>
        <w:tc>
          <w:tcPr>
            <w:tcW w:w="1559" w:type="dxa"/>
            <w:shd w:val="clear" w:color="000000" w:fill="BEBEBE"/>
            <w:vAlign w:val="center"/>
          </w:tcPr>
          <w:p w14:paraId="0F6BC85C">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一级功能模块</w:t>
            </w:r>
          </w:p>
        </w:tc>
        <w:tc>
          <w:tcPr>
            <w:tcW w:w="4899" w:type="dxa"/>
            <w:shd w:val="clear" w:color="000000" w:fill="BEBEBE"/>
            <w:vAlign w:val="center"/>
          </w:tcPr>
          <w:p w14:paraId="3F2E4CE3">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功能描述</w:t>
            </w:r>
          </w:p>
        </w:tc>
      </w:tr>
      <w:tr w14:paraId="777B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1164DC7B">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（一）基础数据仓</w:t>
            </w:r>
          </w:p>
        </w:tc>
      </w:tr>
      <w:tr w14:paraId="17B2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0" w:type="auto"/>
            <w:shd w:val="clear" w:color="000000" w:fill="FFFFFF"/>
          </w:tcPr>
          <w:p w14:paraId="0D1F5CB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283" w:type="dxa"/>
            <w:vMerge w:val="restart"/>
            <w:shd w:val="clear" w:color="auto" w:fill="auto"/>
            <w:vAlign w:val="center"/>
          </w:tcPr>
          <w:p w14:paraId="7626633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基础数据仓</w:t>
            </w:r>
          </w:p>
        </w:tc>
        <w:tc>
          <w:tcPr>
            <w:tcW w:w="1559" w:type="dxa"/>
            <w:shd w:val="clear" w:color="auto" w:fill="auto"/>
            <w:vAlign w:val="center"/>
          </w:tcPr>
          <w:p w14:paraId="47C3D50F">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数据仓建设</w:t>
            </w:r>
          </w:p>
        </w:tc>
        <w:tc>
          <w:tcPr>
            <w:tcW w:w="4899" w:type="dxa"/>
            <w:shd w:val="clear" w:color="000000" w:fill="FFFFFF"/>
            <w:vAlign w:val="center"/>
          </w:tcPr>
          <w:p w14:paraId="65B4D57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一期分类平台所有数据基础信息保留，在原功能点基础上每项数据采用接入第三方数据、填报、自主采集、爬虫技术，设置接入数据归零切换备选数据源功能。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将平台汇集的所有数据，形成数据仓，所有数据均调用数据仓中来源。经过对垃圾分类数据的采集、对接、处理、维度转换、数据分析挖掘后，构建包括基础信息及相关资源在内的基础资源数据库和经过数据分析和深度挖掘的业务数据库；</w:t>
            </w:r>
          </w:p>
        </w:tc>
      </w:tr>
      <w:tr w14:paraId="54A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8FA936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283" w:type="dxa"/>
            <w:vMerge w:val="continue"/>
            <w:vAlign w:val="center"/>
          </w:tcPr>
          <w:p w14:paraId="179E7E6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8F305F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接入管理系统</w:t>
            </w:r>
          </w:p>
        </w:tc>
        <w:tc>
          <w:tcPr>
            <w:tcW w:w="4899" w:type="dxa"/>
            <w:vMerge w:val="restart"/>
            <w:shd w:val="clear" w:color="000000" w:fill="FFFFFF"/>
            <w:vAlign w:val="center"/>
          </w:tcPr>
          <w:p w14:paraId="2F9399C1">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与浙江省分类平台、绍兴市分类平台、垃圾分类运营服务单位、末端处置厂、智慧环卫、第三方厂家的数据对接，实现数据实时互通和无缝对接，归集上虞区各镇街垃圾分类业务数据。</w:t>
            </w:r>
          </w:p>
        </w:tc>
      </w:tr>
      <w:tr w14:paraId="1802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E2FB6E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283" w:type="dxa"/>
            <w:vMerge w:val="continue"/>
            <w:vAlign w:val="center"/>
          </w:tcPr>
          <w:p w14:paraId="79181A6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86F359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交换前置系统</w:t>
            </w:r>
          </w:p>
        </w:tc>
        <w:tc>
          <w:tcPr>
            <w:tcW w:w="4899" w:type="dxa"/>
            <w:vMerge w:val="continue"/>
            <w:vAlign w:val="center"/>
          </w:tcPr>
          <w:p w14:paraId="13843E10">
            <w:pPr>
              <w:widowControl/>
              <w:jc w:val="left"/>
              <w:rPr>
                <w:rFonts w:hint="eastAsia" w:ascii="宋体" w:hAnsi="宋体" w:eastAsia="宋体" w:cs="宋体"/>
                <w:color w:val="auto"/>
                <w:kern w:val="0"/>
                <w:highlight w:val="none"/>
              </w:rPr>
            </w:pPr>
          </w:p>
        </w:tc>
      </w:tr>
      <w:tr w14:paraId="1A8B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9FE70F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283" w:type="dxa"/>
            <w:vMerge w:val="continue"/>
            <w:vAlign w:val="center"/>
          </w:tcPr>
          <w:p w14:paraId="31AFEC0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FA493E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交换桥接系统</w:t>
            </w:r>
          </w:p>
        </w:tc>
        <w:tc>
          <w:tcPr>
            <w:tcW w:w="4899" w:type="dxa"/>
            <w:vMerge w:val="continue"/>
            <w:vAlign w:val="center"/>
          </w:tcPr>
          <w:p w14:paraId="5DB9267C">
            <w:pPr>
              <w:widowControl/>
              <w:jc w:val="left"/>
              <w:rPr>
                <w:rFonts w:hint="eastAsia" w:ascii="宋体" w:hAnsi="宋体" w:eastAsia="宋体" w:cs="宋体"/>
                <w:color w:val="auto"/>
                <w:kern w:val="0"/>
                <w:highlight w:val="none"/>
              </w:rPr>
            </w:pPr>
          </w:p>
        </w:tc>
      </w:tr>
      <w:tr w14:paraId="666D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3AD9D7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283" w:type="dxa"/>
            <w:vMerge w:val="continue"/>
            <w:vAlign w:val="center"/>
          </w:tcPr>
          <w:p w14:paraId="78E382A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B46A024">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运行监控平台</w:t>
            </w:r>
          </w:p>
        </w:tc>
        <w:tc>
          <w:tcPr>
            <w:tcW w:w="4899" w:type="dxa"/>
            <w:vMerge w:val="continue"/>
            <w:vAlign w:val="center"/>
          </w:tcPr>
          <w:p w14:paraId="5FBDC20F">
            <w:pPr>
              <w:widowControl/>
              <w:jc w:val="left"/>
              <w:rPr>
                <w:rFonts w:hint="eastAsia" w:ascii="宋体" w:hAnsi="宋体" w:eastAsia="宋体" w:cs="宋体"/>
                <w:color w:val="auto"/>
                <w:kern w:val="0"/>
                <w:highlight w:val="none"/>
              </w:rPr>
            </w:pPr>
          </w:p>
        </w:tc>
      </w:tr>
      <w:tr w14:paraId="78EE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4511AFCB">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（二）数据驾驶舱</w:t>
            </w:r>
          </w:p>
        </w:tc>
      </w:tr>
      <w:tr w14:paraId="458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A62FA1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283" w:type="dxa"/>
            <w:vMerge w:val="restart"/>
            <w:shd w:val="clear" w:color="auto" w:fill="auto"/>
            <w:vAlign w:val="center"/>
          </w:tcPr>
          <w:p w14:paraId="70100F9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大数据驾驶舱</w:t>
            </w:r>
          </w:p>
        </w:tc>
        <w:tc>
          <w:tcPr>
            <w:tcW w:w="1559" w:type="dxa"/>
            <w:shd w:val="clear" w:color="auto" w:fill="auto"/>
            <w:vAlign w:val="center"/>
          </w:tcPr>
          <w:p w14:paraId="6B58B2B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综合态势</w:t>
            </w:r>
          </w:p>
        </w:tc>
        <w:tc>
          <w:tcPr>
            <w:tcW w:w="4899" w:type="dxa"/>
            <w:vMerge w:val="restart"/>
            <w:shd w:val="clear" w:color="000000" w:fill="FFFFFF"/>
            <w:vAlign w:val="center"/>
          </w:tcPr>
          <w:p w14:paraId="2F59C309">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包含综合态势、分类投放态势、分类收运态势、分类处置态势、分类巡检态势、分类宣讲态势，同时以指标化的数据展示垃圾分类开展的作业成效，各类垃圾的产生量、各街道的垃圾产生量、收运量、处置量，考核排名，数据同比环比情况，以图表的形式展示。</w:t>
            </w:r>
          </w:p>
        </w:tc>
      </w:tr>
      <w:tr w14:paraId="0696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43AECA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283" w:type="dxa"/>
            <w:vMerge w:val="continue"/>
            <w:vAlign w:val="center"/>
          </w:tcPr>
          <w:p w14:paraId="262A13D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5C8636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分类投放态势</w:t>
            </w:r>
          </w:p>
        </w:tc>
        <w:tc>
          <w:tcPr>
            <w:tcW w:w="4899" w:type="dxa"/>
            <w:vMerge w:val="continue"/>
            <w:vAlign w:val="center"/>
          </w:tcPr>
          <w:p w14:paraId="395A7FEB">
            <w:pPr>
              <w:widowControl/>
              <w:jc w:val="left"/>
              <w:rPr>
                <w:rFonts w:hint="eastAsia" w:ascii="宋体" w:hAnsi="宋体" w:eastAsia="宋体" w:cs="宋体"/>
                <w:color w:val="auto"/>
                <w:kern w:val="0"/>
                <w:highlight w:val="none"/>
              </w:rPr>
            </w:pPr>
          </w:p>
        </w:tc>
      </w:tr>
      <w:tr w14:paraId="779F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62BCDC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283" w:type="dxa"/>
            <w:vMerge w:val="continue"/>
            <w:vAlign w:val="center"/>
          </w:tcPr>
          <w:p w14:paraId="31C4968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01E80C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分类收运态势</w:t>
            </w:r>
          </w:p>
        </w:tc>
        <w:tc>
          <w:tcPr>
            <w:tcW w:w="4899" w:type="dxa"/>
            <w:vMerge w:val="continue"/>
            <w:vAlign w:val="center"/>
          </w:tcPr>
          <w:p w14:paraId="39C2ADE3">
            <w:pPr>
              <w:widowControl/>
              <w:jc w:val="left"/>
              <w:rPr>
                <w:rFonts w:hint="eastAsia" w:ascii="宋体" w:hAnsi="宋体" w:eastAsia="宋体" w:cs="宋体"/>
                <w:color w:val="auto"/>
                <w:kern w:val="0"/>
                <w:highlight w:val="none"/>
              </w:rPr>
            </w:pPr>
          </w:p>
        </w:tc>
      </w:tr>
      <w:tr w14:paraId="7977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06EE50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283" w:type="dxa"/>
            <w:vMerge w:val="continue"/>
            <w:vAlign w:val="center"/>
          </w:tcPr>
          <w:p w14:paraId="0981A6D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43E2D6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分类处置态势</w:t>
            </w:r>
          </w:p>
        </w:tc>
        <w:tc>
          <w:tcPr>
            <w:tcW w:w="4899" w:type="dxa"/>
            <w:vMerge w:val="continue"/>
            <w:vAlign w:val="center"/>
          </w:tcPr>
          <w:p w14:paraId="20A04C06">
            <w:pPr>
              <w:widowControl/>
              <w:jc w:val="left"/>
              <w:rPr>
                <w:rFonts w:hint="eastAsia" w:ascii="宋体" w:hAnsi="宋体" w:eastAsia="宋体" w:cs="宋体"/>
                <w:color w:val="auto"/>
                <w:kern w:val="0"/>
                <w:highlight w:val="none"/>
              </w:rPr>
            </w:pPr>
          </w:p>
        </w:tc>
      </w:tr>
      <w:tr w14:paraId="2EC4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C7F511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283" w:type="dxa"/>
            <w:vMerge w:val="restart"/>
            <w:shd w:val="clear" w:color="auto" w:fill="auto"/>
            <w:vAlign w:val="center"/>
          </w:tcPr>
          <w:p w14:paraId="419D0C8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综合视频监管中心</w:t>
            </w:r>
          </w:p>
        </w:tc>
        <w:tc>
          <w:tcPr>
            <w:tcW w:w="1559" w:type="dxa"/>
            <w:shd w:val="clear" w:color="auto" w:fill="auto"/>
            <w:vAlign w:val="center"/>
          </w:tcPr>
          <w:p w14:paraId="7A109D0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视频综合管理</w:t>
            </w:r>
          </w:p>
        </w:tc>
        <w:tc>
          <w:tcPr>
            <w:tcW w:w="4899" w:type="dxa"/>
            <w:shd w:val="clear" w:color="auto" w:fill="auto"/>
            <w:vAlign w:val="center"/>
          </w:tcPr>
          <w:p w14:paraId="2486362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接入各前端投放点、中转站、集置点、处置厂、车辆视频信息，支持单页多网格分区，同一页面查看多个监控画面。</w:t>
            </w:r>
          </w:p>
        </w:tc>
      </w:tr>
      <w:tr w14:paraId="1ABC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29E485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283" w:type="dxa"/>
            <w:vMerge w:val="continue"/>
            <w:vAlign w:val="center"/>
          </w:tcPr>
          <w:p w14:paraId="578B290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2B1906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监控中心</w:t>
            </w:r>
          </w:p>
        </w:tc>
        <w:tc>
          <w:tcPr>
            <w:tcW w:w="4899" w:type="dxa"/>
            <w:shd w:val="clear" w:color="auto" w:fill="auto"/>
            <w:vAlign w:val="center"/>
          </w:tcPr>
          <w:p w14:paraId="505F9BD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视频监管子系统是对整个垃圾分类工作进行监管的总入口，它主要涵盖了收运、处置、分类回收等不同的场景。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支持九宫格多画面播放，支持视频回放、快进、截屏等基础功能。</w:t>
            </w:r>
          </w:p>
        </w:tc>
      </w:tr>
      <w:tr w14:paraId="552B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BD8A99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283" w:type="dxa"/>
            <w:vMerge w:val="continue"/>
            <w:vAlign w:val="center"/>
          </w:tcPr>
          <w:p w14:paraId="4962448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65A79F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AI投放明细</w:t>
            </w:r>
          </w:p>
        </w:tc>
        <w:tc>
          <w:tcPr>
            <w:tcW w:w="4899" w:type="dxa"/>
            <w:shd w:val="clear" w:color="auto" w:fill="auto"/>
            <w:vAlign w:val="center"/>
          </w:tcPr>
          <w:p w14:paraId="41047FC0">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平台接入现场AI监控数据，并获取报警信息，在本模块可查看各点位报警信息，包括投放设施、运营商、行政区划、所属场景、告警类型、开始时间、持续时间、处理状态等。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并可将报警信息进行汇总分析，输出今日告警、本月告警、本年告警等。</w:t>
            </w:r>
          </w:p>
        </w:tc>
      </w:tr>
      <w:tr w14:paraId="54AF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BC9BD4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1283" w:type="dxa"/>
            <w:vMerge w:val="continue"/>
            <w:vAlign w:val="center"/>
          </w:tcPr>
          <w:p w14:paraId="333E8EE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4935E5C">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AI事件上报</w:t>
            </w:r>
          </w:p>
        </w:tc>
        <w:tc>
          <w:tcPr>
            <w:tcW w:w="4899" w:type="dxa"/>
            <w:shd w:val="clear" w:color="auto" w:fill="auto"/>
            <w:vAlign w:val="center"/>
          </w:tcPr>
          <w:p w14:paraId="14F5C114">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接入现有点位的前端投放AI事件上报能力，预留未来可能新增的投放设备AI能力，提供标准化接口。</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此外实现平台自身AI事件发现、上报、处理能力，提供AI事件统计分析。</w:t>
            </w:r>
          </w:p>
        </w:tc>
      </w:tr>
      <w:tr w14:paraId="1CD5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6672656E">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（三）管理平台</w:t>
            </w:r>
          </w:p>
        </w:tc>
      </w:tr>
      <w:tr w14:paraId="0DC1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9F0012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1283" w:type="dxa"/>
            <w:vMerge w:val="restart"/>
            <w:shd w:val="clear" w:color="auto" w:fill="auto"/>
            <w:vAlign w:val="center"/>
          </w:tcPr>
          <w:p w14:paraId="2E7411F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基础信息管理子系统</w:t>
            </w:r>
          </w:p>
        </w:tc>
        <w:tc>
          <w:tcPr>
            <w:tcW w:w="1559" w:type="dxa"/>
            <w:shd w:val="clear" w:color="auto" w:fill="auto"/>
            <w:vAlign w:val="center"/>
          </w:tcPr>
          <w:p w14:paraId="1860229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分类小区信息</w:t>
            </w:r>
          </w:p>
        </w:tc>
        <w:tc>
          <w:tcPr>
            <w:tcW w:w="4899" w:type="dxa"/>
            <w:shd w:val="clear" w:color="auto" w:fill="auto"/>
            <w:vAlign w:val="center"/>
          </w:tcPr>
          <w:p w14:paraId="58CB15D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将分类小区的基本信息分类录入系统，包括小区名称、小区类型、设施设置数量、所属行政区划、具体地址、覆盖户数、运营单位、负责人员、联系方式等。建立分类小区数据库，可自定义划分区域，实现区域网格化管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针对基础信息的完善情况显示百分比，方便管理员实时了解，下同。</w:t>
            </w:r>
          </w:p>
        </w:tc>
      </w:tr>
      <w:tr w14:paraId="319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3702D2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15</w:t>
            </w:r>
          </w:p>
        </w:tc>
        <w:tc>
          <w:tcPr>
            <w:tcW w:w="1283" w:type="dxa"/>
            <w:vMerge w:val="continue"/>
            <w:vAlign w:val="center"/>
          </w:tcPr>
          <w:p w14:paraId="31070FB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E20F96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公共机构信息（包含机关单位、医院、商超、学校等）</w:t>
            </w:r>
          </w:p>
        </w:tc>
        <w:tc>
          <w:tcPr>
            <w:tcW w:w="4899" w:type="dxa"/>
            <w:shd w:val="clear" w:color="auto" w:fill="auto"/>
            <w:vAlign w:val="center"/>
          </w:tcPr>
          <w:p w14:paraId="57A99B7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机构作为垃圾分类重要的覆盖范围之一，对公共机构名称、设施设置数量、公共机构类型、管理部门、覆盖用户、负责人、联系方式、垃圾分类开始时间等基本信息建立统一的数据管理子功能，通过清晰台账实现上述公共机构垃圾分类作业的有效记录。</w:t>
            </w:r>
          </w:p>
        </w:tc>
      </w:tr>
      <w:tr w14:paraId="4CA1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BB8BB5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16</w:t>
            </w:r>
          </w:p>
        </w:tc>
        <w:tc>
          <w:tcPr>
            <w:tcW w:w="1283" w:type="dxa"/>
            <w:vMerge w:val="continue"/>
            <w:vAlign w:val="center"/>
          </w:tcPr>
          <w:p w14:paraId="6D50443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40DB58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人员基本信息</w:t>
            </w:r>
          </w:p>
        </w:tc>
        <w:tc>
          <w:tcPr>
            <w:tcW w:w="4899" w:type="dxa"/>
            <w:shd w:val="clear" w:color="auto" w:fill="auto"/>
            <w:vAlign w:val="center"/>
          </w:tcPr>
          <w:p w14:paraId="69070E1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包含小区管理员、督导员、志愿者等垃圾分类人员的基础信息，对垃圾分类覆盖范围内所有作业人员的姓名、联系方式、作业类型、服务小区等基础信息录入管理，直观展示各个地区人员配比。</w:t>
            </w:r>
          </w:p>
        </w:tc>
      </w:tr>
      <w:tr w14:paraId="3A07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6BC05B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17</w:t>
            </w:r>
          </w:p>
        </w:tc>
        <w:tc>
          <w:tcPr>
            <w:tcW w:w="1283" w:type="dxa"/>
            <w:vMerge w:val="continue"/>
            <w:vAlign w:val="center"/>
          </w:tcPr>
          <w:p w14:paraId="7F6DD95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AB08AE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投放点基本信息</w:t>
            </w:r>
          </w:p>
        </w:tc>
        <w:tc>
          <w:tcPr>
            <w:tcW w:w="4899" w:type="dxa"/>
            <w:shd w:val="clear" w:color="auto" w:fill="auto"/>
            <w:vAlign w:val="center"/>
          </w:tcPr>
          <w:p w14:paraId="099A006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建立投放点基础信息台账，包括：名称、编号、所属小区名称、投放点负责人，配备的督导员、运输车辆等信息。信息台账支持数据的增删改查功能，便于辅助管理部门进行基础信息的有序性管理和维护。支持数据的批量导入、导出等功能。</w:t>
            </w:r>
          </w:p>
        </w:tc>
      </w:tr>
      <w:tr w14:paraId="4926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619649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18</w:t>
            </w:r>
          </w:p>
        </w:tc>
        <w:tc>
          <w:tcPr>
            <w:tcW w:w="1283" w:type="dxa"/>
            <w:vMerge w:val="continue"/>
            <w:vAlign w:val="center"/>
          </w:tcPr>
          <w:p w14:paraId="642B6C2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C24327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投放设施设备</w:t>
            </w:r>
          </w:p>
        </w:tc>
        <w:tc>
          <w:tcPr>
            <w:tcW w:w="4899" w:type="dxa"/>
            <w:shd w:val="clear" w:color="auto" w:fill="auto"/>
            <w:vAlign w:val="center"/>
          </w:tcPr>
          <w:p w14:paraId="6771F64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按照普通投放设备、智能投放设备、智能回收设备等类型进行设施设备的基本信息台账管理，为其建立包含所在小区、设备编号、使用情况等基本信息。</w:t>
            </w:r>
          </w:p>
        </w:tc>
      </w:tr>
      <w:tr w14:paraId="69F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D03642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19</w:t>
            </w:r>
          </w:p>
        </w:tc>
        <w:tc>
          <w:tcPr>
            <w:tcW w:w="1283" w:type="dxa"/>
            <w:vMerge w:val="continue"/>
            <w:vAlign w:val="center"/>
          </w:tcPr>
          <w:p w14:paraId="7020174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AE202F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车辆信息管理</w:t>
            </w:r>
          </w:p>
        </w:tc>
        <w:tc>
          <w:tcPr>
            <w:tcW w:w="4899" w:type="dxa"/>
            <w:shd w:val="clear" w:color="auto" w:fill="auto"/>
            <w:vAlign w:val="center"/>
          </w:tcPr>
          <w:p w14:paraId="703D044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可对车辆信息及绑定驾驶员联动进行增加、删除、编辑功能</w:t>
            </w:r>
          </w:p>
        </w:tc>
      </w:tr>
      <w:tr w14:paraId="2D66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431926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20</w:t>
            </w:r>
          </w:p>
        </w:tc>
        <w:tc>
          <w:tcPr>
            <w:tcW w:w="1283" w:type="dxa"/>
            <w:vMerge w:val="continue"/>
            <w:vAlign w:val="center"/>
          </w:tcPr>
          <w:p w14:paraId="5FB5051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F40226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中转站信息管理</w:t>
            </w:r>
          </w:p>
        </w:tc>
        <w:tc>
          <w:tcPr>
            <w:tcW w:w="4899" w:type="dxa"/>
            <w:shd w:val="clear" w:color="auto" w:fill="auto"/>
            <w:vAlign w:val="center"/>
          </w:tcPr>
          <w:p w14:paraId="23C65DB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可对中转站基础信息进行增加、删除、编辑功能</w:t>
            </w:r>
          </w:p>
        </w:tc>
      </w:tr>
      <w:tr w14:paraId="070A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B096F6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21</w:t>
            </w:r>
          </w:p>
        </w:tc>
        <w:tc>
          <w:tcPr>
            <w:tcW w:w="1283" w:type="dxa"/>
            <w:vMerge w:val="continue"/>
            <w:vAlign w:val="center"/>
          </w:tcPr>
          <w:p w14:paraId="1339D64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508953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处置点信息管理</w:t>
            </w:r>
          </w:p>
        </w:tc>
        <w:tc>
          <w:tcPr>
            <w:tcW w:w="4899" w:type="dxa"/>
            <w:shd w:val="clear" w:color="auto" w:fill="auto"/>
            <w:vAlign w:val="center"/>
          </w:tcPr>
          <w:p w14:paraId="1E120096">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可对处置站基础信息进行增加、删除、编辑功能</w:t>
            </w:r>
          </w:p>
        </w:tc>
      </w:tr>
      <w:tr w14:paraId="4E16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945EEF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22</w:t>
            </w:r>
          </w:p>
        </w:tc>
        <w:tc>
          <w:tcPr>
            <w:tcW w:w="1283" w:type="dxa"/>
            <w:vMerge w:val="continue"/>
            <w:vAlign w:val="center"/>
          </w:tcPr>
          <w:p w14:paraId="237DA05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64F026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其他信息管理</w:t>
            </w:r>
          </w:p>
        </w:tc>
        <w:tc>
          <w:tcPr>
            <w:tcW w:w="4899" w:type="dxa"/>
            <w:shd w:val="clear" w:color="auto" w:fill="auto"/>
            <w:vAlign w:val="center"/>
          </w:tcPr>
          <w:p w14:paraId="36F70AB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预留未在上述范围内的其他点位基础信息台账，诸如商业街、广场、公共区域、开放式小区等，实现基础信息的进行增加、删除、编辑功能</w:t>
            </w:r>
          </w:p>
        </w:tc>
      </w:tr>
      <w:tr w14:paraId="5D2C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0223A7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23</w:t>
            </w:r>
          </w:p>
        </w:tc>
        <w:tc>
          <w:tcPr>
            <w:tcW w:w="1283" w:type="dxa"/>
            <w:vMerge w:val="restart"/>
            <w:shd w:val="clear" w:color="auto" w:fill="auto"/>
            <w:vAlign w:val="center"/>
          </w:tcPr>
          <w:p w14:paraId="17F3E1A9">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宣教工作管理子系统</w:t>
            </w:r>
          </w:p>
        </w:tc>
        <w:tc>
          <w:tcPr>
            <w:tcW w:w="1559" w:type="dxa"/>
            <w:shd w:val="clear" w:color="auto" w:fill="auto"/>
            <w:vAlign w:val="center"/>
          </w:tcPr>
          <w:p w14:paraId="07C713B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宣教计划管理</w:t>
            </w:r>
          </w:p>
        </w:tc>
        <w:tc>
          <w:tcPr>
            <w:tcW w:w="4899" w:type="dxa"/>
            <w:shd w:val="clear" w:color="auto" w:fill="auto"/>
            <w:vAlign w:val="center"/>
          </w:tcPr>
          <w:p w14:paraId="1BA1C01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垃圾分类宣教计划模块主要提供：区级宣教活动计划下发和街道、服务公司的宣传计划上报两大功能，促使更合理的安排上虞全区宣教工作。</w:t>
            </w:r>
          </w:p>
        </w:tc>
      </w:tr>
      <w:tr w14:paraId="042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147201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24</w:t>
            </w:r>
          </w:p>
        </w:tc>
        <w:tc>
          <w:tcPr>
            <w:tcW w:w="1283" w:type="dxa"/>
            <w:vMerge w:val="continue"/>
            <w:vAlign w:val="center"/>
          </w:tcPr>
          <w:p w14:paraId="3C7BF361">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FC6DD9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宣教活动管理</w:t>
            </w:r>
          </w:p>
        </w:tc>
        <w:tc>
          <w:tcPr>
            <w:tcW w:w="4899" w:type="dxa"/>
            <w:shd w:val="clear" w:color="auto" w:fill="auto"/>
            <w:vAlign w:val="center"/>
          </w:tcPr>
          <w:p w14:paraId="7F41749D">
            <w:pPr>
              <w:widowControl/>
              <w:rPr>
                <w:rFonts w:hint="eastAsia" w:ascii="宋体" w:hAnsi="宋体" w:eastAsia="宋体" w:cs="宋体"/>
                <w:color w:val="auto"/>
                <w:kern w:val="0"/>
                <w:highlight w:val="none"/>
              </w:rPr>
            </w:pPr>
            <w:bookmarkStart w:id="71" w:name="RANGE!D28"/>
            <w:r>
              <w:rPr>
                <w:rFonts w:hint="eastAsia" w:ascii="宋体" w:hAnsi="宋体" w:eastAsia="宋体" w:cs="宋体"/>
                <w:color w:val="auto"/>
                <w:kern w:val="0"/>
                <w:highlight w:val="none"/>
              </w:rPr>
              <w:t>宣教人员根据宣教计划管理下发的宣教任务进行执行，通过小程序查看宣教任务并前往完成宣教工作，通过小程序完成宣教过程的记录，包括现场地点、时间、文字描述和现场照片，实现宣教活动的精细化管理。</w:t>
            </w:r>
            <w:bookmarkEnd w:id="71"/>
          </w:p>
        </w:tc>
      </w:tr>
      <w:tr w14:paraId="4CF8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8CA982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25</w:t>
            </w:r>
          </w:p>
        </w:tc>
        <w:tc>
          <w:tcPr>
            <w:tcW w:w="1283" w:type="dxa"/>
            <w:vMerge w:val="restart"/>
            <w:shd w:val="clear" w:color="auto" w:fill="auto"/>
            <w:vAlign w:val="center"/>
          </w:tcPr>
          <w:p w14:paraId="5A2F0CA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投放监管子系统</w:t>
            </w:r>
          </w:p>
        </w:tc>
        <w:tc>
          <w:tcPr>
            <w:tcW w:w="1559" w:type="dxa"/>
            <w:shd w:val="clear" w:color="auto" w:fill="auto"/>
            <w:vAlign w:val="center"/>
          </w:tcPr>
          <w:p w14:paraId="7F49235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投放一张图</w:t>
            </w:r>
          </w:p>
        </w:tc>
        <w:tc>
          <w:tcPr>
            <w:tcW w:w="4899" w:type="dxa"/>
            <w:shd w:val="clear" w:color="auto" w:fill="auto"/>
            <w:vAlign w:val="center"/>
          </w:tcPr>
          <w:p w14:paraId="71904F1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能在地图上显示所有投放点、设施设备的分布、数量和建设状态（不同的状态以不同的颜色标识），点击设备可显示详情。</w:t>
            </w:r>
          </w:p>
        </w:tc>
      </w:tr>
      <w:tr w14:paraId="0091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6301F6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26</w:t>
            </w:r>
          </w:p>
        </w:tc>
        <w:tc>
          <w:tcPr>
            <w:tcW w:w="1283" w:type="dxa"/>
            <w:vMerge w:val="continue"/>
            <w:vAlign w:val="center"/>
          </w:tcPr>
          <w:p w14:paraId="601B93A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09D46C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投放记录管理</w:t>
            </w:r>
          </w:p>
        </w:tc>
        <w:tc>
          <w:tcPr>
            <w:tcW w:w="4899" w:type="dxa"/>
            <w:shd w:val="clear" w:color="auto" w:fill="auto"/>
            <w:vAlign w:val="center"/>
          </w:tcPr>
          <w:p w14:paraId="0874D1B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提供智能设备投放后的数据查询统计功能，可根据街道、小区、姓名、日期等条件查询数据，包括投放人的姓名、地点、投放时间、垃圾类型、重量、产生积分、投放质量等。</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（此功能只针对智能投放设备覆盖点位，对于传统点位采用台账填报记录方式）</w:t>
            </w:r>
          </w:p>
        </w:tc>
      </w:tr>
      <w:tr w14:paraId="2A57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7EE60A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27</w:t>
            </w:r>
          </w:p>
        </w:tc>
        <w:tc>
          <w:tcPr>
            <w:tcW w:w="1283" w:type="dxa"/>
            <w:vMerge w:val="continue"/>
            <w:vAlign w:val="center"/>
          </w:tcPr>
          <w:p w14:paraId="109EDA8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2E827B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设施状态监管</w:t>
            </w:r>
          </w:p>
        </w:tc>
        <w:tc>
          <w:tcPr>
            <w:tcW w:w="4899" w:type="dxa"/>
            <w:shd w:val="clear" w:color="auto" w:fill="auto"/>
            <w:vAlign w:val="center"/>
          </w:tcPr>
          <w:p w14:paraId="3368EB5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实现智能化分类设备、物联感知设备在线状态监管，同步管理智能设备业务感知数据。</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（此功能只针对智能投放设备覆盖点位）</w:t>
            </w:r>
          </w:p>
        </w:tc>
      </w:tr>
      <w:tr w14:paraId="6A7F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33A11A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28</w:t>
            </w:r>
          </w:p>
        </w:tc>
        <w:tc>
          <w:tcPr>
            <w:tcW w:w="1283" w:type="dxa"/>
            <w:vMerge w:val="continue"/>
            <w:vAlign w:val="center"/>
          </w:tcPr>
          <w:p w14:paraId="5195C99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BCDB34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投放基础规则管理</w:t>
            </w:r>
          </w:p>
        </w:tc>
        <w:tc>
          <w:tcPr>
            <w:tcW w:w="4899" w:type="dxa"/>
            <w:shd w:val="clear" w:color="auto" w:fill="auto"/>
            <w:vAlign w:val="center"/>
          </w:tcPr>
          <w:p w14:paraId="348A007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投放基础规则包括投放点人员配置、开放时间规则、收集车辆配置、收运时间规则，实现投放点日常管理。</w:t>
            </w:r>
          </w:p>
        </w:tc>
      </w:tr>
      <w:tr w14:paraId="7655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564CFB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29</w:t>
            </w:r>
          </w:p>
        </w:tc>
        <w:tc>
          <w:tcPr>
            <w:tcW w:w="1283" w:type="dxa"/>
            <w:vMerge w:val="continue"/>
            <w:vAlign w:val="center"/>
          </w:tcPr>
          <w:p w14:paraId="32B7CC4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128EF8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点位巡查</w:t>
            </w:r>
          </w:p>
        </w:tc>
        <w:tc>
          <w:tcPr>
            <w:tcW w:w="4899" w:type="dxa"/>
            <w:shd w:val="clear" w:color="auto" w:fill="auto"/>
            <w:vAlign w:val="center"/>
          </w:tcPr>
          <w:p w14:paraId="1FE266F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可由三方运营单位（物业等）工作人员通过小程序端进行点位巡查，将巡查情况上报至平台。</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上报主要针对投放点工作时间和非工作时间两种情况：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1、投放点正常工作时间：实现设备异常、其他特殊情况等上报说明；</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2、投放点非工作时间：进行抽查式巡查，上报诸如丢包等情况，也可上报其他特殊情况。</w:t>
            </w:r>
          </w:p>
        </w:tc>
      </w:tr>
      <w:tr w14:paraId="32E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2FC505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c>
          <w:tcPr>
            <w:tcW w:w="1283" w:type="dxa"/>
            <w:vMerge w:val="continue"/>
            <w:vAlign w:val="center"/>
          </w:tcPr>
          <w:p w14:paraId="17C5867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2D6E47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6AB2F50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对已经安装了视频监控的投放点，实现平台的接入，实现视频的实时监控和录像回放功能。</w:t>
            </w:r>
          </w:p>
        </w:tc>
      </w:tr>
      <w:tr w14:paraId="49D1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D94C3E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1283" w:type="dxa"/>
            <w:vMerge w:val="continue"/>
            <w:vAlign w:val="center"/>
          </w:tcPr>
          <w:p w14:paraId="5741E6C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888212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投放计重</w:t>
            </w:r>
          </w:p>
        </w:tc>
        <w:tc>
          <w:tcPr>
            <w:tcW w:w="4899" w:type="dxa"/>
            <w:shd w:val="clear" w:color="auto" w:fill="auto"/>
            <w:vAlign w:val="center"/>
          </w:tcPr>
          <w:p w14:paraId="0EFEF38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针对已经覆盖智能投放设备的点位，实现前端投放点位的计重数据的接入。</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（此功能只针对智能投放设备覆盖点位，对于传统点位可采用台账填报方式）</w:t>
            </w:r>
          </w:p>
        </w:tc>
      </w:tr>
      <w:tr w14:paraId="3D2A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F0A4A1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1283" w:type="dxa"/>
            <w:vMerge w:val="restart"/>
            <w:shd w:val="clear" w:color="auto" w:fill="auto"/>
            <w:vAlign w:val="center"/>
          </w:tcPr>
          <w:p w14:paraId="7853F6D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分类收运子系统</w:t>
            </w:r>
          </w:p>
        </w:tc>
        <w:tc>
          <w:tcPr>
            <w:tcW w:w="1559" w:type="dxa"/>
            <w:shd w:val="clear" w:color="auto" w:fill="auto"/>
            <w:vAlign w:val="center"/>
          </w:tcPr>
          <w:p w14:paraId="67D07D4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收运一张图</w:t>
            </w:r>
          </w:p>
        </w:tc>
        <w:tc>
          <w:tcPr>
            <w:tcW w:w="4899" w:type="dxa"/>
            <w:shd w:val="clear" w:color="auto" w:fill="auto"/>
            <w:vAlign w:val="center"/>
          </w:tcPr>
          <w:p w14:paraId="14CB4B3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能在地图上显示分类收运情况包括收运路线、准时效率、告警情况，点击点位可显示详情。</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可按照收运路线、垃圾类型、日期等条件查询历史的收运过程，以“地铁站”一张图的形式展现，对各个分类点以（已收/未收/异常）三种状态进行不同颜色的区分，分类收集点显示应到时间，实到时间</w:t>
            </w:r>
          </w:p>
        </w:tc>
      </w:tr>
      <w:tr w14:paraId="00DB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55FAFB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33</w:t>
            </w:r>
          </w:p>
        </w:tc>
        <w:tc>
          <w:tcPr>
            <w:tcW w:w="1283" w:type="dxa"/>
            <w:vMerge w:val="continue"/>
            <w:vAlign w:val="center"/>
          </w:tcPr>
          <w:p w14:paraId="163DE4B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DAEDDB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路线规划</w:t>
            </w:r>
          </w:p>
        </w:tc>
        <w:tc>
          <w:tcPr>
            <w:tcW w:w="4899" w:type="dxa"/>
            <w:shd w:val="clear" w:color="auto" w:fill="auto"/>
            <w:vAlign w:val="center"/>
          </w:tcPr>
          <w:p w14:paraId="2CAC614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对收运车辆进行作业路线规划，可按照路线模式和“公交站”模式两种方式进行设置，将车辆、收运路线各点位、收运频次、打卡点位等参数进行设定。</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同时可以根据车辆收运实际情况，选择性设置定时定点打卡模式或无顺序打卡模式。</w:t>
            </w:r>
          </w:p>
        </w:tc>
      </w:tr>
      <w:tr w14:paraId="045C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7A07B5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34</w:t>
            </w:r>
          </w:p>
        </w:tc>
        <w:tc>
          <w:tcPr>
            <w:tcW w:w="1283" w:type="dxa"/>
            <w:vMerge w:val="continue"/>
            <w:vAlign w:val="center"/>
          </w:tcPr>
          <w:p w14:paraId="2C3AA6C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F3DB3E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轨迹回放</w:t>
            </w:r>
          </w:p>
        </w:tc>
        <w:tc>
          <w:tcPr>
            <w:tcW w:w="4899" w:type="dxa"/>
            <w:shd w:val="clear" w:color="auto" w:fill="auto"/>
            <w:vAlign w:val="center"/>
          </w:tcPr>
          <w:p w14:paraId="168117B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接入车辆GPS设备，根据车辆的定位信息展示车辆的路线、时间、速度、地点等信息，可自定义进行查询，显示车辆的里程、速度，可以提供轨迹在地图上的播放，同时可以控制以不同的速度进行。</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（此功能只针对已完成GPS安装改造的车辆，可预留后续车辆GPS接入接口）</w:t>
            </w:r>
          </w:p>
        </w:tc>
      </w:tr>
      <w:tr w14:paraId="3201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D35852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35</w:t>
            </w:r>
          </w:p>
        </w:tc>
        <w:tc>
          <w:tcPr>
            <w:tcW w:w="1283" w:type="dxa"/>
            <w:vMerge w:val="continue"/>
            <w:vAlign w:val="center"/>
          </w:tcPr>
          <w:p w14:paraId="29092C4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152061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偏离分析</w:t>
            </w:r>
          </w:p>
        </w:tc>
        <w:tc>
          <w:tcPr>
            <w:tcW w:w="4899" w:type="dxa"/>
            <w:shd w:val="clear" w:color="auto" w:fill="auto"/>
            <w:vAlign w:val="center"/>
          </w:tcPr>
          <w:p w14:paraId="30C9A4D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接入车辆GPS设备，通过车辆的位置与垃圾收集点的位置信息进行自动比对，判断车辆收集时间，系统自动核实清运车辆是否及时抵达收运点进行垃圾收运工作</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（此功能只针对已完成GPS安装改造的车辆，可预留后续车辆GPS接入接口）</w:t>
            </w:r>
          </w:p>
        </w:tc>
      </w:tr>
      <w:tr w14:paraId="115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A14ECF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36</w:t>
            </w:r>
          </w:p>
        </w:tc>
        <w:tc>
          <w:tcPr>
            <w:tcW w:w="1283" w:type="dxa"/>
            <w:vMerge w:val="continue"/>
            <w:vAlign w:val="center"/>
          </w:tcPr>
          <w:p w14:paraId="249F346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E439A7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混收混运监管</w:t>
            </w:r>
          </w:p>
        </w:tc>
        <w:tc>
          <w:tcPr>
            <w:tcW w:w="4899" w:type="dxa"/>
            <w:shd w:val="clear" w:color="auto" w:fill="auto"/>
            <w:vAlign w:val="center"/>
          </w:tcPr>
          <w:p w14:paraId="5DD0DC8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接入垃圾桶智能识别设备，根据垃圾桶颜色研判收运车辆收集的垃圾类型。出现收运车辆与垃圾类型不匹配时，系统进行记录异常行为并进行提醒，及时纠正。</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（此功能只针对已完成智能识别设备安装改造的车辆，如终端硬件设备未全面覆盖，预留此部分功能接口）</w:t>
            </w:r>
          </w:p>
        </w:tc>
      </w:tr>
      <w:tr w14:paraId="6EA1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CA8C5A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37</w:t>
            </w:r>
          </w:p>
        </w:tc>
        <w:tc>
          <w:tcPr>
            <w:tcW w:w="1283" w:type="dxa"/>
            <w:vMerge w:val="continue"/>
            <w:vAlign w:val="center"/>
          </w:tcPr>
          <w:p w14:paraId="3C97BB4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CF6E31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31917D6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对符合接入条件的车辆进行视频流的接入，完成车载视频的播放，回放功能。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（此功能只针对已完成车载视频安装改造的车辆，如终端硬件设备未全面覆盖，预留此部分功能接口）</w:t>
            </w:r>
          </w:p>
        </w:tc>
      </w:tr>
      <w:tr w14:paraId="0763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3138F9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38</w:t>
            </w:r>
          </w:p>
        </w:tc>
        <w:tc>
          <w:tcPr>
            <w:tcW w:w="1283" w:type="dxa"/>
            <w:vMerge w:val="continue"/>
            <w:vAlign w:val="center"/>
          </w:tcPr>
          <w:p w14:paraId="69E2DFF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38541E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收运记录</w:t>
            </w:r>
          </w:p>
        </w:tc>
        <w:tc>
          <w:tcPr>
            <w:tcW w:w="4899" w:type="dxa"/>
            <w:shd w:val="clear" w:color="auto" w:fill="auto"/>
            <w:vAlign w:val="center"/>
          </w:tcPr>
          <w:p w14:paraId="41D553F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车载称重设备数据，通过对收运整体情况的追溯，完成收运记录报表，包含点位、收运时间、小区、地址、垃圾类型、重量、告警情况等字段，以日报、月报、年报形式展现，为垃圾溯源模块提供数据支撑。</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（此功能只针对已完成车载称重安装改造的车辆，如终端硬件设备未全面覆盖，预留此部分功能接口）</w:t>
            </w:r>
          </w:p>
        </w:tc>
      </w:tr>
      <w:tr w14:paraId="68C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E5AFFE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39</w:t>
            </w:r>
          </w:p>
        </w:tc>
        <w:tc>
          <w:tcPr>
            <w:tcW w:w="1283" w:type="dxa"/>
            <w:vMerge w:val="continue"/>
            <w:vAlign w:val="center"/>
          </w:tcPr>
          <w:p w14:paraId="58512FB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0F7E36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收运计重</w:t>
            </w:r>
          </w:p>
        </w:tc>
        <w:tc>
          <w:tcPr>
            <w:tcW w:w="4899" w:type="dxa"/>
            <w:shd w:val="clear" w:color="auto" w:fill="auto"/>
            <w:vAlign w:val="center"/>
          </w:tcPr>
          <w:p w14:paraId="5B1403C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通过车载称重设备数据接入或人工采集的方式，完成各个收运模式下的称重数据的记录和统计。</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支持各收运模式下的人工数据填报；</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支持直运模式下由末端处置称重数据进行收运量的反推算；</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（此功能只针对已完成车载称重安装改造的车辆，如终端硬件设备未全面覆盖，预留此部分功能接口）</w:t>
            </w:r>
          </w:p>
        </w:tc>
      </w:tr>
      <w:tr w14:paraId="568F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CF2B89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40</w:t>
            </w:r>
          </w:p>
        </w:tc>
        <w:tc>
          <w:tcPr>
            <w:tcW w:w="1283" w:type="dxa"/>
            <w:vMerge w:val="restart"/>
            <w:shd w:val="clear" w:color="auto" w:fill="auto"/>
            <w:vAlign w:val="center"/>
          </w:tcPr>
          <w:p w14:paraId="7BD26A4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分类处置子系统</w:t>
            </w:r>
          </w:p>
        </w:tc>
        <w:tc>
          <w:tcPr>
            <w:tcW w:w="1559" w:type="dxa"/>
            <w:shd w:val="clear" w:color="auto" w:fill="auto"/>
            <w:vAlign w:val="center"/>
          </w:tcPr>
          <w:p w14:paraId="400D658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处置一张图</w:t>
            </w:r>
          </w:p>
        </w:tc>
        <w:tc>
          <w:tcPr>
            <w:tcW w:w="4899" w:type="dxa"/>
            <w:shd w:val="clear" w:color="auto" w:fill="auto"/>
            <w:vAlign w:val="center"/>
          </w:tcPr>
          <w:p w14:paraId="5A2E4AC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在地图上显示所有处置设施设备的分布、数量和建设状态（不同的状态以不同的颜色标识），点击不同的类型可显示该类型下设施的数量和分布，单独点击设施可显示设施详情，包含名称、位置、图片等。</w:t>
            </w:r>
          </w:p>
        </w:tc>
      </w:tr>
      <w:tr w14:paraId="2E79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5D1BB9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41</w:t>
            </w:r>
          </w:p>
        </w:tc>
        <w:tc>
          <w:tcPr>
            <w:tcW w:w="1283" w:type="dxa"/>
            <w:vMerge w:val="continue"/>
            <w:vAlign w:val="center"/>
          </w:tcPr>
          <w:p w14:paraId="48C4C24E">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3D3564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77FD409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通过对接进出场（厂）口、卸料区、场（厂）区、产物出口、污染物排放口等重要点位的视频监控，完成远程监控画面的接入。</w:t>
            </w:r>
          </w:p>
        </w:tc>
      </w:tr>
      <w:tr w14:paraId="37E0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D4F88C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42</w:t>
            </w:r>
          </w:p>
        </w:tc>
        <w:tc>
          <w:tcPr>
            <w:tcW w:w="1283" w:type="dxa"/>
            <w:vMerge w:val="continue"/>
            <w:vAlign w:val="center"/>
          </w:tcPr>
          <w:p w14:paraId="72D89EA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586E2E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末端计重</w:t>
            </w:r>
          </w:p>
        </w:tc>
        <w:tc>
          <w:tcPr>
            <w:tcW w:w="4899" w:type="dxa"/>
            <w:shd w:val="clear" w:color="auto" w:fill="auto"/>
            <w:vAlign w:val="center"/>
          </w:tcPr>
          <w:p w14:paraId="627F4C8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实现主要末端处置厂地磅称重数据的接入，为垃圾溯源模块提供数据支撑。</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（此功能可实现各个处置厂第三方地磅数据的接入，对于未完成终端硬件安装的处置点位，预留功能接口）</w:t>
            </w:r>
          </w:p>
        </w:tc>
      </w:tr>
      <w:tr w14:paraId="055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98A5AF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43</w:t>
            </w:r>
          </w:p>
        </w:tc>
        <w:tc>
          <w:tcPr>
            <w:tcW w:w="1283" w:type="dxa"/>
            <w:vMerge w:val="continue"/>
            <w:vAlign w:val="center"/>
          </w:tcPr>
          <w:p w14:paraId="4C3FECD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95E574B">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设施工况监管</w:t>
            </w:r>
          </w:p>
        </w:tc>
        <w:tc>
          <w:tcPr>
            <w:tcW w:w="4899" w:type="dxa"/>
            <w:shd w:val="clear" w:color="auto" w:fill="auto"/>
            <w:vAlign w:val="center"/>
          </w:tcPr>
          <w:p w14:paraId="1E45DD1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实现各处置点的工况运行情况监管数据的接入。（预留渗滤液、焚烧环保数据的接口）</w:t>
            </w:r>
          </w:p>
        </w:tc>
      </w:tr>
      <w:tr w14:paraId="0C2A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3ECD6B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44</w:t>
            </w:r>
          </w:p>
        </w:tc>
        <w:tc>
          <w:tcPr>
            <w:tcW w:w="1283" w:type="dxa"/>
            <w:vMerge w:val="continue"/>
            <w:vAlign w:val="center"/>
          </w:tcPr>
          <w:p w14:paraId="2A4F298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2FDA6B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就地减量管理</w:t>
            </w:r>
          </w:p>
        </w:tc>
        <w:tc>
          <w:tcPr>
            <w:tcW w:w="4899" w:type="dxa"/>
            <w:shd w:val="clear" w:color="auto" w:fill="auto"/>
            <w:vAlign w:val="center"/>
          </w:tcPr>
          <w:p w14:paraId="3C2A808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支撑源头减量政策文件及检查情况的上传</w:t>
            </w:r>
          </w:p>
        </w:tc>
      </w:tr>
      <w:tr w14:paraId="7AF4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02D4DA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45</w:t>
            </w:r>
          </w:p>
        </w:tc>
        <w:tc>
          <w:tcPr>
            <w:tcW w:w="1283" w:type="dxa"/>
            <w:vMerge w:val="continue"/>
            <w:vAlign w:val="center"/>
          </w:tcPr>
          <w:p w14:paraId="563ED96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F4D1B5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运营单位上报</w:t>
            </w:r>
          </w:p>
        </w:tc>
        <w:tc>
          <w:tcPr>
            <w:tcW w:w="4899" w:type="dxa"/>
            <w:shd w:val="clear" w:color="auto" w:fill="auto"/>
            <w:vAlign w:val="center"/>
          </w:tcPr>
          <w:p w14:paraId="62971E0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运营单位数据上报子系统主要针对各终端厂实现市区数据同步，保障区级平台可补充终端厂直接上报市平台部分的数据。</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此外针对无法实时采集的数据，这些非结构化数据主要可由终端各类操作人员进行及时的登记并上报等。</w:t>
            </w:r>
          </w:p>
        </w:tc>
      </w:tr>
      <w:tr w14:paraId="6343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EDF9C5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46</w:t>
            </w:r>
          </w:p>
        </w:tc>
        <w:tc>
          <w:tcPr>
            <w:tcW w:w="1283" w:type="dxa"/>
            <w:vMerge w:val="restart"/>
            <w:shd w:val="clear" w:color="auto" w:fill="auto"/>
            <w:vAlign w:val="center"/>
          </w:tcPr>
          <w:p w14:paraId="628D3FB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一站式填报子系统</w:t>
            </w:r>
          </w:p>
        </w:tc>
        <w:tc>
          <w:tcPr>
            <w:tcW w:w="1559" w:type="dxa"/>
            <w:shd w:val="clear" w:color="auto" w:fill="auto"/>
            <w:vAlign w:val="center"/>
          </w:tcPr>
          <w:p w14:paraId="28EF489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自定义表单</w:t>
            </w:r>
          </w:p>
        </w:tc>
        <w:tc>
          <w:tcPr>
            <w:tcW w:w="4899" w:type="dxa"/>
            <w:shd w:val="clear" w:color="auto" w:fill="auto"/>
            <w:vAlign w:val="center"/>
          </w:tcPr>
          <w:p w14:paraId="6F1258D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自定义各类需要填报的表单，以供下级单位进行数据填报，每张表单都能设置详细的要求，包括填报对象、审批人、发布日期、有效期、提醒设置等。</w:t>
            </w:r>
          </w:p>
        </w:tc>
      </w:tr>
      <w:tr w14:paraId="7FF1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C66C63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47</w:t>
            </w:r>
          </w:p>
        </w:tc>
        <w:tc>
          <w:tcPr>
            <w:tcW w:w="1283" w:type="dxa"/>
            <w:vMerge w:val="continue"/>
            <w:vAlign w:val="center"/>
          </w:tcPr>
          <w:p w14:paraId="1428F9C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F644E5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数据上报</w:t>
            </w:r>
          </w:p>
        </w:tc>
        <w:tc>
          <w:tcPr>
            <w:tcW w:w="4899" w:type="dxa"/>
            <w:shd w:val="clear" w:color="auto" w:fill="auto"/>
            <w:vAlign w:val="center"/>
          </w:tcPr>
          <w:p w14:paraId="00E2C97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各街道乡镇根据市里下发的任务，对任务的数据进行填报和上传</w:t>
            </w:r>
          </w:p>
        </w:tc>
      </w:tr>
      <w:tr w14:paraId="3723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7B7D0A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48</w:t>
            </w:r>
          </w:p>
        </w:tc>
        <w:tc>
          <w:tcPr>
            <w:tcW w:w="1283" w:type="dxa"/>
            <w:vMerge w:val="continue"/>
            <w:vAlign w:val="center"/>
          </w:tcPr>
          <w:p w14:paraId="5C722C3E">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95A971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填报流程管理</w:t>
            </w:r>
          </w:p>
        </w:tc>
        <w:tc>
          <w:tcPr>
            <w:tcW w:w="4899" w:type="dxa"/>
            <w:shd w:val="clear" w:color="auto" w:fill="auto"/>
            <w:vAlign w:val="center"/>
          </w:tcPr>
          <w:p w14:paraId="4BB2C47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填报流程设计为不同层级按照职能划分不同权限，支持下级填报数据，上级审核或驳回。实现管理部门对上报的数据报表进行及时审核，层层审批，强化监管、督促下级单位有效落实垃圾分类相关政策。</w:t>
            </w:r>
          </w:p>
        </w:tc>
      </w:tr>
      <w:tr w14:paraId="290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D55B5A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49</w:t>
            </w:r>
          </w:p>
        </w:tc>
        <w:tc>
          <w:tcPr>
            <w:tcW w:w="1283" w:type="dxa"/>
            <w:vMerge w:val="continue"/>
            <w:vAlign w:val="center"/>
          </w:tcPr>
          <w:p w14:paraId="3C6B596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7D31E6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填报追踪</w:t>
            </w:r>
          </w:p>
        </w:tc>
        <w:tc>
          <w:tcPr>
            <w:tcW w:w="4899" w:type="dxa"/>
            <w:shd w:val="clear" w:color="auto" w:fill="auto"/>
            <w:vAlign w:val="center"/>
          </w:tcPr>
          <w:p w14:paraId="3CFAD5D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填报数据追踪是上级单位对数据上报时间追踪、对区域数据完善度管理，通同系统历史数据和经验分析划定特殊填报数据置信区间，系统智能研判数据异常状态，并提醒。</w:t>
            </w:r>
          </w:p>
        </w:tc>
      </w:tr>
      <w:tr w14:paraId="67B3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408113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50</w:t>
            </w:r>
          </w:p>
        </w:tc>
        <w:tc>
          <w:tcPr>
            <w:tcW w:w="1283" w:type="dxa"/>
            <w:vMerge w:val="restart"/>
            <w:shd w:val="clear" w:color="auto" w:fill="auto"/>
            <w:vAlign w:val="center"/>
          </w:tcPr>
          <w:p w14:paraId="7A3BE0A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督导考核子系统</w:t>
            </w:r>
          </w:p>
        </w:tc>
        <w:tc>
          <w:tcPr>
            <w:tcW w:w="1559" w:type="dxa"/>
            <w:shd w:val="clear" w:color="auto" w:fill="auto"/>
            <w:vAlign w:val="center"/>
          </w:tcPr>
          <w:p w14:paraId="5590020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考核计划</w:t>
            </w:r>
          </w:p>
        </w:tc>
        <w:tc>
          <w:tcPr>
            <w:tcW w:w="4899" w:type="dxa"/>
            <w:shd w:val="clear" w:color="auto" w:fill="auto"/>
            <w:vAlign w:val="center"/>
          </w:tcPr>
          <w:p w14:paraId="5CB4F14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实现对第三方服务单位的考核管理。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制定考核计划，选择考核的内容、对象、日期、负责人等内容</w:t>
            </w:r>
          </w:p>
        </w:tc>
      </w:tr>
      <w:tr w14:paraId="3220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1EBA61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51</w:t>
            </w:r>
          </w:p>
        </w:tc>
        <w:tc>
          <w:tcPr>
            <w:tcW w:w="1283" w:type="dxa"/>
            <w:vMerge w:val="continue"/>
            <w:vAlign w:val="center"/>
          </w:tcPr>
          <w:p w14:paraId="73B5DD8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C9BA1A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考核评分</w:t>
            </w:r>
          </w:p>
        </w:tc>
        <w:tc>
          <w:tcPr>
            <w:tcW w:w="4899" w:type="dxa"/>
            <w:shd w:val="clear" w:color="auto" w:fill="auto"/>
            <w:vAlign w:val="center"/>
          </w:tcPr>
          <w:p w14:paraId="3AB30CE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实时更新考核任务的执行情况，进行针对第三方服务单位的考核评分。</w:t>
            </w:r>
          </w:p>
        </w:tc>
      </w:tr>
      <w:tr w14:paraId="6983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EF082F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52</w:t>
            </w:r>
          </w:p>
        </w:tc>
        <w:tc>
          <w:tcPr>
            <w:tcW w:w="1283" w:type="dxa"/>
            <w:vMerge w:val="continue"/>
            <w:vAlign w:val="center"/>
          </w:tcPr>
          <w:p w14:paraId="323140A8">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9F8271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考核报表</w:t>
            </w:r>
          </w:p>
        </w:tc>
        <w:tc>
          <w:tcPr>
            <w:tcW w:w="4899" w:type="dxa"/>
            <w:shd w:val="clear" w:color="auto" w:fill="auto"/>
            <w:vAlign w:val="center"/>
          </w:tcPr>
          <w:p w14:paraId="755077E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自动生成考核报表：检查结果的查询、统计、分析：可以通过各种查询条件，查询每次考核检查的得分情况。</w:t>
            </w:r>
          </w:p>
        </w:tc>
      </w:tr>
      <w:tr w14:paraId="27A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8B8EA8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53</w:t>
            </w:r>
          </w:p>
        </w:tc>
        <w:tc>
          <w:tcPr>
            <w:tcW w:w="1283" w:type="dxa"/>
            <w:vMerge w:val="continue"/>
            <w:vAlign w:val="center"/>
          </w:tcPr>
          <w:p w14:paraId="45707DF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98CD8A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考核内容管理</w:t>
            </w:r>
          </w:p>
        </w:tc>
        <w:tc>
          <w:tcPr>
            <w:tcW w:w="4899" w:type="dxa"/>
            <w:shd w:val="clear" w:color="auto" w:fill="auto"/>
            <w:vAlign w:val="center"/>
          </w:tcPr>
          <w:p w14:paraId="021FD40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1、督导考核：针对督导员日常工作的考核，包括被考核对象（督导员）、考勤情况、在岗时长、异常上报次数进行评分考核，得出综合评分；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2、非工作时间巡查考核：针对第三方服务单位是否提供非工作时间的不定期性巡查进行考核，包括巡查次数、问题上报次数进行评分考核，得出综合评分；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3、宣讲考核：针对宣讲员日常工作的考核，围绕宣讲任务完成的整体情况进行评分考核，得出综合评分；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4、收运考核：针对收运员日常工作的考核，包括收运员（车辆）、出勤异常次数、脱离工作区域次数、超速次数、违规停留次数、路线偏离次数、收运异常次数等进行评分考核，得出综合评分</w:t>
            </w:r>
          </w:p>
        </w:tc>
      </w:tr>
      <w:tr w14:paraId="42E7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44DC6E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54</w:t>
            </w:r>
          </w:p>
        </w:tc>
        <w:tc>
          <w:tcPr>
            <w:tcW w:w="1283" w:type="dxa"/>
            <w:vMerge w:val="restart"/>
            <w:shd w:val="clear" w:color="auto" w:fill="auto"/>
            <w:vAlign w:val="center"/>
          </w:tcPr>
          <w:p w14:paraId="6624DC3E">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数据分析子系统</w:t>
            </w:r>
          </w:p>
        </w:tc>
        <w:tc>
          <w:tcPr>
            <w:tcW w:w="1559" w:type="dxa"/>
            <w:shd w:val="clear" w:color="auto" w:fill="auto"/>
            <w:vAlign w:val="center"/>
          </w:tcPr>
          <w:p w14:paraId="10715A2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分类投放分析</w:t>
            </w:r>
          </w:p>
        </w:tc>
        <w:tc>
          <w:tcPr>
            <w:tcW w:w="4899" w:type="dxa"/>
            <w:shd w:val="clear" w:color="auto" w:fill="auto"/>
            <w:vAlign w:val="center"/>
          </w:tcPr>
          <w:p w14:paraId="67EEECD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可从微观的角度查看整个分类投放态势情况，对小区传统点位和智能设备点位的投放情况进行数据分析。</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也可以从宏观的角度查看整个上虞区、街道（乡镇）层级的投放数量情况，同时满足年度/季度/月度数据的同期环比分析，实现本年度已产生数据与同期月份比对，实时了解增长量情况。同时满足易腐、其他垃圾的占比情况的同期环比分析。</w:t>
            </w:r>
          </w:p>
        </w:tc>
      </w:tr>
      <w:tr w14:paraId="329A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204898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55</w:t>
            </w:r>
          </w:p>
        </w:tc>
        <w:tc>
          <w:tcPr>
            <w:tcW w:w="1283" w:type="dxa"/>
            <w:vMerge w:val="continue"/>
            <w:vAlign w:val="center"/>
          </w:tcPr>
          <w:p w14:paraId="61B0F2B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87AF31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三方单位考核分析</w:t>
            </w:r>
          </w:p>
        </w:tc>
        <w:tc>
          <w:tcPr>
            <w:tcW w:w="4899" w:type="dxa"/>
            <w:shd w:val="clear" w:color="auto" w:fill="auto"/>
            <w:vAlign w:val="center"/>
          </w:tcPr>
          <w:p w14:paraId="5303C6A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对第三方服务单位的考核情况进行总体分析，对各个三方服务单位的考核评分进行综合排名，对考核中发现的异常问题进行类型的占比分析，及时发现异常高频的问题类型。并结合整体督查情况，分析不足及改进。</w:t>
            </w:r>
          </w:p>
        </w:tc>
      </w:tr>
      <w:tr w14:paraId="57CF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03FE0C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56</w:t>
            </w:r>
          </w:p>
        </w:tc>
        <w:tc>
          <w:tcPr>
            <w:tcW w:w="1283" w:type="dxa"/>
            <w:vMerge w:val="continue"/>
            <w:vAlign w:val="center"/>
          </w:tcPr>
          <w:p w14:paraId="1BB2764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5664DA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分类收运分析</w:t>
            </w:r>
          </w:p>
        </w:tc>
        <w:tc>
          <w:tcPr>
            <w:tcW w:w="4899" w:type="dxa"/>
            <w:shd w:val="clear" w:color="auto" w:fill="auto"/>
            <w:vAlign w:val="center"/>
          </w:tcPr>
          <w:p w14:paraId="0D3D0A1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可从宏观的角度查看整个分类收运态势情况，查看每个路线分类收运情况并进行数据分析，实现各条收运路线的同期环比分析，了解各收运路线的时长、计量等数据的变化情况。</w:t>
            </w:r>
          </w:p>
        </w:tc>
      </w:tr>
      <w:tr w14:paraId="0381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BDD305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57</w:t>
            </w:r>
          </w:p>
        </w:tc>
        <w:tc>
          <w:tcPr>
            <w:tcW w:w="1283" w:type="dxa"/>
            <w:vMerge w:val="continue"/>
            <w:vAlign w:val="center"/>
          </w:tcPr>
          <w:p w14:paraId="7A41476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346FAA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分类宣传分析</w:t>
            </w:r>
          </w:p>
        </w:tc>
        <w:tc>
          <w:tcPr>
            <w:tcW w:w="4899" w:type="dxa"/>
            <w:shd w:val="clear" w:color="auto" w:fill="auto"/>
            <w:vAlign w:val="center"/>
          </w:tcPr>
          <w:p w14:paraId="44E9FC5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可从宏观的角度查看整个分类宣讲态势情况，对分类督导的日常宣讲、入户宣讲、分类活动的开展组织进行分析，优选出效果良好的宣讲活动供其他小区或街道参照。对分类宣讲工作进行综合评分。</w:t>
            </w:r>
          </w:p>
        </w:tc>
      </w:tr>
      <w:tr w14:paraId="3CFE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77058D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58</w:t>
            </w:r>
          </w:p>
        </w:tc>
        <w:tc>
          <w:tcPr>
            <w:tcW w:w="1283" w:type="dxa"/>
            <w:vMerge w:val="continue"/>
            <w:vAlign w:val="center"/>
          </w:tcPr>
          <w:p w14:paraId="76889C6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93843B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溯源一张图</w:t>
            </w:r>
          </w:p>
        </w:tc>
        <w:tc>
          <w:tcPr>
            <w:tcW w:w="4899" w:type="dxa"/>
            <w:shd w:val="clear" w:color="auto" w:fill="auto"/>
            <w:vAlign w:val="center"/>
          </w:tcPr>
          <w:p w14:paraId="15FC399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以全生命周期的形式展现垃圾从投放、收运、处置的整个流程，结合上述系统中的投放计量、收运计量、末端计量子模块所采集的数据进行汇总分析。查看各类型垃圾的流向。</w:t>
            </w:r>
          </w:p>
        </w:tc>
      </w:tr>
      <w:tr w14:paraId="3A3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41CE34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59</w:t>
            </w:r>
          </w:p>
        </w:tc>
        <w:tc>
          <w:tcPr>
            <w:tcW w:w="1283" w:type="dxa"/>
            <w:vMerge w:val="restart"/>
            <w:shd w:val="clear" w:color="auto" w:fill="auto"/>
            <w:vAlign w:val="center"/>
          </w:tcPr>
          <w:p w14:paraId="502F7C7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告警管理子系统</w:t>
            </w:r>
          </w:p>
        </w:tc>
        <w:tc>
          <w:tcPr>
            <w:tcW w:w="1559" w:type="dxa"/>
            <w:shd w:val="clear" w:color="auto" w:fill="auto"/>
            <w:vAlign w:val="center"/>
          </w:tcPr>
          <w:p w14:paraId="6CCD7B0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告警设置</w:t>
            </w:r>
          </w:p>
        </w:tc>
        <w:tc>
          <w:tcPr>
            <w:tcW w:w="4899" w:type="dxa"/>
            <w:shd w:val="clear" w:color="auto" w:fill="auto"/>
            <w:vAlign w:val="center"/>
          </w:tcPr>
          <w:p w14:paraId="358A5B2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对产生报警的条件进行设置，如车辆的超速、炉温的上限等，为报警信息的产生提供依据。</w:t>
            </w:r>
          </w:p>
        </w:tc>
      </w:tr>
      <w:tr w14:paraId="5E6D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C88E21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60</w:t>
            </w:r>
          </w:p>
        </w:tc>
        <w:tc>
          <w:tcPr>
            <w:tcW w:w="1283" w:type="dxa"/>
            <w:vMerge w:val="continue"/>
            <w:vAlign w:val="center"/>
          </w:tcPr>
          <w:p w14:paraId="22896D2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538FE4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告警展示</w:t>
            </w:r>
          </w:p>
        </w:tc>
        <w:tc>
          <w:tcPr>
            <w:tcW w:w="4899" w:type="dxa"/>
            <w:shd w:val="clear" w:color="auto" w:fill="auto"/>
            <w:vAlign w:val="center"/>
          </w:tcPr>
          <w:p w14:paraId="499CA04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对产生的报警信息进出展示，包括报警的类型、产生时间、地点、所属区域、车辆类型等。</w:t>
            </w:r>
          </w:p>
        </w:tc>
      </w:tr>
      <w:tr w14:paraId="2C2E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007172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61</w:t>
            </w:r>
          </w:p>
        </w:tc>
        <w:tc>
          <w:tcPr>
            <w:tcW w:w="1283" w:type="dxa"/>
            <w:vMerge w:val="continue"/>
            <w:vAlign w:val="center"/>
          </w:tcPr>
          <w:p w14:paraId="746FDE7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82178C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告警处理</w:t>
            </w:r>
          </w:p>
        </w:tc>
        <w:tc>
          <w:tcPr>
            <w:tcW w:w="4899" w:type="dxa"/>
            <w:shd w:val="clear" w:color="auto" w:fill="auto"/>
            <w:vAlign w:val="center"/>
          </w:tcPr>
          <w:p w14:paraId="3C52C05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对已经产生的报警进行处理，通知到相关责任单位、人。</w:t>
            </w:r>
          </w:p>
        </w:tc>
      </w:tr>
      <w:tr w14:paraId="3E1E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25130E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62</w:t>
            </w:r>
          </w:p>
        </w:tc>
        <w:tc>
          <w:tcPr>
            <w:tcW w:w="1283" w:type="dxa"/>
            <w:vMerge w:val="continue"/>
            <w:vAlign w:val="center"/>
          </w:tcPr>
          <w:p w14:paraId="50787C2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D52F97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告警统计</w:t>
            </w:r>
          </w:p>
        </w:tc>
        <w:tc>
          <w:tcPr>
            <w:tcW w:w="4899" w:type="dxa"/>
            <w:shd w:val="clear" w:color="auto" w:fill="auto"/>
            <w:vAlign w:val="center"/>
          </w:tcPr>
          <w:p w14:paraId="6D5094A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对报警的数据进行统计分析，得出报警概览图、报警处理情况图和报警趋势图。</w:t>
            </w:r>
          </w:p>
        </w:tc>
      </w:tr>
      <w:tr w14:paraId="7DE2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BCB73E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63</w:t>
            </w:r>
          </w:p>
        </w:tc>
        <w:tc>
          <w:tcPr>
            <w:tcW w:w="1283" w:type="dxa"/>
            <w:vMerge w:val="restart"/>
            <w:shd w:val="clear" w:color="auto" w:fill="auto"/>
            <w:vAlign w:val="center"/>
          </w:tcPr>
          <w:p w14:paraId="13C7993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基础管理子系统</w:t>
            </w:r>
          </w:p>
        </w:tc>
        <w:tc>
          <w:tcPr>
            <w:tcW w:w="1559" w:type="dxa"/>
            <w:shd w:val="clear" w:color="auto" w:fill="auto"/>
            <w:vAlign w:val="center"/>
          </w:tcPr>
          <w:p w14:paraId="33AA41C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权限设置</w:t>
            </w:r>
          </w:p>
        </w:tc>
        <w:tc>
          <w:tcPr>
            <w:tcW w:w="4899" w:type="dxa"/>
            <w:vMerge w:val="restart"/>
            <w:shd w:val="clear" w:color="auto" w:fill="auto"/>
            <w:vAlign w:val="center"/>
          </w:tcPr>
          <w:p w14:paraId="3CFAEC7C">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系统的菜单配置、账号设置、权限维护、组织机构设置、操作日志等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通过系统实现下级账号上报的基础信息的变更进行审核管理</w:t>
            </w:r>
          </w:p>
        </w:tc>
      </w:tr>
      <w:tr w14:paraId="3F3B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3CD6B4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64</w:t>
            </w:r>
          </w:p>
        </w:tc>
        <w:tc>
          <w:tcPr>
            <w:tcW w:w="1283" w:type="dxa"/>
            <w:vMerge w:val="continue"/>
            <w:vAlign w:val="center"/>
          </w:tcPr>
          <w:p w14:paraId="63DA703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C5C203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账号设置</w:t>
            </w:r>
          </w:p>
        </w:tc>
        <w:tc>
          <w:tcPr>
            <w:tcW w:w="4899" w:type="dxa"/>
            <w:vMerge w:val="continue"/>
            <w:vAlign w:val="center"/>
          </w:tcPr>
          <w:p w14:paraId="79EB5EA3">
            <w:pPr>
              <w:widowControl/>
              <w:jc w:val="left"/>
              <w:rPr>
                <w:rFonts w:hint="eastAsia" w:ascii="宋体" w:hAnsi="宋体" w:eastAsia="宋体" w:cs="宋体"/>
                <w:color w:val="auto"/>
                <w:kern w:val="0"/>
                <w:highlight w:val="none"/>
              </w:rPr>
            </w:pPr>
          </w:p>
        </w:tc>
      </w:tr>
      <w:tr w14:paraId="571A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9A14DC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65</w:t>
            </w:r>
          </w:p>
        </w:tc>
        <w:tc>
          <w:tcPr>
            <w:tcW w:w="1283" w:type="dxa"/>
            <w:vMerge w:val="continue"/>
            <w:vAlign w:val="center"/>
          </w:tcPr>
          <w:p w14:paraId="58BBA97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46ED40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组织机构设置</w:t>
            </w:r>
          </w:p>
        </w:tc>
        <w:tc>
          <w:tcPr>
            <w:tcW w:w="4899" w:type="dxa"/>
            <w:vMerge w:val="continue"/>
            <w:vAlign w:val="center"/>
          </w:tcPr>
          <w:p w14:paraId="19ABBC97">
            <w:pPr>
              <w:widowControl/>
              <w:jc w:val="left"/>
              <w:rPr>
                <w:rFonts w:hint="eastAsia" w:ascii="宋体" w:hAnsi="宋体" w:eastAsia="宋体" w:cs="宋体"/>
                <w:color w:val="auto"/>
                <w:kern w:val="0"/>
                <w:highlight w:val="none"/>
              </w:rPr>
            </w:pPr>
          </w:p>
        </w:tc>
      </w:tr>
      <w:tr w14:paraId="665C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323FD0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66</w:t>
            </w:r>
          </w:p>
        </w:tc>
        <w:tc>
          <w:tcPr>
            <w:tcW w:w="1283" w:type="dxa"/>
            <w:vMerge w:val="continue"/>
            <w:vAlign w:val="center"/>
          </w:tcPr>
          <w:p w14:paraId="2254BA6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4D65A9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菜单配置</w:t>
            </w:r>
          </w:p>
        </w:tc>
        <w:tc>
          <w:tcPr>
            <w:tcW w:w="4899" w:type="dxa"/>
            <w:vMerge w:val="continue"/>
            <w:vAlign w:val="center"/>
          </w:tcPr>
          <w:p w14:paraId="77B311C6">
            <w:pPr>
              <w:widowControl/>
              <w:jc w:val="left"/>
              <w:rPr>
                <w:rFonts w:hint="eastAsia" w:ascii="宋体" w:hAnsi="宋体" w:eastAsia="宋体" w:cs="宋体"/>
                <w:color w:val="auto"/>
                <w:kern w:val="0"/>
                <w:highlight w:val="none"/>
              </w:rPr>
            </w:pPr>
          </w:p>
        </w:tc>
      </w:tr>
      <w:tr w14:paraId="505D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DA365B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67</w:t>
            </w:r>
          </w:p>
        </w:tc>
        <w:tc>
          <w:tcPr>
            <w:tcW w:w="1283" w:type="dxa"/>
            <w:vMerge w:val="continue"/>
            <w:vAlign w:val="center"/>
          </w:tcPr>
          <w:p w14:paraId="26A975C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B28A1B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操作日志</w:t>
            </w:r>
          </w:p>
        </w:tc>
        <w:tc>
          <w:tcPr>
            <w:tcW w:w="4899" w:type="dxa"/>
            <w:vMerge w:val="continue"/>
            <w:vAlign w:val="center"/>
          </w:tcPr>
          <w:p w14:paraId="0DFB302D">
            <w:pPr>
              <w:widowControl/>
              <w:jc w:val="left"/>
              <w:rPr>
                <w:rFonts w:hint="eastAsia" w:ascii="宋体" w:hAnsi="宋体" w:eastAsia="宋体" w:cs="宋体"/>
                <w:color w:val="auto"/>
                <w:kern w:val="0"/>
                <w:highlight w:val="none"/>
              </w:rPr>
            </w:pPr>
          </w:p>
        </w:tc>
      </w:tr>
      <w:tr w14:paraId="3BE0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66AD542E">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（四）支撑及辅助系统</w:t>
            </w:r>
          </w:p>
        </w:tc>
      </w:tr>
      <w:tr w14:paraId="636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1E0FEB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68</w:t>
            </w:r>
          </w:p>
        </w:tc>
        <w:tc>
          <w:tcPr>
            <w:tcW w:w="1283" w:type="dxa"/>
            <w:vMerge w:val="restart"/>
            <w:shd w:val="clear" w:color="auto" w:fill="auto"/>
            <w:vAlign w:val="center"/>
          </w:tcPr>
          <w:p w14:paraId="4EE1CBB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移动端小程序（管理端）</w:t>
            </w:r>
          </w:p>
        </w:tc>
        <w:tc>
          <w:tcPr>
            <w:tcW w:w="1559" w:type="dxa"/>
            <w:shd w:val="clear" w:color="auto" w:fill="auto"/>
            <w:vAlign w:val="center"/>
          </w:tcPr>
          <w:p w14:paraId="066CE22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GIS管控一张图</w:t>
            </w:r>
          </w:p>
        </w:tc>
        <w:tc>
          <w:tcPr>
            <w:tcW w:w="4899" w:type="dxa"/>
            <w:shd w:val="clear" w:color="auto" w:fill="auto"/>
            <w:vAlign w:val="center"/>
          </w:tcPr>
          <w:p w14:paraId="0F7DCD3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以GIS地图形式展示各类型垃圾分类要素信息，如前端投放点，点击对应要素可见其名称、负责人、联系方式、地址（如有）等相关信息</w:t>
            </w:r>
          </w:p>
        </w:tc>
      </w:tr>
      <w:tr w14:paraId="7212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179487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69</w:t>
            </w:r>
          </w:p>
        </w:tc>
        <w:tc>
          <w:tcPr>
            <w:tcW w:w="1283" w:type="dxa"/>
            <w:vMerge w:val="continue"/>
            <w:vAlign w:val="center"/>
          </w:tcPr>
          <w:p w14:paraId="000B1CC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C92CE6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基础信息管理</w:t>
            </w:r>
          </w:p>
        </w:tc>
        <w:tc>
          <w:tcPr>
            <w:tcW w:w="4899" w:type="dxa"/>
            <w:shd w:val="clear" w:color="auto" w:fill="auto"/>
            <w:vAlign w:val="center"/>
          </w:tcPr>
          <w:p w14:paraId="4784E18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同web端，实现查看、搜索设施基本信息情况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手机端可按照地图样式显示各个小区、小区基本情况、小区投放点位、小区投放数据。</w:t>
            </w:r>
          </w:p>
        </w:tc>
      </w:tr>
      <w:tr w14:paraId="50EF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DDE651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70</w:t>
            </w:r>
          </w:p>
        </w:tc>
        <w:tc>
          <w:tcPr>
            <w:tcW w:w="1283" w:type="dxa"/>
            <w:vMerge w:val="continue"/>
            <w:vAlign w:val="center"/>
          </w:tcPr>
          <w:p w14:paraId="4E2546C8">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53A67E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运行工况查看</w:t>
            </w:r>
          </w:p>
        </w:tc>
        <w:tc>
          <w:tcPr>
            <w:tcW w:w="4899" w:type="dxa"/>
            <w:shd w:val="clear" w:color="auto" w:fill="auto"/>
            <w:vAlign w:val="center"/>
          </w:tcPr>
          <w:p w14:paraId="2E993CF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运行监管模块主要是展示各业务模块的关键数据和统计数据，便于监管人员实现现场作业情况的快速获取。</w:t>
            </w:r>
          </w:p>
        </w:tc>
      </w:tr>
      <w:tr w14:paraId="595B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EC0AA4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71</w:t>
            </w:r>
          </w:p>
        </w:tc>
        <w:tc>
          <w:tcPr>
            <w:tcW w:w="1283" w:type="dxa"/>
            <w:vMerge w:val="continue"/>
            <w:vAlign w:val="center"/>
          </w:tcPr>
          <w:p w14:paraId="04662FA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04FD28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督导工作台</w:t>
            </w:r>
          </w:p>
        </w:tc>
        <w:tc>
          <w:tcPr>
            <w:tcW w:w="4899" w:type="dxa"/>
            <w:shd w:val="clear" w:color="auto" w:fill="auto"/>
            <w:vAlign w:val="center"/>
          </w:tcPr>
          <w:p w14:paraId="2340C79C">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用于督导员日常工作，可实现考勤打卡、非工作时间巡查上报、设备异常上报、特殊情况上报的功能。</w:t>
            </w:r>
          </w:p>
        </w:tc>
      </w:tr>
      <w:tr w14:paraId="44C0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CFC9C8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72</w:t>
            </w:r>
          </w:p>
        </w:tc>
        <w:tc>
          <w:tcPr>
            <w:tcW w:w="1283" w:type="dxa"/>
            <w:vMerge w:val="continue"/>
            <w:vAlign w:val="center"/>
          </w:tcPr>
          <w:p w14:paraId="0C46BF8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04B2BF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宣讲工作台</w:t>
            </w:r>
          </w:p>
        </w:tc>
        <w:tc>
          <w:tcPr>
            <w:tcW w:w="4899" w:type="dxa"/>
            <w:shd w:val="clear" w:color="auto" w:fill="auto"/>
            <w:vAlign w:val="center"/>
          </w:tcPr>
          <w:p w14:paraId="0141BA4C">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用于宣讲员日常工作，可实现宣讲任务的查看，实现宣讲活动的执行记录工作，生成宣讲台账。</w:t>
            </w:r>
          </w:p>
        </w:tc>
      </w:tr>
      <w:tr w14:paraId="00BF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5CB15F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73</w:t>
            </w:r>
          </w:p>
        </w:tc>
        <w:tc>
          <w:tcPr>
            <w:tcW w:w="1283" w:type="dxa"/>
            <w:vMerge w:val="continue"/>
            <w:vAlign w:val="center"/>
          </w:tcPr>
          <w:p w14:paraId="73F100E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EAB995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考核评分</w:t>
            </w:r>
          </w:p>
        </w:tc>
        <w:tc>
          <w:tcPr>
            <w:tcW w:w="4899" w:type="dxa"/>
            <w:shd w:val="clear" w:color="auto" w:fill="auto"/>
            <w:vAlign w:val="center"/>
          </w:tcPr>
          <w:p w14:paraId="2621F0A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用于对第三方服务单位进行考核评分。配套管理后台考核计划及任务的下发，实现现场考核从任务制定到考核完成均可在移动设备上完成，提高监管与考核效率。</w:t>
            </w:r>
          </w:p>
        </w:tc>
      </w:tr>
      <w:tr w14:paraId="427A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F23713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74</w:t>
            </w:r>
          </w:p>
        </w:tc>
        <w:tc>
          <w:tcPr>
            <w:tcW w:w="1283" w:type="dxa"/>
            <w:vMerge w:val="continue"/>
            <w:vAlign w:val="center"/>
          </w:tcPr>
          <w:p w14:paraId="7D24C1E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52795B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问题整改</w:t>
            </w:r>
          </w:p>
        </w:tc>
        <w:tc>
          <w:tcPr>
            <w:tcW w:w="4899" w:type="dxa"/>
            <w:shd w:val="clear" w:color="auto" w:fill="auto"/>
            <w:vAlign w:val="center"/>
          </w:tcPr>
          <w:p w14:paraId="25915B6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通过小程序实现垃圾分类中巡检问题的上报，包括问题发生的地点、描述、问题来源、问题类型和处理截止时间，并选择是否需要进行扣分，形成完整问题记录上报到平台。</w:t>
            </w:r>
          </w:p>
        </w:tc>
      </w:tr>
      <w:tr w14:paraId="6246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0F06E6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75</w:t>
            </w:r>
          </w:p>
        </w:tc>
        <w:tc>
          <w:tcPr>
            <w:tcW w:w="1283" w:type="dxa"/>
            <w:vMerge w:val="continue"/>
            <w:vAlign w:val="center"/>
          </w:tcPr>
          <w:p w14:paraId="0671EC8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35DC76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事件台账</w:t>
            </w:r>
          </w:p>
        </w:tc>
        <w:tc>
          <w:tcPr>
            <w:tcW w:w="4899" w:type="dxa"/>
            <w:shd w:val="clear" w:color="auto" w:fill="auto"/>
            <w:vAlign w:val="center"/>
          </w:tcPr>
          <w:p w14:paraId="033E4F4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记录处理事件信息，包含未处理事件、处理中事件、已完成事件，便于督导员根据各类型事件状态进行处理。</w:t>
            </w:r>
          </w:p>
        </w:tc>
      </w:tr>
      <w:tr w14:paraId="7709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876E6C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76</w:t>
            </w:r>
          </w:p>
        </w:tc>
        <w:tc>
          <w:tcPr>
            <w:tcW w:w="1283" w:type="dxa"/>
            <w:shd w:val="clear" w:color="auto" w:fill="auto"/>
            <w:vAlign w:val="center"/>
          </w:tcPr>
          <w:p w14:paraId="3CE09A7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GIS地理信息子系统</w:t>
            </w:r>
          </w:p>
        </w:tc>
        <w:tc>
          <w:tcPr>
            <w:tcW w:w="1559" w:type="dxa"/>
            <w:shd w:val="clear" w:color="auto" w:fill="auto"/>
            <w:vAlign w:val="center"/>
          </w:tcPr>
          <w:p w14:paraId="6CFFEF1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GIS地理信息管理</w:t>
            </w:r>
          </w:p>
        </w:tc>
        <w:tc>
          <w:tcPr>
            <w:tcW w:w="4899" w:type="dxa"/>
            <w:shd w:val="clear" w:color="auto" w:fill="auto"/>
            <w:vAlign w:val="center"/>
          </w:tcPr>
          <w:p w14:paraId="01C719C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采用地理信息系统依托上虞区基础地理系统的市区电子地图，按照网格划分，将道路、街道等信息按照不同图层加入GIS。可以直观查看市区各类道路的基本情况及分布（包括一类道路、二类道路、三类道路、特殊道路等）；查看市区机关单位、企业、学校及居民小区等；查看市区各垃圾分类点的分布。</w:t>
            </w:r>
          </w:p>
        </w:tc>
      </w:tr>
      <w:tr w14:paraId="394B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B526F2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77</w:t>
            </w:r>
          </w:p>
        </w:tc>
        <w:tc>
          <w:tcPr>
            <w:tcW w:w="1283" w:type="dxa"/>
            <w:vMerge w:val="restart"/>
            <w:shd w:val="clear" w:color="auto" w:fill="auto"/>
            <w:vAlign w:val="center"/>
          </w:tcPr>
          <w:p w14:paraId="63CD3C4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设备物联网平台子系统</w:t>
            </w:r>
          </w:p>
        </w:tc>
        <w:tc>
          <w:tcPr>
            <w:tcW w:w="1559" w:type="dxa"/>
            <w:shd w:val="clear" w:color="auto" w:fill="auto"/>
            <w:vAlign w:val="center"/>
          </w:tcPr>
          <w:p w14:paraId="64DD4D5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物联设备统计分析</w:t>
            </w:r>
          </w:p>
        </w:tc>
        <w:tc>
          <w:tcPr>
            <w:tcW w:w="4899" w:type="dxa"/>
            <w:shd w:val="clear" w:color="auto" w:fill="auto"/>
            <w:vAlign w:val="center"/>
          </w:tcPr>
          <w:p w14:paraId="0A488D17">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进行物联设备的综合性统计分析，包含当前在线设备（设备总数、未激活设备数）、设备消息量统计（今日、当月）、CPU使用率统计、JVM内存统计、设备消息走势图。添加垃圾分类相关的各类物联网设备，如投放点的监控设备，车辆机设备等，方便设备统一管理</w:t>
            </w:r>
          </w:p>
        </w:tc>
      </w:tr>
      <w:tr w14:paraId="629E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5B9392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78</w:t>
            </w:r>
          </w:p>
        </w:tc>
        <w:tc>
          <w:tcPr>
            <w:tcW w:w="1283" w:type="dxa"/>
            <w:vMerge w:val="continue"/>
            <w:vAlign w:val="center"/>
          </w:tcPr>
          <w:p w14:paraId="760EAF6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E253A0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产品管理</w:t>
            </w:r>
          </w:p>
        </w:tc>
        <w:tc>
          <w:tcPr>
            <w:tcW w:w="4899" w:type="dxa"/>
            <w:shd w:val="clear" w:color="auto" w:fill="auto"/>
            <w:vAlign w:val="center"/>
          </w:tcPr>
          <w:p w14:paraId="28E5F4EC">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管理（进行产品新增，新增的产品实现查看、编辑、下载、发布、删除等操作）新增设备产品时需要添加产品ID、名称、所属品类、所属机构、消息协议、传输协议、存储策略、设备类型（直连设备、网关子设备、网关设备）和描述。</w:t>
            </w:r>
          </w:p>
        </w:tc>
      </w:tr>
      <w:tr w14:paraId="2BE2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4E2046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79</w:t>
            </w:r>
          </w:p>
        </w:tc>
        <w:tc>
          <w:tcPr>
            <w:tcW w:w="1283" w:type="dxa"/>
            <w:vMerge w:val="continue"/>
            <w:vAlign w:val="center"/>
          </w:tcPr>
          <w:p w14:paraId="3A8DA20E">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D866C2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产品类型管理</w:t>
            </w:r>
          </w:p>
        </w:tc>
        <w:tc>
          <w:tcPr>
            <w:tcW w:w="4899" w:type="dxa"/>
            <w:shd w:val="clear" w:color="auto" w:fill="auto"/>
            <w:vAlign w:val="center"/>
          </w:tcPr>
          <w:p w14:paraId="1021279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产品类型管理，可对产品类型的ID、标识、分类名称、说明、操作进行管理，产品类型包含多个层级关系可在某一产品类型下继续增设新的类型；</w:t>
            </w:r>
          </w:p>
        </w:tc>
      </w:tr>
      <w:tr w14:paraId="572C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18613B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80</w:t>
            </w:r>
          </w:p>
        </w:tc>
        <w:tc>
          <w:tcPr>
            <w:tcW w:w="1283" w:type="dxa"/>
            <w:vMerge w:val="continue"/>
            <w:vAlign w:val="center"/>
          </w:tcPr>
          <w:p w14:paraId="23B3803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894F9B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设备管理</w:t>
            </w:r>
          </w:p>
        </w:tc>
        <w:tc>
          <w:tcPr>
            <w:tcW w:w="4899" w:type="dxa"/>
            <w:shd w:val="clear" w:color="auto" w:fill="auto"/>
            <w:vAlign w:val="center"/>
          </w:tcPr>
          <w:p w14:paraId="75CD0893">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设备管理，对设备ID、设备名称、产品类型、注册时间、状态、说明、操作进行综合管理，在页面顶部对所有设备数量（全部设备、在线、离线、未启用4类状态）的数据进行统计</w:t>
            </w:r>
          </w:p>
        </w:tc>
      </w:tr>
      <w:tr w14:paraId="3557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9137F0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81</w:t>
            </w:r>
          </w:p>
        </w:tc>
        <w:tc>
          <w:tcPr>
            <w:tcW w:w="1283" w:type="dxa"/>
            <w:vMerge w:val="continue"/>
            <w:vAlign w:val="center"/>
          </w:tcPr>
          <w:p w14:paraId="5E3CB6E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C3410B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分组管理</w:t>
            </w:r>
          </w:p>
        </w:tc>
        <w:tc>
          <w:tcPr>
            <w:tcW w:w="4899" w:type="dxa"/>
            <w:shd w:val="clear" w:color="auto" w:fill="auto"/>
            <w:vAlign w:val="center"/>
          </w:tcPr>
          <w:p w14:paraId="3D7F350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分组管理，对标识、名称、描述、操作进行管理；</w:t>
            </w:r>
          </w:p>
        </w:tc>
      </w:tr>
      <w:tr w14:paraId="760C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EBAAED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82</w:t>
            </w:r>
          </w:p>
        </w:tc>
        <w:tc>
          <w:tcPr>
            <w:tcW w:w="1283" w:type="dxa"/>
            <w:vMerge w:val="continue"/>
            <w:vAlign w:val="center"/>
          </w:tcPr>
          <w:p w14:paraId="5631FEC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F2D045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地理位置管理</w:t>
            </w:r>
          </w:p>
        </w:tc>
        <w:tc>
          <w:tcPr>
            <w:tcW w:w="4899" w:type="dxa"/>
            <w:shd w:val="clear" w:color="auto" w:fill="auto"/>
            <w:vAlign w:val="center"/>
          </w:tcPr>
          <w:p w14:paraId="4662B2BF">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地理位置管理，以一张图展示各类设备所在位置，可按照查看区域、产品名称、设备信息进行查询操作，并显示设备列表和设备告警列表，支持卫星地图、路网地图、普通地图的切换。并能进行地图要素管理和区域管理。</w:t>
            </w:r>
          </w:p>
        </w:tc>
      </w:tr>
      <w:tr w14:paraId="2CDA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5F626D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83</w:t>
            </w:r>
          </w:p>
        </w:tc>
        <w:tc>
          <w:tcPr>
            <w:tcW w:w="1283" w:type="dxa"/>
            <w:vMerge w:val="continue"/>
            <w:vAlign w:val="center"/>
          </w:tcPr>
          <w:p w14:paraId="15C646E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389601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固件升级管理</w:t>
            </w:r>
          </w:p>
        </w:tc>
        <w:tc>
          <w:tcPr>
            <w:tcW w:w="4899" w:type="dxa"/>
            <w:shd w:val="clear" w:color="auto" w:fill="auto"/>
            <w:vAlign w:val="center"/>
          </w:tcPr>
          <w:p w14:paraId="3D020AF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固件升级管理：针对固件名称、固件版本、所属产品、签名方式、创建时间、操作进行管理；</w:t>
            </w:r>
          </w:p>
        </w:tc>
      </w:tr>
      <w:tr w14:paraId="455B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D149AC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84</w:t>
            </w:r>
          </w:p>
        </w:tc>
        <w:tc>
          <w:tcPr>
            <w:tcW w:w="1283" w:type="dxa"/>
            <w:vMerge w:val="continue"/>
            <w:vAlign w:val="center"/>
          </w:tcPr>
          <w:p w14:paraId="34813EF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6A97CA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设备告警管理</w:t>
            </w:r>
          </w:p>
        </w:tc>
        <w:tc>
          <w:tcPr>
            <w:tcW w:w="4899" w:type="dxa"/>
            <w:shd w:val="clear" w:color="auto" w:fill="auto"/>
            <w:vAlign w:val="center"/>
          </w:tcPr>
          <w:p w14:paraId="0402366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设备告警管理：以列表形式展现报警记录，包含设备ID、设备名称、告警名称、告警时间、处理状态、操作。</w:t>
            </w:r>
          </w:p>
        </w:tc>
      </w:tr>
      <w:tr w14:paraId="2A8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34FA35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85</w:t>
            </w:r>
          </w:p>
        </w:tc>
        <w:tc>
          <w:tcPr>
            <w:tcW w:w="1283" w:type="dxa"/>
            <w:vMerge w:val="continue"/>
            <w:vAlign w:val="center"/>
          </w:tcPr>
          <w:p w14:paraId="12C368F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8B1DB5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设备接入管理</w:t>
            </w:r>
          </w:p>
        </w:tc>
        <w:tc>
          <w:tcPr>
            <w:tcW w:w="4899" w:type="dxa"/>
            <w:shd w:val="clear" w:color="auto" w:fill="auto"/>
            <w:vAlign w:val="center"/>
          </w:tcPr>
          <w:p w14:paraId="366194E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对多种不同协议的设备进行设备接入，对传感器设备绑定成为统一的物联网设备，包含证书管理、协议管理、网络组件、设备网关</w:t>
            </w:r>
          </w:p>
        </w:tc>
      </w:tr>
      <w:tr w14:paraId="009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6F805D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86</w:t>
            </w:r>
          </w:p>
        </w:tc>
        <w:tc>
          <w:tcPr>
            <w:tcW w:w="1283" w:type="dxa"/>
            <w:vMerge w:val="continue"/>
            <w:vAlign w:val="center"/>
          </w:tcPr>
          <w:p w14:paraId="24D2967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488E30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通知管理</w:t>
            </w:r>
          </w:p>
        </w:tc>
        <w:tc>
          <w:tcPr>
            <w:tcW w:w="4899" w:type="dxa"/>
            <w:shd w:val="clear" w:color="auto" w:fill="auto"/>
            <w:vAlign w:val="center"/>
          </w:tcPr>
          <w:p w14:paraId="092834D4">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对于设备出现的异常情况进行报警通知管理，包含通知配置和通知模板，具体如下：</w:t>
            </w:r>
          </w:p>
        </w:tc>
      </w:tr>
      <w:tr w14:paraId="46ED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CFD9F7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87</w:t>
            </w:r>
          </w:p>
        </w:tc>
        <w:tc>
          <w:tcPr>
            <w:tcW w:w="1283" w:type="dxa"/>
            <w:vMerge w:val="continue"/>
            <w:vAlign w:val="center"/>
          </w:tcPr>
          <w:p w14:paraId="077797E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EC8F65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通知配置</w:t>
            </w:r>
          </w:p>
        </w:tc>
        <w:tc>
          <w:tcPr>
            <w:tcW w:w="4899" w:type="dxa"/>
            <w:shd w:val="clear" w:color="auto" w:fill="auto"/>
            <w:vAlign w:val="center"/>
          </w:tcPr>
          <w:p w14:paraId="311EADEF">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通知配置：可新建、导入、导出配置，包含配置ID、名称、类型、服务商，并进行编辑、删除、下载配置、调试和通知记录等操作。</w:t>
            </w:r>
          </w:p>
        </w:tc>
      </w:tr>
      <w:tr w14:paraId="2760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7AA1CD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88</w:t>
            </w:r>
          </w:p>
        </w:tc>
        <w:tc>
          <w:tcPr>
            <w:tcW w:w="1283" w:type="dxa"/>
            <w:vMerge w:val="continue"/>
            <w:vAlign w:val="center"/>
          </w:tcPr>
          <w:p w14:paraId="57AADD3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EC7862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通知模板</w:t>
            </w:r>
          </w:p>
        </w:tc>
        <w:tc>
          <w:tcPr>
            <w:tcW w:w="4899" w:type="dxa"/>
            <w:shd w:val="clear" w:color="auto" w:fill="auto"/>
            <w:vAlign w:val="center"/>
          </w:tcPr>
          <w:p w14:paraId="7DB49B0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通知模板：可新建、导入、导出通知模板，包含模板ID、名称、类型、服务商，并进编辑、删除、下载配置和调试操作。</w:t>
            </w:r>
          </w:p>
        </w:tc>
      </w:tr>
    </w:tbl>
    <w:p w14:paraId="6D80384D">
      <w:pPr>
        <w:rPr>
          <w:color w:val="auto"/>
          <w:highlight w:val="none"/>
        </w:rPr>
      </w:pPr>
    </w:p>
    <w:p w14:paraId="694A4F9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（二）.其他需求清单</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94"/>
        <w:gridCol w:w="3324"/>
        <w:gridCol w:w="1020"/>
        <w:gridCol w:w="561"/>
        <w:gridCol w:w="561"/>
        <w:gridCol w:w="1308"/>
      </w:tblGrid>
      <w:tr w14:paraId="7FD4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Merge w:val="restart"/>
            <w:shd w:val="clear" w:color="000000" w:fill="BFBFBF"/>
            <w:vAlign w:val="center"/>
          </w:tcPr>
          <w:p w14:paraId="64E42526">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0" w:type="auto"/>
            <w:vMerge w:val="restart"/>
            <w:shd w:val="clear" w:color="000000" w:fill="BFBFBF"/>
            <w:vAlign w:val="center"/>
          </w:tcPr>
          <w:p w14:paraId="04F8D151">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设备名称</w:t>
            </w:r>
          </w:p>
        </w:tc>
        <w:tc>
          <w:tcPr>
            <w:tcW w:w="0" w:type="auto"/>
            <w:vMerge w:val="restart"/>
            <w:shd w:val="clear" w:color="000000" w:fill="BFBFBF"/>
            <w:vAlign w:val="center"/>
          </w:tcPr>
          <w:p w14:paraId="51965350">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参数配置</w:t>
            </w:r>
          </w:p>
        </w:tc>
        <w:tc>
          <w:tcPr>
            <w:tcW w:w="0" w:type="auto"/>
            <w:vMerge w:val="restart"/>
            <w:shd w:val="clear" w:color="000000" w:fill="BFBFBF"/>
            <w:vAlign w:val="center"/>
          </w:tcPr>
          <w:p w14:paraId="7395FDA7">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参考品牌</w:t>
            </w:r>
          </w:p>
        </w:tc>
        <w:tc>
          <w:tcPr>
            <w:tcW w:w="0" w:type="auto"/>
            <w:vMerge w:val="restart"/>
            <w:shd w:val="clear" w:color="000000" w:fill="BFBFBF"/>
            <w:vAlign w:val="center"/>
          </w:tcPr>
          <w:p w14:paraId="28F75BF0">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c>
          <w:tcPr>
            <w:tcW w:w="0" w:type="auto"/>
            <w:vMerge w:val="restart"/>
            <w:shd w:val="clear" w:color="000000" w:fill="BFBFBF"/>
            <w:vAlign w:val="center"/>
          </w:tcPr>
          <w:p w14:paraId="216E0501">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c>
          <w:tcPr>
            <w:tcW w:w="0" w:type="auto"/>
            <w:shd w:val="clear" w:color="000000" w:fill="BFBFBF"/>
          </w:tcPr>
          <w:p w14:paraId="392FD739">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14:paraId="11A9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Merge w:val="continue"/>
            <w:shd w:val="clear" w:color="auto" w:fill="auto"/>
            <w:vAlign w:val="center"/>
          </w:tcPr>
          <w:p w14:paraId="31A03CBB">
            <w:pPr>
              <w:widowControl/>
              <w:jc w:val="left"/>
              <w:rPr>
                <w:rFonts w:hint="eastAsia" w:ascii="宋体" w:hAnsi="宋体" w:eastAsia="宋体" w:cs="宋体"/>
                <w:b/>
                <w:bCs/>
                <w:color w:val="auto"/>
                <w:kern w:val="0"/>
                <w:highlight w:val="none"/>
              </w:rPr>
            </w:pPr>
          </w:p>
        </w:tc>
        <w:tc>
          <w:tcPr>
            <w:tcW w:w="0" w:type="auto"/>
            <w:vMerge w:val="continue"/>
            <w:shd w:val="clear" w:color="auto" w:fill="auto"/>
            <w:vAlign w:val="center"/>
          </w:tcPr>
          <w:p w14:paraId="3F6FD19D">
            <w:pPr>
              <w:widowControl/>
              <w:jc w:val="left"/>
              <w:rPr>
                <w:rFonts w:hint="eastAsia" w:ascii="宋体" w:hAnsi="宋体" w:eastAsia="宋体" w:cs="宋体"/>
                <w:b/>
                <w:bCs/>
                <w:color w:val="auto"/>
                <w:kern w:val="0"/>
                <w:highlight w:val="none"/>
              </w:rPr>
            </w:pPr>
          </w:p>
        </w:tc>
        <w:tc>
          <w:tcPr>
            <w:tcW w:w="0" w:type="auto"/>
            <w:vMerge w:val="continue"/>
            <w:shd w:val="clear" w:color="auto" w:fill="auto"/>
            <w:vAlign w:val="center"/>
          </w:tcPr>
          <w:p w14:paraId="311BA1B0">
            <w:pPr>
              <w:widowControl/>
              <w:jc w:val="left"/>
              <w:rPr>
                <w:rFonts w:hint="eastAsia" w:ascii="宋体" w:hAnsi="宋体" w:eastAsia="宋体" w:cs="宋体"/>
                <w:b/>
                <w:bCs/>
                <w:color w:val="auto"/>
                <w:kern w:val="0"/>
                <w:highlight w:val="none"/>
              </w:rPr>
            </w:pPr>
          </w:p>
        </w:tc>
        <w:tc>
          <w:tcPr>
            <w:tcW w:w="0" w:type="auto"/>
            <w:vMerge w:val="continue"/>
            <w:shd w:val="clear" w:color="auto" w:fill="auto"/>
            <w:vAlign w:val="center"/>
          </w:tcPr>
          <w:p w14:paraId="079CD1E2">
            <w:pPr>
              <w:widowControl/>
              <w:jc w:val="left"/>
              <w:rPr>
                <w:rFonts w:hint="eastAsia" w:ascii="宋体" w:hAnsi="宋体" w:eastAsia="宋体" w:cs="宋体"/>
                <w:b/>
                <w:bCs/>
                <w:color w:val="auto"/>
                <w:kern w:val="0"/>
                <w:highlight w:val="none"/>
              </w:rPr>
            </w:pPr>
          </w:p>
        </w:tc>
        <w:tc>
          <w:tcPr>
            <w:tcW w:w="0" w:type="auto"/>
            <w:vMerge w:val="continue"/>
            <w:shd w:val="clear" w:color="auto" w:fill="auto"/>
            <w:vAlign w:val="center"/>
          </w:tcPr>
          <w:p w14:paraId="179C34DB">
            <w:pPr>
              <w:widowControl/>
              <w:jc w:val="left"/>
              <w:rPr>
                <w:rFonts w:hint="eastAsia" w:ascii="宋体" w:hAnsi="宋体" w:eastAsia="宋体" w:cs="宋体"/>
                <w:b/>
                <w:bCs/>
                <w:color w:val="auto"/>
                <w:kern w:val="0"/>
                <w:highlight w:val="none"/>
              </w:rPr>
            </w:pPr>
          </w:p>
        </w:tc>
        <w:tc>
          <w:tcPr>
            <w:tcW w:w="0" w:type="auto"/>
            <w:vMerge w:val="continue"/>
            <w:shd w:val="clear" w:color="auto" w:fill="auto"/>
            <w:vAlign w:val="center"/>
          </w:tcPr>
          <w:p w14:paraId="336BDB20">
            <w:pPr>
              <w:widowControl/>
              <w:jc w:val="left"/>
              <w:rPr>
                <w:rFonts w:hint="eastAsia" w:ascii="宋体" w:hAnsi="宋体" w:eastAsia="宋体" w:cs="宋体"/>
                <w:b/>
                <w:bCs/>
                <w:color w:val="auto"/>
                <w:kern w:val="0"/>
                <w:highlight w:val="none"/>
              </w:rPr>
            </w:pPr>
          </w:p>
        </w:tc>
        <w:tc>
          <w:tcPr>
            <w:tcW w:w="0" w:type="auto"/>
            <w:shd w:val="clear" w:color="000000" w:fill="BFBFBF"/>
          </w:tcPr>
          <w:p w14:paraId="4F4B60BD">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（是否信创等）</w:t>
            </w:r>
          </w:p>
        </w:tc>
      </w:tr>
      <w:tr w14:paraId="57E5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gridSpan w:val="3"/>
            <w:shd w:val="clear" w:color="000000" w:fill="BFBFBF"/>
            <w:vAlign w:val="center"/>
          </w:tcPr>
          <w:p w14:paraId="3219AB47">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一、部署用云资源租赁设备（*3年）</w:t>
            </w:r>
          </w:p>
        </w:tc>
        <w:tc>
          <w:tcPr>
            <w:tcW w:w="0" w:type="auto"/>
            <w:shd w:val="clear" w:color="000000" w:fill="BFBFBF"/>
            <w:vAlign w:val="center"/>
          </w:tcPr>
          <w:p w14:paraId="2595858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tc>
        <w:tc>
          <w:tcPr>
            <w:tcW w:w="0" w:type="auto"/>
            <w:shd w:val="clear" w:color="000000" w:fill="BFBFBF"/>
            <w:vAlign w:val="center"/>
          </w:tcPr>
          <w:p w14:paraId="2EEE3F9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tc>
        <w:tc>
          <w:tcPr>
            <w:tcW w:w="0" w:type="auto"/>
            <w:shd w:val="clear" w:color="000000" w:fill="BFBFBF"/>
            <w:vAlign w:val="center"/>
          </w:tcPr>
          <w:p w14:paraId="351A9928">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tc>
        <w:tc>
          <w:tcPr>
            <w:tcW w:w="0" w:type="auto"/>
            <w:shd w:val="clear" w:color="000000" w:fill="BFBFBF"/>
            <w:vAlign w:val="center"/>
          </w:tcPr>
          <w:p w14:paraId="2E97E6B3">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tc>
      </w:tr>
      <w:tr w14:paraId="5E44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Align w:val="center"/>
          </w:tcPr>
          <w:p w14:paraId="7BA793C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0D97BDF8">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云资源设备1</w:t>
            </w:r>
          </w:p>
        </w:tc>
        <w:tc>
          <w:tcPr>
            <w:tcW w:w="0" w:type="auto"/>
            <w:vAlign w:val="center"/>
          </w:tcPr>
          <w:p w14:paraId="14C8924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cpu8核 内存16g 磁盘500G，共计3年</w:t>
            </w:r>
          </w:p>
        </w:tc>
        <w:tc>
          <w:tcPr>
            <w:tcW w:w="0" w:type="auto"/>
            <w:vAlign w:val="center"/>
          </w:tcPr>
          <w:p w14:paraId="4FA5AE96">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0" w:type="auto"/>
            <w:vAlign w:val="center"/>
          </w:tcPr>
          <w:p w14:paraId="0724942C">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2BF29D1C">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0" w:type="auto"/>
            <w:vAlign w:val="center"/>
          </w:tcPr>
          <w:p w14:paraId="102F1FDC">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w:t>
            </w:r>
          </w:p>
        </w:tc>
      </w:tr>
      <w:tr w14:paraId="1B8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vAlign w:val="center"/>
          </w:tcPr>
          <w:p w14:paraId="3FDEECD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0" w:type="auto"/>
            <w:vAlign w:val="center"/>
          </w:tcPr>
          <w:p w14:paraId="5DAFABCD">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云资源设备2</w:t>
            </w:r>
          </w:p>
        </w:tc>
        <w:tc>
          <w:tcPr>
            <w:tcW w:w="0" w:type="auto"/>
            <w:vAlign w:val="center"/>
          </w:tcPr>
          <w:p w14:paraId="2C3DA54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cpu8核 内存16g 磁盘500G，共计3年</w:t>
            </w:r>
          </w:p>
        </w:tc>
        <w:tc>
          <w:tcPr>
            <w:tcW w:w="0" w:type="auto"/>
            <w:vAlign w:val="center"/>
          </w:tcPr>
          <w:p w14:paraId="5BA63CE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0" w:type="auto"/>
            <w:vAlign w:val="center"/>
          </w:tcPr>
          <w:p w14:paraId="6DFC691F">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75CA206F">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台</w:t>
            </w:r>
          </w:p>
        </w:tc>
        <w:tc>
          <w:tcPr>
            <w:tcW w:w="0" w:type="auto"/>
            <w:vAlign w:val="center"/>
          </w:tcPr>
          <w:p w14:paraId="15CB6A67">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w:t>
            </w:r>
          </w:p>
        </w:tc>
      </w:tr>
      <w:tr w14:paraId="74E0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3"/>
            <w:shd w:val="clear" w:color="000000" w:fill="BFBFBF"/>
            <w:vAlign w:val="center"/>
          </w:tcPr>
          <w:p w14:paraId="5FC9996E">
            <w:pPr>
              <w:widowControl/>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二、系统部署硬件设备</w:t>
            </w:r>
          </w:p>
        </w:tc>
        <w:tc>
          <w:tcPr>
            <w:tcW w:w="0" w:type="auto"/>
            <w:shd w:val="clear" w:color="000000" w:fill="BFBFBF"/>
            <w:vAlign w:val="center"/>
          </w:tcPr>
          <w:p w14:paraId="46224C71">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617690E4">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25535513">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04C47CE3">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r>
      <w:tr w14:paraId="4293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3E5B19D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46FC2E6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云存储</w:t>
            </w:r>
          </w:p>
        </w:tc>
        <w:tc>
          <w:tcPr>
            <w:tcW w:w="0" w:type="auto"/>
            <w:vAlign w:val="center"/>
          </w:tcPr>
          <w:p w14:paraId="60B98A7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非结构化存储空间（oss）</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每TeraByte (TB)字节,1T，共计3年</w:t>
            </w:r>
          </w:p>
        </w:tc>
        <w:tc>
          <w:tcPr>
            <w:tcW w:w="0" w:type="auto"/>
            <w:vAlign w:val="center"/>
          </w:tcPr>
          <w:p w14:paraId="7F684541">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0" w:type="auto"/>
            <w:vAlign w:val="center"/>
          </w:tcPr>
          <w:p w14:paraId="16A8A7B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0" w:type="auto"/>
            <w:vAlign w:val="center"/>
          </w:tcPr>
          <w:p w14:paraId="2D4F2F1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T</w:t>
            </w:r>
          </w:p>
        </w:tc>
        <w:tc>
          <w:tcPr>
            <w:tcW w:w="0" w:type="auto"/>
            <w:vAlign w:val="center"/>
          </w:tcPr>
          <w:p w14:paraId="456C0AD1">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w:t>
            </w:r>
          </w:p>
        </w:tc>
      </w:tr>
      <w:tr w14:paraId="2469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3"/>
            <w:shd w:val="clear" w:color="000000" w:fill="BFBFBF"/>
            <w:vAlign w:val="center"/>
          </w:tcPr>
          <w:p w14:paraId="53BE8936">
            <w:pPr>
              <w:widowControl/>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三、信创软件采购</w:t>
            </w:r>
          </w:p>
        </w:tc>
        <w:tc>
          <w:tcPr>
            <w:tcW w:w="0" w:type="auto"/>
            <w:shd w:val="clear" w:color="000000" w:fill="BFBFBF"/>
            <w:vAlign w:val="center"/>
          </w:tcPr>
          <w:p w14:paraId="4AA022D7">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41CDD5C9">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7EE1C328">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c>
          <w:tcPr>
            <w:tcW w:w="0" w:type="auto"/>
            <w:shd w:val="clear" w:color="000000" w:fill="BFBFBF"/>
            <w:vAlign w:val="center"/>
          </w:tcPr>
          <w:p w14:paraId="20BCAA09">
            <w:pPr>
              <w:widowControl/>
              <w:jc w:val="center"/>
              <w:rPr>
                <w:rFonts w:hint="eastAsia" w:ascii="宋体" w:hAnsi="宋体" w:eastAsia="宋体" w:cs="宋体"/>
                <w:i/>
                <w:iCs/>
                <w:color w:val="auto"/>
                <w:kern w:val="0"/>
                <w:highlight w:val="none"/>
              </w:rPr>
            </w:pPr>
            <w:r>
              <w:rPr>
                <w:rFonts w:hint="eastAsia" w:ascii="宋体" w:hAnsi="宋体" w:eastAsia="宋体" w:cs="宋体"/>
                <w:i/>
                <w:iCs/>
                <w:color w:val="auto"/>
                <w:kern w:val="0"/>
                <w:highlight w:val="none"/>
              </w:rPr>
              <w:t>　</w:t>
            </w:r>
          </w:p>
        </w:tc>
      </w:tr>
      <w:tr w14:paraId="186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3CB8DB7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7A8608DB">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信创操作系统</w:t>
            </w:r>
          </w:p>
        </w:tc>
        <w:tc>
          <w:tcPr>
            <w:tcW w:w="0" w:type="auto"/>
            <w:vAlign w:val="center"/>
          </w:tcPr>
          <w:p w14:paraId="38294E0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每台ECS计费，默认随ECS一起开通，共计3年</w:t>
            </w:r>
          </w:p>
        </w:tc>
        <w:tc>
          <w:tcPr>
            <w:tcW w:w="0" w:type="auto"/>
            <w:vAlign w:val="center"/>
          </w:tcPr>
          <w:p w14:paraId="347F1981">
            <w:pPr>
              <w:widowControl/>
              <w:jc w:val="left"/>
              <w:rPr>
                <w:rFonts w:hint="eastAsia" w:ascii="宋体" w:hAnsi="宋体" w:eastAsia="宋体" w:cs="宋体"/>
                <w:color w:val="auto"/>
                <w:kern w:val="0"/>
                <w:highlight w:val="none"/>
              </w:rPr>
            </w:pPr>
          </w:p>
        </w:tc>
        <w:tc>
          <w:tcPr>
            <w:tcW w:w="0" w:type="auto"/>
            <w:vAlign w:val="center"/>
          </w:tcPr>
          <w:p w14:paraId="4A916E7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0" w:type="auto"/>
            <w:vAlign w:val="center"/>
          </w:tcPr>
          <w:p w14:paraId="7935BAA3">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0" w:type="auto"/>
            <w:vAlign w:val="center"/>
          </w:tcPr>
          <w:p w14:paraId="7A4FD7DD">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w:t>
            </w:r>
          </w:p>
        </w:tc>
      </w:tr>
      <w:tr w14:paraId="106B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7E74167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0" w:type="auto"/>
            <w:vAlign w:val="center"/>
          </w:tcPr>
          <w:p w14:paraId="067D6A1B">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信创数据库</w:t>
            </w:r>
          </w:p>
        </w:tc>
        <w:tc>
          <w:tcPr>
            <w:tcW w:w="0" w:type="auto"/>
            <w:vAlign w:val="center"/>
          </w:tcPr>
          <w:p w14:paraId="08643F6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每台ECS计费，共计3年</w:t>
            </w:r>
          </w:p>
        </w:tc>
        <w:tc>
          <w:tcPr>
            <w:tcW w:w="0" w:type="auto"/>
            <w:vAlign w:val="center"/>
          </w:tcPr>
          <w:p w14:paraId="4F60CA69">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0" w:type="auto"/>
            <w:vAlign w:val="center"/>
          </w:tcPr>
          <w:p w14:paraId="10DE9A3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0" w:type="auto"/>
            <w:vAlign w:val="center"/>
          </w:tcPr>
          <w:p w14:paraId="47E3C940">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0" w:type="auto"/>
            <w:vAlign w:val="center"/>
          </w:tcPr>
          <w:p w14:paraId="69CF0FF7">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w:t>
            </w:r>
          </w:p>
        </w:tc>
      </w:tr>
      <w:tr w14:paraId="4BB8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gridSpan w:val="3"/>
            <w:shd w:val="clear" w:color="auto" w:fill="BEBEBE" w:themeFill="background1" w:themeFillShade="BF"/>
            <w:vAlign w:val="center"/>
          </w:tcPr>
          <w:p w14:paraId="3A9533F2">
            <w:pPr>
              <w:widowControl/>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四、系统测评服务</w:t>
            </w:r>
          </w:p>
        </w:tc>
        <w:tc>
          <w:tcPr>
            <w:tcW w:w="0" w:type="auto"/>
            <w:shd w:val="clear" w:color="auto" w:fill="BEBEBE" w:themeFill="background1" w:themeFillShade="BF"/>
            <w:vAlign w:val="center"/>
          </w:tcPr>
          <w:p w14:paraId="00B4F25A">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426A83C5">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0DB81B3B">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46C15AC5">
            <w:pPr>
              <w:widowControl/>
              <w:jc w:val="center"/>
              <w:rPr>
                <w:rFonts w:hint="eastAsia" w:ascii="宋体" w:hAnsi="宋体" w:eastAsia="宋体" w:cs="宋体"/>
                <w:color w:val="auto"/>
                <w:kern w:val="0"/>
                <w:highlight w:val="none"/>
              </w:rPr>
            </w:pPr>
          </w:p>
        </w:tc>
      </w:tr>
      <w:tr w14:paraId="7875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6997034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2A35BB1B">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二级等保测评</w:t>
            </w:r>
          </w:p>
        </w:tc>
        <w:tc>
          <w:tcPr>
            <w:tcW w:w="0" w:type="auto"/>
            <w:vAlign w:val="center"/>
          </w:tcPr>
          <w:p w14:paraId="239EEB2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为系统提供网络安全二级等保检测服务。</w:t>
            </w:r>
          </w:p>
        </w:tc>
        <w:tc>
          <w:tcPr>
            <w:tcW w:w="0" w:type="auto"/>
            <w:vAlign w:val="center"/>
          </w:tcPr>
          <w:p w14:paraId="1BA06538">
            <w:pPr>
              <w:widowControl/>
              <w:ind w:right="630"/>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0" w:type="auto"/>
            <w:vAlign w:val="center"/>
          </w:tcPr>
          <w:p w14:paraId="1C42664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678EABEF">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套</w:t>
            </w:r>
          </w:p>
        </w:tc>
        <w:tc>
          <w:tcPr>
            <w:tcW w:w="0" w:type="auto"/>
            <w:vAlign w:val="center"/>
          </w:tcPr>
          <w:p w14:paraId="035B2585">
            <w:pPr>
              <w:widowControl/>
              <w:jc w:val="center"/>
              <w:rPr>
                <w:rFonts w:hint="eastAsia" w:ascii="宋体" w:hAnsi="宋体" w:eastAsia="宋体" w:cs="宋体"/>
                <w:color w:val="auto"/>
                <w:kern w:val="0"/>
                <w:highlight w:val="none"/>
              </w:rPr>
            </w:pPr>
          </w:p>
        </w:tc>
      </w:tr>
      <w:tr w14:paraId="3CB7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gridSpan w:val="3"/>
            <w:shd w:val="clear" w:color="auto" w:fill="BEBEBE" w:themeFill="background1" w:themeFillShade="BF"/>
            <w:vAlign w:val="center"/>
          </w:tcPr>
          <w:p w14:paraId="0A16D606">
            <w:pPr>
              <w:widowControl/>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五、其他服务</w:t>
            </w:r>
          </w:p>
        </w:tc>
        <w:tc>
          <w:tcPr>
            <w:tcW w:w="0" w:type="auto"/>
            <w:shd w:val="clear" w:color="auto" w:fill="BEBEBE" w:themeFill="background1" w:themeFillShade="BF"/>
            <w:vAlign w:val="center"/>
          </w:tcPr>
          <w:p w14:paraId="737D72B3">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394B3E4B">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08855AA2">
            <w:pPr>
              <w:widowControl/>
              <w:jc w:val="center"/>
              <w:rPr>
                <w:rFonts w:hint="eastAsia" w:ascii="宋体" w:hAnsi="宋体" w:eastAsia="宋体" w:cs="宋体"/>
                <w:color w:val="auto"/>
                <w:kern w:val="0"/>
                <w:highlight w:val="none"/>
              </w:rPr>
            </w:pPr>
          </w:p>
        </w:tc>
        <w:tc>
          <w:tcPr>
            <w:tcW w:w="0" w:type="auto"/>
            <w:shd w:val="clear" w:color="auto" w:fill="BEBEBE" w:themeFill="background1" w:themeFillShade="BF"/>
            <w:vAlign w:val="center"/>
          </w:tcPr>
          <w:p w14:paraId="68A2C17F">
            <w:pPr>
              <w:widowControl/>
              <w:jc w:val="center"/>
              <w:rPr>
                <w:rFonts w:hint="eastAsia" w:ascii="宋体" w:hAnsi="宋体" w:eastAsia="宋体" w:cs="宋体"/>
                <w:color w:val="auto"/>
                <w:kern w:val="0"/>
                <w:highlight w:val="none"/>
              </w:rPr>
            </w:pPr>
          </w:p>
        </w:tc>
      </w:tr>
      <w:tr w14:paraId="6315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4038550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6DD5155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运营维护</w:t>
            </w:r>
          </w:p>
        </w:tc>
        <w:tc>
          <w:tcPr>
            <w:tcW w:w="0" w:type="auto"/>
            <w:vAlign w:val="center"/>
          </w:tcPr>
          <w:p w14:paraId="5D52E86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项目运营维护服务3年</w:t>
            </w:r>
          </w:p>
        </w:tc>
        <w:tc>
          <w:tcPr>
            <w:tcW w:w="0" w:type="auto"/>
            <w:vAlign w:val="center"/>
          </w:tcPr>
          <w:p w14:paraId="79616424">
            <w:pPr>
              <w:widowControl/>
              <w:jc w:val="center"/>
              <w:rPr>
                <w:rFonts w:hint="eastAsia" w:ascii="宋体" w:hAnsi="宋体" w:eastAsia="宋体" w:cs="宋体"/>
                <w:color w:val="auto"/>
                <w:kern w:val="0"/>
                <w:highlight w:val="none"/>
              </w:rPr>
            </w:pPr>
          </w:p>
        </w:tc>
        <w:tc>
          <w:tcPr>
            <w:tcW w:w="0" w:type="auto"/>
            <w:vAlign w:val="center"/>
          </w:tcPr>
          <w:p w14:paraId="2FD9FCE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0" w:type="auto"/>
            <w:vAlign w:val="center"/>
          </w:tcPr>
          <w:p w14:paraId="36688BD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w:t>
            </w:r>
          </w:p>
        </w:tc>
        <w:tc>
          <w:tcPr>
            <w:tcW w:w="0" w:type="auto"/>
            <w:vAlign w:val="center"/>
          </w:tcPr>
          <w:p w14:paraId="18E124A3">
            <w:pPr>
              <w:widowControl/>
              <w:jc w:val="center"/>
              <w:rPr>
                <w:rFonts w:hint="eastAsia" w:ascii="宋体" w:hAnsi="宋体" w:eastAsia="宋体" w:cs="宋体"/>
                <w:color w:val="auto"/>
                <w:kern w:val="0"/>
                <w:highlight w:val="none"/>
              </w:rPr>
            </w:pPr>
          </w:p>
        </w:tc>
      </w:tr>
    </w:tbl>
    <w:p w14:paraId="052960FB">
      <w:pPr>
        <w:rPr>
          <w:color w:val="auto"/>
          <w:highlight w:val="none"/>
        </w:rPr>
      </w:pPr>
    </w:p>
    <w:p w14:paraId="2D85BD3F">
      <w:pPr>
        <w:rPr>
          <w:color w:val="auto"/>
          <w:highlight w:val="none"/>
        </w:rPr>
      </w:pPr>
    </w:p>
    <w:p w14:paraId="68C18505">
      <w:pPr>
        <w:pStyle w:val="4"/>
        <w:spacing w:line="360" w:lineRule="auto"/>
        <w:jc w:val="center"/>
        <w:rPr>
          <w:rFonts w:hAnsi="宋体"/>
          <w:color w:val="auto"/>
          <w:kern w:val="0"/>
          <w:highlight w:val="none"/>
        </w:rPr>
      </w:pPr>
      <w:r>
        <w:rPr>
          <w:rFonts w:hint="eastAsia" w:hAnsi="宋体"/>
          <w:color w:val="auto"/>
          <w:kern w:val="0"/>
          <w:highlight w:val="none"/>
        </w:rPr>
        <w:t>第三章　软件开发相关要求</w:t>
      </w:r>
    </w:p>
    <w:p w14:paraId="661F0ECE">
      <w:pPr>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软件知识产权归属</w:t>
      </w:r>
    </w:p>
    <w:p w14:paraId="7F05C592">
      <w:pPr>
        <w:spacing w:line="360" w:lineRule="auto"/>
        <w:ind w:firstLine="480"/>
        <w:rPr>
          <w:rFonts w:ascii="宋体" w:hAnsi="宋体"/>
          <w:color w:val="auto"/>
          <w:sz w:val="24"/>
          <w:highlight w:val="none"/>
        </w:rPr>
      </w:pPr>
      <w:r>
        <w:rPr>
          <w:rFonts w:hint="eastAsia" w:ascii="宋体" w:hAnsi="宋体"/>
          <w:color w:val="auto"/>
          <w:sz w:val="24"/>
          <w:highlight w:val="none"/>
        </w:rPr>
        <w:t>软件知识产权归属采购人所有。</w:t>
      </w:r>
    </w:p>
    <w:p w14:paraId="6A5D5D7F">
      <w:pPr>
        <w:spacing w:line="360" w:lineRule="auto"/>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、数据安全</w:t>
      </w:r>
    </w:p>
    <w:p w14:paraId="692EE8E3">
      <w:pPr>
        <w:spacing w:line="360" w:lineRule="auto"/>
        <w:ind w:firstLine="480"/>
        <w:rPr>
          <w:rFonts w:ascii="宋体" w:hAnsi="宋体"/>
          <w:color w:val="auto"/>
          <w:sz w:val="24"/>
          <w:highlight w:val="none"/>
        </w:rPr>
      </w:pPr>
      <w:r>
        <w:rPr>
          <w:rFonts w:ascii="宋体" w:hAnsi="宋体"/>
          <w:color w:val="auto"/>
          <w:sz w:val="24"/>
          <w:highlight w:val="none"/>
        </w:rPr>
        <w:t>软件应安全、准确、可靠，具有高可用性功能(或容错功能)，能够长时间不间断运行，能够防止不良侵害发生、降低故障发生率，确保安全生产。</w:t>
      </w:r>
    </w:p>
    <w:p w14:paraId="139374C7">
      <w:pPr>
        <w:spacing w:line="360" w:lineRule="auto"/>
        <w:ind w:firstLine="480"/>
        <w:rPr>
          <w:rFonts w:ascii="宋体" w:hAnsi="宋体"/>
          <w:color w:val="auto"/>
          <w:sz w:val="24"/>
          <w:highlight w:val="none"/>
        </w:rPr>
      </w:pPr>
      <w:r>
        <w:rPr>
          <w:rFonts w:ascii="宋体" w:hAnsi="宋体"/>
          <w:color w:val="auto"/>
          <w:sz w:val="24"/>
          <w:highlight w:val="none"/>
        </w:rPr>
        <w:t>软件要具有较强的硬件规模扩展能力。</w:t>
      </w:r>
    </w:p>
    <w:p w14:paraId="0D26F003">
      <w:pPr>
        <w:spacing w:line="360" w:lineRule="auto"/>
        <w:ind w:firstLine="480"/>
        <w:rPr>
          <w:rFonts w:ascii="宋体" w:hAnsi="宋体"/>
          <w:color w:val="auto"/>
          <w:sz w:val="24"/>
          <w:highlight w:val="none"/>
        </w:rPr>
      </w:pPr>
      <w:r>
        <w:rPr>
          <w:rFonts w:ascii="宋体" w:hAnsi="宋体"/>
          <w:color w:val="auto"/>
          <w:sz w:val="24"/>
          <w:highlight w:val="none"/>
        </w:rPr>
        <w:t>软件对硬件要具有相对独立性。</w:t>
      </w:r>
    </w:p>
    <w:p w14:paraId="3A9CEAB8">
      <w:pPr>
        <w:spacing w:line="360" w:lineRule="auto"/>
        <w:ind w:firstLine="480"/>
        <w:rPr>
          <w:rFonts w:ascii="宋体" w:hAnsi="宋体"/>
          <w:color w:val="auto"/>
          <w:sz w:val="24"/>
          <w:highlight w:val="none"/>
        </w:rPr>
      </w:pPr>
      <w:r>
        <w:rPr>
          <w:rFonts w:ascii="宋体" w:hAnsi="宋体"/>
          <w:color w:val="auto"/>
          <w:sz w:val="24"/>
          <w:highlight w:val="none"/>
        </w:rPr>
        <w:t>软件本身要具有良好的扩展能力，具备高度的可伸缩扩充能力。</w:t>
      </w:r>
    </w:p>
    <w:p w14:paraId="375334AB">
      <w:pPr>
        <w:spacing w:line="360" w:lineRule="auto"/>
        <w:ind w:firstLine="480"/>
        <w:rPr>
          <w:rFonts w:ascii="宋体" w:hAnsi="宋体"/>
          <w:color w:val="auto"/>
          <w:sz w:val="24"/>
          <w:highlight w:val="none"/>
        </w:rPr>
      </w:pPr>
      <w:r>
        <w:rPr>
          <w:rFonts w:ascii="宋体" w:hAnsi="宋体"/>
          <w:color w:val="auto"/>
          <w:sz w:val="24"/>
          <w:highlight w:val="none"/>
        </w:rPr>
        <w:t>软件要具有良好的负载均衡能力。</w:t>
      </w:r>
    </w:p>
    <w:p w14:paraId="1B5BC239">
      <w:pPr>
        <w:spacing w:line="360" w:lineRule="auto"/>
        <w:ind w:firstLine="480"/>
        <w:rPr>
          <w:rFonts w:ascii="宋体" w:hAnsi="宋体"/>
          <w:color w:val="auto"/>
          <w:sz w:val="24"/>
          <w:highlight w:val="none"/>
        </w:rPr>
      </w:pPr>
      <w:r>
        <w:rPr>
          <w:rFonts w:ascii="宋体" w:hAnsi="宋体"/>
          <w:color w:val="auto"/>
          <w:sz w:val="24"/>
          <w:highlight w:val="none"/>
        </w:rPr>
        <w:t>软件具有可维护性，系统设置要方便灵活。</w:t>
      </w:r>
    </w:p>
    <w:p w14:paraId="0DB05040">
      <w:pPr>
        <w:spacing w:line="360" w:lineRule="auto"/>
        <w:ind w:firstLine="480"/>
        <w:rPr>
          <w:rFonts w:ascii="宋体" w:hAnsi="宋体"/>
          <w:color w:val="auto"/>
          <w:sz w:val="24"/>
          <w:highlight w:val="none"/>
        </w:rPr>
      </w:pPr>
      <w:r>
        <w:rPr>
          <w:rFonts w:ascii="宋体" w:hAnsi="宋体"/>
          <w:color w:val="auto"/>
          <w:sz w:val="24"/>
          <w:highlight w:val="none"/>
        </w:rPr>
        <w:t>软件应提供符合业务规范的数据接口，以实现与其它系统的连接，支持一致性数据模型，保证数据的一致性、完整性。</w:t>
      </w:r>
    </w:p>
    <w:p w14:paraId="4FF3F441">
      <w:pPr>
        <w:spacing w:line="360" w:lineRule="auto"/>
        <w:ind w:firstLine="480"/>
        <w:rPr>
          <w:rFonts w:ascii="宋体" w:hAnsi="宋体"/>
          <w:color w:val="auto"/>
          <w:sz w:val="24"/>
          <w:highlight w:val="none"/>
        </w:rPr>
      </w:pPr>
      <w:r>
        <w:rPr>
          <w:rFonts w:ascii="宋体" w:hAnsi="宋体"/>
          <w:color w:val="auto"/>
          <w:sz w:val="24"/>
          <w:highlight w:val="none"/>
        </w:rPr>
        <w:t>软件设计面向数据，而不是面向流程，易于系统的构造和重组织。</w:t>
      </w:r>
    </w:p>
    <w:p w14:paraId="109FCFEE">
      <w:pPr>
        <w:spacing w:line="360" w:lineRule="auto"/>
        <w:ind w:firstLine="480"/>
        <w:rPr>
          <w:rFonts w:ascii="宋体" w:hAnsi="宋体"/>
          <w:color w:val="auto"/>
          <w:sz w:val="24"/>
          <w:highlight w:val="none"/>
        </w:rPr>
      </w:pPr>
      <w:r>
        <w:rPr>
          <w:rFonts w:ascii="宋体" w:hAnsi="宋体"/>
          <w:color w:val="auto"/>
          <w:sz w:val="24"/>
          <w:highlight w:val="none"/>
        </w:rPr>
        <w:t>软件应能实现数据和处理结果的备份和管理。</w:t>
      </w:r>
    </w:p>
    <w:p w14:paraId="04DDF362">
      <w:pPr>
        <w:spacing w:line="360" w:lineRule="auto"/>
        <w:ind w:firstLine="480"/>
        <w:rPr>
          <w:rFonts w:ascii="宋体" w:hAnsi="宋体"/>
          <w:color w:val="auto"/>
          <w:sz w:val="24"/>
          <w:highlight w:val="none"/>
        </w:rPr>
      </w:pPr>
      <w:r>
        <w:rPr>
          <w:rFonts w:ascii="宋体" w:hAnsi="宋体"/>
          <w:color w:val="auto"/>
          <w:sz w:val="24"/>
          <w:highlight w:val="none"/>
        </w:rPr>
        <w:t>软件能够保护投资，前后期的投资有效衔接。</w:t>
      </w:r>
    </w:p>
    <w:p w14:paraId="2FEF807E">
      <w:pPr>
        <w:spacing w:line="360" w:lineRule="auto"/>
        <w:ind w:firstLine="480"/>
        <w:rPr>
          <w:rFonts w:ascii="宋体" w:hAnsi="宋体"/>
          <w:color w:val="auto"/>
          <w:sz w:val="24"/>
          <w:highlight w:val="none"/>
        </w:rPr>
      </w:pPr>
      <w:r>
        <w:rPr>
          <w:rFonts w:ascii="宋体" w:hAnsi="宋体"/>
          <w:color w:val="auto"/>
          <w:sz w:val="24"/>
          <w:highlight w:val="none"/>
        </w:rPr>
        <w:t>系统设计要做到代码标准化、模块标准化、文档标准化、测试标准化和信息标准化。</w:t>
      </w:r>
    </w:p>
    <w:p w14:paraId="015F955C">
      <w:pPr>
        <w:wordWrap w:val="0"/>
        <w:spacing w:line="360" w:lineRule="auto"/>
        <w:ind w:firstLine="48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中标人须保证系统通过信息安全技术网络等级保护要求（GB/T22239-2019）第二级安全要求,若在此期间国家颁布最新等保标准，则中标人须按最新标准执行并通过相应评测要求。</w:t>
      </w:r>
    </w:p>
    <w:p w14:paraId="344D0CD0">
      <w:pPr>
        <w:pStyle w:val="4"/>
        <w:spacing w:line="360" w:lineRule="auto"/>
        <w:jc w:val="center"/>
        <w:rPr>
          <w:rFonts w:hAnsi="宋体"/>
          <w:color w:val="auto"/>
          <w:kern w:val="0"/>
          <w:highlight w:val="none"/>
        </w:rPr>
      </w:pPr>
      <w:r>
        <w:rPr>
          <w:rFonts w:hint="eastAsia" w:hAnsi="宋体"/>
          <w:color w:val="auto"/>
          <w:kern w:val="0"/>
          <w:highlight w:val="none"/>
        </w:rPr>
        <w:t>第四章　软件及设备安装、调试、工期</w:t>
      </w:r>
    </w:p>
    <w:p w14:paraId="647BF8F3">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1、中标人需按采购人的要求和国家及行业规范负责设备安装和调试及试运行。</w:t>
      </w:r>
    </w:p>
    <w:p w14:paraId="79B8D925">
      <w:pPr>
        <w:spacing w:line="360" w:lineRule="auto"/>
        <w:ind w:firstLine="480" w:firstLineChars="200"/>
        <w:rPr>
          <w:color w:val="auto"/>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、软硬件工期：项目建设周期为</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内完成软硬件的供货、安装及调试、系统测试和上线试运行，并在试运行</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后完成项目验收。项目验收合格并交付使用后，提供三年维护服务，质保期内维护服务费用包含在投标价内。</w:t>
      </w:r>
    </w:p>
    <w:p w14:paraId="1EC1DBDC">
      <w:pPr>
        <w:pStyle w:val="5"/>
        <w:spacing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、若中标人未在规定时间内完成软件开发试运行的，采购人有权终止合同并要求中标人赔偿由此造成的损失。</w:t>
      </w:r>
    </w:p>
    <w:p w14:paraId="3AEB9BC6">
      <w:pPr>
        <w:pStyle w:val="5"/>
        <w:spacing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、安装及测试要求</w:t>
      </w:r>
    </w:p>
    <w:p w14:paraId="35254108">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（1）要求具有完整的系统测试计划，包括根据用户需求编写的，遍及系统全部功能、性能的测试用例，合理的测试方案和测试方法。要求保留完整的测试报告。</w:t>
      </w:r>
    </w:p>
    <w:p w14:paraId="34CD09B3">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（2）包括单元测试、集成测试、系统测试和压力测试。</w:t>
      </w:r>
    </w:p>
    <w:p w14:paraId="122F9625">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（3）测试过程要用户单位组织相关人员同参与。测试计划要详细描述针对各项测试，项目建设单位、集成商以及相关单位如何参与，如何配合，包括各单位职责和分工界面等内容描述。</w:t>
      </w:r>
    </w:p>
    <w:p w14:paraId="0054E76C">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（4）在安装、配置和测试、调试过程中,中标人应对最终用户技术人员所提出的技术问题,应给予满意的答复。所有测试通过后，在系统连续成功稳定试运行</w:t>
      </w:r>
      <w:r>
        <w:rPr>
          <w:rFonts w:ascii="宋体" w:hAnsi="宋体" w:cs="宋体"/>
          <w:snapToGrid w:val="0"/>
          <w:color w:val="auto"/>
          <w:kern w:val="0"/>
          <w:sz w:val="24"/>
          <w:highlight w:val="none"/>
        </w:rPr>
        <w:t>90</w:t>
      </w:r>
      <w:r>
        <w:rPr>
          <w:rFonts w:hint="eastAsia" w:ascii="宋体" w:hAnsi="宋体" w:cs="宋体"/>
          <w:snapToGrid w:val="0"/>
          <w:color w:val="auto"/>
          <w:kern w:val="0"/>
          <w:sz w:val="24"/>
          <w:highlight w:val="none"/>
        </w:rPr>
        <w:t>天后进行项目验收。</w:t>
      </w:r>
    </w:p>
    <w:p w14:paraId="5A598DCB">
      <w:pPr>
        <w:pStyle w:val="4"/>
        <w:spacing w:line="360" w:lineRule="auto"/>
        <w:jc w:val="center"/>
        <w:rPr>
          <w:rFonts w:hAnsi="宋体"/>
          <w:color w:val="auto"/>
          <w:kern w:val="0"/>
          <w:highlight w:val="none"/>
        </w:rPr>
      </w:pPr>
      <w:r>
        <w:rPr>
          <w:rFonts w:hint="eastAsia" w:hAnsi="宋体"/>
          <w:color w:val="auto"/>
          <w:kern w:val="0"/>
          <w:highlight w:val="none"/>
        </w:rPr>
        <w:t>第五章　项目验收要求</w:t>
      </w:r>
    </w:p>
    <w:p w14:paraId="41A86274">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项目的验收包括初步验收、试运行和终验。</w:t>
      </w:r>
    </w:p>
    <w:p w14:paraId="4E59297B">
      <w:pPr>
        <w:pStyle w:val="33"/>
        <w:numPr>
          <w:ilvl w:val="0"/>
          <w:numId w:val="17"/>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项目建设周期</w:t>
      </w:r>
    </w:p>
    <w:p w14:paraId="652F4A17">
      <w:pPr>
        <w:spacing w:line="360" w:lineRule="auto"/>
        <w:ind w:firstLine="480" w:firstLineChars="200"/>
        <w:rPr>
          <w:color w:val="auto"/>
          <w:highlight w:val="none"/>
        </w:rPr>
      </w:pPr>
      <w:r>
        <w:rPr>
          <w:rFonts w:hint="eastAsia" w:ascii="宋体" w:hAnsi="宋体" w:cs="宋体"/>
          <w:snapToGrid w:val="0"/>
          <w:color w:val="auto"/>
          <w:kern w:val="0"/>
          <w:sz w:val="24"/>
          <w:highlight w:val="none"/>
        </w:rPr>
        <w:t>项目建设周期为</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p>
    <w:p w14:paraId="18340CCE">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、项目初验</w:t>
      </w:r>
    </w:p>
    <w:p w14:paraId="3B1B1E6D">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初验前，中标人应首先对设备及软件进行自测，并将自测报告提交采购人审查。中标人依本合同约定向采购人提交成果及相关文档，并向采购人提出初验申请。采购人接到中标人初验申请后，组织初验，初验合格后联合签署初验报告。</w:t>
      </w:r>
    </w:p>
    <w:p w14:paraId="7A168DD5">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、试运行</w:t>
      </w:r>
    </w:p>
    <w:p w14:paraId="6C1AA0B1">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初验合格后，系统进入试运行，试运行时间为不少于</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p>
    <w:p w14:paraId="36ADD87C">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、终验</w:t>
      </w:r>
    </w:p>
    <w:p w14:paraId="66759357">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设备通过试运行后，中标人向采购人提出终验申请，采购人组织相关单位进行设备及软件的终验。终验通过，进入正式运行阶段。终验收合格的条件必须至少满足以下三个要求：已提供了合同要求的全部设备和资料；试运行时性能满足合同要求；性能测试和试运行验收时出现的问题已被解决。</w:t>
      </w:r>
    </w:p>
    <w:p w14:paraId="7CFB760D">
      <w:pPr>
        <w:pStyle w:val="4"/>
        <w:spacing w:line="360" w:lineRule="auto"/>
        <w:jc w:val="center"/>
        <w:rPr>
          <w:rFonts w:hAnsi="宋体"/>
          <w:color w:val="auto"/>
          <w:kern w:val="0"/>
          <w:highlight w:val="none"/>
        </w:rPr>
      </w:pPr>
      <w:r>
        <w:rPr>
          <w:rFonts w:hint="eastAsia" w:hAnsi="宋体"/>
          <w:color w:val="auto"/>
          <w:kern w:val="0"/>
          <w:highlight w:val="none"/>
        </w:rPr>
        <w:t>第六章　售后服务</w:t>
      </w:r>
    </w:p>
    <w:p w14:paraId="16BEEE29">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、中标人应保证提供自</w:t>
      </w:r>
      <w:r>
        <w:rPr>
          <w:rFonts w:hint="eastAsia" w:ascii="宋体" w:hAnsi="宋体" w:cs="宋体"/>
          <w:snapToGrid w:val="0"/>
          <w:color w:val="auto"/>
          <w:kern w:val="0"/>
          <w:sz w:val="24"/>
          <w:highlight w:val="none"/>
          <w:u w:val="single"/>
        </w:rPr>
        <w:t>项目验收合格并交付使用后</w:t>
      </w:r>
      <w:r>
        <w:rPr>
          <w:rFonts w:hint="eastAsia" w:ascii="宋体" w:hAnsi="宋体" w:cs="宋体"/>
          <w:snapToGrid w:val="0"/>
          <w:color w:val="auto"/>
          <w:kern w:val="0"/>
          <w:sz w:val="24"/>
          <w:highlight w:val="none"/>
        </w:rPr>
        <w:t>起至少</w:t>
      </w:r>
      <w:r>
        <w:rPr>
          <w:rFonts w:hint="eastAsia" w:ascii="宋体" w:hAnsi="宋体" w:cs="宋体"/>
          <w:snapToGrid w:val="0"/>
          <w:color w:val="auto"/>
          <w:kern w:val="0"/>
          <w:sz w:val="24"/>
          <w:highlight w:val="none"/>
          <w:u w:val="single"/>
        </w:rPr>
        <w:t xml:space="preserve"> 三</w:t>
      </w:r>
      <w:r>
        <w:rPr>
          <w:rFonts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年的维护服务。维护服务期内提供免费系统维护，并根据运营情况定期进行系统免费升级。合同期满后，平台开发的所有软件、大数据以及采购清单的硬件均归采购人所有。</w:t>
      </w:r>
    </w:p>
    <w:p w14:paraId="11A3D012">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、响应时效：（1）提供7*24 小时技术服务热线，负责解答用户在软件使用中遇到的问题，并及时提出解决问题的建议和操作方法。（2）中标人对用户的服务要求应在0.5小时内响应，一般问题现场排除故障响应时间小于</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小时，</w:t>
      </w: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小时内恢复系统正常运行。重大技术问题，技术专家2小时内抵达现场，4小时内给予解决；若短期无法解决的，应及时提供应急措施，并提出书面解决方案报业主批准。如果逾期未作出响应，中标人应承担由于故障造成的全部损失，并由此产生的风险和费用由中标人承担</w:t>
      </w:r>
    </w:p>
    <w:p w14:paraId="55AC52CB">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为保证设备正常、安全地运行，技术支持力量和优良的服务是系统正常、安全运行的保障。供应商应据此制定系统详细的技术支持与服务方案，包括服务内容、服务方式、服务响应时间、应急措施及组织结构等。</w:t>
      </w:r>
    </w:p>
    <w:p w14:paraId="0500211E">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、中标人须做出无推诿承诺。即中标人应提供特殊措施，无论由于哪一方产生的问题而使设备或系统发生不正常情况时，并在得到采购人通知后，立即派工程师到场，全力协助用户，使系统尽快恢复正常。</w:t>
      </w:r>
    </w:p>
    <w:p w14:paraId="746133A6">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、因维护不到位等原因造成数据出错或不能完全正常运行的，从不能正常运作的第三天起，按100元/天/点进行相应扣款。</w:t>
      </w:r>
    </w:p>
    <w:p w14:paraId="28FD5DB1">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6、质保期外设备及配件价格：中标人须按本合同设备及配件价格或市场价（以上价格就低计取）进行供应。</w:t>
      </w:r>
    </w:p>
    <w:p w14:paraId="3823136F">
      <w:pPr>
        <w:pStyle w:val="4"/>
        <w:spacing w:line="360" w:lineRule="auto"/>
        <w:jc w:val="center"/>
        <w:rPr>
          <w:rFonts w:hAnsi="宋体"/>
          <w:color w:val="auto"/>
          <w:kern w:val="0"/>
          <w:highlight w:val="none"/>
        </w:rPr>
      </w:pPr>
      <w:r>
        <w:rPr>
          <w:rFonts w:hint="eastAsia" w:hAnsi="宋体"/>
          <w:color w:val="auto"/>
          <w:kern w:val="0"/>
          <w:highlight w:val="none"/>
        </w:rPr>
        <w:t>第七章　培训服务</w:t>
      </w:r>
    </w:p>
    <w:p w14:paraId="5EA9427B">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、中标人必须为采购人提供软件使用、设备操作和管理维护培训，培训形式包括客户现场培训、课堂培训；供应商必须列明相应的培训课程。</w:t>
      </w:r>
    </w:p>
    <w:p w14:paraId="44737A20">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、供应商应在投标文件中提供详细的培训计划，包括培训项目、人数、地点、日程、资料、其它等详细内容，为所有被培训人员提供培训用文字资料和讲义等相关用品。</w:t>
      </w:r>
    </w:p>
    <w:p w14:paraId="0A93F80C">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、技术培训的内容必须包含软件的日常操作和管理维护，以及基本的故障诊断与排错。中标人培训人员必须是公司的资深工程师。</w:t>
      </w:r>
    </w:p>
    <w:p w14:paraId="528C572D">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、培训工作必须在合同生效之后系统试运行之前安排。</w:t>
      </w:r>
    </w:p>
    <w:p w14:paraId="7511549B">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、所有培训费用（含培训教材费），已包括在投标总价中。</w:t>
      </w:r>
    </w:p>
    <w:p w14:paraId="006FDCDD">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、实际培训时间、人数和地点按中标人与采购人商定为准</w:t>
      </w:r>
    </w:p>
    <w:p w14:paraId="141A4511">
      <w:pPr>
        <w:widowControl/>
        <w:jc w:val="left"/>
        <w:rPr>
          <w:rFonts w:hint="eastAsia" w:ascii="宋体" w:hAnsi="宋体" w:eastAsia="宋体" w:cs="宋体"/>
          <w:color w:val="auto"/>
          <w:sz w:val="24"/>
          <w:szCs w:val="24"/>
          <w:highlight w:val="none"/>
        </w:rPr>
      </w:pPr>
    </w:p>
    <w:p w14:paraId="125B7137">
      <w:pPr>
        <w:pStyle w:val="4"/>
        <w:spacing w:line="360" w:lineRule="auto"/>
        <w:jc w:val="center"/>
        <w:rPr>
          <w:rFonts w:hint="default" w:hAnsi="宋体" w:eastAsia="宋体"/>
          <w:color w:val="auto"/>
          <w:kern w:val="0"/>
          <w:highlight w:val="none"/>
          <w:lang w:val="en-US" w:eastAsia="zh-CN"/>
        </w:rPr>
      </w:pPr>
      <w:r>
        <w:rPr>
          <w:rFonts w:hint="eastAsia" w:hAnsi="宋体"/>
          <w:color w:val="auto"/>
          <w:kern w:val="0"/>
          <w:highlight w:val="none"/>
        </w:rPr>
        <w:t>第</w:t>
      </w:r>
      <w:r>
        <w:rPr>
          <w:rFonts w:hint="eastAsia" w:hAnsi="宋体"/>
          <w:color w:val="auto"/>
          <w:kern w:val="0"/>
          <w:highlight w:val="none"/>
          <w:lang w:val="en-US" w:eastAsia="zh-CN"/>
        </w:rPr>
        <w:t>八</w:t>
      </w:r>
      <w:r>
        <w:rPr>
          <w:rFonts w:hint="eastAsia" w:hAnsi="宋体"/>
          <w:color w:val="auto"/>
          <w:kern w:val="0"/>
          <w:highlight w:val="none"/>
        </w:rPr>
        <w:t>章　</w:t>
      </w:r>
      <w:r>
        <w:rPr>
          <w:rFonts w:hint="eastAsia" w:hAnsi="宋体"/>
          <w:color w:val="auto"/>
          <w:kern w:val="0"/>
          <w:highlight w:val="none"/>
          <w:lang w:val="en-US" w:eastAsia="zh-CN"/>
        </w:rPr>
        <w:t>支付方式</w:t>
      </w:r>
    </w:p>
    <w:p w14:paraId="0890F85E">
      <w:pPr>
        <w:pStyle w:val="32"/>
        <w:shd w:val="clear"/>
        <w:spacing w:line="360" w:lineRule="auto"/>
        <w:rPr>
          <w:rFonts w:hint="eastAsia" w:ascii="宋体" w:hAnsi="宋体" w:eastAsia="宋体" w:cs="宋体"/>
          <w:color w:val="auto"/>
          <w:kern w:val="2"/>
          <w:sz w:val="24"/>
          <w:szCs w:val="24"/>
          <w:highlight w:val="none"/>
          <w:shd w:val="clear"/>
          <w:lang w:val="en-US" w:eastAsia="zh-CN" w:bidi="ar-SA"/>
        </w:rPr>
      </w:pPr>
      <w:r>
        <w:rPr>
          <w:rFonts w:hint="eastAsia" w:ascii="宋体" w:hAnsi="宋体" w:eastAsia="宋体" w:cs="宋体"/>
          <w:color w:val="auto"/>
          <w:kern w:val="2"/>
          <w:sz w:val="24"/>
          <w:szCs w:val="24"/>
          <w:highlight w:val="none"/>
          <w:shd w:val="clear"/>
          <w:lang w:val="en-US" w:eastAsia="zh-CN" w:bidi="ar-SA"/>
        </w:rPr>
        <w:t>合同生效以及具备实施条件并收到发票后7个工作日内支付合同价的40%，</w:t>
      </w:r>
      <w:r>
        <w:rPr>
          <w:rFonts w:hint="eastAsia" w:ascii="宋体" w:hAnsi="宋体" w:cs="宋体"/>
          <w:color w:val="auto"/>
          <w:kern w:val="2"/>
          <w:sz w:val="24"/>
          <w:szCs w:val="24"/>
          <w:highlight w:val="none"/>
          <w:shd w:val="clear"/>
          <w:lang w:val="en-US" w:eastAsia="zh-CN" w:bidi="ar-SA"/>
        </w:rPr>
        <w:t>项目通过初验后支付合同价的30%</w:t>
      </w:r>
      <w:r>
        <w:rPr>
          <w:rFonts w:hint="eastAsia" w:ascii="宋体" w:hAnsi="宋体" w:eastAsia="宋体" w:cs="宋体"/>
          <w:color w:val="auto"/>
          <w:kern w:val="2"/>
          <w:sz w:val="24"/>
          <w:szCs w:val="24"/>
          <w:highlight w:val="none"/>
          <w:shd w:val="clear"/>
          <w:lang w:val="en-US" w:eastAsia="zh-CN" w:bidi="ar-SA"/>
        </w:rPr>
        <w:t>，</w:t>
      </w:r>
      <w:r>
        <w:rPr>
          <w:rFonts w:hint="eastAsia" w:ascii="宋体" w:hAnsi="宋体" w:cs="宋体"/>
          <w:color w:val="auto"/>
          <w:kern w:val="2"/>
          <w:sz w:val="24"/>
          <w:szCs w:val="24"/>
          <w:highlight w:val="none"/>
          <w:shd w:val="clear"/>
          <w:lang w:val="en-US" w:eastAsia="zh-CN" w:bidi="ar-SA"/>
        </w:rPr>
        <w:t>项目通过终验后支付合同价的25%并退还履约保证金，</w:t>
      </w:r>
      <w:r>
        <w:rPr>
          <w:rFonts w:hint="eastAsia" w:ascii="宋体" w:hAnsi="宋体" w:eastAsia="宋体" w:cs="宋体"/>
          <w:color w:val="auto"/>
          <w:kern w:val="2"/>
          <w:sz w:val="24"/>
          <w:szCs w:val="24"/>
          <w:highlight w:val="none"/>
          <w:shd w:val="clear"/>
          <w:lang w:val="en-US" w:eastAsia="zh-CN" w:bidi="ar-SA"/>
        </w:rPr>
        <w:t>平台维护期（平台运营）验收结束后支付尾款</w:t>
      </w:r>
      <w:r>
        <w:rPr>
          <w:rFonts w:hint="eastAsia" w:ascii="宋体" w:hAnsi="宋体" w:cs="宋体"/>
          <w:color w:val="auto"/>
          <w:kern w:val="2"/>
          <w:sz w:val="24"/>
          <w:szCs w:val="24"/>
          <w:highlight w:val="none"/>
          <w:shd w:val="clear"/>
          <w:lang w:val="en-US" w:eastAsia="zh-CN" w:bidi="ar-SA"/>
        </w:rPr>
        <w:t>5</w:t>
      </w:r>
      <w:r>
        <w:rPr>
          <w:rFonts w:hint="eastAsia" w:ascii="宋体" w:hAnsi="宋体" w:eastAsia="宋体" w:cs="宋体"/>
          <w:color w:val="auto"/>
          <w:kern w:val="2"/>
          <w:sz w:val="24"/>
          <w:szCs w:val="24"/>
          <w:highlight w:val="none"/>
          <w:shd w:val="clear"/>
          <w:lang w:val="en-US" w:eastAsia="zh-CN" w:bidi="ar-SA"/>
        </w:rPr>
        <w:t>%。</w:t>
      </w:r>
    </w:p>
    <w:p w14:paraId="39AD91C5">
      <w:pPr>
        <w:pStyle w:val="3"/>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rPr>
        <w:br w:type="page"/>
      </w:r>
      <w:bookmarkStart w:id="72" w:name="_Toc2107"/>
      <w:r>
        <w:rPr>
          <w:rFonts w:hint="eastAsia" w:ascii="宋体" w:hAnsi="宋体" w:eastAsia="宋体" w:cs="宋体"/>
          <w:color w:val="auto"/>
          <w:sz w:val="36"/>
          <w:szCs w:val="36"/>
          <w:highlight w:val="none"/>
        </w:rPr>
        <w:t>第四部分 磋商原则及磋商方法</w:t>
      </w:r>
      <w:bookmarkEnd w:id="70"/>
      <w:bookmarkEnd w:id="72"/>
    </w:p>
    <w:p w14:paraId="35AA7D3C">
      <w:pPr>
        <w:pStyle w:val="4"/>
        <w:numPr>
          <w:ilvl w:val="0"/>
          <w:numId w:val="18"/>
        </w:numPr>
        <w:shd w:val="clear"/>
        <w:jc w:val="center"/>
        <w:rPr>
          <w:rFonts w:hint="eastAsia" w:ascii="宋体" w:hAnsi="宋体" w:eastAsia="宋体" w:cs="宋体"/>
          <w:color w:val="auto"/>
          <w:highlight w:val="none"/>
        </w:rPr>
      </w:pPr>
      <w:bookmarkStart w:id="73" w:name="_Toc1265"/>
      <w:r>
        <w:rPr>
          <w:rFonts w:hint="eastAsia" w:ascii="宋体" w:hAnsi="宋体" w:eastAsia="宋体" w:cs="宋体"/>
          <w:color w:val="auto"/>
          <w:highlight w:val="none"/>
        </w:rPr>
        <w:t xml:space="preserve"> </w:t>
      </w:r>
      <w:bookmarkStart w:id="74" w:name="_Toc14171"/>
      <w:r>
        <w:rPr>
          <w:rFonts w:hint="eastAsia" w:ascii="宋体" w:hAnsi="宋体" w:eastAsia="宋体" w:cs="宋体"/>
          <w:color w:val="auto"/>
          <w:highlight w:val="none"/>
        </w:rPr>
        <w:t>磋商原则</w:t>
      </w:r>
      <w:bookmarkEnd w:id="73"/>
      <w:bookmarkEnd w:id="74"/>
    </w:p>
    <w:p w14:paraId="753886A0">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6C69B5A4">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1C31FE1C">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7BB284BE">
      <w:pPr>
        <w:pStyle w:val="13"/>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3A41CFEF">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16360130">
      <w:pPr>
        <w:pStyle w:val="13"/>
        <w:shd w:val="clea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6DF88D30">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0D7D11E6">
      <w:pPr>
        <w:pStyle w:val="59"/>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3C2732C4">
      <w:pPr>
        <w:pStyle w:val="59"/>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80F4B3">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78375512">
      <w:pPr>
        <w:pStyle w:val="59"/>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41B1AEA1">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632290E9">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5FFA438F">
      <w:pPr>
        <w:pStyle w:val="4"/>
        <w:numPr>
          <w:ilvl w:val="0"/>
          <w:numId w:val="18"/>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5" w:name="_Toc10093"/>
      <w:bookmarkStart w:id="76" w:name="_Toc31855"/>
      <w:r>
        <w:rPr>
          <w:rFonts w:hint="eastAsia" w:ascii="宋体" w:hAnsi="宋体" w:eastAsia="宋体" w:cs="宋体"/>
          <w:color w:val="auto"/>
          <w:highlight w:val="none"/>
        </w:rPr>
        <w:t>磋商程序</w:t>
      </w:r>
      <w:bookmarkEnd w:id="75"/>
      <w:bookmarkEnd w:id="76"/>
    </w:p>
    <w:p w14:paraId="36DFE54A">
      <w:pPr>
        <w:shd w:val="clea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70234328">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3ECF6095">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3B67A149">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7F2F840A">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1DBB50BD">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73043D75">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0491EF03">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5F901BEF">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202E22B7">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34B32CF4">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0186224C">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169CFAE5">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786299D2">
      <w:pPr>
        <w:widowControl/>
        <w:shd w:val="clea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7ACD9161">
      <w:pPr>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EDE23A">
      <w:pPr>
        <w:pStyle w:val="59"/>
        <w:shd w:val="clear"/>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1C6F6088">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5E0A17B0">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605BF4DA">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067C7469">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367AE208">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16A48797">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3BF694A8">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67912F5">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14C52A10">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E596AC8">
      <w:pPr>
        <w:shd w:val="clea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6E6166F2">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1B0116F4">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3.2最后报价是供应商响应文件的有效组成部分，若最后报价高于响应文件报价文件报价，则以第一次报价计入评分。</w:t>
      </w:r>
    </w:p>
    <w:p w14:paraId="17F0949C">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142B38A4">
      <w:pPr>
        <w:pStyle w:val="5"/>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23D352C3">
      <w:pPr>
        <w:pStyle w:val="5"/>
        <w:shd w:val="clear"/>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5BAFE034">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5B2F37F4">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0F9FD083">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50DADF0E">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3C122DEF">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4383CAE1">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1961F273">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0B6B183D">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7FFFC884">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52126B08">
      <w:pPr>
        <w:shd w:val="clea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27F8C258">
      <w:pPr>
        <w:shd w:val="clea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32045329">
      <w:pPr>
        <w:shd w:val="clea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4DB90686">
      <w:pPr>
        <w:shd w:val="clea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265900A9">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36F35B7">
      <w:pPr>
        <w:pStyle w:val="13"/>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47C4E592">
      <w:pPr>
        <w:pStyle w:val="59"/>
        <w:shd w:val="clear"/>
        <w:spacing w:before="0"/>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0BBE12E1">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7DF683E7">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097CD553">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427C8148">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7FC78AE8">
      <w:pPr>
        <w:pStyle w:val="59"/>
        <w:shd w:val="clear"/>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00BA49CB">
      <w:pPr>
        <w:pStyle w:val="13"/>
        <w:shd w:val="clear"/>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0DEF8BD3">
      <w:pPr>
        <w:pStyle w:val="59"/>
        <w:shd w:val="clear"/>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44D4AB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00F486E4">
      <w:pPr>
        <w:pStyle w:val="4"/>
        <w:numPr>
          <w:ilvl w:val="0"/>
          <w:numId w:val="18"/>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7" w:name="_Toc20874"/>
      <w:bookmarkStart w:id="78" w:name="_Toc12816"/>
      <w:r>
        <w:rPr>
          <w:rFonts w:hint="eastAsia" w:ascii="宋体" w:hAnsi="宋体" w:eastAsia="宋体" w:cs="宋体"/>
          <w:color w:val="auto"/>
          <w:highlight w:val="none"/>
        </w:rPr>
        <w:t>注意事项</w:t>
      </w:r>
      <w:bookmarkEnd w:id="77"/>
      <w:bookmarkEnd w:id="78"/>
    </w:p>
    <w:p w14:paraId="587DF826">
      <w:pPr>
        <w:pStyle w:val="5"/>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2DF4654F">
      <w:pPr>
        <w:pStyle w:val="4"/>
        <w:numPr>
          <w:ilvl w:val="0"/>
          <w:numId w:val="19"/>
        </w:num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9" w:name="_Toc13782"/>
      <w:bookmarkStart w:id="80" w:name="_Toc21029"/>
      <w:r>
        <w:rPr>
          <w:rFonts w:hint="eastAsia" w:ascii="宋体" w:hAnsi="宋体" w:eastAsia="宋体" w:cs="宋体"/>
          <w:color w:val="auto"/>
          <w:highlight w:val="none"/>
        </w:rPr>
        <w:t>评分细则</w:t>
      </w:r>
      <w:bookmarkEnd w:id="79"/>
      <w:bookmarkEnd w:id="80"/>
    </w:p>
    <w:p w14:paraId="1DC9285F">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7E7AD50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728D437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1B66D222">
      <w:pPr>
        <w:shd w:val="clea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陆拾叁万零玖佰</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630900</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p w14:paraId="175A347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79588CD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w:t>
      </w:r>
      <w:r>
        <w:rPr>
          <w:rFonts w:hint="eastAsia" w:ascii="宋体" w:hAnsi="宋体" w:eastAsia="宋体" w:cs="宋体"/>
          <w:color w:val="auto"/>
          <w:highlight w:val="none"/>
        </w:rPr>
        <w:t>最</w:t>
      </w:r>
      <w:r>
        <w:rPr>
          <w:rFonts w:hint="eastAsia" w:ascii="宋体" w:hAnsi="宋体" w:eastAsia="宋体" w:cs="宋体"/>
          <w:color w:val="auto"/>
          <w:sz w:val="24"/>
          <w:szCs w:val="24"/>
          <w:highlight w:val="none"/>
        </w:rPr>
        <w:t>佳报价确定方式：根据所有入围供应商有效报价中的最低报价作为最佳报价。</w:t>
      </w:r>
    </w:p>
    <w:p w14:paraId="7C5166A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61C20EA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0577D6F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650A237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3141F629">
      <w:pPr>
        <w:shd w:val="clea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F35FD0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D1B0F7">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w:t>
      </w:r>
      <w:r>
        <w:rPr>
          <w:rFonts w:hint="eastAsia" w:ascii="宋体" w:hAnsi="宋体" w:eastAsia="宋体" w:cs="宋体"/>
          <w:color w:val="auto"/>
          <w:sz w:val="24"/>
          <w:szCs w:val="21"/>
          <w:highlight w:val="none"/>
          <w:lang w:val="en-US" w:eastAsia="zh-CN"/>
        </w:rPr>
        <w:t>财政部</w:t>
      </w:r>
      <w:r>
        <w:rPr>
          <w:rFonts w:hint="eastAsia" w:ascii="宋体" w:hAnsi="宋体" w:eastAsia="宋体" w:cs="宋体"/>
          <w:color w:val="auto"/>
          <w:sz w:val="24"/>
          <w:szCs w:val="21"/>
          <w:highlight w:val="none"/>
        </w:rPr>
        <w:t>的《关于进一步加大政府采购支持中小企业力度的通知》（</w:t>
      </w:r>
      <w:r>
        <w:rPr>
          <w:rFonts w:hint="eastAsia" w:ascii="宋体" w:hAnsi="宋体" w:eastAsia="宋体" w:cs="宋体"/>
          <w:color w:val="auto"/>
          <w:sz w:val="24"/>
          <w:szCs w:val="21"/>
          <w:highlight w:val="none"/>
          <w:lang w:val="en-US" w:eastAsia="zh-CN"/>
        </w:rPr>
        <w:t>财库</w:t>
      </w:r>
      <w:r>
        <w:rPr>
          <w:rFonts w:hint="eastAsia" w:ascii="宋体" w:hAnsi="宋体" w:eastAsia="宋体" w:cs="宋体"/>
          <w:color w:val="auto"/>
          <w:sz w:val="24"/>
          <w:szCs w:val="21"/>
          <w:highlight w:val="none"/>
        </w:rPr>
        <w:t>〔2022〕</w:t>
      </w:r>
      <w:r>
        <w:rPr>
          <w:rFonts w:hint="eastAsia" w:ascii="宋体" w:hAnsi="宋体" w:eastAsia="宋体" w:cs="宋体"/>
          <w:color w:val="auto"/>
          <w:sz w:val="24"/>
          <w:szCs w:val="21"/>
          <w:highlight w:val="none"/>
          <w:lang w:val="en-US" w:eastAsia="zh-CN"/>
        </w:rPr>
        <w:t>19</w:t>
      </w:r>
      <w:r>
        <w:rPr>
          <w:rFonts w:hint="eastAsia" w:ascii="宋体" w:hAnsi="宋体" w:eastAsia="宋体" w:cs="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给予扣除，用扣除后的价格参加评审。</w:t>
      </w:r>
    </w:p>
    <w:p w14:paraId="4BC8D76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eastAsia="宋体" w:cs="宋体"/>
          <w:color w:val="auto"/>
          <w:sz w:val="24"/>
          <w:szCs w:val="24"/>
          <w:highlight w:val="none"/>
        </w:rPr>
        <w:t>。</w:t>
      </w:r>
    </w:p>
    <w:p w14:paraId="3E17DB61">
      <w:pPr>
        <w:numPr>
          <w:ilvl w:val="0"/>
          <w:numId w:val="20"/>
        </w:numPr>
        <w:shd w:val="clea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p w14:paraId="3451BB4A">
      <w:pPr>
        <w:numPr>
          <w:ilvl w:val="0"/>
          <w:numId w:val="0"/>
        </w:numPr>
        <w:shd w:val="clear"/>
        <w:ind w:firstLine="482" w:firstLineChars="200"/>
        <w:rPr>
          <w:rFonts w:hint="eastAsia"/>
          <w:color w:val="auto"/>
          <w:highlight w:val="none"/>
        </w:rPr>
      </w:pPr>
      <w:r>
        <w:rPr>
          <w:rFonts w:hint="eastAsia" w:ascii="宋体" w:hAnsi="宋体" w:eastAsia="宋体" w:cs="宋体"/>
          <w:b/>
          <w:bCs/>
          <w:color w:val="auto"/>
          <w:sz w:val="24"/>
          <w:szCs w:val="24"/>
          <w:highlight w:val="none"/>
        </w:rPr>
        <w:t>1、技术文件评分细则（</w:t>
      </w:r>
      <w:r>
        <w:rPr>
          <w:rFonts w:hint="eastAsia" w:ascii="宋体" w:hAnsi="宋体" w:cs="宋体"/>
          <w:b/>
          <w:bCs/>
          <w:color w:val="auto"/>
          <w:sz w:val="24"/>
          <w:szCs w:val="24"/>
          <w:highlight w:val="none"/>
          <w:u w:val="none"/>
          <w:lang w:val="en-US" w:eastAsia="zh-CN"/>
        </w:rPr>
        <w:t>71</w:t>
      </w:r>
      <w:r>
        <w:rPr>
          <w:rFonts w:hint="eastAsia" w:ascii="宋体" w:hAnsi="宋体" w:eastAsia="宋体" w:cs="宋体"/>
          <w:b/>
          <w:bCs/>
          <w:color w:val="auto"/>
          <w:sz w:val="24"/>
          <w:szCs w:val="24"/>
          <w:highlight w:val="none"/>
        </w:rPr>
        <w:t>分）</w:t>
      </w:r>
    </w:p>
    <w:tbl>
      <w:tblPr>
        <w:tblStyle w:val="26"/>
        <w:tblpPr w:leftFromText="180" w:rightFromText="180" w:vertAnchor="text" w:horzAnchor="page" w:tblpX="1560" w:tblpY="285"/>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2"/>
        <w:gridCol w:w="1985"/>
        <w:gridCol w:w="4856"/>
        <w:gridCol w:w="883"/>
      </w:tblGrid>
      <w:tr w14:paraId="37A0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Align w:val="bottom"/>
          </w:tcPr>
          <w:p w14:paraId="27D28741">
            <w:pPr>
              <w:spacing w:line="360" w:lineRule="auto"/>
              <w:jc w:val="center"/>
              <w:rPr>
                <w:rFonts w:ascii="宋体" w:hAnsi="宋体" w:cs="宋体"/>
                <w:iCs/>
                <w:color w:val="auto"/>
                <w:sz w:val="24"/>
                <w:szCs w:val="24"/>
                <w:highlight w:val="none"/>
              </w:rPr>
            </w:pPr>
            <w:r>
              <w:rPr>
                <w:rFonts w:hint="eastAsia" w:ascii="宋体" w:hAnsi="宋体" w:cs="宋体"/>
                <w:b/>
                <w:bCs/>
                <w:color w:val="auto"/>
                <w:sz w:val="24"/>
                <w:szCs w:val="24"/>
                <w:highlight w:val="none"/>
              </w:rPr>
              <w:t>评审因素</w:t>
            </w:r>
          </w:p>
        </w:tc>
        <w:tc>
          <w:tcPr>
            <w:tcW w:w="6841" w:type="dxa"/>
            <w:gridSpan w:val="2"/>
            <w:vAlign w:val="bottom"/>
          </w:tcPr>
          <w:p w14:paraId="0C392A2F">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评分标准说明</w:t>
            </w:r>
          </w:p>
        </w:tc>
        <w:tc>
          <w:tcPr>
            <w:tcW w:w="883" w:type="dxa"/>
            <w:vAlign w:val="bottom"/>
          </w:tcPr>
          <w:p w14:paraId="0A76670B">
            <w:pPr>
              <w:spacing w:line="360" w:lineRule="auto"/>
              <w:jc w:val="center"/>
              <w:rPr>
                <w:rFonts w:ascii="宋体" w:hAnsi="宋体" w:cs="宋体"/>
                <w:iCs/>
                <w:color w:val="auto"/>
                <w:sz w:val="24"/>
                <w:szCs w:val="24"/>
                <w:highlight w:val="none"/>
              </w:rPr>
            </w:pPr>
            <w:r>
              <w:rPr>
                <w:rFonts w:hint="eastAsia" w:ascii="宋体" w:hAnsi="宋体" w:cs="宋体"/>
                <w:b/>
                <w:bCs/>
                <w:color w:val="auto"/>
                <w:sz w:val="24"/>
                <w:szCs w:val="24"/>
                <w:highlight w:val="none"/>
              </w:rPr>
              <w:t>分值</w:t>
            </w:r>
          </w:p>
        </w:tc>
      </w:tr>
      <w:tr w14:paraId="2691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restart"/>
            <w:vAlign w:val="bottom"/>
          </w:tcPr>
          <w:p w14:paraId="5C57394E">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系统演示</w:t>
            </w:r>
          </w:p>
        </w:tc>
        <w:tc>
          <w:tcPr>
            <w:tcW w:w="7724" w:type="dxa"/>
            <w:gridSpan w:val="3"/>
            <w:vAlign w:val="center"/>
          </w:tcPr>
          <w:p w14:paraId="66CFBF9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为评估供应商软件开发的能力，紧密结合实际业务，要求供应商对所投软件产品以视频讲解方式进行演示。</w:t>
            </w:r>
          </w:p>
          <w:p w14:paraId="45DCBAA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供应商需采用视频演讲方式进行演示，演示时间不超过2</w:t>
            </w:r>
            <w:r>
              <w:rPr>
                <w:rFonts w:ascii="宋体" w:hAnsi="宋体" w:cs="宋体"/>
                <w:color w:val="auto"/>
                <w:sz w:val="24"/>
                <w:szCs w:val="24"/>
                <w:highlight w:val="none"/>
              </w:rPr>
              <w:t>0</w:t>
            </w:r>
            <w:r>
              <w:rPr>
                <w:rFonts w:hint="eastAsia" w:ascii="宋体" w:hAnsi="宋体" w:cs="宋体"/>
                <w:color w:val="auto"/>
                <w:sz w:val="24"/>
                <w:szCs w:val="24"/>
                <w:highlight w:val="none"/>
              </w:rPr>
              <w:t>分钟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超过演示限定时间的内容不得分（即20分钟以后的演示内容）</w:t>
            </w:r>
            <w:r>
              <w:rPr>
                <w:rFonts w:hint="eastAsia" w:ascii="宋体" w:hAnsi="宋体" w:cs="宋体"/>
                <w:color w:val="auto"/>
                <w:sz w:val="24"/>
                <w:szCs w:val="24"/>
                <w:highlight w:val="none"/>
              </w:rPr>
              <w:t>，没有演示不得分。演示内容须做视频放入U盘中，U盘作为商务技术文件组成部分，演示U盘内容包封、递交方式详见投标须知前附表。</w:t>
            </w:r>
          </w:p>
        </w:tc>
      </w:tr>
      <w:tr w14:paraId="36A7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4AB4DF46">
            <w:pPr>
              <w:spacing w:line="360" w:lineRule="auto"/>
              <w:jc w:val="center"/>
              <w:rPr>
                <w:rFonts w:ascii="宋体" w:hAnsi="宋体" w:cs="宋体"/>
                <w:b/>
                <w:bCs/>
                <w:color w:val="auto"/>
                <w:sz w:val="24"/>
                <w:szCs w:val="24"/>
                <w:highlight w:val="none"/>
              </w:rPr>
            </w:pPr>
          </w:p>
        </w:tc>
        <w:tc>
          <w:tcPr>
            <w:tcW w:w="7724" w:type="dxa"/>
            <w:gridSpan w:val="3"/>
            <w:vAlign w:val="center"/>
          </w:tcPr>
          <w:p w14:paraId="010BA2E8">
            <w:pPr>
              <w:pStyle w:val="13"/>
              <w:spacing w:line="360" w:lineRule="auto"/>
              <w:jc w:val="left"/>
              <w:rPr>
                <w:rFonts w:hAnsi="宋体" w:cs="宋体"/>
                <w:iCs/>
                <w:color w:val="auto"/>
                <w:sz w:val="24"/>
                <w:szCs w:val="24"/>
                <w:highlight w:val="none"/>
              </w:rPr>
            </w:pPr>
            <w:r>
              <w:rPr>
                <w:rFonts w:hint="eastAsia" w:hAnsi="宋体" w:cs="宋体"/>
                <w:iCs/>
                <w:color w:val="auto"/>
                <w:sz w:val="24"/>
                <w:szCs w:val="24"/>
                <w:highlight w:val="none"/>
              </w:rPr>
              <w:t xml:space="preserve"> </w:t>
            </w:r>
            <w:r>
              <w:rPr>
                <w:rFonts w:hAnsi="宋体" w:cs="宋体"/>
                <w:iCs/>
                <w:color w:val="auto"/>
                <w:sz w:val="24"/>
                <w:szCs w:val="24"/>
                <w:highlight w:val="none"/>
              </w:rPr>
              <w:t xml:space="preserve">   </w:t>
            </w:r>
            <w:r>
              <w:rPr>
                <w:rFonts w:hint="eastAsia" w:hAnsi="宋体" w:cs="宋体"/>
                <w:b/>
                <w:bCs/>
                <w:iCs/>
                <w:color w:val="auto"/>
                <w:sz w:val="24"/>
                <w:szCs w:val="24"/>
                <w:highlight w:val="none"/>
              </w:rPr>
              <w:t>一、大数据驾驶舱模块演示。评委根据演示情况进行打分，最高得</w:t>
            </w:r>
            <w:r>
              <w:rPr>
                <w:rFonts w:hAnsi="宋体" w:cs="宋体"/>
                <w:b/>
                <w:bCs/>
                <w:iCs/>
                <w:color w:val="auto"/>
                <w:sz w:val="24"/>
                <w:szCs w:val="24"/>
                <w:highlight w:val="none"/>
              </w:rPr>
              <w:t>8</w:t>
            </w:r>
            <w:r>
              <w:rPr>
                <w:rFonts w:hint="eastAsia" w:hAnsi="宋体" w:cs="宋体"/>
                <w:b/>
                <w:bCs/>
                <w:iCs/>
                <w:color w:val="auto"/>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color w:val="auto"/>
                <w:kern w:val="2"/>
                <w:sz w:val="24"/>
                <w:szCs w:val="24"/>
                <w:highlight w:val="none"/>
                <w:lang w:val="en-US" w:eastAsia="zh-CN" w:bidi="ar"/>
              </w:rPr>
              <w:t>说明：以下内容每项演示满足要求得2分，内容有漏项的得1分。内容与招标需求不匹配的得0.5分，未提供不得分。</w:t>
            </w:r>
            <w:r>
              <w:rPr>
                <w:rFonts w:hint="eastAsia" w:ascii="宋体" w:hAnsi="宋体" w:eastAsia="宋体" w:cs="宋体"/>
                <w:bCs/>
                <w:color w:val="auto"/>
                <w:sz w:val="24"/>
                <w:szCs w:val="24"/>
                <w:highlight w:val="none"/>
              </w:rPr>
              <w:t>】</w:t>
            </w:r>
          </w:p>
        </w:tc>
      </w:tr>
      <w:tr w14:paraId="7DE4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3FA5B7D1">
            <w:pPr>
              <w:spacing w:line="360" w:lineRule="auto"/>
              <w:jc w:val="center"/>
              <w:rPr>
                <w:rFonts w:ascii="宋体" w:hAnsi="宋体" w:cs="宋体"/>
                <w:b/>
                <w:bCs/>
                <w:color w:val="auto"/>
                <w:sz w:val="24"/>
                <w:szCs w:val="24"/>
                <w:highlight w:val="none"/>
              </w:rPr>
            </w:pPr>
          </w:p>
        </w:tc>
        <w:tc>
          <w:tcPr>
            <w:tcW w:w="6841" w:type="dxa"/>
            <w:gridSpan w:val="2"/>
            <w:vAlign w:val="center"/>
          </w:tcPr>
          <w:p w14:paraId="4FBF23B7">
            <w:pPr>
              <w:spacing w:line="360" w:lineRule="auto"/>
              <w:ind w:firstLine="480" w:firstLineChars="200"/>
              <w:rPr>
                <w:rFonts w:ascii="宋体" w:hAnsi="宋体" w:cs="宋体"/>
                <w:b/>
                <w:bCs/>
                <w:color w:val="auto"/>
                <w:sz w:val="24"/>
                <w:szCs w:val="24"/>
                <w:highlight w:val="none"/>
                <w:lang w:bidi="ar"/>
              </w:rPr>
            </w:pPr>
            <w:r>
              <w:rPr>
                <w:rFonts w:hint="eastAsia" w:ascii="宋体" w:hAnsi="宋体" w:cs="宋体"/>
                <w:color w:val="auto"/>
                <w:sz w:val="24"/>
                <w:szCs w:val="24"/>
                <w:highlight w:val="none"/>
                <w:lang w:bidi="ar"/>
              </w:rPr>
              <w:t>垃圾分类驾驶舱围绕综合态势、分类投放态势、分类收运态势、分类处置态势</w:t>
            </w:r>
            <w:r>
              <w:rPr>
                <w:rFonts w:ascii="宋体" w:hAnsi="宋体" w:cs="宋体"/>
                <w:color w:val="auto"/>
                <w:sz w:val="24"/>
                <w:szCs w:val="24"/>
                <w:highlight w:val="none"/>
                <w:lang w:bidi="ar"/>
              </w:rPr>
              <w:t>4大模块展示，不同态势感知下呈现不同数据看板，实现与</w:t>
            </w:r>
            <w:r>
              <w:rPr>
                <w:rFonts w:hint="eastAsia" w:ascii="宋体" w:hAnsi="宋体" w:cs="宋体"/>
                <w:color w:val="auto"/>
                <w:sz w:val="24"/>
                <w:szCs w:val="24"/>
                <w:highlight w:val="none"/>
                <w:lang w:bidi="ar"/>
              </w:rPr>
              <w:t>G</w:t>
            </w:r>
            <w:r>
              <w:rPr>
                <w:rFonts w:ascii="宋体" w:hAnsi="宋体" w:cs="宋体"/>
                <w:color w:val="auto"/>
                <w:sz w:val="24"/>
                <w:szCs w:val="24"/>
                <w:highlight w:val="none"/>
                <w:lang w:bidi="ar"/>
              </w:rPr>
              <w:t>IS地图、城市基础模型的有机结合，实现各类设施、站点、车辆等要素的可视化呈现</w:t>
            </w:r>
            <w:r>
              <w:rPr>
                <w:rFonts w:hint="eastAsia" w:ascii="宋体" w:hAnsi="宋体" w:cs="宋体"/>
                <w:color w:val="auto"/>
                <w:sz w:val="24"/>
                <w:szCs w:val="24"/>
                <w:highlight w:val="none"/>
                <w:lang w:bidi="ar"/>
              </w:rPr>
              <w:t>。</w:t>
            </w:r>
          </w:p>
        </w:tc>
        <w:tc>
          <w:tcPr>
            <w:tcW w:w="883" w:type="dxa"/>
            <w:vAlign w:val="center"/>
          </w:tcPr>
          <w:p w14:paraId="7B6B3B7C">
            <w:pPr>
              <w:pStyle w:val="13"/>
              <w:spacing w:line="360" w:lineRule="auto"/>
              <w:jc w:val="center"/>
              <w:rPr>
                <w:rFonts w:hAnsi="宋体" w:cs="宋体"/>
                <w:iCs/>
                <w:color w:val="auto"/>
                <w:sz w:val="24"/>
                <w:szCs w:val="24"/>
                <w:highlight w:val="none"/>
              </w:rPr>
            </w:pPr>
            <w:r>
              <w:rPr>
                <w:rFonts w:hAnsi="宋体" w:cs="宋体"/>
                <w:iCs/>
                <w:color w:val="auto"/>
                <w:sz w:val="24"/>
                <w:szCs w:val="24"/>
                <w:highlight w:val="none"/>
              </w:rPr>
              <w:t>2</w:t>
            </w:r>
          </w:p>
        </w:tc>
      </w:tr>
      <w:tr w14:paraId="26CA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2FAA2DA1">
            <w:pPr>
              <w:spacing w:line="360" w:lineRule="auto"/>
              <w:jc w:val="center"/>
              <w:rPr>
                <w:rFonts w:ascii="宋体" w:hAnsi="宋体" w:cs="宋体"/>
                <w:b/>
                <w:bCs/>
                <w:color w:val="auto"/>
                <w:sz w:val="24"/>
                <w:szCs w:val="24"/>
                <w:highlight w:val="none"/>
              </w:rPr>
            </w:pPr>
          </w:p>
        </w:tc>
        <w:tc>
          <w:tcPr>
            <w:tcW w:w="6841" w:type="dxa"/>
            <w:gridSpan w:val="2"/>
            <w:vAlign w:val="center"/>
          </w:tcPr>
          <w:p w14:paraId="2158A98A">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分类投放态势感知下围绕投放基本数据、投放量趋势分析、投放量对比、类型占比、示范建设等重要数据进行展示分析，要求数据指标丰富、美观。</w:t>
            </w:r>
          </w:p>
        </w:tc>
        <w:tc>
          <w:tcPr>
            <w:tcW w:w="883" w:type="dxa"/>
            <w:vAlign w:val="center"/>
          </w:tcPr>
          <w:p w14:paraId="59AB1EA1">
            <w:pPr>
              <w:pStyle w:val="13"/>
              <w:spacing w:line="360" w:lineRule="auto"/>
              <w:jc w:val="center"/>
              <w:rPr>
                <w:rFonts w:hAnsi="宋体" w:cs="宋体"/>
                <w:iCs/>
                <w:color w:val="auto"/>
                <w:sz w:val="24"/>
                <w:szCs w:val="24"/>
                <w:highlight w:val="none"/>
              </w:rPr>
            </w:pPr>
            <w:r>
              <w:rPr>
                <w:rFonts w:hAnsi="宋体" w:cs="宋体"/>
                <w:iCs/>
                <w:color w:val="auto"/>
                <w:sz w:val="24"/>
                <w:szCs w:val="24"/>
                <w:highlight w:val="none"/>
              </w:rPr>
              <w:t>2</w:t>
            </w:r>
          </w:p>
        </w:tc>
      </w:tr>
      <w:tr w14:paraId="4D51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2AFCF253">
            <w:pPr>
              <w:spacing w:line="360" w:lineRule="auto"/>
              <w:jc w:val="center"/>
              <w:rPr>
                <w:rFonts w:ascii="宋体" w:hAnsi="宋体" w:cs="宋体"/>
                <w:b/>
                <w:bCs/>
                <w:color w:val="auto"/>
                <w:sz w:val="24"/>
                <w:szCs w:val="24"/>
                <w:highlight w:val="none"/>
              </w:rPr>
            </w:pPr>
          </w:p>
        </w:tc>
        <w:tc>
          <w:tcPr>
            <w:tcW w:w="6841" w:type="dxa"/>
            <w:gridSpan w:val="2"/>
            <w:vAlign w:val="center"/>
          </w:tcPr>
          <w:p w14:paraId="461E0ADD">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分类收运态势感知下围绕围绕收运基本数据、收运线路、路线在线查询、路线信息、今日收运情况等关键数据进行展示分析，要求数据颗粒度精细到每辆收运车。</w:t>
            </w:r>
          </w:p>
        </w:tc>
        <w:tc>
          <w:tcPr>
            <w:tcW w:w="883" w:type="dxa"/>
            <w:vAlign w:val="center"/>
          </w:tcPr>
          <w:p w14:paraId="38C02925">
            <w:pPr>
              <w:pStyle w:val="13"/>
              <w:spacing w:line="360" w:lineRule="auto"/>
              <w:jc w:val="center"/>
              <w:rPr>
                <w:rFonts w:hAnsi="宋体" w:cs="宋体"/>
                <w:iCs/>
                <w:color w:val="auto"/>
                <w:sz w:val="24"/>
                <w:szCs w:val="24"/>
                <w:highlight w:val="none"/>
              </w:rPr>
            </w:pPr>
            <w:r>
              <w:rPr>
                <w:rFonts w:hint="eastAsia" w:hAnsi="宋体" w:cs="宋体"/>
                <w:iCs/>
                <w:color w:val="auto"/>
                <w:sz w:val="24"/>
                <w:szCs w:val="24"/>
                <w:highlight w:val="none"/>
              </w:rPr>
              <w:t>2</w:t>
            </w:r>
          </w:p>
        </w:tc>
      </w:tr>
      <w:tr w14:paraId="02BE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46C699AB">
            <w:pPr>
              <w:spacing w:line="360" w:lineRule="auto"/>
              <w:jc w:val="center"/>
              <w:rPr>
                <w:rFonts w:ascii="宋体" w:hAnsi="宋体" w:cs="宋体"/>
                <w:b/>
                <w:bCs/>
                <w:color w:val="auto"/>
                <w:sz w:val="24"/>
                <w:szCs w:val="24"/>
                <w:highlight w:val="none"/>
              </w:rPr>
            </w:pPr>
          </w:p>
        </w:tc>
        <w:tc>
          <w:tcPr>
            <w:tcW w:w="6841" w:type="dxa"/>
            <w:gridSpan w:val="2"/>
            <w:vAlign w:val="center"/>
          </w:tcPr>
          <w:p w14:paraId="14E268D4">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分类处置态势感知下围绕数据面板模式和溯源模式，分别对处置能力数据、垃圾进场量、环保贡献指标、处置量分析、过磅情况分析等数据进行分析，可通过溯源模式按照垃圾产生、垃圾类型、中转运输、处置末端、处置产物不同环节显示垃圾重量数据流转情况。</w:t>
            </w:r>
          </w:p>
        </w:tc>
        <w:tc>
          <w:tcPr>
            <w:tcW w:w="883" w:type="dxa"/>
            <w:vAlign w:val="center"/>
          </w:tcPr>
          <w:p w14:paraId="535D69C1">
            <w:pPr>
              <w:pStyle w:val="13"/>
              <w:spacing w:line="360" w:lineRule="auto"/>
              <w:jc w:val="center"/>
              <w:rPr>
                <w:rFonts w:hAnsi="宋体" w:cs="宋体"/>
                <w:iCs/>
                <w:color w:val="auto"/>
                <w:sz w:val="24"/>
                <w:szCs w:val="24"/>
                <w:highlight w:val="none"/>
              </w:rPr>
            </w:pPr>
            <w:r>
              <w:rPr>
                <w:rFonts w:hAnsi="宋体" w:cs="宋体"/>
                <w:iCs/>
                <w:color w:val="auto"/>
                <w:sz w:val="24"/>
                <w:szCs w:val="24"/>
                <w:highlight w:val="none"/>
              </w:rPr>
              <w:t>2</w:t>
            </w:r>
          </w:p>
        </w:tc>
      </w:tr>
      <w:tr w14:paraId="2713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3F94E2E0">
            <w:pPr>
              <w:spacing w:line="360" w:lineRule="auto"/>
              <w:jc w:val="center"/>
              <w:rPr>
                <w:rFonts w:ascii="宋体" w:hAnsi="宋体" w:cs="宋体"/>
                <w:b/>
                <w:bCs/>
                <w:color w:val="auto"/>
                <w:sz w:val="24"/>
                <w:szCs w:val="24"/>
                <w:highlight w:val="none"/>
              </w:rPr>
            </w:pPr>
          </w:p>
        </w:tc>
        <w:tc>
          <w:tcPr>
            <w:tcW w:w="7724" w:type="dxa"/>
            <w:gridSpan w:val="3"/>
            <w:vAlign w:val="bottom"/>
          </w:tcPr>
          <w:p w14:paraId="0A0BFDA6">
            <w:pPr>
              <w:spacing w:line="360" w:lineRule="auto"/>
              <w:jc w:val="left"/>
              <w:rPr>
                <w:rFonts w:ascii="宋体" w:hAnsi="宋体" w:cs="宋体"/>
                <w:b/>
                <w:bCs/>
                <w:color w:val="auto"/>
                <w:sz w:val="24"/>
                <w:szCs w:val="24"/>
                <w:highlight w:val="none"/>
              </w:rPr>
            </w:pPr>
            <w:r>
              <w:rPr>
                <w:rFonts w:hint="eastAsia" w:hAnsi="宋体" w:cs="宋体"/>
                <w:b/>
                <w:bCs/>
                <w:iCs/>
                <w:color w:val="auto"/>
                <w:sz w:val="24"/>
                <w:szCs w:val="24"/>
                <w:highlight w:val="none"/>
              </w:rPr>
              <w:t>二、管理后台子系统演示。评委根据演示情况进行打分，最高得</w:t>
            </w:r>
            <w:r>
              <w:rPr>
                <w:rFonts w:hAnsi="宋体" w:cs="宋体"/>
                <w:b/>
                <w:bCs/>
                <w:iCs/>
                <w:color w:val="auto"/>
                <w:sz w:val="24"/>
                <w:szCs w:val="24"/>
                <w:highlight w:val="none"/>
              </w:rPr>
              <w:t>4</w:t>
            </w:r>
            <w:r>
              <w:rPr>
                <w:rFonts w:hint="eastAsia" w:hAnsi="宋体" w:cs="宋体"/>
                <w:b/>
                <w:bCs/>
                <w:iCs/>
                <w:color w:val="auto"/>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color w:val="auto"/>
                <w:kern w:val="2"/>
                <w:sz w:val="24"/>
                <w:szCs w:val="24"/>
                <w:highlight w:val="none"/>
                <w:lang w:val="en-US" w:eastAsia="zh-CN" w:bidi="ar"/>
              </w:rPr>
              <w:t>说明：以下内容每项演示满足要求得2分，内容有漏项的得1分。内容与招标需求不匹配的得0.5分，未提供不得分。</w:t>
            </w:r>
            <w:r>
              <w:rPr>
                <w:rFonts w:hint="eastAsia" w:ascii="宋体" w:hAnsi="宋体" w:eastAsia="宋体" w:cs="宋体"/>
                <w:bCs/>
                <w:color w:val="auto"/>
                <w:sz w:val="24"/>
                <w:szCs w:val="24"/>
                <w:highlight w:val="none"/>
              </w:rPr>
              <w:t>】</w:t>
            </w:r>
          </w:p>
        </w:tc>
      </w:tr>
      <w:tr w14:paraId="7A20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710C6A81">
            <w:pPr>
              <w:spacing w:line="360" w:lineRule="auto"/>
              <w:jc w:val="center"/>
              <w:rPr>
                <w:rFonts w:ascii="宋体" w:hAnsi="宋体" w:cs="宋体"/>
                <w:b/>
                <w:bCs/>
                <w:color w:val="auto"/>
                <w:sz w:val="24"/>
                <w:szCs w:val="24"/>
                <w:highlight w:val="none"/>
              </w:rPr>
            </w:pPr>
          </w:p>
        </w:tc>
        <w:tc>
          <w:tcPr>
            <w:tcW w:w="6841" w:type="dxa"/>
            <w:gridSpan w:val="2"/>
            <w:vAlign w:val="center"/>
          </w:tcPr>
          <w:p w14:paraId="593590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可实现收运路线规划的地图展示，可在GIS地图上展示上线车辆、清运点位等内容，维护收运路线信息，展示收运车辆、收运方式、收运垃圾等信息，支持在线轨迹回放，记录维护收运单位、收运地区、收运重点等信息，实时统计每日清运情况，如各点位名称、到达时间、准时情况等信息。</w:t>
            </w:r>
          </w:p>
        </w:tc>
        <w:tc>
          <w:tcPr>
            <w:tcW w:w="883" w:type="dxa"/>
            <w:vAlign w:val="center"/>
          </w:tcPr>
          <w:p w14:paraId="7C12A381">
            <w:pPr>
              <w:pStyle w:val="13"/>
              <w:spacing w:line="360" w:lineRule="auto"/>
              <w:jc w:val="center"/>
              <w:rPr>
                <w:rFonts w:hAnsi="宋体" w:cs="宋体"/>
                <w:iCs/>
                <w:color w:val="auto"/>
                <w:sz w:val="24"/>
                <w:szCs w:val="24"/>
                <w:highlight w:val="none"/>
              </w:rPr>
            </w:pPr>
            <w:r>
              <w:rPr>
                <w:rFonts w:hint="eastAsia" w:hAnsi="宋体" w:cs="宋体"/>
                <w:iCs/>
                <w:color w:val="auto"/>
                <w:sz w:val="24"/>
                <w:szCs w:val="24"/>
                <w:highlight w:val="none"/>
              </w:rPr>
              <w:t>2</w:t>
            </w:r>
          </w:p>
        </w:tc>
      </w:tr>
      <w:tr w14:paraId="7070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27B50624">
            <w:pPr>
              <w:spacing w:line="360" w:lineRule="auto"/>
              <w:jc w:val="center"/>
              <w:rPr>
                <w:rFonts w:ascii="宋体" w:hAnsi="宋体" w:cs="宋体"/>
                <w:b/>
                <w:bCs/>
                <w:color w:val="auto"/>
                <w:sz w:val="24"/>
                <w:szCs w:val="24"/>
                <w:highlight w:val="none"/>
              </w:rPr>
            </w:pPr>
          </w:p>
        </w:tc>
        <w:tc>
          <w:tcPr>
            <w:tcW w:w="6841" w:type="dxa"/>
            <w:gridSpan w:val="2"/>
            <w:vAlign w:val="center"/>
          </w:tcPr>
          <w:p w14:paraId="3B29AE11">
            <w:pPr>
              <w:spacing w:line="360" w:lineRule="auto"/>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要求可实现车辆告警回放管理功能，生成车辆告警记录后，平台可在详情页查看告警明细信息，如收运垃圾类型、告警类型、告警内容、告警起始时间、持续时间等，同页面可进行场景重现，轨迹回放，如超速告警可在轨迹回放阶段实时显示车辆速度信息，并显示该车辆历史超速告警信息，点击可无缝切换至相应告警。</w:t>
            </w:r>
          </w:p>
        </w:tc>
        <w:tc>
          <w:tcPr>
            <w:tcW w:w="883" w:type="dxa"/>
            <w:vAlign w:val="center"/>
          </w:tcPr>
          <w:p w14:paraId="341AF9F0">
            <w:pPr>
              <w:pStyle w:val="13"/>
              <w:spacing w:line="360" w:lineRule="auto"/>
              <w:jc w:val="center"/>
              <w:rPr>
                <w:rFonts w:hAnsi="宋体" w:cs="宋体"/>
                <w:iCs/>
                <w:color w:val="auto"/>
                <w:sz w:val="24"/>
                <w:szCs w:val="24"/>
                <w:highlight w:val="none"/>
              </w:rPr>
            </w:pPr>
            <w:r>
              <w:rPr>
                <w:rFonts w:hint="eastAsia" w:hAnsi="宋体" w:cs="宋体"/>
                <w:iCs/>
                <w:color w:val="auto"/>
                <w:sz w:val="24"/>
                <w:szCs w:val="24"/>
                <w:highlight w:val="none"/>
              </w:rPr>
              <w:t>2</w:t>
            </w:r>
          </w:p>
        </w:tc>
      </w:tr>
      <w:tr w14:paraId="4A53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10B9DF3A">
            <w:pPr>
              <w:spacing w:line="360" w:lineRule="auto"/>
              <w:jc w:val="center"/>
              <w:rPr>
                <w:rFonts w:ascii="宋体" w:hAnsi="宋体" w:cs="宋体"/>
                <w:b/>
                <w:bCs/>
                <w:color w:val="auto"/>
                <w:sz w:val="24"/>
                <w:szCs w:val="24"/>
                <w:highlight w:val="none"/>
              </w:rPr>
            </w:pPr>
          </w:p>
        </w:tc>
        <w:tc>
          <w:tcPr>
            <w:tcW w:w="7724" w:type="dxa"/>
            <w:gridSpan w:val="3"/>
            <w:vAlign w:val="bottom"/>
          </w:tcPr>
          <w:p w14:paraId="695ADACB">
            <w:pPr>
              <w:spacing w:line="360" w:lineRule="auto"/>
              <w:jc w:val="center"/>
              <w:rPr>
                <w:rFonts w:ascii="宋体" w:hAnsi="宋体" w:cs="宋体"/>
                <w:b/>
                <w:bCs/>
                <w:color w:val="auto"/>
                <w:sz w:val="24"/>
                <w:szCs w:val="24"/>
                <w:highlight w:val="none"/>
              </w:rPr>
            </w:pPr>
            <w:r>
              <w:rPr>
                <w:rFonts w:hint="eastAsia" w:hAnsi="宋体" w:cs="宋体"/>
                <w:b/>
                <w:bCs/>
                <w:iCs/>
                <w:color w:val="auto"/>
                <w:sz w:val="24"/>
                <w:szCs w:val="24"/>
                <w:highlight w:val="none"/>
              </w:rPr>
              <w:t>三、移动小程序系统演示。评委根据演示情况进行打分，最高得</w:t>
            </w:r>
            <w:r>
              <w:rPr>
                <w:rFonts w:hAnsi="宋体" w:cs="宋体"/>
                <w:b/>
                <w:bCs/>
                <w:iCs/>
                <w:color w:val="auto"/>
                <w:sz w:val="24"/>
                <w:szCs w:val="24"/>
                <w:highlight w:val="none"/>
              </w:rPr>
              <w:t>2</w:t>
            </w:r>
            <w:r>
              <w:rPr>
                <w:rFonts w:hint="eastAsia" w:hAnsi="宋体" w:cs="宋体"/>
                <w:b/>
                <w:bCs/>
                <w:iCs/>
                <w:color w:val="auto"/>
                <w:sz w:val="24"/>
                <w:szCs w:val="24"/>
                <w:highlight w:val="none"/>
              </w:rPr>
              <w:t>分。</w:t>
            </w:r>
          </w:p>
        </w:tc>
      </w:tr>
      <w:tr w14:paraId="490B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3B806FDD">
            <w:pPr>
              <w:spacing w:line="360" w:lineRule="auto"/>
              <w:jc w:val="center"/>
              <w:rPr>
                <w:rFonts w:ascii="宋体" w:hAnsi="宋体" w:cs="宋体"/>
                <w:b/>
                <w:bCs/>
                <w:color w:val="auto"/>
                <w:sz w:val="24"/>
                <w:szCs w:val="24"/>
                <w:highlight w:val="none"/>
              </w:rPr>
            </w:pPr>
          </w:p>
        </w:tc>
        <w:tc>
          <w:tcPr>
            <w:tcW w:w="6841" w:type="dxa"/>
            <w:gridSpan w:val="2"/>
            <w:vAlign w:val="bottom"/>
          </w:tcPr>
          <w:p w14:paraId="55901C77">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要求管理端移动小程序包含基础功能（地图管控、基础信息管控、运行工况）及巡检督察功能（移动巡检、稽查考核、问题整改、事件台账），每个功能都要求合理、完整，体现移动端管理的便捷性。</w:t>
            </w:r>
          </w:p>
        </w:tc>
        <w:tc>
          <w:tcPr>
            <w:tcW w:w="883" w:type="dxa"/>
            <w:vAlign w:val="center"/>
          </w:tcPr>
          <w:p w14:paraId="6941B715">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r>
      <w:tr w14:paraId="7C1B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1EECA278">
            <w:pPr>
              <w:spacing w:line="360" w:lineRule="auto"/>
              <w:jc w:val="center"/>
              <w:rPr>
                <w:rFonts w:ascii="宋体" w:hAnsi="宋体" w:cs="宋体"/>
                <w:b/>
                <w:bCs/>
                <w:color w:val="auto"/>
                <w:sz w:val="24"/>
                <w:szCs w:val="24"/>
                <w:highlight w:val="none"/>
              </w:rPr>
            </w:pPr>
          </w:p>
        </w:tc>
        <w:tc>
          <w:tcPr>
            <w:tcW w:w="7724" w:type="dxa"/>
            <w:gridSpan w:val="3"/>
            <w:vAlign w:val="bottom"/>
          </w:tcPr>
          <w:p w14:paraId="47DBDECA">
            <w:pPr>
              <w:spacing w:line="360" w:lineRule="auto"/>
              <w:jc w:val="left"/>
              <w:rPr>
                <w:rFonts w:ascii="宋体" w:hAnsi="宋体" w:cs="宋体"/>
                <w:b/>
                <w:bCs/>
                <w:color w:val="auto"/>
                <w:sz w:val="24"/>
                <w:szCs w:val="24"/>
                <w:highlight w:val="none"/>
              </w:rPr>
            </w:pPr>
            <w:r>
              <w:rPr>
                <w:rFonts w:hint="eastAsia" w:hAnsi="宋体" w:cs="宋体"/>
                <w:b/>
                <w:bCs/>
                <w:iCs/>
                <w:color w:val="auto"/>
                <w:sz w:val="24"/>
                <w:szCs w:val="24"/>
                <w:highlight w:val="none"/>
              </w:rPr>
              <w:t>四、物联网平台展示演示。评委根据演示情况进行打分，最高得</w:t>
            </w:r>
            <w:r>
              <w:rPr>
                <w:rFonts w:hAnsi="宋体" w:cs="宋体"/>
                <w:b/>
                <w:bCs/>
                <w:iCs/>
                <w:color w:val="auto"/>
                <w:sz w:val="24"/>
                <w:szCs w:val="24"/>
                <w:highlight w:val="none"/>
              </w:rPr>
              <w:t>6</w:t>
            </w:r>
            <w:r>
              <w:rPr>
                <w:rFonts w:hint="eastAsia" w:hAnsi="宋体" w:cs="宋体"/>
                <w:b/>
                <w:bCs/>
                <w:iCs/>
                <w:color w:val="auto"/>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color w:val="auto"/>
                <w:kern w:val="2"/>
                <w:sz w:val="24"/>
                <w:szCs w:val="24"/>
                <w:highlight w:val="none"/>
                <w:lang w:val="en-US" w:eastAsia="zh-CN" w:bidi="ar"/>
              </w:rPr>
              <w:t>说明：以下内容每项演示满足要求得2分，内容有漏项的得1分。内容与招标需求不匹配的得0.5分，未提供不得分。</w:t>
            </w:r>
            <w:r>
              <w:rPr>
                <w:rFonts w:hint="eastAsia" w:ascii="宋体" w:hAnsi="宋体" w:eastAsia="宋体" w:cs="宋体"/>
                <w:bCs/>
                <w:color w:val="auto"/>
                <w:sz w:val="24"/>
                <w:szCs w:val="24"/>
                <w:highlight w:val="none"/>
              </w:rPr>
              <w:t>】</w:t>
            </w:r>
          </w:p>
        </w:tc>
      </w:tr>
      <w:tr w14:paraId="6552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2F205270">
            <w:pPr>
              <w:spacing w:line="360" w:lineRule="auto"/>
              <w:jc w:val="center"/>
              <w:rPr>
                <w:rFonts w:ascii="宋体" w:hAnsi="宋体" w:cs="宋体"/>
                <w:b/>
                <w:bCs/>
                <w:color w:val="auto"/>
                <w:sz w:val="24"/>
                <w:szCs w:val="24"/>
                <w:highlight w:val="none"/>
              </w:rPr>
            </w:pPr>
          </w:p>
        </w:tc>
        <w:tc>
          <w:tcPr>
            <w:tcW w:w="6841" w:type="dxa"/>
            <w:gridSpan w:val="2"/>
            <w:vAlign w:val="center"/>
          </w:tcPr>
          <w:p w14:paraId="54E26032">
            <w:pPr>
              <w:widowControl/>
              <w:spacing w:line="360" w:lineRule="auto"/>
              <w:ind w:firstLine="480" w:firstLineChars="20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要求物联网平台针对证书管理中，新增证书要求支持PFX/JKS/PEM三种类型进行配置，并需上传密钥库、信任库文件，可通过系统台唤起路径选择器由本地上传文件，上传完成后可补充进行描述，并为其创建名称（如类型为PFX/JKS两种时，要求密钥库、信任库文件配置密钥库密码及信任库密码）。专家根据演示内容进行打分。</w:t>
            </w:r>
          </w:p>
        </w:tc>
        <w:tc>
          <w:tcPr>
            <w:tcW w:w="883" w:type="dxa"/>
            <w:vAlign w:val="center"/>
          </w:tcPr>
          <w:p w14:paraId="7DB75C7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r>
      <w:tr w14:paraId="2E6A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331D9253">
            <w:pPr>
              <w:spacing w:line="360" w:lineRule="auto"/>
              <w:jc w:val="center"/>
              <w:rPr>
                <w:rFonts w:ascii="宋体" w:hAnsi="宋体" w:cs="宋体"/>
                <w:b/>
                <w:bCs/>
                <w:color w:val="auto"/>
                <w:sz w:val="24"/>
                <w:szCs w:val="24"/>
                <w:highlight w:val="none"/>
              </w:rPr>
            </w:pPr>
          </w:p>
        </w:tc>
        <w:tc>
          <w:tcPr>
            <w:tcW w:w="6841" w:type="dxa"/>
            <w:gridSpan w:val="2"/>
            <w:vAlign w:val="center"/>
          </w:tcPr>
          <w:p w14:paraId="3F6A701E">
            <w:pPr>
              <w:widowControl/>
              <w:spacing w:line="360" w:lineRule="auto"/>
              <w:ind w:firstLine="480" w:firstLineChars="20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要求物联网平台针对设备管理中的产品可根据设备创建产品物模型，为其配置产品信息（产品ID、所属品类、消息协议、链接协议、设备类型），物模型中可根据属性定义（属性标识、属性名称、属性类型、是否只读、属性来源、储能方式、描述）、功能定义（功能表示、功能名称、是否异步、输入参数、输出类型、描述）、事件定义（事件标识、事件名称、事件级别、输出参数、描述）、标签定义（标签标识、标签名称、数据类型、是否只读、存储方式、描述）进行配置。</w:t>
            </w:r>
          </w:p>
        </w:tc>
        <w:tc>
          <w:tcPr>
            <w:tcW w:w="883" w:type="dxa"/>
            <w:vAlign w:val="center"/>
          </w:tcPr>
          <w:p w14:paraId="3CBD0B7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r>
      <w:tr w14:paraId="11EB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1" w:type="dxa"/>
            <w:gridSpan w:val="2"/>
            <w:vMerge w:val="continue"/>
            <w:vAlign w:val="bottom"/>
          </w:tcPr>
          <w:p w14:paraId="14C81009">
            <w:pPr>
              <w:spacing w:line="360" w:lineRule="auto"/>
              <w:jc w:val="center"/>
              <w:rPr>
                <w:rFonts w:ascii="宋体" w:hAnsi="宋体" w:cs="宋体"/>
                <w:b/>
                <w:bCs/>
                <w:color w:val="auto"/>
                <w:sz w:val="24"/>
                <w:szCs w:val="24"/>
                <w:highlight w:val="none"/>
              </w:rPr>
            </w:pPr>
          </w:p>
        </w:tc>
        <w:tc>
          <w:tcPr>
            <w:tcW w:w="6841" w:type="dxa"/>
            <w:gridSpan w:val="2"/>
            <w:vAlign w:val="center"/>
          </w:tcPr>
          <w:p w14:paraId="1649C96E">
            <w:pPr>
              <w:widowControl/>
              <w:spacing w:line="360" w:lineRule="auto"/>
              <w:ind w:firstLine="480" w:firstLineChars="20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要求物联网平台针对设备管理中的设备可根据设备创建设备物模型，为其配置实例信息（设备名称、所属机构、说明）、物模型（属性定义、功能定义、事件定义、标签定义）、日志管理（查看其类型、时间、内容、详情信息）、告警设置（名称、防抖开关、触发器/新增触发器/删除触发器、转换、执行行动）</w:t>
            </w:r>
          </w:p>
        </w:tc>
        <w:tc>
          <w:tcPr>
            <w:tcW w:w="883" w:type="dxa"/>
            <w:vAlign w:val="center"/>
          </w:tcPr>
          <w:p w14:paraId="28F696AA">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r>
      <w:tr w14:paraId="520B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31B8E7DB">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项目需求分析</w:t>
            </w:r>
          </w:p>
        </w:tc>
        <w:tc>
          <w:tcPr>
            <w:tcW w:w="6841" w:type="dxa"/>
            <w:gridSpan w:val="2"/>
            <w:vAlign w:val="center"/>
          </w:tcPr>
          <w:p w14:paraId="303E84E8">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评委根据供应商对项目背景需求理解充分深入，对采购人的业务现状、中转站分布及现状、一期系统信息化现状、预期目标等内容进行描述论述透彻，根据方案的合理性、完整性、准确性进行打分。</w:t>
            </w:r>
          </w:p>
          <w:p w14:paraId="628C7A66">
            <w:pPr>
              <w:widowControl/>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以上每项内容投标人内容阐述详细完整得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523F5901">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568F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766A6A4A">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项目整体设计方案</w:t>
            </w:r>
          </w:p>
        </w:tc>
        <w:tc>
          <w:tcPr>
            <w:tcW w:w="6841" w:type="dxa"/>
            <w:gridSpan w:val="2"/>
            <w:vAlign w:val="center"/>
          </w:tcPr>
          <w:p w14:paraId="78E2547B">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评委根据供应商对本项目业务需求、整体设计思路、系统性能、系统能力、数据交互逻辑方案的合理性、完整性、准确性进行打分。</w:t>
            </w:r>
          </w:p>
          <w:p w14:paraId="3EAB1DA7">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2803C605">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6C1D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23803A26">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系统功能方案设计</w:t>
            </w:r>
          </w:p>
        </w:tc>
        <w:tc>
          <w:tcPr>
            <w:tcW w:w="6841" w:type="dxa"/>
            <w:gridSpan w:val="2"/>
            <w:vAlign w:val="center"/>
          </w:tcPr>
          <w:p w14:paraId="30FF608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评委根据供应商对各个子系统的功能规划进行描述进行打分。系统设计须贴合实际且具有前瞻性。 </w:t>
            </w:r>
          </w:p>
          <w:p w14:paraId="10809529">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02EB7F54">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026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27A94E37">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数据整合方案</w:t>
            </w:r>
          </w:p>
        </w:tc>
        <w:tc>
          <w:tcPr>
            <w:tcW w:w="6841" w:type="dxa"/>
            <w:gridSpan w:val="2"/>
            <w:vAlign w:val="center"/>
          </w:tcPr>
          <w:p w14:paraId="1A519CB6">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评委根据供应商针对一期系统现状及已有数据情况进行数据整合迁移方案设计，内容包括升级数据清单、数据备份、数据迁移、数据还原方案等内容进行打分。</w:t>
            </w:r>
          </w:p>
          <w:p w14:paraId="3381C63F">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10EFA49A">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2DF9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50E7B910">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信创设计方案</w:t>
            </w:r>
          </w:p>
        </w:tc>
        <w:tc>
          <w:tcPr>
            <w:tcW w:w="6841" w:type="dxa"/>
            <w:gridSpan w:val="2"/>
            <w:vAlign w:val="center"/>
          </w:tcPr>
          <w:p w14:paraId="19249202">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评委根据供应商对项目信创化适配改造方案进行打分。投标人详细阐述信创适配及实施步骤，并保证内容完整、切实可行、思路清晰。</w:t>
            </w:r>
          </w:p>
          <w:p w14:paraId="2E05CF54">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013BA6E7">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167E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333FB90A">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系统安全设计</w:t>
            </w:r>
          </w:p>
        </w:tc>
        <w:tc>
          <w:tcPr>
            <w:tcW w:w="6841" w:type="dxa"/>
            <w:gridSpan w:val="2"/>
            <w:vAlign w:val="center"/>
          </w:tcPr>
          <w:p w14:paraId="2BC5B140">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评委根据供应商对项目系统安全设计、数据安全保密、应急解决方案、系统性能设计模块的方案设计进行打分。</w:t>
            </w:r>
          </w:p>
          <w:p w14:paraId="007AE3C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3F6DC299">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09A3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271" w:type="dxa"/>
            <w:gridSpan w:val="2"/>
            <w:vMerge w:val="restart"/>
            <w:vAlign w:val="center"/>
          </w:tcPr>
          <w:p w14:paraId="60DFDAF7">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实施方案</w:t>
            </w:r>
          </w:p>
        </w:tc>
        <w:tc>
          <w:tcPr>
            <w:tcW w:w="6841" w:type="dxa"/>
            <w:gridSpan w:val="2"/>
            <w:vAlign w:val="center"/>
          </w:tcPr>
          <w:p w14:paraId="5D1EAABD">
            <w:pPr>
              <w:widowControl/>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评委根据供应商提供的项目质量管理保证计划</w:t>
            </w:r>
            <w:r>
              <w:rPr>
                <w:rFonts w:hint="eastAsia" w:ascii="宋体" w:hAnsi="宋体" w:cs="宋体"/>
                <w:color w:val="auto"/>
                <w:sz w:val="24"/>
                <w:szCs w:val="24"/>
                <w:highlight w:val="none"/>
                <w:lang w:val="en-US" w:eastAsia="zh-CN"/>
              </w:rPr>
              <w:t>包括</w:t>
            </w:r>
            <w:r>
              <w:rPr>
                <w:rFonts w:hint="eastAsia" w:ascii="宋体" w:hAnsi="宋体" w:cs="宋体"/>
                <w:color w:val="auto"/>
                <w:sz w:val="24"/>
                <w:szCs w:val="24"/>
                <w:highlight w:val="none"/>
              </w:rPr>
              <w:t>项目进度保证、项目实施流程、项目人力资源管理、项目沟通管理、版本管理等</w:t>
            </w:r>
            <w:r>
              <w:rPr>
                <w:rFonts w:hint="eastAsia" w:ascii="宋体" w:hAnsi="宋体" w:cs="宋体"/>
                <w:color w:val="auto"/>
                <w:sz w:val="24"/>
                <w:szCs w:val="24"/>
                <w:highlight w:val="none"/>
                <w:lang w:val="en-US" w:eastAsia="zh-CN"/>
              </w:rPr>
              <w:t>进行打分。</w:t>
            </w:r>
          </w:p>
          <w:p w14:paraId="41F08C31">
            <w:pPr>
              <w:widowControl/>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2.1-3</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1.1-2</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48A6319B">
            <w:pPr>
              <w:adjustRightInd w:val="0"/>
              <w:spacing w:before="156" w:beforeLines="50"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14:paraId="6320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271" w:type="dxa"/>
            <w:gridSpan w:val="2"/>
            <w:vMerge w:val="continue"/>
            <w:vAlign w:val="center"/>
          </w:tcPr>
          <w:p w14:paraId="02BB9E0C">
            <w:pPr>
              <w:widowControl/>
              <w:spacing w:line="360" w:lineRule="auto"/>
              <w:ind w:firstLine="420" w:firstLineChars="200"/>
              <w:jc w:val="left"/>
              <w:rPr>
                <w:color w:val="auto"/>
                <w:highlight w:val="none"/>
              </w:rPr>
            </w:pPr>
          </w:p>
        </w:tc>
        <w:tc>
          <w:tcPr>
            <w:tcW w:w="6841" w:type="dxa"/>
            <w:gridSpan w:val="2"/>
            <w:vAlign w:val="center"/>
          </w:tcPr>
          <w:p w14:paraId="5F6E558D">
            <w:pPr>
              <w:widowControl/>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评委根据供应商提供的项目实施计划</w:t>
            </w:r>
            <w:r>
              <w:rPr>
                <w:rFonts w:hint="eastAsia" w:ascii="宋体" w:hAnsi="宋体" w:cs="宋体"/>
                <w:color w:val="auto"/>
                <w:sz w:val="24"/>
                <w:szCs w:val="24"/>
                <w:highlight w:val="none"/>
                <w:lang w:val="en-US" w:eastAsia="zh-CN"/>
              </w:rPr>
              <w:t>包括</w:t>
            </w:r>
            <w:r>
              <w:rPr>
                <w:rFonts w:hint="eastAsia" w:ascii="宋体" w:hAnsi="宋体" w:cs="宋体"/>
                <w:color w:val="auto"/>
                <w:sz w:val="24"/>
                <w:szCs w:val="24"/>
                <w:highlight w:val="none"/>
              </w:rPr>
              <w:t>系统开发方案、系统测试方案、试运行方案、项目验收方案等</w:t>
            </w:r>
            <w:r>
              <w:rPr>
                <w:rFonts w:hint="eastAsia" w:ascii="宋体" w:hAnsi="宋体" w:cs="宋体"/>
                <w:color w:val="auto"/>
                <w:sz w:val="24"/>
                <w:szCs w:val="24"/>
                <w:highlight w:val="none"/>
                <w:lang w:val="en-US" w:eastAsia="zh-CN"/>
              </w:rPr>
              <w:t>进行打分。</w:t>
            </w:r>
          </w:p>
          <w:p w14:paraId="06DD66B6">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2.1-3</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1.1-2</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7354CB25">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25D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19B2E312">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培训方案</w:t>
            </w:r>
          </w:p>
        </w:tc>
        <w:tc>
          <w:tcPr>
            <w:tcW w:w="6841" w:type="dxa"/>
            <w:gridSpan w:val="2"/>
            <w:vAlign w:val="center"/>
          </w:tcPr>
          <w:p w14:paraId="599326AB">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评委根据供应商提供培训方案进行打分。培训方案包含培训服务计划、培训内容等。</w:t>
            </w:r>
          </w:p>
          <w:p w14:paraId="5C48A73D">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313B0F9D">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1E2E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5519CE38">
            <w:pPr>
              <w:widowControl/>
              <w:tabs>
                <w:tab w:val="left" w:pos="432"/>
              </w:tabs>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人员配置</w:t>
            </w:r>
          </w:p>
        </w:tc>
        <w:tc>
          <w:tcPr>
            <w:tcW w:w="6841" w:type="dxa"/>
            <w:gridSpan w:val="2"/>
            <w:vAlign w:val="center"/>
          </w:tcPr>
          <w:p w14:paraId="1D4460B5">
            <w:pPr>
              <w:widowControl/>
              <w:spacing w:line="360" w:lineRule="auto"/>
              <w:ind w:firstLine="480" w:firstLineChars="200"/>
              <w:jc w:val="left"/>
              <w:rPr>
                <w:rFonts w:hint="eastAsia" w:ascii="宋体" w:hAnsi="宋体" w:cs="宋体"/>
                <w:bCs/>
                <w:color w:val="auto"/>
                <w:kern w:val="0"/>
                <w:sz w:val="24"/>
                <w:szCs w:val="24"/>
                <w:highlight w:val="none"/>
              </w:rPr>
            </w:pPr>
            <w:r>
              <w:rPr>
                <w:rStyle w:val="76"/>
                <w:rFonts w:ascii="宋体" w:hAnsi="宋体"/>
                <w:color w:val="auto"/>
                <w:sz w:val="24"/>
                <w:szCs w:val="24"/>
                <w:highlight w:val="none"/>
              </w:rPr>
              <w:t>评委根据</w:t>
            </w:r>
            <w:r>
              <w:rPr>
                <w:rFonts w:hint="eastAsia" w:ascii="宋体" w:hAnsi="宋体" w:cs="宋体"/>
                <w:color w:val="auto"/>
                <w:sz w:val="24"/>
                <w:szCs w:val="24"/>
                <w:highlight w:val="none"/>
              </w:rPr>
              <w:t>供应商拟</w:t>
            </w:r>
            <w:r>
              <w:rPr>
                <w:rStyle w:val="76"/>
                <w:rFonts w:ascii="宋体" w:hAnsi="宋体"/>
                <w:color w:val="auto"/>
                <w:sz w:val="24"/>
                <w:szCs w:val="24"/>
                <w:highlight w:val="none"/>
              </w:rPr>
              <w:t>投入本项目的项目组人员职责划分的全面合理性进行打分</w:t>
            </w:r>
            <w:r>
              <w:rPr>
                <w:rStyle w:val="76"/>
                <w:rFonts w:hint="eastAsia" w:ascii="宋体" w:hAnsi="宋体"/>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根据供应商拟投入本项目的项目组人员的证书、学历、职称、专业素质、技术能力、经验等情况进行打分。</w:t>
            </w:r>
            <w:r>
              <w:rPr>
                <w:rFonts w:hint="eastAsia" w:ascii="宋体" w:hAnsi="宋体" w:cs="宋体"/>
                <w:bCs/>
                <w:color w:val="auto"/>
                <w:kern w:val="0"/>
                <w:sz w:val="24"/>
                <w:szCs w:val="24"/>
                <w:highlight w:val="none"/>
              </w:rPr>
              <w:t>提供拟投入人员近三个月社保及证书等相关证明资料扫描件加盖公章。</w:t>
            </w:r>
          </w:p>
          <w:p w14:paraId="5A3611B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w:t>
            </w:r>
            <w:r>
              <w:rPr>
                <w:rFonts w:hint="eastAsia" w:ascii="宋体" w:hAnsi="宋体" w:cs="宋体"/>
                <w:color w:val="auto"/>
                <w:sz w:val="24"/>
                <w:szCs w:val="24"/>
                <w:highlight w:val="none"/>
                <w:lang w:val="en-US" w:eastAsia="zh-CN"/>
              </w:rPr>
              <w:t>人员配置齐全</w:t>
            </w:r>
            <w:r>
              <w:rPr>
                <w:rFonts w:hint="eastAsia" w:ascii="宋体" w:hAnsi="宋体" w:cs="宋体"/>
                <w:color w:val="auto"/>
                <w:sz w:val="24"/>
                <w:szCs w:val="24"/>
                <w:highlight w:val="none"/>
              </w:rPr>
              <w:t>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人员配置部分欠缺</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人员配置</w:t>
            </w:r>
            <w:r>
              <w:rPr>
                <w:rFonts w:hint="eastAsia" w:ascii="宋体" w:hAnsi="宋体" w:cs="宋体"/>
                <w:color w:val="auto"/>
                <w:sz w:val="24"/>
                <w:szCs w:val="24"/>
                <w:highlight w:val="none"/>
              </w:rPr>
              <w:t>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51CB74BF">
            <w:pPr>
              <w:adjustRightInd w:val="0"/>
              <w:spacing w:before="156" w:beforeLines="5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r>
      <w:tr w14:paraId="43B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71" w:type="dxa"/>
            <w:gridSpan w:val="2"/>
            <w:vAlign w:val="center"/>
          </w:tcPr>
          <w:p w14:paraId="6A12C27E">
            <w:pPr>
              <w:widowControl/>
              <w:tabs>
                <w:tab w:val="left" w:pos="43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售后服务</w:t>
            </w:r>
          </w:p>
        </w:tc>
        <w:tc>
          <w:tcPr>
            <w:tcW w:w="6841" w:type="dxa"/>
            <w:gridSpan w:val="2"/>
            <w:vAlign w:val="center"/>
          </w:tcPr>
          <w:p w14:paraId="6790576E">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评委根据供应商针对本项目的售后服务方案进行打分，包括维护服务期、售后服务、售后项目组成员职责分工、质量管理体系的建设等内容。</w:t>
            </w:r>
            <w:r>
              <w:rPr>
                <w:rFonts w:hint="eastAsia" w:ascii="宋体" w:hAnsi="宋体" w:cs="宋体"/>
                <w:bCs/>
                <w:color w:val="auto"/>
                <w:sz w:val="24"/>
                <w:szCs w:val="24"/>
                <w:highlight w:val="none"/>
              </w:rPr>
              <w:t>【说明：</w:t>
            </w:r>
            <w:r>
              <w:rPr>
                <w:rFonts w:hint="eastAsia" w:ascii="宋体" w:hAnsi="宋体" w:cs="宋体"/>
                <w:color w:val="auto"/>
                <w:sz w:val="24"/>
                <w:szCs w:val="24"/>
                <w:highlight w:val="none"/>
              </w:rPr>
              <w:t>以上投标人内容阐述详细完整得</w:t>
            </w:r>
            <w:r>
              <w:rPr>
                <w:rFonts w:hint="eastAsia" w:ascii="宋体" w:hAnsi="宋体" w:cs="宋体"/>
                <w:color w:val="auto"/>
                <w:sz w:val="24"/>
                <w:szCs w:val="24"/>
                <w:highlight w:val="none"/>
                <w:lang w:val="en-US" w:eastAsia="zh-CN"/>
              </w:rPr>
              <w:t>3.1-5</w:t>
            </w:r>
            <w:r>
              <w:rPr>
                <w:rFonts w:hint="eastAsia" w:ascii="宋体" w:hAnsi="宋体" w:cs="宋体"/>
                <w:color w:val="auto"/>
                <w:sz w:val="24"/>
                <w:szCs w:val="24"/>
                <w:highlight w:val="none"/>
              </w:rPr>
              <w:t>分，内容描述简单且立意不明确或内容有漏项得</w:t>
            </w:r>
            <w:r>
              <w:rPr>
                <w:rFonts w:hint="eastAsia" w:ascii="宋体" w:hAnsi="宋体" w:cs="宋体"/>
                <w:color w:val="auto"/>
                <w:sz w:val="24"/>
                <w:szCs w:val="24"/>
                <w:highlight w:val="none"/>
                <w:lang w:val="en-US" w:eastAsia="zh-CN"/>
              </w:rPr>
              <w:t>1.1-3</w:t>
            </w:r>
            <w:r>
              <w:rPr>
                <w:rFonts w:ascii="宋体" w:hAnsi="宋体" w:cs="宋体"/>
                <w:color w:val="auto"/>
                <w:sz w:val="24"/>
                <w:szCs w:val="24"/>
                <w:highlight w:val="none"/>
              </w:rPr>
              <w:t>分</w:t>
            </w:r>
            <w:r>
              <w:rPr>
                <w:rFonts w:hint="eastAsia" w:ascii="宋体" w:hAnsi="宋体" w:cs="宋体"/>
                <w:color w:val="auto"/>
                <w:sz w:val="24"/>
                <w:szCs w:val="24"/>
                <w:highlight w:val="none"/>
              </w:rPr>
              <w:t>，内容描述与招标需求不匹配得</w:t>
            </w:r>
            <w:r>
              <w:rPr>
                <w:rFonts w:hint="eastAsia" w:ascii="宋体" w:hAnsi="宋体" w:cs="宋体"/>
                <w:color w:val="auto"/>
                <w:sz w:val="24"/>
                <w:szCs w:val="24"/>
                <w:highlight w:val="none"/>
                <w:lang w:val="en-US" w:eastAsia="zh-CN"/>
              </w:rPr>
              <w:t>0.1-1</w:t>
            </w:r>
            <w:r>
              <w:rPr>
                <w:rFonts w:ascii="宋体" w:hAnsi="宋体" w:cs="宋体"/>
                <w:color w:val="auto"/>
                <w:sz w:val="24"/>
                <w:szCs w:val="24"/>
                <w:highlight w:val="none"/>
              </w:rPr>
              <w:t>分，</w:t>
            </w:r>
            <w:r>
              <w:rPr>
                <w:rFonts w:hint="eastAsia" w:ascii="宋体" w:hAnsi="宋体" w:cs="宋体"/>
                <w:color w:val="auto"/>
                <w:sz w:val="24"/>
                <w:szCs w:val="24"/>
                <w:highlight w:val="none"/>
              </w:rPr>
              <w:t>未提供方案得</w:t>
            </w:r>
            <w:r>
              <w:rPr>
                <w:rFonts w:ascii="宋体" w:hAnsi="宋体" w:cs="宋体"/>
                <w:color w:val="auto"/>
                <w:sz w:val="24"/>
                <w:szCs w:val="24"/>
                <w:highlight w:val="none"/>
              </w:rPr>
              <w:t>0分</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w:t>
            </w:r>
          </w:p>
        </w:tc>
        <w:tc>
          <w:tcPr>
            <w:tcW w:w="883" w:type="dxa"/>
            <w:vAlign w:val="center"/>
          </w:tcPr>
          <w:p w14:paraId="55D6EE72">
            <w:pPr>
              <w:adjustRightInd w:val="0"/>
              <w:spacing w:before="156" w:beforeLines="50" w:line="360" w:lineRule="auto"/>
              <w:jc w:val="center"/>
              <w:rPr>
                <w:rFonts w:ascii="宋体" w:hAnsi="宋体" w:cs="宋体"/>
                <w:color w:val="auto"/>
                <w:sz w:val="24"/>
                <w:szCs w:val="24"/>
                <w:highlight w:val="none"/>
              </w:rPr>
            </w:pPr>
            <w:r>
              <w:rPr>
                <w:rFonts w:ascii="宋体" w:hAnsi="宋体" w:cs="宋体"/>
                <w:color w:val="auto"/>
                <w:sz w:val="24"/>
                <w:szCs w:val="24"/>
                <w:highlight w:val="none"/>
              </w:rPr>
              <w:t>5</w:t>
            </w:r>
          </w:p>
        </w:tc>
      </w:tr>
      <w:tr w14:paraId="0A28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09" w:type="dxa"/>
            <w:vMerge w:val="restart"/>
            <w:vAlign w:val="center"/>
          </w:tcPr>
          <w:p w14:paraId="7F3E0374">
            <w:pPr>
              <w:spacing w:line="360" w:lineRule="auto"/>
              <w:jc w:val="center"/>
              <w:rPr>
                <w:rFonts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商务</w:t>
            </w:r>
            <w:r>
              <w:rPr>
                <w:rFonts w:hint="eastAsia" w:ascii="宋体" w:hAnsi="宋体" w:cs="宋体"/>
                <w:color w:val="auto"/>
                <w:sz w:val="24"/>
                <w:szCs w:val="24"/>
                <w:highlight w:val="none"/>
                <w:lang w:bidi="ar"/>
              </w:rPr>
              <w:t>资信</w:t>
            </w:r>
          </w:p>
        </w:tc>
        <w:tc>
          <w:tcPr>
            <w:tcW w:w="2547" w:type="dxa"/>
            <w:gridSpan w:val="2"/>
            <w:vAlign w:val="center"/>
          </w:tcPr>
          <w:p w14:paraId="3F3BE5DC">
            <w:pPr>
              <w:pStyle w:val="13"/>
              <w:spacing w:line="360" w:lineRule="auto"/>
              <w:jc w:val="center"/>
              <w:rPr>
                <w:rFonts w:hAnsi="宋体" w:cs="宋体"/>
                <w:color w:val="auto"/>
                <w:sz w:val="24"/>
                <w:szCs w:val="24"/>
                <w:highlight w:val="none"/>
                <w:lang w:bidi="ar"/>
              </w:rPr>
            </w:pPr>
            <w:r>
              <w:rPr>
                <w:rFonts w:hint="eastAsia" w:hAnsi="宋体" w:cs="宋体"/>
                <w:color w:val="auto"/>
                <w:sz w:val="24"/>
                <w:szCs w:val="24"/>
                <w:highlight w:val="none"/>
                <w:lang w:bidi="ar"/>
              </w:rPr>
              <w:t>资质证书</w:t>
            </w:r>
          </w:p>
        </w:tc>
        <w:tc>
          <w:tcPr>
            <w:tcW w:w="4856" w:type="dxa"/>
            <w:vAlign w:val="center"/>
          </w:tcPr>
          <w:p w14:paraId="212BB631">
            <w:pPr>
              <w:pStyle w:val="13"/>
              <w:spacing w:line="360" w:lineRule="auto"/>
              <w:ind w:firstLine="480" w:firstLineChars="200"/>
              <w:rPr>
                <w:rFonts w:hAnsi="宋体" w:cs="宋体"/>
                <w:color w:val="auto"/>
                <w:sz w:val="24"/>
                <w:szCs w:val="24"/>
                <w:highlight w:val="none"/>
                <w:lang w:bidi="ar"/>
              </w:rPr>
            </w:pPr>
            <w:r>
              <w:rPr>
                <w:rFonts w:hint="eastAsia" w:hAnsi="宋体" w:cs="宋体"/>
                <w:color w:val="auto"/>
                <w:sz w:val="24"/>
                <w:szCs w:val="24"/>
                <w:highlight w:val="none"/>
                <w:lang w:bidi="ar"/>
              </w:rPr>
              <w:t>资质证书</w:t>
            </w:r>
            <w:r>
              <w:rPr>
                <w:rFonts w:hint="eastAsia" w:hAnsi="宋体" w:cs="宋体"/>
                <w:b/>
                <w:color w:val="auto"/>
                <w:sz w:val="24"/>
                <w:szCs w:val="24"/>
                <w:highlight w:val="none"/>
              </w:rPr>
              <w:t>（具体详见资信要求表）</w:t>
            </w:r>
          </w:p>
        </w:tc>
        <w:tc>
          <w:tcPr>
            <w:tcW w:w="883" w:type="dxa"/>
            <w:vAlign w:val="center"/>
          </w:tcPr>
          <w:p w14:paraId="3BB09CF9">
            <w:pPr>
              <w:pStyle w:val="13"/>
              <w:spacing w:line="360" w:lineRule="auto"/>
              <w:jc w:val="center"/>
              <w:rPr>
                <w:rFonts w:hint="eastAsia" w:hAnsi="宋体" w:eastAsia="宋体" w:cs="宋体"/>
                <w:iCs/>
                <w:color w:val="auto"/>
                <w:sz w:val="24"/>
                <w:szCs w:val="24"/>
                <w:highlight w:val="none"/>
                <w:lang w:eastAsia="zh-CN"/>
              </w:rPr>
            </w:pPr>
            <w:r>
              <w:rPr>
                <w:rFonts w:hint="eastAsia" w:hAnsi="宋体" w:cs="宋体"/>
                <w:iCs/>
                <w:color w:val="auto"/>
                <w:sz w:val="24"/>
                <w:szCs w:val="24"/>
                <w:highlight w:val="none"/>
                <w:lang w:val="en-US" w:eastAsia="zh-CN"/>
              </w:rPr>
              <w:t>3</w:t>
            </w:r>
          </w:p>
        </w:tc>
      </w:tr>
      <w:tr w14:paraId="708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vAlign w:val="center"/>
          </w:tcPr>
          <w:p w14:paraId="50D8F350">
            <w:pPr>
              <w:pStyle w:val="13"/>
              <w:spacing w:line="360" w:lineRule="auto"/>
              <w:jc w:val="center"/>
              <w:rPr>
                <w:rFonts w:hAnsi="宋体" w:cs="宋体"/>
                <w:color w:val="auto"/>
                <w:sz w:val="24"/>
                <w:szCs w:val="24"/>
                <w:highlight w:val="none"/>
                <w:lang w:bidi="ar"/>
              </w:rPr>
            </w:pPr>
          </w:p>
        </w:tc>
        <w:tc>
          <w:tcPr>
            <w:tcW w:w="2547" w:type="dxa"/>
            <w:gridSpan w:val="2"/>
            <w:vAlign w:val="center"/>
          </w:tcPr>
          <w:p w14:paraId="0845BA41">
            <w:pPr>
              <w:pStyle w:val="13"/>
              <w:spacing w:line="360" w:lineRule="auto"/>
              <w:jc w:val="center"/>
              <w:rPr>
                <w:rFonts w:hAnsi="宋体" w:cs="宋体"/>
                <w:color w:val="auto"/>
                <w:sz w:val="24"/>
                <w:szCs w:val="24"/>
                <w:highlight w:val="none"/>
                <w:lang w:bidi="ar"/>
              </w:rPr>
            </w:pPr>
            <w:r>
              <w:rPr>
                <w:rFonts w:hint="eastAsia" w:hAnsi="宋体" w:cs="宋体"/>
                <w:color w:val="auto"/>
                <w:sz w:val="24"/>
                <w:szCs w:val="24"/>
                <w:highlight w:val="none"/>
                <w:lang w:bidi="ar"/>
              </w:rPr>
              <w:t>团队实力</w:t>
            </w:r>
          </w:p>
        </w:tc>
        <w:tc>
          <w:tcPr>
            <w:tcW w:w="4856" w:type="dxa"/>
            <w:vAlign w:val="center"/>
          </w:tcPr>
          <w:p w14:paraId="753A2D01">
            <w:pPr>
              <w:pStyle w:val="13"/>
              <w:spacing w:line="360" w:lineRule="auto"/>
              <w:ind w:firstLine="480" w:firstLineChars="200"/>
              <w:rPr>
                <w:rFonts w:hAnsi="宋体" w:cs="宋体"/>
                <w:color w:val="auto"/>
                <w:sz w:val="24"/>
                <w:szCs w:val="24"/>
                <w:highlight w:val="none"/>
                <w:lang w:bidi="ar"/>
              </w:rPr>
            </w:pPr>
            <w:r>
              <w:rPr>
                <w:rFonts w:hint="eastAsia" w:hAnsi="宋体" w:cs="宋体"/>
                <w:color w:val="auto"/>
                <w:sz w:val="24"/>
                <w:szCs w:val="24"/>
                <w:highlight w:val="none"/>
                <w:lang w:bidi="ar"/>
              </w:rPr>
              <w:t>团队实力</w:t>
            </w:r>
            <w:r>
              <w:rPr>
                <w:rFonts w:hint="eastAsia" w:hAnsi="宋体" w:cs="宋体"/>
                <w:b/>
                <w:color w:val="auto"/>
                <w:sz w:val="24"/>
                <w:szCs w:val="24"/>
                <w:highlight w:val="none"/>
              </w:rPr>
              <w:t>（具体详见资信要求表）</w:t>
            </w:r>
          </w:p>
        </w:tc>
        <w:tc>
          <w:tcPr>
            <w:tcW w:w="883" w:type="dxa"/>
            <w:vAlign w:val="center"/>
          </w:tcPr>
          <w:p w14:paraId="273A8B00">
            <w:pPr>
              <w:pStyle w:val="13"/>
              <w:spacing w:line="360" w:lineRule="auto"/>
              <w:jc w:val="center"/>
              <w:rPr>
                <w:rFonts w:hint="eastAsia" w:hAnsi="宋体" w:eastAsia="宋体" w:cs="宋体"/>
                <w:iCs/>
                <w:color w:val="auto"/>
                <w:sz w:val="24"/>
                <w:szCs w:val="24"/>
                <w:highlight w:val="none"/>
                <w:lang w:eastAsia="zh-CN"/>
              </w:rPr>
            </w:pPr>
            <w:r>
              <w:rPr>
                <w:rFonts w:hint="eastAsia" w:hAnsi="宋体" w:cs="宋体"/>
                <w:iCs/>
                <w:color w:val="auto"/>
                <w:sz w:val="24"/>
                <w:szCs w:val="24"/>
                <w:highlight w:val="none"/>
                <w:lang w:val="en-US" w:eastAsia="zh-CN"/>
              </w:rPr>
              <w:t>6</w:t>
            </w:r>
          </w:p>
        </w:tc>
      </w:tr>
    </w:tbl>
    <w:p w14:paraId="2F430A54">
      <w:pPr>
        <w:numPr>
          <w:ilvl w:val="0"/>
          <w:numId w:val="0"/>
        </w:numPr>
        <w:shd w:val="clear"/>
        <w:ind w:firstLine="482" w:firstLineChars="200"/>
        <w:rPr>
          <w:rFonts w:hint="eastAsia" w:ascii="宋体" w:hAnsi="宋体" w:eastAsia="宋体" w:cs="宋体"/>
          <w:b/>
          <w:bCs/>
          <w:color w:val="auto"/>
          <w:sz w:val="24"/>
          <w:szCs w:val="24"/>
          <w:highlight w:val="none"/>
        </w:rPr>
      </w:pPr>
    </w:p>
    <w:p w14:paraId="00C2D57F">
      <w:pPr>
        <w:shd w:val="clea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2、商务要求表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9分</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（对应评分标准）</w:t>
      </w:r>
    </w:p>
    <w:tbl>
      <w:tblPr>
        <w:tblStyle w:val="2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08"/>
        <w:gridCol w:w="6586"/>
        <w:gridCol w:w="961"/>
      </w:tblGrid>
      <w:tr w14:paraId="2EB9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2" w:type="dxa"/>
            <w:vMerge w:val="restart"/>
            <w:tcBorders>
              <w:left w:val="single" w:color="auto" w:sz="4" w:space="0"/>
              <w:right w:val="single" w:color="auto" w:sz="4" w:space="0"/>
            </w:tcBorders>
            <w:vAlign w:val="center"/>
          </w:tcPr>
          <w:p w14:paraId="1FB6A6C5">
            <w:pPr>
              <w:spacing w:line="360" w:lineRule="auto"/>
              <w:jc w:val="center"/>
              <w:rPr>
                <w:rFonts w:ascii="宋体" w:hAnsi="宋体" w:cs="宋体"/>
                <w:color w:val="auto"/>
                <w:sz w:val="24"/>
                <w:highlight w:val="none"/>
                <w:lang w:bidi="ar"/>
              </w:rPr>
            </w:pPr>
            <w:r>
              <w:rPr>
                <w:rFonts w:hint="eastAsia" w:ascii="宋体" w:hAnsi="宋体" w:cs="宋体"/>
                <w:color w:val="auto"/>
                <w:sz w:val="24"/>
                <w:highlight w:val="none"/>
                <w:lang w:val="en-US" w:eastAsia="zh-CN" w:bidi="ar"/>
              </w:rPr>
              <w:t>商务</w:t>
            </w:r>
            <w:r>
              <w:rPr>
                <w:rFonts w:hint="eastAsia" w:ascii="宋体" w:hAnsi="宋体" w:cs="宋体"/>
                <w:color w:val="auto"/>
                <w:sz w:val="24"/>
                <w:highlight w:val="none"/>
                <w:lang w:bidi="ar"/>
              </w:rPr>
              <w:t>资信</w:t>
            </w:r>
          </w:p>
        </w:tc>
        <w:tc>
          <w:tcPr>
            <w:tcW w:w="708" w:type="dxa"/>
            <w:tcBorders>
              <w:left w:val="single" w:color="auto" w:sz="4" w:space="0"/>
              <w:right w:val="single" w:color="auto" w:sz="4" w:space="0"/>
            </w:tcBorders>
            <w:vAlign w:val="center"/>
          </w:tcPr>
          <w:p w14:paraId="5EC70FC3">
            <w:pPr>
              <w:spacing w:line="360" w:lineRule="auto"/>
              <w:jc w:val="center"/>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认证</w:t>
            </w:r>
          </w:p>
        </w:tc>
        <w:tc>
          <w:tcPr>
            <w:tcW w:w="6586" w:type="dxa"/>
            <w:tcBorders>
              <w:top w:val="single" w:color="auto" w:sz="4" w:space="0"/>
              <w:left w:val="single" w:color="auto" w:sz="4" w:space="0"/>
              <w:right w:val="single" w:color="auto" w:sz="4" w:space="0"/>
            </w:tcBorders>
            <w:vAlign w:val="center"/>
          </w:tcPr>
          <w:p w14:paraId="7409E18A">
            <w:pPr>
              <w:widowControl/>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投标人具有CCRC信息安全服务资质认证（范围需包含信息系统安全运维或软件安全开发或信息系统安全集成）二级及以上证书，认证范围每具有1个得1分，满分得3分。</w:t>
            </w:r>
          </w:p>
          <w:p w14:paraId="57DC4931">
            <w:pPr>
              <w:widowControl/>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需提供证书扫描件并加盖投标人公章。</w:t>
            </w:r>
          </w:p>
        </w:tc>
        <w:tc>
          <w:tcPr>
            <w:tcW w:w="961" w:type="dxa"/>
            <w:tcBorders>
              <w:left w:val="single" w:color="auto" w:sz="4" w:space="0"/>
              <w:right w:val="single" w:color="auto" w:sz="4" w:space="0"/>
            </w:tcBorders>
            <w:vAlign w:val="center"/>
          </w:tcPr>
          <w:p w14:paraId="7C09A6CB">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3</w:t>
            </w:r>
          </w:p>
        </w:tc>
      </w:tr>
      <w:tr w14:paraId="7EF6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2" w:type="dxa"/>
            <w:vMerge w:val="continue"/>
            <w:tcBorders>
              <w:left w:val="single" w:color="auto" w:sz="4" w:space="0"/>
              <w:right w:val="single" w:color="auto" w:sz="4" w:space="0"/>
            </w:tcBorders>
            <w:vAlign w:val="center"/>
          </w:tcPr>
          <w:p w14:paraId="33A5B1FA">
            <w:pPr>
              <w:spacing w:line="360" w:lineRule="auto"/>
              <w:jc w:val="center"/>
              <w:rPr>
                <w:rFonts w:ascii="宋体" w:hAnsi="宋体" w:cs="宋体"/>
                <w:color w:val="auto"/>
                <w:sz w:val="24"/>
                <w:highlight w:val="none"/>
                <w:lang w:bidi="ar"/>
              </w:rPr>
            </w:pPr>
          </w:p>
        </w:tc>
        <w:tc>
          <w:tcPr>
            <w:tcW w:w="708" w:type="dxa"/>
            <w:vMerge w:val="restart"/>
            <w:tcBorders>
              <w:left w:val="single" w:color="auto" w:sz="4" w:space="0"/>
              <w:right w:val="single" w:color="auto" w:sz="4" w:space="0"/>
            </w:tcBorders>
            <w:vAlign w:val="center"/>
          </w:tcPr>
          <w:p w14:paraId="3031321F">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团队实力</w:t>
            </w:r>
          </w:p>
        </w:tc>
        <w:tc>
          <w:tcPr>
            <w:tcW w:w="6586" w:type="dxa"/>
            <w:tcBorders>
              <w:top w:val="single" w:color="auto" w:sz="4" w:space="0"/>
              <w:left w:val="single" w:color="auto" w:sz="4" w:space="0"/>
              <w:right w:val="single" w:color="auto" w:sz="4" w:space="0"/>
            </w:tcBorders>
            <w:vAlign w:val="center"/>
          </w:tcPr>
          <w:p w14:paraId="5D2EEAF2">
            <w:pPr>
              <w:widowControl/>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项目负责人具有</w:t>
            </w:r>
            <w:r>
              <w:rPr>
                <w:rFonts w:hint="eastAsia" w:ascii="宋体" w:hAnsi="宋体" w:cs="宋体"/>
                <w:color w:val="auto"/>
                <w:kern w:val="0"/>
                <w:sz w:val="24"/>
                <w:highlight w:val="none"/>
                <w:lang w:val="en-US" w:eastAsia="zh-CN"/>
              </w:rPr>
              <w:t>注册信息安全工程师</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CISP-CISE</w:t>
            </w:r>
            <w:r>
              <w:rPr>
                <w:rFonts w:hint="eastAsia" w:ascii="宋体" w:hAnsi="宋体" w:cs="宋体"/>
                <w:color w:val="auto"/>
                <w:kern w:val="0"/>
                <w:sz w:val="24"/>
                <w:highlight w:val="none"/>
              </w:rPr>
              <w:t>）、数据分析师（高级）、</w:t>
            </w:r>
            <w:r>
              <w:rPr>
                <w:rFonts w:hint="eastAsia" w:ascii="宋体" w:hAnsi="宋体" w:cs="宋体"/>
                <w:color w:val="auto"/>
                <w:kern w:val="0"/>
                <w:sz w:val="24"/>
                <w:highlight w:val="none"/>
                <w:lang w:val="en-US" w:eastAsia="zh-CN"/>
              </w:rPr>
              <w:t>信息系统项目管理师（高级）</w:t>
            </w:r>
            <w:r>
              <w:rPr>
                <w:rFonts w:hint="eastAsia" w:ascii="宋体" w:hAnsi="宋体" w:cs="宋体"/>
                <w:color w:val="auto"/>
                <w:kern w:val="0"/>
                <w:sz w:val="24"/>
                <w:highlight w:val="none"/>
              </w:rPr>
              <w:t>的，每个得1分，最高得3分</w:t>
            </w:r>
            <w:r>
              <w:rPr>
                <w:rFonts w:hint="eastAsia" w:ascii="宋体" w:hAnsi="宋体" w:cs="宋体"/>
                <w:color w:val="auto"/>
                <w:kern w:val="0"/>
                <w:sz w:val="24"/>
                <w:highlight w:val="none"/>
                <w:lang w:eastAsia="zh-CN"/>
              </w:rPr>
              <w:t>。</w:t>
            </w:r>
          </w:p>
          <w:p w14:paraId="3503E336">
            <w:pPr>
              <w:widowControl/>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需提供证书扫描件、近三个月本单位社保缴纳证明并加盖投标人公章。</w:t>
            </w:r>
          </w:p>
        </w:tc>
        <w:tc>
          <w:tcPr>
            <w:tcW w:w="961" w:type="dxa"/>
            <w:tcBorders>
              <w:left w:val="single" w:color="auto" w:sz="4" w:space="0"/>
              <w:right w:val="single" w:color="auto" w:sz="4" w:space="0"/>
            </w:tcBorders>
            <w:vAlign w:val="center"/>
          </w:tcPr>
          <w:p w14:paraId="3545678B">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3</w:t>
            </w:r>
          </w:p>
        </w:tc>
      </w:tr>
      <w:tr w14:paraId="708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vMerge w:val="continue"/>
            <w:tcBorders>
              <w:left w:val="single" w:color="auto" w:sz="4" w:space="0"/>
              <w:right w:val="single" w:color="auto" w:sz="4" w:space="0"/>
            </w:tcBorders>
            <w:vAlign w:val="center"/>
          </w:tcPr>
          <w:p w14:paraId="591C6458">
            <w:pPr>
              <w:spacing w:line="360" w:lineRule="auto"/>
              <w:jc w:val="center"/>
              <w:rPr>
                <w:rFonts w:ascii="宋体" w:hAnsi="宋体" w:cs="宋体"/>
                <w:color w:val="auto"/>
                <w:sz w:val="24"/>
                <w:highlight w:val="none"/>
                <w:lang w:bidi="ar"/>
              </w:rPr>
            </w:pPr>
          </w:p>
        </w:tc>
        <w:tc>
          <w:tcPr>
            <w:tcW w:w="708" w:type="dxa"/>
            <w:vMerge w:val="continue"/>
            <w:tcBorders>
              <w:left w:val="single" w:color="auto" w:sz="4" w:space="0"/>
              <w:right w:val="single" w:color="auto" w:sz="4" w:space="0"/>
            </w:tcBorders>
            <w:vAlign w:val="center"/>
          </w:tcPr>
          <w:p w14:paraId="09C7F066">
            <w:pPr>
              <w:spacing w:line="360" w:lineRule="auto"/>
              <w:jc w:val="center"/>
              <w:rPr>
                <w:rFonts w:ascii="宋体" w:hAnsi="宋体" w:cs="宋体"/>
                <w:color w:val="auto"/>
                <w:sz w:val="24"/>
                <w:highlight w:val="none"/>
                <w:lang w:bidi="ar"/>
              </w:rPr>
            </w:pPr>
          </w:p>
        </w:tc>
        <w:tc>
          <w:tcPr>
            <w:tcW w:w="6586" w:type="dxa"/>
            <w:tcBorders>
              <w:top w:val="single" w:color="auto" w:sz="4" w:space="0"/>
              <w:left w:val="single" w:color="auto" w:sz="4" w:space="0"/>
              <w:bottom w:val="single" w:color="auto" w:sz="4" w:space="0"/>
              <w:right w:val="single" w:color="auto" w:sz="4" w:space="0"/>
            </w:tcBorders>
            <w:vAlign w:val="center"/>
          </w:tcPr>
          <w:p w14:paraId="18363413">
            <w:pPr>
              <w:widowControl/>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技术负责人（非项目负责人）具有软件设计师（中级及以上）、系统分析师（高级）、信息安全保障人员认证（CISAW）的，</w:t>
            </w:r>
            <w:r>
              <w:rPr>
                <w:rFonts w:hint="eastAsia" w:ascii="宋体" w:hAnsi="宋体" w:cs="宋体"/>
                <w:color w:val="auto"/>
                <w:kern w:val="0"/>
                <w:sz w:val="24"/>
                <w:highlight w:val="none"/>
              </w:rPr>
              <w:t>每个得1分，最高得3分</w:t>
            </w:r>
            <w:r>
              <w:rPr>
                <w:rFonts w:hint="eastAsia" w:ascii="宋体" w:hAnsi="宋体" w:cs="宋体"/>
                <w:color w:val="auto"/>
                <w:kern w:val="0"/>
                <w:sz w:val="24"/>
                <w:highlight w:val="none"/>
                <w:lang w:eastAsia="zh-CN"/>
              </w:rPr>
              <w:t>。</w:t>
            </w:r>
          </w:p>
          <w:p w14:paraId="57CCCA2E">
            <w:pPr>
              <w:widowControl/>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需提供证书扫描件、近三个月本单位社保缴纳证明并加盖投标人公章。</w:t>
            </w:r>
          </w:p>
        </w:tc>
        <w:tc>
          <w:tcPr>
            <w:tcW w:w="961" w:type="dxa"/>
            <w:tcBorders>
              <w:left w:val="single" w:color="auto" w:sz="4" w:space="0"/>
              <w:right w:val="single" w:color="auto" w:sz="4" w:space="0"/>
            </w:tcBorders>
            <w:vAlign w:val="center"/>
          </w:tcPr>
          <w:p w14:paraId="5E84653E">
            <w:pPr>
              <w:spacing w:line="360" w:lineRule="auto"/>
              <w:jc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3</w:t>
            </w:r>
          </w:p>
        </w:tc>
      </w:tr>
    </w:tbl>
    <w:p w14:paraId="2EDC7BF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45F287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47E2D83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1" w:name="_Toc4517"/>
      <w:bookmarkStart w:id="82" w:name="_Toc8033"/>
    </w:p>
    <w:p w14:paraId="6656FEF0">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1F802476">
      <w:pPr>
        <w:pStyle w:val="3"/>
        <w:shd w:val="clear"/>
        <w:jc w:val="center"/>
        <w:rPr>
          <w:rFonts w:hint="eastAsia" w:ascii="宋体" w:hAnsi="宋体" w:eastAsia="宋体" w:cs="宋体"/>
          <w:color w:val="auto"/>
          <w:highlight w:val="none"/>
        </w:rPr>
      </w:pPr>
      <w:bookmarkStart w:id="83" w:name="_Toc18878"/>
      <w:r>
        <w:rPr>
          <w:rFonts w:hint="eastAsia" w:ascii="宋体" w:hAnsi="宋体" w:eastAsia="宋体" w:cs="宋体"/>
          <w:color w:val="auto"/>
          <w:sz w:val="36"/>
          <w:szCs w:val="36"/>
          <w:highlight w:val="none"/>
        </w:rPr>
        <w:t>第五部分 采购合同</w:t>
      </w:r>
      <w:bookmarkEnd w:id="81"/>
      <w:bookmarkEnd w:id="82"/>
      <w:bookmarkEnd w:id="83"/>
    </w:p>
    <w:p w14:paraId="23F1382F">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号</w:t>
      </w:r>
    </w:p>
    <w:p w14:paraId="0272D2C1">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签订日期：202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1836FB3F">
      <w:pPr>
        <w:keepNext w:val="0"/>
        <w:keepLines w:val="0"/>
        <w:pageBreakBefore w:val="0"/>
        <w:widowControl w:val="0"/>
        <w:shd w:val="clear"/>
        <w:kinsoku/>
        <w:overflowPunct/>
        <w:topLinePunct w:val="0"/>
        <w:bidi w:val="0"/>
        <w:spacing w:line="440" w:lineRule="exact"/>
        <w:ind w:firstLine="480" w:firstLineChars="200"/>
        <w:textAlignment w:val="auto"/>
        <w:rPr>
          <w:rFonts w:hint="eastAsia" w:ascii="宋体" w:hAnsi="宋体" w:eastAsia="宋体" w:cs="宋体"/>
          <w:color w:val="auto"/>
          <w:sz w:val="28"/>
          <w:highlight w:val="none"/>
          <w:u w:val="single"/>
        </w:rPr>
      </w:pP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　　　　　　　　　　　　　　　　　　　　　　　</w:t>
      </w:r>
    </w:p>
    <w:p w14:paraId="2D836FD6">
      <w:pPr>
        <w:keepNext w:val="0"/>
        <w:keepLines w:val="0"/>
        <w:pageBreakBefore w:val="0"/>
        <w:widowControl w:val="0"/>
        <w:shd w:val="clear"/>
        <w:kinsoku/>
        <w:overflowPunct/>
        <w:topLinePunct w:val="0"/>
        <w:bidi w:val="0"/>
        <w:spacing w:line="440" w:lineRule="exact"/>
        <w:ind w:firstLine="480" w:firstLineChars="200"/>
        <w:jc w:val="left"/>
        <w:textAlignment w:val="auto"/>
        <w:rPr>
          <w:rFonts w:hint="eastAsia" w:ascii="宋体" w:hAnsi="宋体" w:eastAsia="宋体" w:cs="宋体"/>
          <w:color w:val="auto"/>
          <w:sz w:val="28"/>
          <w:highlight w:val="none"/>
          <w:u w:val="single"/>
        </w:rPr>
      </w:pP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　　　　　　　　　　　　　　　　　　　　　　　</w:t>
      </w:r>
    </w:p>
    <w:p w14:paraId="65E9DDEE">
      <w:pPr>
        <w:keepNext w:val="0"/>
        <w:keepLines w:val="0"/>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根据《中华人民共和国民法典》、政府采购编号为</w:t>
      </w:r>
      <w:r>
        <w:rPr>
          <w:rFonts w:hint="eastAsia" w:ascii="宋体" w:hAnsi="宋体" w:cs="宋体"/>
          <w:color w:val="auto"/>
          <w:sz w:val="24"/>
          <w:szCs w:val="24"/>
          <w:highlight w:val="none"/>
          <w:lang w:val="en-US" w:eastAsia="zh-CN"/>
        </w:rPr>
        <w:t>ZJCTSY-2024-1114X</w:t>
      </w:r>
      <w:r>
        <w:rPr>
          <w:rFonts w:hint="eastAsia" w:ascii="宋体" w:hAnsi="宋体" w:eastAsia="宋体" w:cs="宋体"/>
          <w:color w:val="auto"/>
          <w:kern w:val="0"/>
          <w:sz w:val="24"/>
          <w:highlight w:val="none"/>
        </w:rPr>
        <w:t>招标文件、</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响应文件的规定，经公开招标采购，签订本合同。</w:t>
      </w:r>
      <w:r>
        <w:rPr>
          <w:rFonts w:hint="eastAsia" w:ascii="宋体" w:hAnsi="宋体" w:eastAsia="宋体" w:cs="宋体"/>
          <w:b/>
          <w:bCs/>
          <w:color w:val="auto"/>
          <w:sz w:val="24"/>
          <w:highlight w:val="none"/>
        </w:rPr>
        <w:t xml:space="preserve"> </w:t>
      </w:r>
    </w:p>
    <w:p w14:paraId="50ED3942">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采购内容及要求</w:t>
      </w:r>
    </w:p>
    <w:p w14:paraId="187FC5AA">
      <w:pPr>
        <w:numPr>
          <w:ilvl w:val="1"/>
          <w:numId w:val="21"/>
        </w:numPr>
        <w:autoSpaceDE w:val="0"/>
        <w:autoSpaceDN w:val="0"/>
        <w:adjustRightInd w:val="0"/>
        <w:spacing w:line="600" w:lineRule="auto"/>
        <w:ind w:left="-482" w:leftChars="0" w:firstLine="397" w:firstLineChars="0"/>
        <w:jc w:val="left"/>
        <w:rPr>
          <w:rFonts w:ascii="宋体" w:hAnsi="宋体" w:cs="宋体"/>
          <w:b/>
          <w:bCs/>
          <w:color w:val="auto"/>
          <w:sz w:val="24"/>
          <w:highlight w:val="none"/>
        </w:rPr>
      </w:pPr>
      <w:r>
        <w:rPr>
          <w:rFonts w:hint="eastAsia" w:ascii="宋体" w:hAnsi="宋体" w:cs="宋体"/>
          <w:b/>
          <w:bCs/>
          <w:color w:val="auto"/>
          <w:sz w:val="24"/>
          <w:highlight w:val="none"/>
        </w:rPr>
        <w:t>项目背景</w:t>
      </w:r>
    </w:p>
    <w:p w14:paraId="332293F0">
      <w:pPr>
        <w:pStyle w:val="9"/>
        <w:spacing w:line="389" w:lineRule="auto"/>
        <w:ind w:left="-85" w:right="147" w:firstLine="448"/>
        <w:rPr>
          <w:rFonts w:asciiTheme="minorEastAsia" w:hAnsiTheme="minorEastAsia" w:eastAsiaTheme="minorEastAsia"/>
          <w:color w:val="auto"/>
          <w:spacing w:val="-3"/>
          <w:sz w:val="24"/>
          <w:szCs w:val="36"/>
          <w:highlight w:val="none"/>
        </w:rPr>
      </w:pPr>
      <w:r>
        <w:rPr>
          <w:rFonts w:asciiTheme="minorEastAsia" w:hAnsiTheme="minorEastAsia" w:eastAsiaTheme="minorEastAsia"/>
          <w:color w:val="auto"/>
          <w:spacing w:val="-8"/>
          <w:sz w:val="24"/>
          <w:szCs w:val="36"/>
          <w:highlight w:val="none"/>
        </w:rPr>
        <w:t>为有序推进我市生活垃圾治理工作根据</w:t>
      </w:r>
      <w:r>
        <w:rPr>
          <w:rFonts w:hint="eastAsia" w:asciiTheme="minorEastAsia" w:hAnsiTheme="minorEastAsia" w:eastAsiaTheme="minorEastAsia"/>
          <w:color w:val="auto"/>
          <w:spacing w:val="-3"/>
          <w:sz w:val="24"/>
          <w:szCs w:val="36"/>
          <w:highlight w:val="none"/>
        </w:rPr>
        <w:t>《</w:t>
      </w:r>
      <w:r>
        <w:rPr>
          <w:rFonts w:asciiTheme="minorEastAsia" w:hAnsiTheme="minorEastAsia" w:eastAsiaTheme="minorEastAsia"/>
          <w:color w:val="auto"/>
          <w:spacing w:val="-8"/>
          <w:sz w:val="24"/>
          <w:szCs w:val="36"/>
          <w:highlight w:val="none"/>
        </w:rPr>
        <w:t>浙江省生活垃圾管理条例</w:t>
      </w:r>
      <w:r>
        <w:rPr>
          <w:rFonts w:hint="eastAsia" w:asciiTheme="minorEastAsia" w:hAnsiTheme="minorEastAsia" w:eastAsiaTheme="minorEastAsia"/>
          <w:color w:val="auto"/>
          <w:spacing w:val="-3"/>
          <w:sz w:val="24"/>
          <w:szCs w:val="36"/>
          <w:highlight w:val="none"/>
        </w:rPr>
        <w:t>》、《2023</w:t>
      </w:r>
      <w:r>
        <w:rPr>
          <w:rFonts w:asciiTheme="minorEastAsia" w:hAnsiTheme="minorEastAsia" w:eastAsiaTheme="minorEastAsia"/>
          <w:color w:val="auto"/>
          <w:sz w:val="24"/>
          <w:szCs w:val="36"/>
          <w:highlight w:val="none"/>
        </w:rPr>
        <w:t xml:space="preserve">年上虞区城乡生活垃圾分类处理工作实施方案》、《绍兴市生活垃圾“定时定点定量”分类投放和清运操作导则》（绍兴生活垃圾分类办[2021]6 号）文件要求， </w:t>
      </w:r>
      <w:r>
        <w:rPr>
          <w:rFonts w:asciiTheme="minorEastAsia" w:hAnsiTheme="minorEastAsia" w:eastAsiaTheme="minorEastAsia"/>
          <w:color w:val="auto"/>
          <w:spacing w:val="-1"/>
          <w:sz w:val="24"/>
          <w:szCs w:val="36"/>
          <w:highlight w:val="none"/>
        </w:rPr>
        <w:t xml:space="preserve">为推进生活垃圾减量化、资源化、无害化，改善城市环境，促进资源回收利用， </w:t>
      </w:r>
      <w:r>
        <w:rPr>
          <w:rFonts w:asciiTheme="minorEastAsia" w:hAnsiTheme="minorEastAsia" w:eastAsiaTheme="minorEastAsia"/>
          <w:color w:val="auto"/>
          <w:spacing w:val="-7"/>
          <w:sz w:val="24"/>
          <w:szCs w:val="36"/>
          <w:highlight w:val="none"/>
        </w:rPr>
        <w:t>提高新型城镇化质量和生态文明建设水平，按照区委、区政府关于生活垃圾分类</w:t>
      </w:r>
      <w:r>
        <w:rPr>
          <w:rFonts w:asciiTheme="minorEastAsia" w:hAnsiTheme="minorEastAsia" w:eastAsiaTheme="minorEastAsia"/>
          <w:color w:val="auto"/>
          <w:spacing w:val="-6"/>
          <w:sz w:val="24"/>
          <w:szCs w:val="36"/>
          <w:highlight w:val="none"/>
        </w:rPr>
        <w:t>工作部署，结合</w:t>
      </w:r>
      <w:r>
        <w:rPr>
          <w:rFonts w:asciiTheme="minorEastAsia" w:hAnsiTheme="minorEastAsia" w:eastAsiaTheme="minorEastAsia"/>
          <w:color w:val="auto"/>
          <w:sz w:val="24"/>
          <w:szCs w:val="36"/>
          <w:highlight w:val="none"/>
        </w:rPr>
        <w:t>“无废城市”</w:t>
      </w:r>
      <w:r>
        <w:rPr>
          <w:rFonts w:asciiTheme="minorEastAsia" w:hAnsiTheme="minorEastAsia" w:eastAsiaTheme="minorEastAsia"/>
          <w:color w:val="auto"/>
          <w:spacing w:val="-3"/>
          <w:sz w:val="24"/>
          <w:szCs w:val="36"/>
          <w:highlight w:val="none"/>
        </w:rPr>
        <w:t>建设试点工作，培养居民分类习惯，探索垃圾分类数字治理新思维、新路径。</w:t>
      </w:r>
    </w:p>
    <w:p w14:paraId="112283B6">
      <w:pPr>
        <w:spacing w:after="120" w:line="389" w:lineRule="auto"/>
        <w:ind w:left="-85" w:right="147" w:firstLine="480" w:firstLineChars="200"/>
        <w:rPr>
          <w:rFonts w:asciiTheme="minorEastAsia" w:hAnsiTheme="minorEastAsia" w:eastAsiaTheme="minorEastAsia"/>
          <w:color w:val="auto"/>
          <w:sz w:val="24"/>
          <w:szCs w:val="28"/>
          <w:highlight w:val="none"/>
        </w:rPr>
      </w:pPr>
      <w:r>
        <w:rPr>
          <w:rFonts w:hint="eastAsia" w:cs="仿宋" w:asciiTheme="minorEastAsia" w:hAnsiTheme="minorEastAsia" w:eastAsiaTheme="minorEastAsia"/>
          <w:color w:val="auto"/>
          <w:sz w:val="24"/>
          <w:szCs w:val="36"/>
          <w:highlight w:val="none"/>
        </w:rPr>
        <w:t>同时，为满足上虞区垃圾分类信息化平台的进一步能力完善，实现并</w:t>
      </w:r>
      <w:r>
        <w:rPr>
          <w:rFonts w:hint="eastAsia" w:asciiTheme="minorEastAsia" w:hAnsiTheme="minorEastAsia" w:eastAsiaTheme="minorEastAsia"/>
          <w:color w:val="auto"/>
          <w:sz w:val="24"/>
          <w:szCs w:val="28"/>
          <w:highlight w:val="none"/>
        </w:rPr>
        <w:t>完成</w:t>
      </w:r>
      <w:r>
        <w:rPr>
          <w:rFonts w:asciiTheme="minorEastAsia" w:hAnsiTheme="minorEastAsia" w:eastAsiaTheme="minorEastAsia"/>
          <w:color w:val="auto"/>
          <w:sz w:val="24"/>
          <w:szCs w:val="28"/>
          <w:highlight w:val="none"/>
        </w:rPr>
        <w:t>管辖范围内的垃圾分类点位、分类投放、分类收运、分类督导等</w:t>
      </w:r>
      <w:r>
        <w:rPr>
          <w:rFonts w:hint="eastAsia" w:asciiTheme="minorEastAsia" w:hAnsiTheme="minorEastAsia" w:eastAsiaTheme="minorEastAsia"/>
          <w:color w:val="auto"/>
          <w:sz w:val="24"/>
          <w:szCs w:val="28"/>
          <w:highlight w:val="none"/>
        </w:rPr>
        <w:t>的</w:t>
      </w:r>
      <w:r>
        <w:rPr>
          <w:rFonts w:asciiTheme="minorEastAsia" w:hAnsiTheme="minorEastAsia" w:eastAsiaTheme="minorEastAsia"/>
          <w:color w:val="auto"/>
          <w:sz w:val="24"/>
          <w:szCs w:val="28"/>
          <w:highlight w:val="none"/>
        </w:rPr>
        <w:t>监管</w:t>
      </w:r>
      <w:r>
        <w:rPr>
          <w:rFonts w:hint="eastAsia" w:asciiTheme="minorEastAsia" w:hAnsiTheme="minorEastAsia" w:eastAsiaTheme="minorEastAsia"/>
          <w:color w:val="auto"/>
          <w:sz w:val="24"/>
          <w:szCs w:val="28"/>
          <w:highlight w:val="none"/>
        </w:rPr>
        <w:t>考核工作，同时应</w:t>
      </w:r>
      <w:r>
        <w:rPr>
          <w:rFonts w:asciiTheme="minorEastAsia" w:hAnsiTheme="minorEastAsia" w:eastAsiaTheme="minorEastAsia"/>
          <w:color w:val="auto"/>
          <w:sz w:val="24"/>
          <w:szCs w:val="28"/>
          <w:highlight w:val="none"/>
        </w:rPr>
        <w:t>按照</w:t>
      </w:r>
      <w:r>
        <w:rPr>
          <w:rFonts w:hint="eastAsia" w:asciiTheme="minorEastAsia" w:hAnsiTheme="minorEastAsia" w:eastAsiaTheme="minorEastAsia"/>
          <w:color w:val="auto"/>
          <w:sz w:val="24"/>
          <w:szCs w:val="28"/>
          <w:highlight w:val="none"/>
        </w:rPr>
        <w:t>省（市）</w:t>
      </w:r>
      <w:r>
        <w:rPr>
          <w:rFonts w:asciiTheme="minorEastAsia" w:hAnsiTheme="minorEastAsia" w:eastAsiaTheme="minorEastAsia"/>
          <w:color w:val="auto"/>
          <w:sz w:val="24"/>
          <w:szCs w:val="28"/>
          <w:highlight w:val="none"/>
        </w:rPr>
        <w:t>分类办的要求，完成省</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市</w:t>
      </w:r>
      <w:r>
        <w:rPr>
          <w:rFonts w:hint="eastAsia" w:asciiTheme="minorEastAsia" w:hAnsiTheme="minorEastAsia" w:eastAsiaTheme="minorEastAsia"/>
          <w:color w:val="auto"/>
          <w:sz w:val="24"/>
          <w:szCs w:val="28"/>
          <w:highlight w:val="none"/>
        </w:rPr>
        <w:t>）</w:t>
      </w:r>
      <w:r>
        <w:rPr>
          <w:rFonts w:asciiTheme="minorEastAsia" w:hAnsiTheme="minorEastAsia" w:eastAsiaTheme="minorEastAsia"/>
          <w:color w:val="auto"/>
          <w:sz w:val="24"/>
          <w:szCs w:val="28"/>
          <w:highlight w:val="none"/>
        </w:rPr>
        <w:t>分类平台的数据对接工作</w:t>
      </w:r>
      <w:r>
        <w:rPr>
          <w:rFonts w:hint="eastAsia" w:asciiTheme="minorEastAsia" w:hAnsiTheme="minorEastAsia" w:eastAsiaTheme="minorEastAsia"/>
          <w:color w:val="auto"/>
          <w:sz w:val="24"/>
          <w:szCs w:val="28"/>
          <w:highlight w:val="none"/>
        </w:rPr>
        <w:t>需求</w:t>
      </w:r>
      <w:r>
        <w:rPr>
          <w:rFonts w:asciiTheme="minorEastAsia" w:hAnsiTheme="minorEastAsia" w:eastAsiaTheme="minorEastAsia"/>
          <w:color w:val="auto"/>
          <w:sz w:val="24"/>
          <w:szCs w:val="28"/>
          <w:highlight w:val="none"/>
        </w:rPr>
        <w:t>。</w:t>
      </w:r>
    </w:p>
    <w:p w14:paraId="7EBDC606">
      <w:pPr>
        <w:numPr>
          <w:ilvl w:val="1"/>
          <w:numId w:val="21"/>
        </w:numPr>
        <w:autoSpaceDE w:val="0"/>
        <w:autoSpaceDN w:val="0"/>
        <w:adjustRightInd w:val="0"/>
        <w:spacing w:line="600" w:lineRule="auto"/>
        <w:ind w:left="-482" w:leftChars="0" w:firstLine="397"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项目建设主要内容及重点</w:t>
      </w:r>
    </w:p>
    <w:p w14:paraId="558598C0">
      <w:pPr>
        <w:spacing w:after="120" w:line="389" w:lineRule="auto"/>
        <w:ind w:left="-85" w:right="147"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上虞区垃圾分类监管平台（二期）</w:t>
      </w:r>
      <w:r>
        <w:rPr>
          <w:rFonts w:hint="eastAsia" w:asciiTheme="minorEastAsia" w:hAnsiTheme="minorEastAsia" w:eastAsiaTheme="minorEastAsia"/>
          <w:color w:val="auto"/>
          <w:sz w:val="24"/>
          <w:highlight w:val="none"/>
        </w:rPr>
        <w:t>的建设主要实现以下重点内容：</w:t>
      </w:r>
    </w:p>
    <w:p w14:paraId="374C4035">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重塑数据底座：</w:t>
      </w:r>
      <w:r>
        <w:rPr>
          <w:rFonts w:hint="eastAsia" w:asciiTheme="minorEastAsia" w:hAnsiTheme="minorEastAsia" w:eastAsiaTheme="minorEastAsia"/>
          <w:bCs/>
          <w:color w:val="auto"/>
          <w:sz w:val="24"/>
          <w:highlight w:val="none"/>
        </w:rPr>
        <w:t>打好数据底层基础-</w:t>
      </w:r>
      <w:r>
        <w:rPr>
          <w:rFonts w:hint="eastAsia" w:asciiTheme="minorEastAsia" w:hAnsiTheme="minorEastAsia" w:eastAsiaTheme="minorEastAsia"/>
          <w:bCs/>
          <w:color w:val="auto"/>
          <w:spacing w:val="-8"/>
          <w:sz w:val="24"/>
          <w:highlight w:val="none"/>
        </w:rPr>
        <w:t>完成数据底层的重塑，提升基础信息数据的维护能力，实现数据层级下钻的统计分析方式，实现多种维度组合的数据查询能力。</w:t>
      </w:r>
    </w:p>
    <w:p w14:paraId="2B6DDF76">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满足AI接入能力：</w:t>
      </w:r>
      <w:r>
        <w:rPr>
          <w:rFonts w:hint="eastAsia" w:asciiTheme="minorEastAsia" w:hAnsiTheme="minorEastAsia" w:eastAsiaTheme="minorEastAsia"/>
          <w:bCs/>
          <w:color w:val="auto"/>
          <w:sz w:val="24"/>
          <w:highlight w:val="none"/>
        </w:rPr>
        <w:t>投放点智能AI督导接入-实现针对前端AI摄像头及前端AI算法分析能力的无缝接入，完成前端摄像头AI算法分析后汇聚至区平台，由区平台实现针对AI事件的整理归集，完成将事件推送到督导员（移动端）进行核实处理，实现业务的闭环。</w:t>
      </w:r>
    </w:p>
    <w:p w14:paraId="27B2F344">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收、运、处智能化监管：</w:t>
      </w:r>
      <w:r>
        <w:rPr>
          <w:rFonts w:hint="eastAsia" w:asciiTheme="minorEastAsia" w:hAnsiTheme="minorEastAsia" w:eastAsiaTheme="minorEastAsia"/>
          <w:color w:val="auto"/>
          <w:sz w:val="24"/>
          <w:highlight w:val="none"/>
        </w:rPr>
        <w:t>根据绍兴市的要求，上虞区对收运车辆的硬件设施进行了升级改造，也赋能了AI能力，可对车辆的混收混运现象进行管理，生成对应的分析事件</w:t>
      </w:r>
      <w:r>
        <w:rPr>
          <w:rFonts w:hint="eastAsia"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highlight w:val="none"/>
        </w:rPr>
        <w:t>实现对车辆的全流程掌控，如配置车辆规定线路、车辆越界超区告警、违规行为记录，实现车辆收运过程溯源监管，保证中转站收运的安全性可靠性</w:t>
      </w:r>
      <w:r>
        <w:rPr>
          <w:rFonts w:hint="eastAsia" w:asciiTheme="minorEastAsia" w:hAnsiTheme="minorEastAsia" w:eastAsiaTheme="minorEastAsia"/>
          <w:bCs/>
          <w:color w:val="auto"/>
          <w:sz w:val="24"/>
          <w:highlight w:val="none"/>
        </w:rPr>
        <w:t>。</w:t>
      </w:r>
    </w:p>
    <w:p w14:paraId="7F2CB45F">
      <w:pPr>
        <w:spacing w:after="120" w:line="389" w:lineRule="auto"/>
        <w:ind w:left="-85" w:right="147" w:firstLine="480" w:firstLineChars="200"/>
        <w:rPr>
          <w:rFonts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highlight w:val="none"/>
        </w:rPr>
        <w:t>末端实现对垃圾来源，垃圾类型，垃圾入场时间、垃圾出场时间、计量工况等一系列末端处置数据进行分析汇总，有效提升填埋场、焚烧厂、易腐垃圾资源化处置设施的监管</w:t>
      </w:r>
      <w:r>
        <w:rPr>
          <w:rFonts w:hint="eastAsia" w:asciiTheme="minorEastAsia" w:hAnsiTheme="minorEastAsia" w:eastAsiaTheme="minorEastAsia"/>
          <w:bCs/>
          <w:color w:val="auto"/>
          <w:sz w:val="24"/>
          <w:highlight w:val="none"/>
        </w:rPr>
        <w:t>。</w:t>
      </w:r>
    </w:p>
    <w:p w14:paraId="6D7C3332">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强化分类督导能力：</w:t>
      </w:r>
      <w:r>
        <w:rPr>
          <w:rFonts w:hint="eastAsia" w:asciiTheme="minorEastAsia" w:hAnsiTheme="minorEastAsia" w:eastAsiaTheme="minorEastAsia"/>
          <w:bCs/>
          <w:color w:val="auto"/>
          <w:sz w:val="24"/>
          <w:highlight w:val="none"/>
        </w:rPr>
        <w:t>强化督导员能力，实现督导小程序地图信息的展示，实现督导曝光的镇街层级反馈。</w:t>
      </w:r>
    </w:p>
    <w:p w14:paraId="070D52AA">
      <w:pPr>
        <w:spacing w:after="120" w:line="389" w:lineRule="auto"/>
        <w:ind w:left="-85" w:right="147"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bCs/>
          <w:color w:val="auto"/>
          <w:sz w:val="24"/>
          <w:highlight w:val="none"/>
        </w:rPr>
        <w:t>管理监管更全面</w:t>
      </w:r>
      <w:r>
        <w:rPr>
          <w:rFonts w:hint="eastAsia" w:asciiTheme="minorEastAsia" w:hAnsiTheme="minorEastAsia" w:eastAsiaTheme="minorEastAsia"/>
          <w:bCs/>
          <w:color w:val="auto"/>
          <w:sz w:val="24"/>
          <w:highlight w:val="none"/>
        </w:rPr>
        <w:t>：强化数据分析及告警能力，自动计算各类分类指标阈，当低于阈值时自动报警；强化数据分析及展示能力</w:t>
      </w:r>
    </w:p>
    <w:p w14:paraId="6145B3EE">
      <w:pPr>
        <w:spacing w:after="120" w:line="389" w:lineRule="auto"/>
        <w:ind w:left="-85" w:right="147"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系统平台安全保障及信创化保障</w:t>
      </w:r>
      <w:r>
        <w:rPr>
          <w:rFonts w:hint="eastAsia" w:asciiTheme="minorEastAsia" w:hAnsiTheme="minorEastAsia" w:eastAsiaTheme="minorEastAsia"/>
          <w:bCs/>
          <w:color w:val="auto"/>
          <w:sz w:val="24"/>
          <w:highlight w:val="none"/>
        </w:rPr>
        <w:t>：在一期平台基础上进行等保二级测评、渗透测试等，添加WEB防火墙、数据库审计、堡垒机等安全产品；实现对一期系统信创改造要求。</w:t>
      </w:r>
    </w:p>
    <w:p w14:paraId="62774389">
      <w:pPr>
        <w:numPr>
          <w:ilvl w:val="1"/>
          <w:numId w:val="21"/>
        </w:numPr>
        <w:autoSpaceDE w:val="0"/>
        <w:autoSpaceDN w:val="0"/>
        <w:adjustRightInd w:val="0"/>
        <w:spacing w:line="600" w:lineRule="auto"/>
        <w:ind w:left="-482" w:leftChars="0" w:firstLine="397" w:firstLineChars="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采购内容及要求</w:t>
      </w:r>
    </w:p>
    <w:p w14:paraId="7054ED4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（一）.软件需求清单</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83"/>
        <w:gridCol w:w="1559"/>
        <w:gridCol w:w="4899"/>
      </w:tblGrid>
      <w:tr w14:paraId="62D5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BEBEBE"/>
            <w:vAlign w:val="center"/>
          </w:tcPr>
          <w:p w14:paraId="714B6159">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283" w:type="dxa"/>
            <w:shd w:val="clear" w:color="000000" w:fill="BEBEBE"/>
            <w:vAlign w:val="center"/>
          </w:tcPr>
          <w:p w14:paraId="0B512427">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功能模块</w:t>
            </w:r>
          </w:p>
        </w:tc>
        <w:tc>
          <w:tcPr>
            <w:tcW w:w="1559" w:type="dxa"/>
            <w:shd w:val="clear" w:color="000000" w:fill="BEBEBE"/>
            <w:vAlign w:val="center"/>
          </w:tcPr>
          <w:p w14:paraId="704DCFBD">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一级功能模块</w:t>
            </w:r>
          </w:p>
        </w:tc>
        <w:tc>
          <w:tcPr>
            <w:tcW w:w="4899" w:type="dxa"/>
            <w:shd w:val="clear" w:color="000000" w:fill="BEBEBE"/>
            <w:vAlign w:val="center"/>
          </w:tcPr>
          <w:p w14:paraId="016ABB83">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功能描述</w:t>
            </w:r>
          </w:p>
        </w:tc>
      </w:tr>
      <w:tr w14:paraId="4AEB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637A8BB2">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（一）基础数据仓</w:t>
            </w:r>
          </w:p>
        </w:tc>
      </w:tr>
      <w:tr w14:paraId="188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0" w:type="auto"/>
            <w:shd w:val="clear" w:color="000000" w:fill="FFFFFF"/>
          </w:tcPr>
          <w:p w14:paraId="59E367E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283" w:type="dxa"/>
            <w:vMerge w:val="restart"/>
            <w:shd w:val="clear" w:color="auto" w:fill="auto"/>
            <w:vAlign w:val="center"/>
          </w:tcPr>
          <w:p w14:paraId="57BE932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基础数据仓</w:t>
            </w:r>
          </w:p>
        </w:tc>
        <w:tc>
          <w:tcPr>
            <w:tcW w:w="1559" w:type="dxa"/>
            <w:shd w:val="clear" w:color="auto" w:fill="auto"/>
            <w:vAlign w:val="center"/>
          </w:tcPr>
          <w:p w14:paraId="78ACDA9D">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数据仓建设</w:t>
            </w:r>
          </w:p>
        </w:tc>
        <w:tc>
          <w:tcPr>
            <w:tcW w:w="4899" w:type="dxa"/>
            <w:shd w:val="clear" w:color="000000" w:fill="FFFFFF"/>
            <w:vAlign w:val="center"/>
          </w:tcPr>
          <w:p w14:paraId="42CED35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一期分类平台所有数据基础信息保留，在原功能点基础上每项数据采用接入第三方数据、填报、自主采集、爬虫技术，设置接入数据归零切换备选数据源功能。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将平台汇集的所有数据，形成数据仓，所有数据均调用数据仓中来源。经过对垃圾分类数据的采集、对接、处理、维度转换、数据分析挖掘后，构建包括基础信息及相关资源在内的基础资源数据库和经过数据分析和深度挖掘的业务数据库；</w:t>
            </w:r>
          </w:p>
        </w:tc>
      </w:tr>
      <w:tr w14:paraId="34B1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60C31F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283" w:type="dxa"/>
            <w:vMerge w:val="continue"/>
            <w:vAlign w:val="center"/>
          </w:tcPr>
          <w:p w14:paraId="61B0504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95B503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接入管理系统</w:t>
            </w:r>
          </w:p>
        </w:tc>
        <w:tc>
          <w:tcPr>
            <w:tcW w:w="4899" w:type="dxa"/>
            <w:vMerge w:val="restart"/>
            <w:shd w:val="clear" w:color="000000" w:fill="FFFFFF"/>
            <w:vAlign w:val="center"/>
          </w:tcPr>
          <w:p w14:paraId="22476B28">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与浙江省分类平台、绍兴市分类平台、垃圾分类运营服务单位、末端处置厂、智慧环卫、第三方厂家的数据对接，实现数据实时互通和无缝对接，归集上虞区各镇街垃圾分类业务数据。</w:t>
            </w:r>
          </w:p>
        </w:tc>
      </w:tr>
      <w:tr w14:paraId="1027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9573DA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283" w:type="dxa"/>
            <w:vMerge w:val="continue"/>
            <w:vAlign w:val="center"/>
          </w:tcPr>
          <w:p w14:paraId="062569E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275FC0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交换前置系统</w:t>
            </w:r>
          </w:p>
        </w:tc>
        <w:tc>
          <w:tcPr>
            <w:tcW w:w="4899" w:type="dxa"/>
            <w:vMerge w:val="continue"/>
            <w:vAlign w:val="center"/>
          </w:tcPr>
          <w:p w14:paraId="329C9F62">
            <w:pPr>
              <w:widowControl/>
              <w:jc w:val="left"/>
              <w:rPr>
                <w:rFonts w:hint="eastAsia" w:ascii="宋体" w:hAnsi="宋体" w:eastAsia="宋体" w:cs="宋体"/>
                <w:color w:val="auto"/>
                <w:kern w:val="0"/>
                <w:highlight w:val="none"/>
              </w:rPr>
            </w:pPr>
          </w:p>
        </w:tc>
      </w:tr>
      <w:tr w14:paraId="1B02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91540A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283" w:type="dxa"/>
            <w:vMerge w:val="continue"/>
            <w:vAlign w:val="center"/>
          </w:tcPr>
          <w:p w14:paraId="7E17D8D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E68711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交换桥接系统</w:t>
            </w:r>
          </w:p>
        </w:tc>
        <w:tc>
          <w:tcPr>
            <w:tcW w:w="4899" w:type="dxa"/>
            <w:vMerge w:val="continue"/>
            <w:vAlign w:val="center"/>
          </w:tcPr>
          <w:p w14:paraId="72DC3B24">
            <w:pPr>
              <w:widowControl/>
              <w:jc w:val="left"/>
              <w:rPr>
                <w:rFonts w:hint="eastAsia" w:ascii="宋体" w:hAnsi="宋体" w:eastAsia="宋体" w:cs="宋体"/>
                <w:color w:val="auto"/>
                <w:kern w:val="0"/>
                <w:highlight w:val="none"/>
              </w:rPr>
            </w:pPr>
          </w:p>
        </w:tc>
      </w:tr>
      <w:tr w14:paraId="48D1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32795B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283" w:type="dxa"/>
            <w:vMerge w:val="continue"/>
            <w:vAlign w:val="center"/>
          </w:tcPr>
          <w:p w14:paraId="65D53EB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C69DD0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运行监控平台</w:t>
            </w:r>
          </w:p>
        </w:tc>
        <w:tc>
          <w:tcPr>
            <w:tcW w:w="4899" w:type="dxa"/>
            <w:vMerge w:val="continue"/>
            <w:vAlign w:val="center"/>
          </w:tcPr>
          <w:p w14:paraId="00D3AF74">
            <w:pPr>
              <w:widowControl/>
              <w:jc w:val="left"/>
              <w:rPr>
                <w:rFonts w:hint="eastAsia" w:ascii="宋体" w:hAnsi="宋体" w:eastAsia="宋体" w:cs="宋体"/>
                <w:color w:val="auto"/>
                <w:kern w:val="0"/>
                <w:highlight w:val="none"/>
              </w:rPr>
            </w:pPr>
          </w:p>
        </w:tc>
      </w:tr>
      <w:tr w14:paraId="54C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529CFFFC">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（二）数据驾驶舱</w:t>
            </w:r>
          </w:p>
        </w:tc>
      </w:tr>
      <w:tr w14:paraId="55DE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99FEFA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283" w:type="dxa"/>
            <w:vMerge w:val="restart"/>
            <w:shd w:val="clear" w:color="auto" w:fill="auto"/>
            <w:vAlign w:val="center"/>
          </w:tcPr>
          <w:p w14:paraId="7143D0C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大数据驾驶舱</w:t>
            </w:r>
          </w:p>
        </w:tc>
        <w:tc>
          <w:tcPr>
            <w:tcW w:w="1559" w:type="dxa"/>
            <w:shd w:val="clear" w:color="auto" w:fill="auto"/>
            <w:vAlign w:val="center"/>
          </w:tcPr>
          <w:p w14:paraId="44DAF8E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综合态势</w:t>
            </w:r>
          </w:p>
        </w:tc>
        <w:tc>
          <w:tcPr>
            <w:tcW w:w="4899" w:type="dxa"/>
            <w:vMerge w:val="restart"/>
            <w:shd w:val="clear" w:color="000000" w:fill="FFFFFF"/>
            <w:vAlign w:val="center"/>
          </w:tcPr>
          <w:p w14:paraId="5F2B2F45">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包含综合态势、分类投放态势、分类收运态势、分类处置态势、分类巡检态势、分类宣讲态势，同时以指标化的数据展示垃圾分类开展的作业成效，各类垃圾的产生量、各街道的垃圾产生量、收运量、处置量，考核排名，数据同比环比情况，以图表的形式展示。</w:t>
            </w:r>
          </w:p>
        </w:tc>
      </w:tr>
      <w:tr w14:paraId="6264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F70DE5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283" w:type="dxa"/>
            <w:vMerge w:val="continue"/>
            <w:vAlign w:val="center"/>
          </w:tcPr>
          <w:p w14:paraId="5B973A4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4FFA9F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分类投放态势</w:t>
            </w:r>
          </w:p>
        </w:tc>
        <w:tc>
          <w:tcPr>
            <w:tcW w:w="4899" w:type="dxa"/>
            <w:vMerge w:val="continue"/>
            <w:vAlign w:val="center"/>
          </w:tcPr>
          <w:p w14:paraId="3F633ED4">
            <w:pPr>
              <w:widowControl/>
              <w:jc w:val="left"/>
              <w:rPr>
                <w:rFonts w:hint="eastAsia" w:ascii="宋体" w:hAnsi="宋体" w:eastAsia="宋体" w:cs="宋体"/>
                <w:color w:val="auto"/>
                <w:kern w:val="0"/>
                <w:highlight w:val="none"/>
              </w:rPr>
            </w:pPr>
          </w:p>
        </w:tc>
      </w:tr>
      <w:tr w14:paraId="2357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8443BC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283" w:type="dxa"/>
            <w:vMerge w:val="continue"/>
            <w:vAlign w:val="center"/>
          </w:tcPr>
          <w:p w14:paraId="13D1B16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09A543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分类收运态势</w:t>
            </w:r>
          </w:p>
        </w:tc>
        <w:tc>
          <w:tcPr>
            <w:tcW w:w="4899" w:type="dxa"/>
            <w:vMerge w:val="continue"/>
            <w:vAlign w:val="center"/>
          </w:tcPr>
          <w:p w14:paraId="32568FE0">
            <w:pPr>
              <w:widowControl/>
              <w:jc w:val="left"/>
              <w:rPr>
                <w:rFonts w:hint="eastAsia" w:ascii="宋体" w:hAnsi="宋体" w:eastAsia="宋体" w:cs="宋体"/>
                <w:color w:val="auto"/>
                <w:kern w:val="0"/>
                <w:highlight w:val="none"/>
              </w:rPr>
            </w:pPr>
          </w:p>
        </w:tc>
      </w:tr>
      <w:tr w14:paraId="0608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2CE8C8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283" w:type="dxa"/>
            <w:vMerge w:val="continue"/>
            <w:vAlign w:val="center"/>
          </w:tcPr>
          <w:p w14:paraId="14510B0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2E89D7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分类处置态势</w:t>
            </w:r>
          </w:p>
        </w:tc>
        <w:tc>
          <w:tcPr>
            <w:tcW w:w="4899" w:type="dxa"/>
            <w:vMerge w:val="continue"/>
            <w:vAlign w:val="center"/>
          </w:tcPr>
          <w:p w14:paraId="249D90A5">
            <w:pPr>
              <w:widowControl/>
              <w:jc w:val="left"/>
              <w:rPr>
                <w:rFonts w:hint="eastAsia" w:ascii="宋体" w:hAnsi="宋体" w:eastAsia="宋体" w:cs="宋体"/>
                <w:color w:val="auto"/>
                <w:kern w:val="0"/>
                <w:highlight w:val="none"/>
              </w:rPr>
            </w:pPr>
          </w:p>
        </w:tc>
      </w:tr>
      <w:tr w14:paraId="1DC2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9FF709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283" w:type="dxa"/>
            <w:vMerge w:val="restart"/>
            <w:shd w:val="clear" w:color="auto" w:fill="auto"/>
            <w:vAlign w:val="center"/>
          </w:tcPr>
          <w:p w14:paraId="1A75B88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综合视频监管中心</w:t>
            </w:r>
          </w:p>
        </w:tc>
        <w:tc>
          <w:tcPr>
            <w:tcW w:w="1559" w:type="dxa"/>
            <w:shd w:val="clear" w:color="auto" w:fill="auto"/>
            <w:vAlign w:val="center"/>
          </w:tcPr>
          <w:p w14:paraId="5BE3969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视频综合管理</w:t>
            </w:r>
          </w:p>
        </w:tc>
        <w:tc>
          <w:tcPr>
            <w:tcW w:w="4899" w:type="dxa"/>
            <w:shd w:val="clear" w:color="auto" w:fill="auto"/>
            <w:vAlign w:val="center"/>
          </w:tcPr>
          <w:p w14:paraId="4F774BC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接入各前端投放点、中转站、集置点、处置厂、车辆视频信息，支持单页多网格分区，同一页面查看多个监控画面。</w:t>
            </w:r>
          </w:p>
        </w:tc>
      </w:tr>
      <w:tr w14:paraId="1900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E4EB4F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283" w:type="dxa"/>
            <w:vMerge w:val="continue"/>
            <w:vAlign w:val="center"/>
          </w:tcPr>
          <w:p w14:paraId="3670F431">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C6C85C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监控中心</w:t>
            </w:r>
          </w:p>
        </w:tc>
        <w:tc>
          <w:tcPr>
            <w:tcW w:w="4899" w:type="dxa"/>
            <w:shd w:val="clear" w:color="auto" w:fill="auto"/>
            <w:vAlign w:val="center"/>
          </w:tcPr>
          <w:p w14:paraId="195A259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视频监管子系统是对整个垃圾分类工作进行监管的总入口，它主要涵盖了收运、处置、分类回收等不同的场景。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支持九宫格多画面播放，支持视频回放、快进、截屏等基础功能。</w:t>
            </w:r>
          </w:p>
        </w:tc>
      </w:tr>
      <w:tr w14:paraId="4F66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7E33BD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283" w:type="dxa"/>
            <w:vMerge w:val="continue"/>
            <w:vAlign w:val="center"/>
          </w:tcPr>
          <w:p w14:paraId="0D3169C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DBAAE2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AI投放明细</w:t>
            </w:r>
          </w:p>
        </w:tc>
        <w:tc>
          <w:tcPr>
            <w:tcW w:w="4899" w:type="dxa"/>
            <w:shd w:val="clear" w:color="auto" w:fill="auto"/>
            <w:vAlign w:val="center"/>
          </w:tcPr>
          <w:p w14:paraId="6E1321CF">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平台接入现场AI监控数据，并获取报警信息，在本模块可查看各点位报警信息，包括投放设施、运营商、行政区划、所属场景、告警类型、开始时间、持续时间、处理状态等。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并可将报警信息进行汇总分析，输出今日告警、本月告警、本年告警等。</w:t>
            </w:r>
          </w:p>
        </w:tc>
      </w:tr>
      <w:tr w14:paraId="1C6A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59C705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1283" w:type="dxa"/>
            <w:vMerge w:val="continue"/>
            <w:vAlign w:val="center"/>
          </w:tcPr>
          <w:p w14:paraId="40DCCF7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0560E7E">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AI事件上报</w:t>
            </w:r>
          </w:p>
        </w:tc>
        <w:tc>
          <w:tcPr>
            <w:tcW w:w="4899" w:type="dxa"/>
            <w:shd w:val="clear" w:color="auto" w:fill="auto"/>
            <w:vAlign w:val="center"/>
          </w:tcPr>
          <w:p w14:paraId="1B5B779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接入现有点位的前端投放AI事件上报能力，预留未来可能新增的投放设备AI能力，提供标准化接口。</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此外实现平台自身AI事件发现、上报、处理能力，提供AI事件统计分析。</w:t>
            </w:r>
          </w:p>
        </w:tc>
      </w:tr>
      <w:tr w14:paraId="1E62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4F11A5CD">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（三）管理平台</w:t>
            </w:r>
          </w:p>
        </w:tc>
      </w:tr>
      <w:tr w14:paraId="30C8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A4CBD4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1283" w:type="dxa"/>
            <w:vMerge w:val="restart"/>
            <w:shd w:val="clear" w:color="auto" w:fill="auto"/>
            <w:vAlign w:val="center"/>
          </w:tcPr>
          <w:p w14:paraId="0FA9787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基础信息管理子系统</w:t>
            </w:r>
          </w:p>
        </w:tc>
        <w:tc>
          <w:tcPr>
            <w:tcW w:w="1559" w:type="dxa"/>
            <w:shd w:val="clear" w:color="auto" w:fill="auto"/>
            <w:vAlign w:val="center"/>
          </w:tcPr>
          <w:p w14:paraId="2D3DC8B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分类小区信息</w:t>
            </w:r>
          </w:p>
        </w:tc>
        <w:tc>
          <w:tcPr>
            <w:tcW w:w="4899" w:type="dxa"/>
            <w:shd w:val="clear" w:color="auto" w:fill="auto"/>
            <w:vAlign w:val="center"/>
          </w:tcPr>
          <w:p w14:paraId="4C7645B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将分类小区的基本信息分类录入系统，包括小区名称、小区类型、设施设置数量、所属行政区划、具体地址、覆盖户数、运营单位、负责人员、联系方式等。建立分类小区数据库，可自定义划分区域，实现区域网格化管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针对基础信息的完善情况显示百分比，方便管理员实时了解，下同。</w:t>
            </w:r>
          </w:p>
        </w:tc>
      </w:tr>
      <w:tr w14:paraId="0EA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76E1C1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15</w:t>
            </w:r>
          </w:p>
        </w:tc>
        <w:tc>
          <w:tcPr>
            <w:tcW w:w="1283" w:type="dxa"/>
            <w:vMerge w:val="continue"/>
            <w:vAlign w:val="center"/>
          </w:tcPr>
          <w:p w14:paraId="0CB3848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9DAD43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公共机构信息（包含机关单位、医院、商超、学校等）</w:t>
            </w:r>
          </w:p>
        </w:tc>
        <w:tc>
          <w:tcPr>
            <w:tcW w:w="4899" w:type="dxa"/>
            <w:shd w:val="clear" w:color="auto" w:fill="auto"/>
            <w:vAlign w:val="center"/>
          </w:tcPr>
          <w:p w14:paraId="27E1C5B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机构作为垃圾分类重要的覆盖范围之一，对公共机构名称、设施设置数量、公共机构类型、管理部门、覆盖用户、负责人、联系方式、垃圾分类开始时间等基本信息建立统一的数据管理子功能，通过清晰台账实现上述公共机构垃圾分类作业的有效记录。</w:t>
            </w:r>
          </w:p>
        </w:tc>
      </w:tr>
      <w:tr w14:paraId="034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01BFF2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16</w:t>
            </w:r>
          </w:p>
        </w:tc>
        <w:tc>
          <w:tcPr>
            <w:tcW w:w="1283" w:type="dxa"/>
            <w:vMerge w:val="continue"/>
            <w:vAlign w:val="center"/>
          </w:tcPr>
          <w:p w14:paraId="6C610A2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B0C798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人员基本信息</w:t>
            </w:r>
          </w:p>
        </w:tc>
        <w:tc>
          <w:tcPr>
            <w:tcW w:w="4899" w:type="dxa"/>
            <w:shd w:val="clear" w:color="auto" w:fill="auto"/>
            <w:vAlign w:val="center"/>
          </w:tcPr>
          <w:p w14:paraId="7D31645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包含小区管理员、督导员、志愿者等垃圾分类人员的基础信息，对垃圾分类覆盖范围内所有作业人员的姓名、联系方式、作业类型、服务小区等基础信息录入管理，直观展示各个地区人员配比。</w:t>
            </w:r>
          </w:p>
        </w:tc>
      </w:tr>
      <w:tr w14:paraId="5955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DAA708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17</w:t>
            </w:r>
          </w:p>
        </w:tc>
        <w:tc>
          <w:tcPr>
            <w:tcW w:w="1283" w:type="dxa"/>
            <w:vMerge w:val="continue"/>
            <w:vAlign w:val="center"/>
          </w:tcPr>
          <w:p w14:paraId="52AD16C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5B72DD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投放点基本信息</w:t>
            </w:r>
          </w:p>
        </w:tc>
        <w:tc>
          <w:tcPr>
            <w:tcW w:w="4899" w:type="dxa"/>
            <w:shd w:val="clear" w:color="auto" w:fill="auto"/>
            <w:vAlign w:val="center"/>
          </w:tcPr>
          <w:p w14:paraId="397DF0E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建立投放点基础信息台账，包括：名称、编号、所属小区名称、投放点负责人，配备的督导员、运输车辆等信息。信息台账支持数据的增删改查功能，便于辅助管理部门进行基础信息的有序性管理和维护。支持数据的批量导入、导出等功能。</w:t>
            </w:r>
          </w:p>
        </w:tc>
      </w:tr>
      <w:tr w14:paraId="497F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918778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18</w:t>
            </w:r>
          </w:p>
        </w:tc>
        <w:tc>
          <w:tcPr>
            <w:tcW w:w="1283" w:type="dxa"/>
            <w:vMerge w:val="continue"/>
            <w:vAlign w:val="center"/>
          </w:tcPr>
          <w:p w14:paraId="75DCA088">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916133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投放设施设备</w:t>
            </w:r>
          </w:p>
        </w:tc>
        <w:tc>
          <w:tcPr>
            <w:tcW w:w="4899" w:type="dxa"/>
            <w:shd w:val="clear" w:color="auto" w:fill="auto"/>
            <w:vAlign w:val="center"/>
          </w:tcPr>
          <w:p w14:paraId="22B95C2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按照普通投放设备、智能投放设备、智能回收设备等类型进行设施设备的基本信息台账管理，为其建立包含所在小区、设备编号、使用情况等基本信息。</w:t>
            </w:r>
          </w:p>
        </w:tc>
      </w:tr>
      <w:tr w14:paraId="63C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760F88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19</w:t>
            </w:r>
          </w:p>
        </w:tc>
        <w:tc>
          <w:tcPr>
            <w:tcW w:w="1283" w:type="dxa"/>
            <w:vMerge w:val="continue"/>
            <w:vAlign w:val="center"/>
          </w:tcPr>
          <w:p w14:paraId="189465D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158CEF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车辆信息管理</w:t>
            </w:r>
          </w:p>
        </w:tc>
        <w:tc>
          <w:tcPr>
            <w:tcW w:w="4899" w:type="dxa"/>
            <w:shd w:val="clear" w:color="auto" w:fill="auto"/>
            <w:vAlign w:val="center"/>
          </w:tcPr>
          <w:p w14:paraId="1136237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可对车辆信息及绑定驾驶员联动进行增加、删除、编辑功能</w:t>
            </w:r>
          </w:p>
        </w:tc>
      </w:tr>
      <w:tr w14:paraId="4750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FF3D4E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20</w:t>
            </w:r>
          </w:p>
        </w:tc>
        <w:tc>
          <w:tcPr>
            <w:tcW w:w="1283" w:type="dxa"/>
            <w:vMerge w:val="continue"/>
            <w:vAlign w:val="center"/>
          </w:tcPr>
          <w:p w14:paraId="0C07558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DAB7B0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中转站信息管理</w:t>
            </w:r>
          </w:p>
        </w:tc>
        <w:tc>
          <w:tcPr>
            <w:tcW w:w="4899" w:type="dxa"/>
            <w:shd w:val="clear" w:color="auto" w:fill="auto"/>
            <w:vAlign w:val="center"/>
          </w:tcPr>
          <w:p w14:paraId="4DB81B84">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可对中转站基础信息进行增加、删除、编辑功能</w:t>
            </w:r>
          </w:p>
        </w:tc>
      </w:tr>
      <w:tr w14:paraId="637B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1207D0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21</w:t>
            </w:r>
          </w:p>
        </w:tc>
        <w:tc>
          <w:tcPr>
            <w:tcW w:w="1283" w:type="dxa"/>
            <w:vMerge w:val="continue"/>
            <w:vAlign w:val="center"/>
          </w:tcPr>
          <w:p w14:paraId="6B5FF05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C84F76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处置点信息管理</w:t>
            </w:r>
          </w:p>
        </w:tc>
        <w:tc>
          <w:tcPr>
            <w:tcW w:w="4899" w:type="dxa"/>
            <w:shd w:val="clear" w:color="auto" w:fill="auto"/>
            <w:vAlign w:val="center"/>
          </w:tcPr>
          <w:p w14:paraId="6EA693B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可对处置站基础信息进行增加、删除、编辑功能</w:t>
            </w:r>
          </w:p>
        </w:tc>
      </w:tr>
      <w:tr w14:paraId="7503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27F8F6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22</w:t>
            </w:r>
          </w:p>
        </w:tc>
        <w:tc>
          <w:tcPr>
            <w:tcW w:w="1283" w:type="dxa"/>
            <w:vMerge w:val="continue"/>
            <w:vAlign w:val="center"/>
          </w:tcPr>
          <w:p w14:paraId="1FFC6BD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09FCBB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其他信息管理</w:t>
            </w:r>
          </w:p>
        </w:tc>
        <w:tc>
          <w:tcPr>
            <w:tcW w:w="4899" w:type="dxa"/>
            <w:shd w:val="clear" w:color="auto" w:fill="auto"/>
            <w:vAlign w:val="center"/>
          </w:tcPr>
          <w:p w14:paraId="2519063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预留未在上述范围内的其他点位基础信息台账，诸如商业街、广场、公共区域、开放式小区等，实现基础信息的进行增加、删除、编辑功能</w:t>
            </w:r>
          </w:p>
        </w:tc>
      </w:tr>
      <w:tr w14:paraId="774D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2FA6DAC">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23</w:t>
            </w:r>
          </w:p>
        </w:tc>
        <w:tc>
          <w:tcPr>
            <w:tcW w:w="1283" w:type="dxa"/>
            <w:vMerge w:val="restart"/>
            <w:shd w:val="clear" w:color="auto" w:fill="auto"/>
            <w:vAlign w:val="center"/>
          </w:tcPr>
          <w:p w14:paraId="29CE903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宣教工作管理子系统</w:t>
            </w:r>
          </w:p>
        </w:tc>
        <w:tc>
          <w:tcPr>
            <w:tcW w:w="1559" w:type="dxa"/>
            <w:shd w:val="clear" w:color="auto" w:fill="auto"/>
            <w:vAlign w:val="center"/>
          </w:tcPr>
          <w:p w14:paraId="38259E8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宣教计划管理</w:t>
            </w:r>
          </w:p>
        </w:tc>
        <w:tc>
          <w:tcPr>
            <w:tcW w:w="4899" w:type="dxa"/>
            <w:shd w:val="clear" w:color="auto" w:fill="auto"/>
            <w:vAlign w:val="center"/>
          </w:tcPr>
          <w:p w14:paraId="359C106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垃圾分类宣教计划模块主要提供：区级宣教活动计划下发和街道、服务公司的宣传计划上报两大功能，促使更合理的安排上虞全区宣教工作。</w:t>
            </w:r>
          </w:p>
        </w:tc>
      </w:tr>
      <w:tr w14:paraId="32F0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53E9E6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24</w:t>
            </w:r>
          </w:p>
        </w:tc>
        <w:tc>
          <w:tcPr>
            <w:tcW w:w="1283" w:type="dxa"/>
            <w:vMerge w:val="continue"/>
            <w:vAlign w:val="center"/>
          </w:tcPr>
          <w:p w14:paraId="7604578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BA89FB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宣教活动管理</w:t>
            </w:r>
          </w:p>
        </w:tc>
        <w:tc>
          <w:tcPr>
            <w:tcW w:w="4899" w:type="dxa"/>
            <w:shd w:val="clear" w:color="auto" w:fill="auto"/>
            <w:vAlign w:val="center"/>
          </w:tcPr>
          <w:p w14:paraId="1A51F8A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宣教人员根据宣教计划管理下发的宣教任务进行执行，通过小程序查看宣教任务并前往完成宣教工作，通过小程序完成宣教过程的记录，包括现场地点、时间、文字描述和现场照片，实现宣教活动的精细化管理。</w:t>
            </w:r>
          </w:p>
        </w:tc>
      </w:tr>
      <w:tr w14:paraId="630E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B8D90D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25</w:t>
            </w:r>
          </w:p>
        </w:tc>
        <w:tc>
          <w:tcPr>
            <w:tcW w:w="1283" w:type="dxa"/>
            <w:vMerge w:val="restart"/>
            <w:shd w:val="clear" w:color="auto" w:fill="auto"/>
            <w:vAlign w:val="center"/>
          </w:tcPr>
          <w:p w14:paraId="177F284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投放监管子系统</w:t>
            </w:r>
          </w:p>
        </w:tc>
        <w:tc>
          <w:tcPr>
            <w:tcW w:w="1559" w:type="dxa"/>
            <w:shd w:val="clear" w:color="auto" w:fill="auto"/>
            <w:vAlign w:val="center"/>
          </w:tcPr>
          <w:p w14:paraId="2AF823D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投放一张图</w:t>
            </w:r>
          </w:p>
        </w:tc>
        <w:tc>
          <w:tcPr>
            <w:tcW w:w="4899" w:type="dxa"/>
            <w:shd w:val="clear" w:color="auto" w:fill="auto"/>
            <w:vAlign w:val="center"/>
          </w:tcPr>
          <w:p w14:paraId="5A475BD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能在地图上显示所有投放点、设施设备的分布、数量和建设状态（不同的状态以不同的颜色标识），点击设备可显示详情。</w:t>
            </w:r>
          </w:p>
        </w:tc>
      </w:tr>
      <w:tr w14:paraId="40EC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89EB7D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26</w:t>
            </w:r>
          </w:p>
        </w:tc>
        <w:tc>
          <w:tcPr>
            <w:tcW w:w="1283" w:type="dxa"/>
            <w:vMerge w:val="continue"/>
            <w:vAlign w:val="center"/>
          </w:tcPr>
          <w:p w14:paraId="4F581971">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5A24CB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投放记录管理</w:t>
            </w:r>
          </w:p>
        </w:tc>
        <w:tc>
          <w:tcPr>
            <w:tcW w:w="4899" w:type="dxa"/>
            <w:shd w:val="clear" w:color="auto" w:fill="auto"/>
            <w:vAlign w:val="center"/>
          </w:tcPr>
          <w:p w14:paraId="58EF1BF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提供智能设备投放后的数据查询统计功能，可根据街道、小区、姓名、日期等条件查询数据，包括投放人的姓名、地点、投放时间、垃圾类型、重量、产生积分、投放质量等。</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（此功能只针对智能投放设备覆盖点位，对于传统点位采用台账填报记录方式）</w:t>
            </w:r>
          </w:p>
        </w:tc>
      </w:tr>
      <w:tr w14:paraId="3E41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C6993E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27</w:t>
            </w:r>
          </w:p>
        </w:tc>
        <w:tc>
          <w:tcPr>
            <w:tcW w:w="1283" w:type="dxa"/>
            <w:vMerge w:val="continue"/>
            <w:vAlign w:val="center"/>
          </w:tcPr>
          <w:p w14:paraId="21B5A2E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45FD93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设施状态监管</w:t>
            </w:r>
          </w:p>
        </w:tc>
        <w:tc>
          <w:tcPr>
            <w:tcW w:w="4899" w:type="dxa"/>
            <w:shd w:val="clear" w:color="auto" w:fill="auto"/>
            <w:vAlign w:val="center"/>
          </w:tcPr>
          <w:p w14:paraId="406BB49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实现智能化分类设备、物联感知设备在线状态监管，同步管理智能设备业务感知数据。</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（此功能只针对智能投放设备覆盖点位）</w:t>
            </w:r>
          </w:p>
        </w:tc>
      </w:tr>
      <w:tr w14:paraId="267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81C59D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28</w:t>
            </w:r>
          </w:p>
        </w:tc>
        <w:tc>
          <w:tcPr>
            <w:tcW w:w="1283" w:type="dxa"/>
            <w:vMerge w:val="continue"/>
            <w:vAlign w:val="center"/>
          </w:tcPr>
          <w:p w14:paraId="59F2693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A9D636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投放基础规则管理</w:t>
            </w:r>
          </w:p>
        </w:tc>
        <w:tc>
          <w:tcPr>
            <w:tcW w:w="4899" w:type="dxa"/>
            <w:shd w:val="clear" w:color="auto" w:fill="auto"/>
            <w:vAlign w:val="center"/>
          </w:tcPr>
          <w:p w14:paraId="4DCA231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投放基础规则包括投放点人员配置、开放时间规则、收集车辆配置、收运时间规则，实现投放点日常管理。</w:t>
            </w:r>
          </w:p>
        </w:tc>
      </w:tr>
      <w:tr w14:paraId="5498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E34C93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29</w:t>
            </w:r>
          </w:p>
        </w:tc>
        <w:tc>
          <w:tcPr>
            <w:tcW w:w="1283" w:type="dxa"/>
            <w:vMerge w:val="continue"/>
            <w:vAlign w:val="center"/>
          </w:tcPr>
          <w:p w14:paraId="24178A9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4962BB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点位巡查</w:t>
            </w:r>
          </w:p>
        </w:tc>
        <w:tc>
          <w:tcPr>
            <w:tcW w:w="4899" w:type="dxa"/>
            <w:shd w:val="clear" w:color="auto" w:fill="auto"/>
            <w:vAlign w:val="center"/>
          </w:tcPr>
          <w:p w14:paraId="5983711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可由三方运营单位（物业等）工作人员通过小程序端进行点位巡查，将巡查情况上报至平台。</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上报主要针对投放点工作时间和非工作时间两种情况：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1、投放点正常工作时间：实现设备异常、其他特殊情况等上报说明；</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2、投放点非工作时间：进行抽查式巡查，上报诸如丢包等情况，也可上报其他特殊情况。</w:t>
            </w:r>
          </w:p>
        </w:tc>
      </w:tr>
      <w:tr w14:paraId="4480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F15F55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30</w:t>
            </w:r>
          </w:p>
        </w:tc>
        <w:tc>
          <w:tcPr>
            <w:tcW w:w="1283" w:type="dxa"/>
            <w:vMerge w:val="continue"/>
            <w:vAlign w:val="center"/>
          </w:tcPr>
          <w:p w14:paraId="4191AA8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0B984C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02D082E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对已经安装了视频监控的投放点，实现平台的接入，实现视频的实时监控和录像回放功能。</w:t>
            </w:r>
          </w:p>
        </w:tc>
      </w:tr>
      <w:tr w14:paraId="39AF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54361A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1283" w:type="dxa"/>
            <w:vMerge w:val="continue"/>
            <w:vAlign w:val="center"/>
          </w:tcPr>
          <w:p w14:paraId="7683C17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84A4CC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投放计重</w:t>
            </w:r>
          </w:p>
        </w:tc>
        <w:tc>
          <w:tcPr>
            <w:tcW w:w="4899" w:type="dxa"/>
            <w:shd w:val="clear" w:color="auto" w:fill="auto"/>
            <w:vAlign w:val="center"/>
          </w:tcPr>
          <w:p w14:paraId="0455727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针对已经覆盖智能投放设备的点位，实现前端投放点位的计重数据的接入。</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（此功能只针对智能投放设备覆盖点位，对于传统点位可采用台账填报方式）</w:t>
            </w:r>
          </w:p>
        </w:tc>
      </w:tr>
      <w:tr w14:paraId="0B89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88FC79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1283" w:type="dxa"/>
            <w:vMerge w:val="restart"/>
            <w:shd w:val="clear" w:color="auto" w:fill="auto"/>
            <w:vAlign w:val="center"/>
          </w:tcPr>
          <w:p w14:paraId="07356A5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分类收运子系统</w:t>
            </w:r>
          </w:p>
        </w:tc>
        <w:tc>
          <w:tcPr>
            <w:tcW w:w="1559" w:type="dxa"/>
            <w:shd w:val="clear" w:color="auto" w:fill="auto"/>
            <w:vAlign w:val="center"/>
          </w:tcPr>
          <w:p w14:paraId="66BA263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收运一张图</w:t>
            </w:r>
          </w:p>
        </w:tc>
        <w:tc>
          <w:tcPr>
            <w:tcW w:w="4899" w:type="dxa"/>
            <w:shd w:val="clear" w:color="auto" w:fill="auto"/>
            <w:vAlign w:val="center"/>
          </w:tcPr>
          <w:p w14:paraId="0626BDF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能在地图上显示分类收运情况包括收运路线、准时效率、告警情况，点击点位可显示详情。</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可按照收运路线、垃圾类型、日期等条件查询历史的收运过程，以“地铁站”一张图的形式展现，对各个分类点以（已收/未收/异常）三种状态进行不同颜色的区分，分类收集点显示应到时间，实到时间</w:t>
            </w:r>
          </w:p>
        </w:tc>
      </w:tr>
      <w:tr w14:paraId="7CA0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BD6478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33</w:t>
            </w:r>
          </w:p>
        </w:tc>
        <w:tc>
          <w:tcPr>
            <w:tcW w:w="1283" w:type="dxa"/>
            <w:vMerge w:val="continue"/>
            <w:vAlign w:val="center"/>
          </w:tcPr>
          <w:p w14:paraId="47FDBCA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8AE0A0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路线规划</w:t>
            </w:r>
          </w:p>
        </w:tc>
        <w:tc>
          <w:tcPr>
            <w:tcW w:w="4899" w:type="dxa"/>
            <w:shd w:val="clear" w:color="auto" w:fill="auto"/>
            <w:vAlign w:val="center"/>
          </w:tcPr>
          <w:p w14:paraId="5C81B6E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对收运车辆进行作业路线规划，可按照路线模式和“公交站”模式两种方式进行设置，将车辆、收运路线各点位、收运频次、打卡点位等参数进行设定。</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同时可以根据车辆收运实际情况，选择性设置定时定点打卡模式或无顺序打卡模式。</w:t>
            </w:r>
          </w:p>
        </w:tc>
      </w:tr>
      <w:tr w14:paraId="135F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06136F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34</w:t>
            </w:r>
          </w:p>
        </w:tc>
        <w:tc>
          <w:tcPr>
            <w:tcW w:w="1283" w:type="dxa"/>
            <w:vMerge w:val="continue"/>
            <w:vAlign w:val="center"/>
          </w:tcPr>
          <w:p w14:paraId="733D483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DF1E84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轨迹回放</w:t>
            </w:r>
          </w:p>
        </w:tc>
        <w:tc>
          <w:tcPr>
            <w:tcW w:w="4899" w:type="dxa"/>
            <w:shd w:val="clear" w:color="auto" w:fill="auto"/>
            <w:vAlign w:val="center"/>
          </w:tcPr>
          <w:p w14:paraId="1373C32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接入车辆GPS设备，根据车辆的定位信息展示车辆的路线、时间、速度、地点等信息，可自定义进行查询，显示车辆的里程、速度，可以提供轨迹在地图上的播放，同时可以控制以不同的速度进行。</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（此功能只针对已完成GPS安装改造的车辆，可预留后续车辆GPS接入接口）</w:t>
            </w:r>
          </w:p>
        </w:tc>
      </w:tr>
      <w:tr w14:paraId="6664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C45F7B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35</w:t>
            </w:r>
          </w:p>
        </w:tc>
        <w:tc>
          <w:tcPr>
            <w:tcW w:w="1283" w:type="dxa"/>
            <w:vMerge w:val="continue"/>
            <w:vAlign w:val="center"/>
          </w:tcPr>
          <w:p w14:paraId="537C96C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E547C1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偏离分析</w:t>
            </w:r>
          </w:p>
        </w:tc>
        <w:tc>
          <w:tcPr>
            <w:tcW w:w="4899" w:type="dxa"/>
            <w:shd w:val="clear" w:color="auto" w:fill="auto"/>
            <w:vAlign w:val="center"/>
          </w:tcPr>
          <w:p w14:paraId="500DD0B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接入车辆GPS设备，通过车辆的位置与垃圾收集点的位置信息进行自动比对，判断车辆收集时间，系统自动核实清运车辆是否及时抵达收运点进行垃圾收运工作</w:t>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（此功能只针对已完成GPS安装改造的车辆，可预留后续车辆GPS接入接口）</w:t>
            </w:r>
          </w:p>
        </w:tc>
      </w:tr>
      <w:tr w14:paraId="551A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298377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36</w:t>
            </w:r>
          </w:p>
        </w:tc>
        <w:tc>
          <w:tcPr>
            <w:tcW w:w="1283" w:type="dxa"/>
            <w:vMerge w:val="continue"/>
            <w:vAlign w:val="center"/>
          </w:tcPr>
          <w:p w14:paraId="1ECE458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570C43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混收混运监管</w:t>
            </w:r>
          </w:p>
        </w:tc>
        <w:tc>
          <w:tcPr>
            <w:tcW w:w="4899" w:type="dxa"/>
            <w:shd w:val="clear" w:color="auto" w:fill="auto"/>
            <w:vAlign w:val="center"/>
          </w:tcPr>
          <w:p w14:paraId="4CCE0C1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接入垃圾桶智能识别设备，根据垃圾桶颜色研判收运车辆收集的垃圾类型。出现收运车辆与垃圾类型不匹配时，系统进行记录异常行为并进行提醒，及时纠正。</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（此功能只针对已完成智能识别设备安装改造的车辆，如终端硬件设备未全面覆盖，预留此部分功能接口）</w:t>
            </w:r>
          </w:p>
        </w:tc>
      </w:tr>
      <w:tr w14:paraId="48CA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C8D45C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37</w:t>
            </w:r>
          </w:p>
        </w:tc>
        <w:tc>
          <w:tcPr>
            <w:tcW w:w="1283" w:type="dxa"/>
            <w:vMerge w:val="continue"/>
            <w:vAlign w:val="center"/>
          </w:tcPr>
          <w:p w14:paraId="0C2199E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E2607F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400FB7B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对符合接入条件的车辆进行视频流的接入，完成车载视频的播放，回放功能。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（此功能只针对已完成车载视频安装改造的车辆，如终端硬件设备未全面覆盖，预留此部分功能接口）</w:t>
            </w:r>
          </w:p>
        </w:tc>
      </w:tr>
      <w:tr w14:paraId="4198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52D072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38</w:t>
            </w:r>
          </w:p>
        </w:tc>
        <w:tc>
          <w:tcPr>
            <w:tcW w:w="1283" w:type="dxa"/>
            <w:vMerge w:val="continue"/>
            <w:vAlign w:val="center"/>
          </w:tcPr>
          <w:p w14:paraId="5567A60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D99314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收运记录</w:t>
            </w:r>
          </w:p>
        </w:tc>
        <w:tc>
          <w:tcPr>
            <w:tcW w:w="4899" w:type="dxa"/>
            <w:shd w:val="clear" w:color="auto" w:fill="auto"/>
            <w:vAlign w:val="center"/>
          </w:tcPr>
          <w:p w14:paraId="65030C8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接入车辆车载称重设备数据，通过对收运整体情况的追溯，完成收运记录报表，包含点位、收运时间、小区、地址、垃圾类型、重量、告警情况等字段，以日报、月报、年报形式展现，为垃圾溯源模块提供数据支撑。</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（此功能只针对已完成车载称重安装改造的车辆，如终端硬件设备未全面覆盖，预留此部分功能接口）</w:t>
            </w:r>
          </w:p>
        </w:tc>
      </w:tr>
      <w:tr w14:paraId="1D76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A86788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39</w:t>
            </w:r>
          </w:p>
        </w:tc>
        <w:tc>
          <w:tcPr>
            <w:tcW w:w="1283" w:type="dxa"/>
            <w:vMerge w:val="continue"/>
            <w:vAlign w:val="center"/>
          </w:tcPr>
          <w:p w14:paraId="50B9C9A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32EACB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收运计重</w:t>
            </w:r>
          </w:p>
        </w:tc>
        <w:tc>
          <w:tcPr>
            <w:tcW w:w="4899" w:type="dxa"/>
            <w:shd w:val="clear" w:color="auto" w:fill="auto"/>
            <w:vAlign w:val="center"/>
          </w:tcPr>
          <w:p w14:paraId="238DADC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通过车载称重设备数据接入或人工采集的方式，完成各个收运模式下的称重数据的记录和统计。</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支持各收运模式下的人工数据填报；</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支持直运模式下由末端处置称重数据进行收运量的反推算；</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（此功能只针对已完成车载称重安装改造的车辆，如终端硬件设备未全面覆盖，预留此部分功能接口）</w:t>
            </w:r>
          </w:p>
        </w:tc>
      </w:tr>
      <w:tr w14:paraId="217C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2C2FCE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40</w:t>
            </w:r>
          </w:p>
        </w:tc>
        <w:tc>
          <w:tcPr>
            <w:tcW w:w="1283" w:type="dxa"/>
            <w:vMerge w:val="restart"/>
            <w:shd w:val="clear" w:color="auto" w:fill="auto"/>
            <w:vAlign w:val="center"/>
          </w:tcPr>
          <w:p w14:paraId="16245CA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分类处置子系统</w:t>
            </w:r>
          </w:p>
        </w:tc>
        <w:tc>
          <w:tcPr>
            <w:tcW w:w="1559" w:type="dxa"/>
            <w:shd w:val="clear" w:color="auto" w:fill="auto"/>
            <w:vAlign w:val="center"/>
          </w:tcPr>
          <w:p w14:paraId="447AD3A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处置一张图</w:t>
            </w:r>
          </w:p>
        </w:tc>
        <w:tc>
          <w:tcPr>
            <w:tcW w:w="4899" w:type="dxa"/>
            <w:shd w:val="clear" w:color="auto" w:fill="auto"/>
            <w:vAlign w:val="center"/>
          </w:tcPr>
          <w:p w14:paraId="1D0E76C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在地图上显示所有处置设施设备的分布、数量和建设状态（不同的状态以不同的颜色标识），点击不同的类型可显示该类型下设施的数量和分布，单独点击设施可显示设施详情，包含名称、位置、图片等。</w:t>
            </w:r>
          </w:p>
        </w:tc>
      </w:tr>
      <w:tr w14:paraId="16F8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4E8B75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41</w:t>
            </w:r>
          </w:p>
        </w:tc>
        <w:tc>
          <w:tcPr>
            <w:tcW w:w="1283" w:type="dxa"/>
            <w:vMerge w:val="continue"/>
            <w:vAlign w:val="center"/>
          </w:tcPr>
          <w:p w14:paraId="1058E602">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F36C96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视频监管</w:t>
            </w:r>
          </w:p>
        </w:tc>
        <w:tc>
          <w:tcPr>
            <w:tcW w:w="4899" w:type="dxa"/>
            <w:shd w:val="clear" w:color="auto" w:fill="auto"/>
            <w:vAlign w:val="center"/>
          </w:tcPr>
          <w:p w14:paraId="15B8CBD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通过对接进出场（厂）口、卸料区、场（厂）区、产物出口、污染物排放口等重要点位的视频监控，完成远程监控画面的接入。</w:t>
            </w:r>
          </w:p>
        </w:tc>
      </w:tr>
      <w:tr w14:paraId="4D0E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09E617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42</w:t>
            </w:r>
          </w:p>
        </w:tc>
        <w:tc>
          <w:tcPr>
            <w:tcW w:w="1283" w:type="dxa"/>
            <w:vMerge w:val="continue"/>
            <w:vAlign w:val="center"/>
          </w:tcPr>
          <w:p w14:paraId="487BFDC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288169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末端计重</w:t>
            </w:r>
          </w:p>
        </w:tc>
        <w:tc>
          <w:tcPr>
            <w:tcW w:w="4899" w:type="dxa"/>
            <w:shd w:val="clear" w:color="auto" w:fill="auto"/>
            <w:vAlign w:val="center"/>
          </w:tcPr>
          <w:p w14:paraId="52B1A6B6">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实现主要末端处置厂地磅称重数据的接入，为垃圾溯源模块提供数据支撑。</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br w:type="textWrapping"/>
            </w:r>
            <w:r>
              <w:rPr>
                <w:rFonts w:hint="eastAsia" w:ascii="宋体" w:hAnsi="宋体" w:eastAsia="宋体" w:cs="宋体"/>
                <w:b/>
                <w:bCs/>
                <w:color w:val="auto"/>
                <w:kern w:val="0"/>
                <w:highlight w:val="none"/>
              </w:rPr>
              <w:t>（此功能可实现各个处置厂第三方地磅数据的接入，对于未完成终端硬件安装的处置点位，预留功能接口）</w:t>
            </w:r>
          </w:p>
        </w:tc>
      </w:tr>
      <w:tr w14:paraId="6B23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FAE313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43</w:t>
            </w:r>
          </w:p>
        </w:tc>
        <w:tc>
          <w:tcPr>
            <w:tcW w:w="1283" w:type="dxa"/>
            <w:vMerge w:val="continue"/>
            <w:vAlign w:val="center"/>
          </w:tcPr>
          <w:p w14:paraId="1D88C71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89E5B0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设施工况监管</w:t>
            </w:r>
          </w:p>
        </w:tc>
        <w:tc>
          <w:tcPr>
            <w:tcW w:w="4899" w:type="dxa"/>
            <w:shd w:val="clear" w:color="auto" w:fill="auto"/>
            <w:vAlign w:val="center"/>
          </w:tcPr>
          <w:p w14:paraId="738CD0C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实现各处置点的工况运行情况监管数据的接入。（预留渗滤液、焚烧环保数据的接口）</w:t>
            </w:r>
          </w:p>
        </w:tc>
      </w:tr>
      <w:tr w14:paraId="7F11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4A8974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44</w:t>
            </w:r>
          </w:p>
        </w:tc>
        <w:tc>
          <w:tcPr>
            <w:tcW w:w="1283" w:type="dxa"/>
            <w:vMerge w:val="continue"/>
            <w:vAlign w:val="center"/>
          </w:tcPr>
          <w:p w14:paraId="4B7E886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FD7C02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就地减量管理</w:t>
            </w:r>
          </w:p>
        </w:tc>
        <w:tc>
          <w:tcPr>
            <w:tcW w:w="4899" w:type="dxa"/>
            <w:shd w:val="clear" w:color="auto" w:fill="auto"/>
            <w:vAlign w:val="center"/>
          </w:tcPr>
          <w:p w14:paraId="4F05B55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支撑源头减量政策文件及检查情况的上传</w:t>
            </w:r>
          </w:p>
        </w:tc>
      </w:tr>
      <w:tr w14:paraId="1C95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297E44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45</w:t>
            </w:r>
          </w:p>
        </w:tc>
        <w:tc>
          <w:tcPr>
            <w:tcW w:w="1283" w:type="dxa"/>
            <w:vMerge w:val="continue"/>
            <w:vAlign w:val="center"/>
          </w:tcPr>
          <w:p w14:paraId="1760FB2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914D3D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运营单位上报</w:t>
            </w:r>
          </w:p>
        </w:tc>
        <w:tc>
          <w:tcPr>
            <w:tcW w:w="4899" w:type="dxa"/>
            <w:shd w:val="clear" w:color="auto" w:fill="auto"/>
            <w:vAlign w:val="center"/>
          </w:tcPr>
          <w:p w14:paraId="01CCE61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运营单位数据上报子系统主要针对各终端厂实现市区数据同步，保障区级平台可补充终端厂直接上报市平台部分的数据。</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此外针对无法实时采集的数据，这些非结构化数据主要可由终端各类操作人员进行及时的登记并上报等。</w:t>
            </w:r>
          </w:p>
        </w:tc>
      </w:tr>
      <w:tr w14:paraId="0E89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DCA51F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46</w:t>
            </w:r>
          </w:p>
        </w:tc>
        <w:tc>
          <w:tcPr>
            <w:tcW w:w="1283" w:type="dxa"/>
            <w:vMerge w:val="restart"/>
            <w:shd w:val="clear" w:color="auto" w:fill="auto"/>
            <w:vAlign w:val="center"/>
          </w:tcPr>
          <w:p w14:paraId="2A762F8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一站式填报子系统</w:t>
            </w:r>
          </w:p>
        </w:tc>
        <w:tc>
          <w:tcPr>
            <w:tcW w:w="1559" w:type="dxa"/>
            <w:shd w:val="clear" w:color="auto" w:fill="auto"/>
            <w:vAlign w:val="center"/>
          </w:tcPr>
          <w:p w14:paraId="2EDB704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自定义表单</w:t>
            </w:r>
          </w:p>
        </w:tc>
        <w:tc>
          <w:tcPr>
            <w:tcW w:w="4899" w:type="dxa"/>
            <w:shd w:val="clear" w:color="auto" w:fill="auto"/>
            <w:vAlign w:val="center"/>
          </w:tcPr>
          <w:p w14:paraId="55AC850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自定义各类需要填报的表单，以供下级单位进行数据填报，每张表单都能设置详细的要求，包括填报对象、审批人、发布日期、有效期、提醒设置等。</w:t>
            </w:r>
          </w:p>
        </w:tc>
      </w:tr>
      <w:tr w14:paraId="7FD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76BAFE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47</w:t>
            </w:r>
          </w:p>
        </w:tc>
        <w:tc>
          <w:tcPr>
            <w:tcW w:w="1283" w:type="dxa"/>
            <w:vMerge w:val="continue"/>
            <w:vAlign w:val="center"/>
          </w:tcPr>
          <w:p w14:paraId="1795C27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1792DF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数据上报</w:t>
            </w:r>
          </w:p>
        </w:tc>
        <w:tc>
          <w:tcPr>
            <w:tcW w:w="4899" w:type="dxa"/>
            <w:shd w:val="clear" w:color="auto" w:fill="auto"/>
            <w:vAlign w:val="center"/>
          </w:tcPr>
          <w:p w14:paraId="6447D94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各街道乡镇根据市里下发的任务，对任务的数据进行填报和上传</w:t>
            </w:r>
          </w:p>
        </w:tc>
      </w:tr>
      <w:tr w14:paraId="2CD8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B2B7AC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48</w:t>
            </w:r>
          </w:p>
        </w:tc>
        <w:tc>
          <w:tcPr>
            <w:tcW w:w="1283" w:type="dxa"/>
            <w:vMerge w:val="continue"/>
            <w:vAlign w:val="center"/>
          </w:tcPr>
          <w:p w14:paraId="0C572B8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E35923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填报流程管理</w:t>
            </w:r>
          </w:p>
        </w:tc>
        <w:tc>
          <w:tcPr>
            <w:tcW w:w="4899" w:type="dxa"/>
            <w:shd w:val="clear" w:color="auto" w:fill="auto"/>
            <w:vAlign w:val="center"/>
          </w:tcPr>
          <w:p w14:paraId="0B9C205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填报流程设计为不同层级按照职能划分不同权限，支持下级填报数据，上级审核或驳回。实现管理部门对上报的数据报表进行及时审核，层层审批，强化监管、督促下级单位有效落实垃圾分类相关政策。</w:t>
            </w:r>
          </w:p>
        </w:tc>
      </w:tr>
      <w:tr w14:paraId="6A1C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C7F48C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49</w:t>
            </w:r>
          </w:p>
        </w:tc>
        <w:tc>
          <w:tcPr>
            <w:tcW w:w="1283" w:type="dxa"/>
            <w:vMerge w:val="continue"/>
            <w:vAlign w:val="center"/>
          </w:tcPr>
          <w:p w14:paraId="2F9E4891">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0C3F00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填报追踪</w:t>
            </w:r>
          </w:p>
        </w:tc>
        <w:tc>
          <w:tcPr>
            <w:tcW w:w="4899" w:type="dxa"/>
            <w:shd w:val="clear" w:color="auto" w:fill="auto"/>
            <w:vAlign w:val="center"/>
          </w:tcPr>
          <w:p w14:paraId="0050DAF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填报数据追踪是上级单位对数据上报时间追踪、对区域数据完善度管理，通同系统历史数据和经验分析划定特殊填报数据置信区间，系统智能研判数据异常状态，并提醒。</w:t>
            </w:r>
          </w:p>
        </w:tc>
      </w:tr>
      <w:tr w14:paraId="4AF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D5C6F7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50</w:t>
            </w:r>
          </w:p>
        </w:tc>
        <w:tc>
          <w:tcPr>
            <w:tcW w:w="1283" w:type="dxa"/>
            <w:vMerge w:val="restart"/>
            <w:shd w:val="clear" w:color="auto" w:fill="auto"/>
            <w:vAlign w:val="center"/>
          </w:tcPr>
          <w:p w14:paraId="78A268F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督导考核子系统</w:t>
            </w:r>
          </w:p>
        </w:tc>
        <w:tc>
          <w:tcPr>
            <w:tcW w:w="1559" w:type="dxa"/>
            <w:shd w:val="clear" w:color="auto" w:fill="auto"/>
            <w:vAlign w:val="center"/>
          </w:tcPr>
          <w:p w14:paraId="3E22FCB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考核计划</w:t>
            </w:r>
          </w:p>
        </w:tc>
        <w:tc>
          <w:tcPr>
            <w:tcW w:w="4899" w:type="dxa"/>
            <w:shd w:val="clear" w:color="auto" w:fill="auto"/>
            <w:vAlign w:val="center"/>
          </w:tcPr>
          <w:p w14:paraId="756C757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实现对第三方服务单位的考核管理。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制定考核计划，选择考核的内容、对象、日期、负责人等内容</w:t>
            </w:r>
          </w:p>
        </w:tc>
      </w:tr>
      <w:tr w14:paraId="285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64805F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51</w:t>
            </w:r>
          </w:p>
        </w:tc>
        <w:tc>
          <w:tcPr>
            <w:tcW w:w="1283" w:type="dxa"/>
            <w:vMerge w:val="continue"/>
            <w:vAlign w:val="center"/>
          </w:tcPr>
          <w:p w14:paraId="6C13067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906E2A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考核评分</w:t>
            </w:r>
          </w:p>
        </w:tc>
        <w:tc>
          <w:tcPr>
            <w:tcW w:w="4899" w:type="dxa"/>
            <w:shd w:val="clear" w:color="auto" w:fill="auto"/>
            <w:vAlign w:val="center"/>
          </w:tcPr>
          <w:p w14:paraId="547CE41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实时更新考核任务的执行情况，进行针对第三方服务单位的考核评分。</w:t>
            </w:r>
          </w:p>
        </w:tc>
      </w:tr>
      <w:tr w14:paraId="21A2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F7AC88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52</w:t>
            </w:r>
          </w:p>
        </w:tc>
        <w:tc>
          <w:tcPr>
            <w:tcW w:w="1283" w:type="dxa"/>
            <w:vMerge w:val="continue"/>
            <w:vAlign w:val="center"/>
          </w:tcPr>
          <w:p w14:paraId="2CF6F9C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676EC8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考核报表</w:t>
            </w:r>
          </w:p>
        </w:tc>
        <w:tc>
          <w:tcPr>
            <w:tcW w:w="4899" w:type="dxa"/>
            <w:shd w:val="clear" w:color="auto" w:fill="auto"/>
            <w:vAlign w:val="center"/>
          </w:tcPr>
          <w:p w14:paraId="4D51ECD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自动生成考核报表：检查结果的查询、统计、分析：可以通过各种查询条件，查询每次考核检查的得分情况。</w:t>
            </w:r>
          </w:p>
        </w:tc>
      </w:tr>
      <w:tr w14:paraId="346D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9ADDF6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53</w:t>
            </w:r>
          </w:p>
        </w:tc>
        <w:tc>
          <w:tcPr>
            <w:tcW w:w="1283" w:type="dxa"/>
            <w:vMerge w:val="continue"/>
            <w:vAlign w:val="center"/>
          </w:tcPr>
          <w:p w14:paraId="194CE7C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1E5418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考核内容管理</w:t>
            </w:r>
          </w:p>
        </w:tc>
        <w:tc>
          <w:tcPr>
            <w:tcW w:w="4899" w:type="dxa"/>
            <w:shd w:val="clear" w:color="auto" w:fill="auto"/>
            <w:vAlign w:val="center"/>
          </w:tcPr>
          <w:p w14:paraId="60A8788B">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1、督导考核：针对督导员日常工作的考核，包括被考核对象（督导员）、考勤情况、在岗时长、异常上报次数进行评分考核，得出综合评分；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2、非工作时间巡查考核：针对第三方服务单位是否提供非工作时间的不定期性巡查进行考核，包括巡查次数、问题上报次数进行评分考核，得出综合评分；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3、宣讲考核：针对宣讲员日常工作的考核，围绕宣讲任务完成的整体情况进行评分考核，得出综合评分；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4、收运考核：针对收运员日常工作的考核，包括收运员（车辆）、出勤异常次数、脱离工作区域次数、超速次数、违规停留次数、路线偏离次数、收运异常次数等进行评分考核，得出综合评分</w:t>
            </w:r>
          </w:p>
        </w:tc>
      </w:tr>
      <w:tr w14:paraId="182B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9A2E61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54</w:t>
            </w:r>
          </w:p>
        </w:tc>
        <w:tc>
          <w:tcPr>
            <w:tcW w:w="1283" w:type="dxa"/>
            <w:vMerge w:val="restart"/>
            <w:shd w:val="clear" w:color="auto" w:fill="auto"/>
            <w:vAlign w:val="center"/>
          </w:tcPr>
          <w:p w14:paraId="23D2A637">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数据分析子系统</w:t>
            </w:r>
          </w:p>
        </w:tc>
        <w:tc>
          <w:tcPr>
            <w:tcW w:w="1559" w:type="dxa"/>
            <w:shd w:val="clear" w:color="auto" w:fill="auto"/>
            <w:vAlign w:val="center"/>
          </w:tcPr>
          <w:p w14:paraId="5C0D3B1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分类投放分析</w:t>
            </w:r>
          </w:p>
        </w:tc>
        <w:tc>
          <w:tcPr>
            <w:tcW w:w="4899" w:type="dxa"/>
            <w:shd w:val="clear" w:color="auto" w:fill="auto"/>
            <w:vAlign w:val="center"/>
          </w:tcPr>
          <w:p w14:paraId="49338A0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可从微观的角度查看整个分类投放态势情况，对小区传统点位和智能设备点位的投放情况进行数据分析。</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也可以从宏观的角度查看整个上虞区、街道（乡镇）层级的投放数量情况，同时满足年度/季度/月度数据的同期环比分析，实现本年度已产生数据与同期月份比对，实时了解增长量情况。同时满足易腐、其他垃圾的占比情况的同期环比分析。</w:t>
            </w:r>
          </w:p>
        </w:tc>
      </w:tr>
      <w:tr w14:paraId="1139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C75F35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55</w:t>
            </w:r>
          </w:p>
        </w:tc>
        <w:tc>
          <w:tcPr>
            <w:tcW w:w="1283" w:type="dxa"/>
            <w:vMerge w:val="continue"/>
            <w:vAlign w:val="center"/>
          </w:tcPr>
          <w:p w14:paraId="1D145EBE">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A63391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三方单位考核分析</w:t>
            </w:r>
          </w:p>
        </w:tc>
        <w:tc>
          <w:tcPr>
            <w:tcW w:w="4899" w:type="dxa"/>
            <w:shd w:val="clear" w:color="auto" w:fill="auto"/>
            <w:vAlign w:val="center"/>
          </w:tcPr>
          <w:p w14:paraId="7299DCC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实现对第三方服务单位的考核情况进行总体分析，对各个三方服务单位的考核评分进行综合排名，对考核中发现的异常问题进行类型的占比分析，及时发现异常高频的问题类型。并结合整体督查情况，分析不足及改进。</w:t>
            </w:r>
          </w:p>
        </w:tc>
      </w:tr>
      <w:tr w14:paraId="395E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05C9E3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56</w:t>
            </w:r>
          </w:p>
        </w:tc>
        <w:tc>
          <w:tcPr>
            <w:tcW w:w="1283" w:type="dxa"/>
            <w:vMerge w:val="continue"/>
            <w:vAlign w:val="center"/>
          </w:tcPr>
          <w:p w14:paraId="6C54DA7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1D7518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分类收运分析</w:t>
            </w:r>
          </w:p>
        </w:tc>
        <w:tc>
          <w:tcPr>
            <w:tcW w:w="4899" w:type="dxa"/>
            <w:shd w:val="clear" w:color="auto" w:fill="auto"/>
            <w:vAlign w:val="center"/>
          </w:tcPr>
          <w:p w14:paraId="62004CF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可从宏观的角度查看整个分类收运态势情况，查看每个路线分类收运情况并进行数据分析，实现各条收运路线的同期环比分析，了解各收运路线的时长、计量等数据的变化情况。</w:t>
            </w:r>
          </w:p>
        </w:tc>
      </w:tr>
      <w:tr w14:paraId="0D5D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C4C514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57</w:t>
            </w:r>
          </w:p>
        </w:tc>
        <w:tc>
          <w:tcPr>
            <w:tcW w:w="1283" w:type="dxa"/>
            <w:vMerge w:val="continue"/>
            <w:vAlign w:val="center"/>
          </w:tcPr>
          <w:p w14:paraId="5FC4CFFB">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87AF5B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分类宣传分析</w:t>
            </w:r>
          </w:p>
        </w:tc>
        <w:tc>
          <w:tcPr>
            <w:tcW w:w="4899" w:type="dxa"/>
            <w:shd w:val="clear" w:color="auto" w:fill="auto"/>
            <w:vAlign w:val="center"/>
          </w:tcPr>
          <w:p w14:paraId="39659B5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可从宏观的角度查看整个分类宣讲态势情况，对分类督导的日常宣讲、入户宣讲、分类活动的开展组织进行分析，优选出效果良好的宣讲活动供其他小区或街道参照。对分类宣讲工作进行综合评分。</w:t>
            </w:r>
          </w:p>
        </w:tc>
      </w:tr>
      <w:tr w14:paraId="224D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7B2973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58</w:t>
            </w:r>
          </w:p>
        </w:tc>
        <w:tc>
          <w:tcPr>
            <w:tcW w:w="1283" w:type="dxa"/>
            <w:vMerge w:val="continue"/>
            <w:vAlign w:val="center"/>
          </w:tcPr>
          <w:p w14:paraId="3133E0D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0F6CD8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溯源一张图</w:t>
            </w:r>
          </w:p>
        </w:tc>
        <w:tc>
          <w:tcPr>
            <w:tcW w:w="4899" w:type="dxa"/>
            <w:shd w:val="clear" w:color="auto" w:fill="auto"/>
            <w:vAlign w:val="center"/>
          </w:tcPr>
          <w:p w14:paraId="3300A14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以全生命周期的形式展现垃圾从投放、收运、处置的整个流程，结合上述系统中的投放计量、收运计量、末端计量子模块所采集的数据进行汇总分析。查看各类型垃圾的流向。</w:t>
            </w:r>
          </w:p>
        </w:tc>
      </w:tr>
      <w:tr w14:paraId="4E3D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AB17F4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59</w:t>
            </w:r>
          </w:p>
        </w:tc>
        <w:tc>
          <w:tcPr>
            <w:tcW w:w="1283" w:type="dxa"/>
            <w:vMerge w:val="restart"/>
            <w:shd w:val="clear" w:color="auto" w:fill="auto"/>
            <w:vAlign w:val="center"/>
          </w:tcPr>
          <w:p w14:paraId="7FBCCD6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告警管理子系统</w:t>
            </w:r>
          </w:p>
        </w:tc>
        <w:tc>
          <w:tcPr>
            <w:tcW w:w="1559" w:type="dxa"/>
            <w:shd w:val="clear" w:color="auto" w:fill="auto"/>
            <w:vAlign w:val="center"/>
          </w:tcPr>
          <w:p w14:paraId="7EC45B7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告警设置</w:t>
            </w:r>
          </w:p>
        </w:tc>
        <w:tc>
          <w:tcPr>
            <w:tcW w:w="4899" w:type="dxa"/>
            <w:shd w:val="clear" w:color="auto" w:fill="auto"/>
            <w:vAlign w:val="center"/>
          </w:tcPr>
          <w:p w14:paraId="6326C4A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对产生报警的条件进行设置，如车辆的超速、炉温的上限等，为报警信息的产生提供依据。</w:t>
            </w:r>
          </w:p>
        </w:tc>
      </w:tr>
      <w:tr w14:paraId="1E78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B19938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60</w:t>
            </w:r>
          </w:p>
        </w:tc>
        <w:tc>
          <w:tcPr>
            <w:tcW w:w="1283" w:type="dxa"/>
            <w:vMerge w:val="continue"/>
            <w:vAlign w:val="center"/>
          </w:tcPr>
          <w:p w14:paraId="6F0E263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47F5E4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告警展示</w:t>
            </w:r>
          </w:p>
        </w:tc>
        <w:tc>
          <w:tcPr>
            <w:tcW w:w="4899" w:type="dxa"/>
            <w:shd w:val="clear" w:color="auto" w:fill="auto"/>
            <w:vAlign w:val="center"/>
          </w:tcPr>
          <w:p w14:paraId="02CDB3F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对产生的报警信息进出展示，包括报警的类型、产生时间、地点、所属区域、车辆类型等。</w:t>
            </w:r>
          </w:p>
        </w:tc>
      </w:tr>
      <w:tr w14:paraId="00B2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E63878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61</w:t>
            </w:r>
          </w:p>
        </w:tc>
        <w:tc>
          <w:tcPr>
            <w:tcW w:w="1283" w:type="dxa"/>
            <w:vMerge w:val="continue"/>
            <w:vAlign w:val="center"/>
          </w:tcPr>
          <w:p w14:paraId="423CBB8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BAAAC3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告警处理</w:t>
            </w:r>
          </w:p>
        </w:tc>
        <w:tc>
          <w:tcPr>
            <w:tcW w:w="4899" w:type="dxa"/>
            <w:shd w:val="clear" w:color="auto" w:fill="auto"/>
            <w:vAlign w:val="center"/>
          </w:tcPr>
          <w:p w14:paraId="7C5EFB6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对已经产生的报警进行处理，通知到相关责任单位、人。</w:t>
            </w:r>
          </w:p>
        </w:tc>
      </w:tr>
      <w:tr w14:paraId="3939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4196838">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62</w:t>
            </w:r>
          </w:p>
        </w:tc>
        <w:tc>
          <w:tcPr>
            <w:tcW w:w="1283" w:type="dxa"/>
            <w:vMerge w:val="continue"/>
            <w:vAlign w:val="center"/>
          </w:tcPr>
          <w:p w14:paraId="4509452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F0F150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告警统计</w:t>
            </w:r>
          </w:p>
        </w:tc>
        <w:tc>
          <w:tcPr>
            <w:tcW w:w="4899" w:type="dxa"/>
            <w:shd w:val="clear" w:color="auto" w:fill="auto"/>
            <w:vAlign w:val="center"/>
          </w:tcPr>
          <w:p w14:paraId="30C79C6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对报警的数据进行统计分析，得出报警概览图、报警处理情况图和报警趋势图。</w:t>
            </w:r>
          </w:p>
        </w:tc>
      </w:tr>
      <w:tr w14:paraId="2A0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1C989E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63</w:t>
            </w:r>
          </w:p>
        </w:tc>
        <w:tc>
          <w:tcPr>
            <w:tcW w:w="1283" w:type="dxa"/>
            <w:vMerge w:val="restart"/>
            <w:shd w:val="clear" w:color="auto" w:fill="auto"/>
            <w:vAlign w:val="center"/>
          </w:tcPr>
          <w:p w14:paraId="4397F68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基础管理子系统</w:t>
            </w:r>
          </w:p>
        </w:tc>
        <w:tc>
          <w:tcPr>
            <w:tcW w:w="1559" w:type="dxa"/>
            <w:shd w:val="clear" w:color="auto" w:fill="auto"/>
            <w:vAlign w:val="center"/>
          </w:tcPr>
          <w:p w14:paraId="2F89665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权限设置</w:t>
            </w:r>
          </w:p>
        </w:tc>
        <w:tc>
          <w:tcPr>
            <w:tcW w:w="4899" w:type="dxa"/>
            <w:vMerge w:val="restart"/>
            <w:shd w:val="clear" w:color="auto" w:fill="auto"/>
            <w:vAlign w:val="center"/>
          </w:tcPr>
          <w:p w14:paraId="1600153E">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系统的菜单配置、账号设置、权限维护、组织机构设置、操作日志等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通过系统实现下级账号上报的基础信息的变更进行审核管理</w:t>
            </w:r>
          </w:p>
        </w:tc>
      </w:tr>
      <w:tr w14:paraId="0EDD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21D3D9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64</w:t>
            </w:r>
          </w:p>
        </w:tc>
        <w:tc>
          <w:tcPr>
            <w:tcW w:w="1283" w:type="dxa"/>
            <w:vMerge w:val="continue"/>
            <w:vAlign w:val="center"/>
          </w:tcPr>
          <w:p w14:paraId="7770515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969DA3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账号设置</w:t>
            </w:r>
          </w:p>
        </w:tc>
        <w:tc>
          <w:tcPr>
            <w:tcW w:w="4899" w:type="dxa"/>
            <w:vMerge w:val="continue"/>
            <w:vAlign w:val="center"/>
          </w:tcPr>
          <w:p w14:paraId="7A608F23">
            <w:pPr>
              <w:widowControl/>
              <w:jc w:val="left"/>
              <w:rPr>
                <w:rFonts w:hint="eastAsia" w:ascii="宋体" w:hAnsi="宋体" w:eastAsia="宋体" w:cs="宋体"/>
                <w:color w:val="auto"/>
                <w:kern w:val="0"/>
                <w:highlight w:val="none"/>
              </w:rPr>
            </w:pPr>
          </w:p>
        </w:tc>
      </w:tr>
      <w:tr w14:paraId="4502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77B5AD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65</w:t>
            </w:r>
          </w:p>
        </w:tc>
        <w:tc>
          <w:tcPr>
            <w:tcW w:w="1283" w:type="dxa"/>
            <w:vMerge w:val="continue"/>
            <w:vAlign w:val="center"/>
          </w:tcPr>
          <w:p w14:paraId="35B013F0">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67D9C63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组织机构设置</w:t>
            </w:r>
          </w:p>
        </w:tc>
        <w:tc>
          <w:tcPr>
            <w:tcW w:w="4899" w:type="dxa"/>
            <w:vMerge w:val="continue"/>
            <w:vAlign w:val="center"/>
          </w:tcPr>
          <w:p w14:paraId="5BD628AE">
            <w:pPr>
              <w:widowControl/>
              <w:jc w:val="left"/>
              <w:rPr>
                <w:rFonts w:hint="eastAsia" w:ascii="宋体" w:hAnsi="宋体" w:eastAsia="宋体" w:cs="宋体"/>
                <w:color w:val="auto"/>
                <w:kern w:val="0"/>
                <w:highlight w:val="none"/>
              </w:rPr>
            </w:pPr>
          </w:p>
        </w:tc>
      </w:tr>
      <w:tr w14:paraId="7A42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6ADEAE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66</w:t>
            </w:r>
          </w:p>
        </w:tc>
        <w:tc>
          <w:tcPr>
            <w:tcW w:w="1283" w:type="dxa"/>
            <w:vMerge w:val="continue"/>
            <w:vAlign w:val="center"/>
          </w:tcPr>
          <w:p w14:paraId="3428D899">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84A4B0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菜单配置</w:t>
            </w:r>
          </w:p>
        </w:tc>
        <w:tc>
          <w:tcPr>
            <w:tcW w:w="4899" w:type="dxa"/>
            <w:vMerge w:val="continue"/>
            <w:vAlign w:val="center"/>
          </w:tcPr>
          <w:p w14:paraId="66BC1DBF">
            <w:pPr>
              <w:widowControl/>
              <w:jc w:val="left"/>
              <w:rPr>
                <w:rFonts w:hint="eastAsia" w:ascii="宋体" w:hAnsi="宋体" w:eastAsia="宋体" w:cs="宋体"/>
                <w:color w:val="auto"/>
                <w:kern w:val="0"/>
                <w:highlight w:val="none"/>
              </w:rPr>
            </w:pPr>
          </w:p>
        </w:tc>
      </w:tr>
      <w:tr w14:paraId="1BD7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718319F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67</w:t>
            </w:r>
          </w:p>
        </w:tc>
        <w:tc>
          <w:tcPr>
            <w:tcW w:w="1283" w:type="dxa"/>
            <w:vMerge w:val="continue"/>
            <w:vAlign w:val="center"/>
          </w:tcPr>
          <w:p w14:paraId="307BC0BA">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E2ADF8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操作日志</w:t>
            </w:r>
          </w:p>
        </w:tc>
        <w:tc>
          <w:tcPr>
            <w:tcW w:w="4899" w:type="dxa"/>
            <w:vMerge w:val="continue"/>
            <w:vAlign w:val="center"/>
          </w:tcPr>
          <w:p w14:paraId="14477E06">
            <w:pPr>
              <w:widowControl/>
              <w:jc w:val="left"/>
              <w:rPr>
                <w:rFonts w:hint="eastAsia" w:ascii="宋体" w:hAnsi="宋体" w:eastAsia="宋体" w:cs="宋体"/>
                <w:color w:val="auto"/>
                <w:kern w:val="0"/>
                <w:highlight w:val="none"/>
              </w:rPr>
            </w:pPr>
          </w:p>
        </w:tc>
      </w:tr>
      <w:tr w14:paraId="5E1C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4"/>
            <w:shd w:val="clear" w:color="000000" w:fill="F1F1F1"/>
            <w:vAlign w:val="center"/>
          </w:tcPr>
          <w:p w14:paraId="4A629619">
            <w:pPr>
              <w:widowControl/>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（四）支撑及辅助系统</w:t>
            </w:r>
          </w:p>
        </w:tc>
      </w:tr>
      <w:tr w14:paraId="0E6E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DBBF167">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68</w:t>
            </w:r>
          </w:p>
        </w:tc>
        <w:tc>
          <w:tcPr>
            <w:tcW w:w="1283" w:type="dxa"/>
            <w:vMerge w:val="restart"/>
            <w:shd w:val="clear" w:color="auto" w:fill="auto"/>
            <w:vAlign w:val="center"/>
          </w:tcPr>
          <w:p w14:paraId="3988092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移动端小程序（管理端）</w:t>
            </w:r>
          </w:p>
        </w:tc>
        <w:tc>
          <w:tcPr>
            <w:tcW w:w="1559" w:type="dxa"/>
            <w:shd w:val="clear" w:color="auto" w:fill="auto"/>
            <w:vAlign w:val="center"/>
          </w:tcPr>
          <w:p w14:paraId="6F6909B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GIS管控一张图</w:t>
            </w:r>
          </w:p>
        </w:tc>
        <w:tc>
          <w:tcPr>
            <w:tcW w:w="4899" w:type="dxa"/>
            <w:shd w:val="clear" w:color="auto" w:fill="auto"/>
            <w:vAlign w:val="center"/>
          </w:tcPr>
          <w:p w14:paraId="526774B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以GIS地图形式展示各类型垃圾分类要素信息，如前端投放点，点击对应要素可见其名称、负责人、联系方式、地址（如有）等相关信息</w:t>
            </w:r>
          </w:p>
        </w:tc>
      </w:tr>
      <w:tr w14:paraId="0AA4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11EA1B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69</w:t>
            </w:r>
          </w:p>
        </w:tc>
        <w:tc>
          <w:tcPr>
            <w:tcW w:w="1283" w:type="dxa"/>
            <w:vMerge w:val="continue"/>
            <w:vAlign w:val="center"/>
          </w:tcPr>
          <w:p w14:paraId="63049DD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34CF01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基础信息管理</w:t>
            </w:r>
          </w:p>
        </w:tc>
        <w:tc>
          <w:tcPr>
            <w:tcW w:w="4899" w:type="dxa"/>
            <w:shd w:val="clear" w:color="auto" w:fill="auto"/>
            <w:vAlign w:val="center"/>
          </w:tcPr>
          <w:p w14:paraId="22A51F9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同web端，实现查看、搜索设施基本信息情况</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手机端可按照地图样式显示各个小区、小区基本情况、小区投放点位、小区投放数据。</w:t>
            </w:r>
          </w:p>
        </w:tc>
      </w:tr>
      <w:tr w14:paraId="12B2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6149013">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70</w:t>
            </w:r>
          </w:p>
        </w:tc>
        <w:tc>
          <w:tcPr>
            <w:tcW w:w="1283" w:type="dxa"/>
            <w:vMerge w:val="continue"/>
            <w:vAlign w:val="center"/>
          </w:tcPr>
          <w:p w14:paraId="3850F8C1">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4C5536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运行工况查看</w:t>
            </w:r>
          </w:p>
        </w:tc>
        <w:tc>
          <w:tcPr>
            <w:tcW w:w="4899" w:type="dxa"/>
            <w:shd w:val="clear" w:color="auto" w:fill="auto"/>
            <w:vAlign w:val="center"/>
          </w:tcPr>
          <w:p w14:paraId="4875846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运行监管模块主要是展示各业务模块的关键数据和统计数据，便于监管人员实现现场作业情况的快速获取。</w:t>
            </w:r>
          </w:p>
        </w:tc>
      </w:tr>
      <w:tr w14:paraId="238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B9C629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71</w:t>
            </w:r>
          </w:p>
        </w:tc>
        <w:tc>
          <w:tcPr>
            <w:tcW w:w="1283" w:type="dxa"/>
            <w:vMerge w:val="continue"/>
            <w:vAlign w:val="center"/>
          </w:tcPr>
          <w:p w14:paraId="54FC1EC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AE5CEB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督导工作台</w:t>
            </w:r>
          </w:p>
        </w:tc>
        <w:tc>
          <w:tcPr>
            <w:tcW w:w="4899" w:type="dxa"/>
            <w:shd w:val="clear" w:color="auto" w:fill="auto"/>
            <w:vAlign w:val="center"/>
          </w:tcPr>
          <w:p w14:paraId="4201616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用于督导员日常工作，可实现考勤打卡、非工作时间巡查上报、设备异常上报、特殊情况上报的功能。</w:t>
            </w:r>
          </w:p>
        </w:tc>
      </w:tr>
      <w:tr w14:paraId="6713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472A1EB">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72</w:t>
            </w:r>
          </w:p>
        </w:tc>
        <w:tc>
          <w:tcPr>
            <w:tcW w:w="1283" w:type="dxa"/>
            <w:vMerge w:val="continue"/>
            <w:vAlign w:val="center"/>
          </w:tcPr>
          <w:p w14:paraId="11DE3336">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CC1844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宣讲工作台</w:t>
            </w:r>
          </w:p>
        </w:tc>
        <w:tc>
          <w:tcPr>
            <w:tcW w:w="4899" w:type="dxa"/>
            <w:shd w:val="clear" w:color="auto" w:fill="auto"/>
            <w:vAlign w:val="center"/>
          </w:tcPr>
          <w:p w14:paraId="0A617FE7">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用于宣讲员日常工作，可实现宣讲任务的查看，实现宣讲活动的执行记录工作，生成宣讲台账。</w:t>
            </w:r>
          </w:p>
        </w:tc>
      </w:tr>
      <w:tr w14:paraId="7311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FCABD4F">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73</w:t>
            </w:r>
          </w:p>
        </w:tc>
        <w:tc>
          <w:tcPr>
            <w:tcW w:w="1283" w:type="dxa"/>
            <w:vMerge w:val="continue"/>
            <w:vAlign w:val="center"/>
          </w:tcPr>
          <w:p w14:paraId="4E66BC5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A9DEBC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考核评分</w:t>
            </w:r>
          </w:p>
        </w:tc>
        <w:tc>
          <w:tcPr>
            <w:tcW w:w="4899" w:type="dxa"/>
            <w:shd w:val="clear" w:color="auto" w:fill="auto"/>
            <w:vAlign w:val="center"/>
          </w:tcPr>
          <w:p w14:paraId="7F80E46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用于对第三方服务单位进行考核评分。配套管理后台考核计划及任务的下发，实现现场考核从任务制定到考核完成均可在移动设备上完成，提高监管与考核效率。</w:t>
            </w:r>
          </w:p>
        </w:tc>
      </w:tr>
      <w:tr w14:paraId="495F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2773A734">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74</w:t>
            </w:r>
          </w:p>
        </w:tc>
        <w:tc>
          <w:tcPr>
            <w:tcW w:w="1283" w:type="dxa"/>
            <w:vMerge w:val="continue"/>
            <w:vAlign w:val="center"/>
          </w:tcPr>
          <w:p w14:paraId="60ECC33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912B9F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问题整改</w:t>
            </w:r>
          </w:p>
        </w:tc>
        <w:tc>
          <w:tcPr>
            <w:tcW w:w="4899" w:type="dxa"/>
            <w:shd w:val="clear" w:color="auto" w:fill="auto"/>
            <w:vAlign w:val="center"/>
          </w:tcPr>
          <w:p w14:paraId="5263026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通过小程序实现垃圾分类中巡检问题的上报，包括问题发生的地点、描述、问题来源、问题类型和处理截止时间，并选择是否需要进行扣分，形成完整问题记录上报到平台。</w:t>
            </w:r>
          </w:p>
        </w:tc>
      </w:tr>
      <w:tr w14:paraId="79B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EF4D3B1">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75</w:t>
            </w:r>
          </w:p>
        </w:tc>
        <w:tc>
          <w:tcPr>
            <w:tcW w:w="1283" w:type="dxa"/>
            <w:vMerge w:val="continue"/>
            <w:vAlign w:val="center"/>
          </w:tcPr>
          <w:p w14:paraId="461FEA63">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70B0196E">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事件台账</w:t>
            </w:r>
          </w:p>
        </w:tc>
        <w:tc>
          <w:tcPr>
            <w:tcW w:w="4899" w:type="dxa"/>
            <w:shd w:val="clear" w:color="auto" w:fill="auto"/>
            <w:vAlign w:val="center"/>
          </w:tcPr>
          <w:p w14:paraId="4C78579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记录处理事件信息，包含未处理事件、处理中事件、已完成事件，便于督导员根据各类型事件状态进行处理。</w:t>
            </w:r>
          </w:p>
        </w:tc>
      </w:tr>
      <w:tr w14:paraId="4493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19606BA">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76</w:t>
            </w:r>
          </w:p>
        </w:tc>
        <w:tc>
          <w:tcPr>
            <w:tcW w:w="1283" w:type="dxa"/>
            <w:shd w:val="clear" w:color="auto" w:fill="auto"/>
            <w:vAlign w:val="center"/>
          </w:tcPr>
          <w:p w14:paraId="369B4BF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GIS地理信息子系统</w:t>
            </w:r>
          </w:p>
        </w:tc>
        <w:tc>
          <w:tcPr>
            <w:tcW w:w="1559" w:type="dxa"/>
            <w:shd w:val="clear" w:color="auto" w:fill="auto"/>
            <w:vAlign w:val="center"/>
          </w:tcPr>
          <w:p w14:paraId="60D802E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GIS地理信息管理</w:t>
            </w:r>
          </w:p>
        </w:tc>
        <w:tc>
          <w:tcPr>
            <w:tcW w:w="4899" w:type="dxa"/>
            <w:shd w:val="clear" w:color="auto" w:fill="auto"/>
            <w:vAlign w:val="center"/>
          </w:tcPr>
          <w:p w14:paraId="77CC30A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采用地理信息系统依托上虞区基础地理系统的市区电子地图，按照网格划分，将道路、街道等信息按照不同图层加入GIS。可以直观查看市区各类道路的基本情况及分布（包括一类道路、二类道路、三类道路、特殊道路等）；查看市区机关单位、企业、学校及居民小区等；查看市区各垃圾分类点的分布。</w:t>
            </w:r>
          </w:p>
        </w:tc>
      </w:tr>
      <w:tr w14:paraId="0CCF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A3EE88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77</w:t>
            </w:r>
          </w:p>
        </w:tc>
        <w:tc>
          <w:tcPr>
            <w:tcW w:w="1283" w:type="dxa"/>
            <w:vMerge w:val="restart"/>
            <w:shd w:val="clear" w:color="auto" w:fill="auto"/>
            <w:vAlign w:val="center"/>
          </w:tcPr>
          <w:p w14:paraId="4F68F5F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设备物联网平台子系统</w:t>
            </w:r>
          </w:p>
        </w:tc>
        <w:tc>
          <w:tcPr>
            <w:tcW w:w="1559" w:type="dxa"/>
            <w:shd w:val="clear" w:color="auto" w:fill="auto"/>
            <w:vAlign w:val="center"/>
          </w:tcPr>
          <w:p w14:paraId="0621DE2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物联设备统计分析</w:t>
            </w:r>
          </w:p>
        </w:tc>
        <w:tc>
          <w:tcPr>
            <w:tcW w:w="4899" w:type="dxa"/>
            <w:shd w:val="clear" w:color="auto" w:fill="auto"/>
            <w:vAlign w:val="center"/>
          </w:tcPr>
          <w:p w14:paraId="25CF63AC">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进行物联设备的综合性统计分析，包含当前在线设备（设备总数、未激活设备数）、设备消息量统计（今日、当月）、CPU使用率统计、JVM内存统计、设备消息走势图。添加垃圾分类相关的各类物联网设备，如投放点的监控设备，车辆机设备等，方便设备统一管理</w:t>
            </w:r>
          </w:p>
        </w:tc>
      </w:tr>
      <w:tr w14:paraId="2F78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6C5916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78</w:t>
            </w:r>
          </w:p>
        </w:tc>
        <w:tc>
          <w:tcPr>
            <w:tcW w:w="1283" w:type="dxa"/>
            <w:vMerge w:val="continue"/>
            <w:vAlign w:val="center"/>
          </w:tcPr>
          <w:p w14:paraId="6132DE1F">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CFEC99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产品管理</w:t>
            </w:r>
          </w:p>
        </w:tc>
        <w:tc>
          <w:tcPr>
            <w:tcW w:w="4899" w:type="dxa"/>
            <w:shd w:val="clear" w:color="auto" w:fill="auto"/>
            <w:vAlign w:val="center"/>
          </w:tcPr>
          <w:p w14:paraId="51EDA07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管理（进行产品新增，新增的产品实现查看、编辑、下载、发布、删除等操作）新增设备产品时需要添加产品ID、名称、所属品类、所属机构、消息协议、传输协议、存储策略、设备类型（直连设备、网关子设备、网关设备）和描述。</w:t>
            </w:r>
          </w:p>
        </w:tc>
      </w:tr>
      <w:tr w14:paraId="1841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7CC3E6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79</w:t>
            </w:r>
          </w:p>
        </w:tc>
        <w:tc>
          <w:tcPr>
            <w:tcW w:w="1283" w:type="dxa"/>
            <w:vMerge w:val="continue"/>
            <w:vAlign w:val="center"/>
          </w:tcPr>
          <w:p w14:paraId="5EDD9265">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D87404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产品类型管理</w:t>
            </w:r>
          </w:p>
        </w:tc>
        <w:tc>
          <w:tcPr>
            <w:tcW w:w="4899" w:type="dxa"/>
            <w:shd w:val="clear" w:color="auto" w:fill="auto"/>
            <w:vAlign w:val="center"/>
          </w:tcPr>
          <w:p w14:paraId="6866816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产品类型管理，可对产品类型的ID、标识、分类名称、说明、操作进行管理，产品类型包含多个层级关系可在某一产品类型下继续增设新的类型；</w:t>
            </w:r>
          </w:p>
        </w:tc>
      </w:tr>
      <w:tr w14:paraId="7760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7F5F2C0">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80</w:t>
            </w:r>
          </w:p>
        </w:tc>
        <w:tc>
          <w:tcPr>
            <w:tcW w:w="1283" w:type="dxa"/>
            <w:vMerge w:val="continue"/>
            <w:vAlign w:val="center"/>
          </w:tcPr>
          <w:p w14:paraId="4C29232C">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A6E7C5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设备管理</w:t>
            </w:r>
          </w:p>
        </w:tc>
        <w:tc>
          <w:tcPr>
            <w:tcW w:w="4899" w:type="dxa"/>
            <w:shd w:val="clear" w:color="auto" w:fill="auto"/>
            <w:vAlign w:val="center"/>
          </w:tcPr>
          <w:p w14:paraId="0EA68D5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设备管理，对设备ID、设备名称、产品类型、注册时间、状态、说明、操作进行综合管理，在页面顶部对所有设备数量（全部设备、在线、离线、未启用4类状态）的数据进行统计</w:t>
            </w:r>
          </w:p>
        </w:tc>
      </w:tr>
      <w:tr w14:paraId="2817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1BDF751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81</w:t>
            </w:r>
          </w:p>
        </w:tc>
        <w:tc>
          <w:tcPr>
            <w:tcW w:w="1283" w:type="dxa"/>
            <w:vMerge w:val="continue"/>
            <w:vAlign w:val="center"/>
          </w:tcPr>
          <w:p w14:paraId="0928A58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7D72DE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分组管理</w:t>
            </w:r>
          </w:p>
        </w:tc>
        <w:tc>
          <w:tcPr>
            <w:tcW w:w="4899" w:type="dxa"/>
            <w:shd w:val="clear" w:color="auto" w:fill="auto"/>
            <w:vAlign w:val="center"/>
          </w:tcPr>
          <w:p w14:paraId="69095E9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分组管理，对标识、名称、描述、操作进行管理；</w:t>
            </w:r>
          </w:p>
        </w:tc>
      </w:tr>
      <w:tr w14:paraId="066B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08949A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82</w:t>
            </w:r>
          </w:p>
        </w:tc>
        <w:tc>
          <w:tcPr>
            <w:tcW w:w="1283" w:type="dxa"/>
            <w:vMerge w:val="continue"/>
            <w:vAlign w:val="center"/>
          </w:tcPr>
          <w:p w14:paraId="26DBBCE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402B948">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地理位置管理</w:t>
            </w:r>
          </w:p>
        </w:tc>
        <w:tc>
          <w:tcPr>
            <w:tcW w:w="4899" w:type="dxa"/>
            <w:shd w:val="clear" w:color="auto" w:fill="auto"/>
            <w:vAlign w:val="center"/>
          </w:tcPr>
          <w:p w14:paraId="111C95B0">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地理位置管理，以一张图展示各类设备所在位置，可按照查看区域、产品名称、设备信息进行查询操作，并显示设备列表和设备告警列表，支持卫星地图、路网地图、普通地图的切换。并能进行地图要素管理和区域管理。</w:t>
            </w:r>
          </w:p>
        </w:tc>
      </w:tr>
      <w:tr w14:paraId="4E45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3A7D21DE">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83</w:t>
            </w:r>
          </w:p>
        </w:tc>
        <w:tc>
          <w:tcPr>
            <w:tcW w:w="1283" w:type="dxa"/>
            <w:vMerge w:val="continue"/>
            <w:vAlign w:val="center"/>
          </w:tcPr>
          <w:p w14:paraId="750D33D8">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1B531605">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固件升级管理</w:t>
            </w:r>
          </w:p>
        </w:tc>
        <w:tc>
          <w:tcPr>
            <w:tcW w:w="4899" w:type="dxa"/>
            <w:shd w:val="clear" w:color="auto" w:fill="auto"/>
            <w:vAlign w:val="center"/>
          </w:tcPr>
          <w:p w14:paraId="75032C1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固件升级管理：针对固件名称、固件版本、所属产品、签名方式、创建时间、操作进行管理；</w:t>
            </w:r>
          </w:p>
        </w:tc>
      </w:tr>
      <w:tr w14:paraId="58A9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98273D9">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84</w:t>
            </w:r>
          </w:p>
        </w:tc>
        <w:tc>
          <w:tcPr>
            <w:tcW w:w="1283" w:type="dxa"/>
            <w:vMerge w:val="continue"/>
            <w:vAlign w:val="center"/>
          </w:tcPr>
          <w:p w14:paraId="057BEB37">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21293A1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设备告警管理</w:t>
            </w:r>
          </w:p>
        </w:tc>
        <w:tc>
          <w:tcPr>
            <w:tcW w:w="4899" w:type="dxa"/>
            <w:shd w:val="clear" w:color="auto" w:fill="auto"/>
            <w:vAlign w:val="center"/>
          </w:tcPr>
          <w:p w14:paraId="1190EEA3">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设备告警管理：以列表形式展现报警记录，包含设备ID、设备名称、告警名称、告警时间、处理状态、操作。</w:t>
            </w:r>
          </w:p>
        </w:tc>
      </w:tr>
      <w:tr w14:paraId="3C02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675D04F6">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85</w:t>
            </w:r>
          </w:p>
        </w:tc>
        <w:tc>
          <w:tcPr>
            <w:tcW w:w="1283" w:type="dxa"/>
            <w:vMerge w:val="continue"/>
            <w:vAlign w:val="center"/>
          </w:tcPr>
          <w:p w14:paraId="6B3E168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4F5EA81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设备接入管理</w:t>
            </w:r>
          </w:p>
        </w:tc>
        <w:tc>
          <w:tcPr>
            <w:tcW w:w="4899" w:type="dxa"/>
            <w:shd w:val="clear" w:color="auto" w:fill="auto"/>
            <w:vAlign w:val="center"/>
          </w:tcPr>
          <w:p w14:paraId="38032155">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对多种不同协议的设备进行设备接入，对传感器设备绑定成为统一的物联网设备，包含证书管理、协议管理、网络组件、设备网关</w:t>
            </w:r>
          </w:p>
        </w:tc>
      </w:tr>
      <w:tr w14:paraId="7991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5B83C825">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86</w:t>
            </w:r>
          </w:p>
        </w:tc>
        <w:tc>
          <w:tcPr>
            <w:tcW w:w="1283" w:type="dxa"/>
            <w:vMerge w:val="continue"/>
            <w:vAlign w:val="center"/>
          </w:tcPr>
          <w:p w14:paraId="6D79DEFD">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572FDBF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通知管理</w:t>
            </w:r>
          </w:p>
        </w:tc>
        <w:tc>
          <w:tcPr>
            <w:tcW w:w="4899" w:type="dxa"/>
            <w:shd w:val="clear" w:color="auto" w:fill="auto"/>
            <w:vAlign w:val="center"/>
          </w:tcPr>
          <w:p w14:paraId="3545F23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对于设备出现的异常情况进行报警通知管理，包含通知配置和通知模板，具体如下：</w:t>
            </w:r>
          </w:p>
        </w:tc>
      </w:tr>
      <w:tr w14:paraId="5C66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09A70162">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87</w:t>
            </w:r>
          </w:p>
        </w:tc>
        <w:tc>
          <w:tcPr>
            <w:tcW w:w="1283" w:type="dxa"/>
            <w:vMerge w:val="continue"/>
            <w:vAlign w:val="center"/>
          </w:tcPr>
          <w:p w14:paraId="7B911024">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3D8C822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通知配置</w:t>
            </w:r>
          </w:p>
        </w:tc>
        <w:tc>
          <w:tcPr>
            <w:tcW w:w="4899" w:type="dxa"/>
            <w:shd w:val="clear" w:color="auto" w:fill="auto"/>
            <w:vAlign w:val="center"/>
          </w:tcPr>
          <w:p w14:paraId="06299DC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通知配置：可新建、导入、导出配置，包含配置ID、名称、类型、服务商，并进行编辑、删除、下载配置、调试和通知记录等操作。</w:t>
            </w:r>
          </w:p>
        </w:tc>
      </w:tr>
      <w:tr w14:paraId="5FBE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FFFFFF"/>
          </w:tcPr>
          <w:p w14:paraId="4FE7037D">
            <w:pPr>
              <w:widowControl/>
              <w:jc w:val="right"/>
              <w:rPr>
                <w:rFonts w:hint="eastAsia" w:ascii="宋体" w:hAnsi="宋体" w:eastAsia="宋体" w:cs="宋体"/>
                <w:color w:val="auto"/>
                <w:kern w:val="0"/>
                <w:highlight w:val="none"/>
              </w:rPr>
            </w:pPr>
            <w:r>
              <w:rPr>
                <w:rFonts w:hint="eastAsia" w:ascii="宋体" w:hAnsi="宋体" w:eastAsia="宋体" w:cs="宋体"/>
                <w:color w:val="auto"/>
                <w:kern w:val="0"/>
                <w:highlight w:val="none"/>
              </w:rPr>
              <w:t>88</w:t>
            </w:r>
          </w:p>
        </w:tc>
        <w:tc>
          <w:tcPr>
            <w:tcW w:w="1283" w:type="dxa"/>
            <w:vMerge w:val="continue"/>
            <w:vAlign w:val="center"/>
          </w:tcPr>
          <w:p w14:paraId="43D4BA6E">
            <w:pPr>
              <w:widowControl/>
              <w:jc w:val="left"/>
              <w:rPr>
                <w:rFonts w:hint="eastAsia" w:ascii="宋体" w:hAnsi="宋体" w:eastAsia="宋体" w:cs="宋体"/>
                <w:color w:val="auto"/>
                <w:kern w:val="0"/>
                <w:highlight w:val="none"/>
              </w:rPr>
            </w:pPr>
          </w:p>
        </w:tc>
        <w:tc>
          <w:tcPr>
            <w:tcW w:w="1559" w:type="dxa"/>
            <w:shd w:val="clear" w:color="auto" w:fill="auto"/>
            <w:vAlign w:val="center"/>
          </w:tcPr>
          <w:p w14:paraId="0110F04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通知模板</w:t>
            </w:r>
          </w:p>
        </w:tc>
        <w:tc>
          <w:tcPr>
            <w:tcW w:w="4899" w:type="dxa"/>
            <w:shd w:val="clear" w:color="auto" w:fill="auto"/>
            <w:vAlign w:val="center"/>
          </w:tcPr>
          <w:p w14:paraId="0FDE5670">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通知模板：可新建、导入、导出通知模板，包含模板ID、名称、类型、服务商，并进编辑、删除、下载配置和调试操作。</w:t>
            </w:r>
          </w:p>
        </w:tc>
      </w:tr>
    </w:tbl>
    <w:p w14:paraId="0AB2BAE5">
      <w:pPr>
        <w:rPr>
          <w:color w:val="auto"/>
          <w:highlight w:val="none"/>
        </w:rPr>
      </w:pPr>
    </w:p>
    <w:p w14:paraId="557D5AC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（二）.其他需求清单</w:t>
      </w:r>
    </w:p>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94"/>
        <w:gridCol w:w="3324"/>
        <w:gridCol w:w="1020"/>
        <w:gridCol w:w="561"/>
        <w:gridCol w:w="561"/>
        <w:gridCol w:w="1308"/>
      </w:tblGrid>
      <w:tr w14:paraId="45C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Merge w:val="restart"/>
            <w:shd w:val="clear" w:color="000000" w:fill="BFBFBF"/>
            <w:vAlign w:val="center"/>
          </w:tcPr>
          <w:p w14:paraId="74714746">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序号</w:t>
            </w:r>
          </w:p>
        </w:tc>
        <w:tc>
          <w:tcPr>
            <w:tcW w:w="0" w:type="auto"/>
            <w:vMerge w:val="restart"/>
            <w:shd w:val="clear" w:color="000000" w:fill="BFBFBF"/>
            <w:vAlign w:val="center"/>
          </w:tcPr>
          <w:p w14:paraId="2AB36072">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设备名称</w:t>
            </w:r>
          </w:p>
        </w:tc>
        <w:tc>
          <w:tcPr>
            <w:tcW w:w="0" w:type="auto"/>
            <w:vMerge w:val="restart"/>
            <w:shd w:val="clear" w:color="000000" w:fill="BFBFBF"/>
            <w:vAlign w:val="center"/>
          </w:tcPr>
          <w:p w14:paraId="2649C9D0">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参数配置</w:t>
            </w:r>
          </w:p>
        </w:tc>
        <w:tc>
          <w:tcPr>
            <w:tcW w:w="0" w:type="auto"/>
            <w:vMerge w:val="restart"/>
            <w:shd w:val="clear" w:color="000000" w:fill="BFBFBF"/>
            <w:vAlign w:val="center"/>
          </w:tcPr>
          <w:p w14:paraId="2D9B51F7">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参考品牌</w:t>
            </w:r>
          </w:p>
        </w:tc>
        <w:tc>
          <w:tcPr>
            <w:tcW w:w="0" w:type="auto"/>
            <w:vMerge w:val="restart"/>
            <w:shd w:val="clear" w:color="000000" w:fill="BFBFBF"/>
            <w:vAlign w:val="center"/>
          </w:tcPr>
          <w:p w14:paraId="0705BD20">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数量</w:t>
            </w:r>
          </w:p>
        </w:tc>
        <w:tc>
          <w:tcPr>
            <w:tcW w:w="0" w:type="auto"/>
            <w:vMerge w:val="restart"/>
            <w:shd w:val="clear" w:color="000000" w:fill="BFBFBF"/>
            <w:vAlign w:val="center"/>
          </w:tcPr>
          <w:p w14:paraId="55D1A9ED">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单位</w:t>
            </w:r>
          </w:p>
        </w:tc>
        <w:tc>
          <w:tcPr>
            <w:tcW w:w="0" w:type="auto"/>
            <w:shd w:val="clear" w:color="000000" w:fill="BFBFBF"/>
          </w:tcPr>
          <w:p w14:paraId="7E92FE9E">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备注</w:t>
            </w:r>
          </w:p>
        </w:tc>
      </w:tr>
      <w:tr w14:paraId="62AE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vMerge w:val="continue"/>
            <w:shd w:val="clear" w:color="auto" w:fill="auto"/>
            <w:vAlign w:val="center"/>
          </w:tcPr>
          <w:p w14:paraId="4482664D">
            <w:pPr>
              <w:widowControl/>
              <w:jc w:val="left"/>
              <w:rPr>
                <w:rFonts w:ascii="仿宋" w:hAnsi="仿宋" w:eastAsia="仿宋" w:cs="宋体"/>
                <w:b/>
                <w:bCs/>
                <w:color w:val="auto"/>
                <w:kern w:val="0"/>
                <w:highlight w:val="none"/>
              </w:rPr>
            </w:pPr>
          </w:p>
        </w:tc>
        <w:tc>
          <w:tcPr>
            <w:tcW w:w="0" w:type="auto"/>
            <w:vMerge w:val="continue"/>
            <w:shd w:val="clear" w:color="auto" w:fill="auto"/>
            <w:vAlign w:val="center"/>
          </w:tcPr>
          <w:p w14:paraId="0DAF972E">
            <w:pPr>
              <w:widowControl/>
              <w:jc w:val="left"/>
              <w:rPr>
                <w:rFonts w:ascii="仿宋" w:hAnsi="仿宋" w:eastAsia="仿宋" w:cs="宋体"/>
                <w:b/>
                <w:bCs/>
                <w:color w:val="auto"/>
                <w:kern w:val="0"/>
                <w:highlight w:val="none"/>
              </w:rPr>
            </w:pPr>
          </w:p>
        </w:tc>
        <w:tc>
          <w:tcPr>
            <w:tcW w:w="0" w:type="auto"/>
            <w:vMerge w:val="continue"/>
            <w:shd w:val="clear" w:color="auto" w:fill="auto"/>
            <w:vAlign w:val="center"/>
          </w:tcPr>
          <w:p w14:paraId="052A03D9">
            <w:pPr>
              <w:widowControl/>
              <w:jc w:val="left"/>
              <w:rPr>
                <w:rFonts w:ascii="仿宋" w:hAnsi="仿宋" w:eastAsia="仿宋" w:cs="宋体"/>
                <w:b/>
                <w:bCs/>
                <w:color w:val="auto"/>
                <w:kern w:val="0"/>
                <w:highlight w:val="none"/>
              </w:rPr>
            </w:pPr>
          </w:p>
        </w:tc>
        <w:tc>
          <w:tcPr>
            <w:tcW w:w="0" w:type="auto"/>
            <w:vMerge w:val="continue"/>
            <w:shd w:val="clear" w:color="auto" w:fill="auto"/>
            <w:vAlign w:val="center"/>
          </w:tcPr>
          <w:p w14:paraId="2B8636B8">
            <w:pPr>
              <w:widowControl/>
              <w:jc w:val="left"/>
              <w:rPr>
                <w:rFonts w:ascii="仿宋" w:hAnsi="仿宋" w:eastAsia="仿宋" w:cs="宋体"/>
                <w:b/>
                <w:bCs/>
                <w:color w:val="auto"/>
                <w:kern w:val="0"/>
                <w:highlight w:val="none"/>
              </w:rPr>
            </w:pPr>
          </w:p>
        </w:tc>
        <w:tc>
          <w:tcPr>
            <w:tcW w:w="0" w:type="auto"/>
            <w:vMerge w:val="continue"/>
            <w:shd w:val="clear" w:color="auto" w:fill="auto"/>
            <w:vAlign w:val="center"/>
          </w:tcPr>
          <w:p w14:paraId="3387245A">
            <w:pPr>
              <w:widowControl/>
              <w:jc w:val="left"/>
              <w:rPr>
                <w:rFonts w:ascii="仿宋" w:hAnsi="仿宋" w:eastAsia="仿宋" w:cs="宋体"/>
                <w:b/>
                <w:bCs/>
                <w:color w:val="auto"/>
                <w:kern w:val="0"/>
                <w:highlight w:val="none"/>
              </w:rPr>
            </w:pPr>
          </w:p>
        </w:tc>
        <w:tc>
          <w:tcPr>
            <w:tcW w:w="0" w:type="auto"/>
            <w:vMerge w:val="continue"/>
            <w:shd w:val="clear" w:color="auto" w:fill="auto"/>
            <w:vAlign w:val="center"/>
          </w:tcPr>
          <w:p w14:paraId="283B1478">
            <w:pPr>
              <w:widowControl/>
              <w:jc w:val="left"/>
              <w:rPr>
                <w:rFonts w:ascii="仿宋" w:hAnsi="仿宋" w:eastAsia="仿宋" w:cs="宋体"/>
                <w:b/>
                <w:bCs/>
                <w:color w:val="auto"/>
                <w:kern w:val="0"/>
                <w:highlight w:val="none"/>
              </w:rPr>
            </w:pPr>
          </w:p>
        </w:tc>
        <w:tc>
          <w:tcPr>
            <w:tcW w:w="0" w:type="auto"/>
            <w:shd w:val="clear" w:color="000000" w:fill="BFBFBF"/>
          </w:tcPr>
          <w:p w14:paraId="3DD599A3">
            <w:pPr>
              <w:widowControl/>
              <w:jc w:val="center"/>
              <w:rPr>
                <w:rFonts w:ascii="仿宋" w:hAnsi="仿宋" w:eastAsia="仿宋" w:cs="宋体"/>
                <w:b/>
                <w:bCs/>
                <w:color w:val="auto"/>
                <w:kern w:val="0"/>
                <w:highlight w:val="none"/>
              </w:rPr>
            </w:pPr>
            <w:r>
              <w:rPr>
                <w:rFonts w:hint="eastAsia" w:ascii="仿宋" w:hAnsi="仿宋" w:eastAsia="仿宋" w:cs="宋体"/>
                <w:b/>
                <w:bCs/>
                <w:color w:val="auto"/>
                <w:kern w:val="0"/>
                <w:highlight w:val="none"/>
              </w:rPr>
              <w:t>（是否信创等）</w:t>
            </w:r>
          </w:p>
        </w:tc>
      </w:tr>
      <w:tr w14:paraId="3FA2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gridSpan w:val="3"/>
            <w:shd w:val="clear" w:color="000000" w:fill="BFBFBF"/>
            <w:vAlign w:val="center"/>
          </w:tcPr>
          <w:p w14:paraId="7E3C8977">
            <w:pPr>
              <w:widowControl/>
              <w:jc w:val="left"/>
              <w:rPr>
                <w:rFonts w:ascii="仿宋" w:hAnsi="仿宋" w:eastAsia="仿宋" w:cs="宋体"/>
                <w:b/>
                <w:bCs/>
                <w:color w:val="auto"/>
                <w:kern w:val="0"/>
                <w:highlight w:val="none"/>
              </w:rPr>
            </w:pPr>
            <w:r>
              <w:rPr>
                <w:rFonts w:hint="eastAsia" w:ascii="仿宋" w:hAnsi="仿宋" w:eastAsia="仿宋" w:cs="宋体"/>
                <w:b/>
                <w:bCs/>
                <w:color w:val="auto"/>
                <w:kern w:val="0"/>
                <w:highlight w:val="none"/>
              </w:rPr>
              <w:t>一、部署用云资源租赁设备（*3年）</w:t>
            </w:r>
          </w:p>
        </w:tc>
        <w:tc>
          <w:tcPr>
            <w:tcW w:w="0" w:type="auto"/>
            <w:shd w:val="clear" w:color="000000" w:fill="BFBFBF"/>
            <w:vAlign w:val="center"/>
          </w:tcPr>
          <w:p w14:paraId="7A65F2DB">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　</w:t>
            </w:r>
          </w:p>
        </w:tc>
        <w:tc>
          <w:tcPr>
            <w:tcW w:w="0" w:type="auto"/>
            <w:shd w:val="clear" w:color="000000" w:fill="BFBFBF"/>
            <w:vAlign w:val="center"/>
          </w:tcPr>
          <w:p w14:paraId="6D906801">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　</w:t>
            </w:r>
          </w:p>
        </w:tc>
        <w:tc>
          <w:tcPr>
            <w:tcW w:w="0" w:type="auto"/>
            <w:shd w:val="clear" w:color="000000" w:fill="BFBFBF"/>
            <w:vAlign w:val="center"/>
          </w:tcPr>
          <w:p w14:paraId="6B960242">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　</w:t>
            </w:r>
          </w:p>
        </w:tc>
        <w:tc>
          <w:tcPr>
            <w:tcW w:w="0" w:type="auto"/>
            <w:shd w:val="clear" w:color="000000" w:fill="BFBFBF"/>
            <w:vAlign w:val="center"/>
          </w:tcPr>
          <w:p w14:paraId="0B2B373B">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　</w:t>
            </w:r>
          </w:p>
        </w:tc>
      </w:tr>
      <w:tr w14:paraId="01BD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Align w:val="center"/>
          </w:tcPr>
          <w:p w14:paraId="29910AA8">
            <w:pPr>
              <w:widowControl/>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0C61D6BB">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云资源设备1</w:t>
            </w:r>
          </w:p>
        </w:tc>
        <w:tc>
          <w:tcPr>
            <w:tcW w:w="0" w:type="auto"/>
            <w:vAlign w:val="center"/>
          </w:tcPr>
          <w:p w14:paraId="7700F667">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cpu8核 内存16g 磁盘500G，共计3年</w:t>
            </w:r>
          </w:p>
        </w:tc>
        <w:tc>
          <w:tcPr>
            <w:tcW w:w="0" w:type="auto"/>
            <w:vAlign w:val="center"/>
          </w:tcPr>
          <w:p w14:paraId="0559A602">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w:t>
            </w:r>
          </w:p>
        </w:tc>
        <w:tc>
          <w:tcPr>
            <w:tcW w:w="0" w:type="auto"/>
            <w:vAlign w:val="center"/>
          </w:tcPr>
          <w:p w14:paraId="71319127">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0B5B1E45">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台</w:t>
            </w:r>
          </w:p>
        </w:tc>
        <w:tc>
          <w:tcPr>
            <w:tcW w:w="0" w:type="auto"/>
            <w:vAlign w:val="center"/>
          </w:tcPr>
          <w:p w14:paraId="7BD14D25">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是</w:t>
            </w:r>
          </w:p>
        </w:tc>
      </w:tr>
      <w:tr w14:paraId="617C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vAlign w:val="center"/>
          </w:tcPr>
          <w:p w14:paraId="06E64595">
            <w:pPr>
              <w:widowControl/>
              <w:rPr>
                <w:rFonts w:ascii="仿宋" w:hAnsi="仿宋" w:eastAsia="仿宋" w:cs="宋体"/>
                <w:color w:val="auto"/>
                <w:kern w:val="0"/>
                <w:highlight w:val="none"/>
              </w:rPr>
            </w:pPr>
            <w:r>
              <w:rPr>
                <w:rFonts w:hint="eastAsia" w:ascii="仿宋" w:hAnsi="仿宋" w:eastAsia="仿宋" w:cs="宋体"/>
                <w:color w:val="auto"/>
                <w:kern w:val="0"/>
                <w:highlight w:val="none"/>
              </w:rPr>
              <w:t>2</w:t>
            </w:r>
          </w:p>
        </w:tc>
        <w:tc>
          <w:tcPr>
            <w:tcW w:w="0" w:type="auto"/>
            <w:vAlign w:val="center"/>
          </w:tcPr>
          <w:p w14:paraId="337738B1">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云资源设备2</w:t>
            </w:r>
          </w:p>
        </w:tc>
        <w:tc>
          <w:tcPr>
            <w:tcW w:w="0" w:type="auto"/>
            <w:vAlign w:val="center"/>
          </w:tcPr>
          <w:p w14:paraId="668BCCFE">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cpu8核 内存16g 磁盘500G，共计3年</w:t>
            </w:r>
          </w:p>
        </w:tc>
        <w:tc>
          <w:tcPr>
            <w:tcW w:w="0" w:type="auto"/>
            <w:vAlign w:val="center"/>
          </w:tcPr>
          <w:p w14:paraId="77321625">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w:t>
            </w:r>
          </w:p>
        </w:tc>
        <w:tc>
          <w:tcPr>
            <w:tcW w:w="0" w:type="auto"/>
            <w:vAlign w:val="center"/>
          </w:tcPr>
          <w:p w14:paraId="7C4D1073">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5EB94939">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台</w:t>
            </w:r>
          </w:p>
        </w:tc>
        <w:tc>
          <w:tcPr>
            <w:tcW w:w="0" w:type="auto"/>
            <w:vAlign w:val="center"/>
          </w:tcPr>
          <w:p w14:paraId="4CD54959">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是</w:t>
            </w:r>
          </w:p>
        </w:tc>
      </w:tr>
      <w:tr w14:paraId="325F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3"/>
            <w:shd w:val="clear" w:color="000000" w:fill="BFBFBF"/>
            <w:vAlign w:val="center"/>
          </w:tcPr>
          <w:p w14:paraId="5FE147CF">
            <w:pPr>
              <w:widowControl/>
              <w:rPr>
                <w:rFonts w:ascii="仿宋" w:hAnsi="仿宋" w:eastAsia="仿宋" w:cs="宋体"/>
                <w:b/>
                <w:bCs/>
                <w:color w:val="auto"/>
                <w:kern w:val="0"/>
                <w:highlight w:val="none"/>
              </w:rPr>
            </w:pPr>
            <w:r>
              <w:rPr>
                <w:rFonts w:hint="eastAsia" w:ascii="仿宋" w:hAnsi="仿宋" w:eastAsia="仿宋" w:cs="宋体"/>
                <w:b/>
                <w:bCs/>
                <w:color w:val="auto"/>
                <w:kern w:val="0"/>
                <w:highlight w:val="none"/>
              </w:rPr>
              <w:t>二、系统部署硬件设备</w:t>
            </w:r>
          </w:p>
        </w:tc>
        <w:tc>
          <w:tcPr>
            <w:tcW w:w="0" w:type="auto"/>
            <w:shd w:val="clear" w:color="000000" w:fill="BFBFBF"/>
            <w:vAlign w:val="center"/>
          </w:tcPr>
          <w:p w14:paraId="31BCB701">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10ABE3EB">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4714FB36">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50F75931">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r>
      <w:tr w14:paraId="2E09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63DE063A">
            <w:pPr>
              <w:widowControl/>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0C7BDEB7">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云存储</w:t>
            </w:r>
          </w:p>
        </w:tc>
        <w:tc>
          <w:tcPr>
            <w:tcW w:w="0" w:type="auto"/>
            <w:vAlign w:val="center"/>
          </w:tcPr>
          <w:p w14:paraId="46F6A354">
            <w:pPr>
              <w:widowControl/>
              <w:rPr>
                <w:rFonts w:ascii="仿宋" w:hAnsi="仿宋" w:eastAsia="仿宋" w:cs="宋体"/>
                <w:color w:val="auto"/>
                <w:kern w:val="0"/>
                <w:highlight w:val="none"/>
              </w:rPr>
            </w:pPr>
            <w:r>
              <w:rPr>
                <w:rFonts w:hint="eastAsia" w:ascii="仿宋" w:hAnsi="仿宋" w:eastAsia="仿宋" w:cs="宋体"/>
                <w:color w:val="auto"/>
                <w:kern w:val="0"/>
                <w:highlight w:val="none"/>
              </w:rPr>
              <w:t>非结构化存储空间（oss）</w:t>
            </w:r>
            <w:r>
              <w:rPr>
                <w:rFonts w:hint="eastAsia" w:ascii="仿宋" w:hAnsi="仿宋" w:eastAsia="仿宋" w:cs="宋体"/>
                <w:color w:val="auto"/>
                <w:kern w:val="0"/>
                <w:highlight w:val="none"/>
              </w:rPr>
              <w:br w:type="textWrapping"/>
            </w:r>
            <w:r>
              <w:rPr>
                <w:rFonts w:hint="eastAsia" w:ascii="仿宋" w:hAnsi="仿宋" w:eastAsia="仿宋" w:cs="宋体"/>
                <w:color w:val="auto"/>
                <w:kern w:val="0"/>
                <w:highlight w:val="none"/>
              </w:rPr>
              <w:t>每TeraByte (TB)字节,1T，共计3年</w:t>
            </w:r>
          </w:p>
        </w:tc>
        <w:tc>
          <w:tcPr>
            <w:tcW w:w="0" w:type="auto"/>
            <w:vAlign w:val="center"/>
          </w:tcPr>
          <w:p w14:paraId="1EC5191B">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w:t>
            </w:r>
          </w:p>
        </w:tc>
        <w:tc>
          <w:tcPr>
            <w:tcW w:w="0" w:type="auto"/>
            <w:vAlign w:val="center"/>
          </w:tcPr>
          <w:p w14:paraId="78EB3D04">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10</w:t>
            </w:r>
          </w:p>
        </w:tc>
        <w:tc>
          <w:tcPr>
            <w:tcW w:w="0" w:type="auto"/>
            <w:vAlign w:val="center"/>
          </w:tcPr>
          <w:p w14:paraId="3BC740B8">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T</w:t>
            </w:r>
          </w:p>
        </w:tc>
        <w:tc>
          <w:tcPr>
            <w:tcW w:w="0" w:type="auto"/>
            <w:vAlign w:val="center"/>
          </w:tcPr>
          <w:p w14:paraId="303CA0F5">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是</w:t>
            </w:r>
          </w:p>
        </w:tc>
      </w:tr>
      <w:tr w14:paraId="41FF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3"/>
            <w:shd w:val="clear" w:color="000000" w:fill="BFBFBF"/>
            <w:vAlign w:val="center"/>
          </w:tcPr>
          <w:p w14:paraId="0EF241B4">
            <w:pPr>
              <w:widowControl/>
              <w:rPr>
                <w:rFonts w:ascii="仿宋" w:hAnsi="仿宋" w:eastAsia="仿宋" w:cs="宋体"/>
                <w:b/>
                <w:bCs/>
                <w:color w:val="auto"/>
                <w:kern w:val="0"/>
                <w:highlight w:val="none"/>
              </w:rPr>
            </w:pPr>
            <w:r>
              <w:rPr>
                <w:rFonts w:hint="eastAsia" w:ascii="仿宋" w:hAnsi="仿宋" w:eastAsia="仿宋" w:cs="宋体"/>
                <w:b/>
                <w:bCs/>
                <w:color w:val="auto"/>
                <w:kern w:val="0"/>
                <w:highlight w:val="none"/>
              </w:rPr>
              <w:t>三、信创软件采购</w:t>
            </w:r>
          </w:p>
        </w:tc>
        <w:tc>
          <w:tcPr>
            <w:tcW w:w="0" w:type="auto"/>
            <w:shd w:val="clear" w:color="000000" w:fill="BFBFBF"/>
            <w:vAlign w:val="center"/>
          </w:tcPr>
          <w:p w14:paraId="004A91E0">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7221BBB9">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1F1235A4">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c>
          <w:tcPr>
            <w:tcW w:w="0" w:type="auto"/>
            <w:shd w:val="clear" w:color="000000" w:fill="BFBFBF"/>
            <w:vAlign w:val="center"/>
          </w:tcPr>
          <w:p w14:paraId="22ACCFB5">
            <w:pPr>
              <w:widowControl/>
              <w:jc w:val="center"/>
              <w:rPr>
                <w:rFonts w:ascii="仿宋" w:hAnsi="仿宋" w:eastAsia="仿宋" w:cs="宋体"/>
                <w:i/>
                <w:iCs/>
                <w:color w:val="auto"/>
                <w:kern w:val="0"/>
                <w:highlight w:val="none"/>
              </w:rPr>
            </w:pPr>
            <w:r>
              <w:rPr>
                <w:rFonts w:hint="eastAsia" w:ascii="仿宋" w:hAnsi="仿宋" w:eastAsia="仿宋" w:cs="宋体"/>
                <w:i/>
                <w:iCs/>
                <w:color w:val="auto"/>
                <w:kern w:val="0"/>
                <w:highlight w:val="none"/>
              </w:rPr>
              <w:t>　</w:t>
            </w:r>
          </w:p>
        </w:tc>
      </w:tr>
      <w:tr w14:paraId="351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3FA2BCCE">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303795C0">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信创操作系统</w:t>
            </w:r>
          </w:p>
        </w:tc>
        <w:tc>
          <w:tcPr>
            <w:tcW w:w="0" w:type="auto"/>
            <w:vAlign w:val="center"/>
          </w:tcPr>
          <w:p w14:paraId="6F140B53">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每台ECS计费，默认随ECS一起开通，共计3年</w:t>
            </w:r>
          </w:p>
        </w:tc>
        <w:tc>
          <w:tcPr>
            <w:tcW w:w="0" w:type="auto"/>
            <w:vAlign w:val="center"/>
          </w:tcPr>
          <w:p w14:paraId="20D204E0">
            <w:pPr>
              <w:widowControl/>
              <w:jc w:val="left"/>
              <w:rPr>
                <w:rFonts w:ascii="仿宋" w:hAnsi="仿宋" w:eastAsia="仿宋" w:cs="宋体"/>
                <w:color w:val="auto"/>
                <w:kern w:val="0"/>
                <w:highlight w:val="none"/>
              </w:rPr>
            </w:pPr>
          </w:p>
        </w:tc>
        <w:tc>
          <w:tcPr>
            <w:tcW w:w="0" w:type="auto"/>
            <w:vAlign w:val="center"/>
          </w:tcPr>
          <w:p w14:paraId="413A45A0">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2</w:t>
            </w:r>
          </w:p>
        </w:tc>
        <w:tc>
          <w:tcPr>
            <w:tcW w:w="0" w:type="auto"/>
            <w:vAlign w:val="center"/>
          </w:tcPr>
          <w:p w14:paraId="1DBA66C0">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套</w:t>
            </w:r>
          </w:p>
        </w:tc>
        <w:tc>
          <w:tcPr>
            <w:tcW w:w="0" w:type="auto"/>
            <w:vAlign w:val="center"/>
          </w:tcPr>
          <w:p w14:paraId="29C4C951">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是</w:t>
            </w:r>
          </w:p>
        </w:tc>
      </w:tr>
      <w:tr w14:paraId="3473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1E2B2202">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2</w:t>
            </w:r>
          </w:p>
        </w:tc>
        <w:tc>
          <w:tcPr>
            <w:tcW w:w="0" w:type="auto"/>
            <w:vAlign w:val="center"/>
          </w:tcPr>
          <w:p w14:paraId="6DD7F3C4">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信创数据库</w:t>
            </w:r>
          </w:p>
        </w:tc>
        <w:tc>
          <w:tcPr>
            <w:tcW w:w="0" w:type="auto"/>
            <w:vAlign w:val="center"/>
          </w:tcPr>
          <w:p w14:paraId="308866F5">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每台ECS计费，共计3年</w:t>
            </w:r>
          </w:p>
        </w:tc>
        <w:tc>
          <w:tcPr>
            <w:tcW w:w="0" w:type="auto"/>
            <w:vAlign w:val="center"/>
          </w:tcPr>
          <w:p w14:paraId="076C90B1">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w:t>
            </w:r>
          </w:p>
        </w:tc>
        <w:tc>
          <w:tcPr>
            <w:tcW w:w="0" w:type="auto"/>
            <w:vAlign w:val="center"/>
          </w:tcPr>
          <w:p w14:paraId="69E45857">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2</w:t>
            </w:r>
          </w:p>
        </w:tc>
        <w:tc>
          <w:tcPr>
            <w:tcW w:w="0" w:type="auto"/>
            <w:vAlign w:val="center"/>
          </w:tcPr>
          <w:p w14:paraId="67F9AE68">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套</w:t>
            </w:r>
          </w:p>
        </w:tc>
        <w:tc>
          <w:tcPr>
            <w:tcW w:w="0" w:type="auto"/>
            <w:vAlign w:val="center"/>
          </w:tcPr>
          <w:p w14:paraId="650529D9">
            <w:pPr>
              <w:widowControl/>
              <w:jc w:val="center"/>
              <w:rPr>
                <w:rFonts w:ascii="仿宋" w:hAnsi="仿宋" w:eastAsia="仿宋" w:cs="宋体"/>
                <w:color w:val="auto"/>
                <w:kern w:val="0"/>
                <w:highlight w:val="none"/>
              </w:rPr>
            </w:pPr>
            <w:r>
              <w:rPr>
                <w:rFonts w:hint="eastAsia" w:ascii="仿宋" w:hAnsi="仿宋" w:eastAsia="仿宋" w:cs="宋体"/>
                <w:color w:val="auto"/>
                <w:kern w:val="0"/>
                <w:highlight w:val="none"/>
              </w:rPr>
              <w:t>是</w:t>
            </w:r>
          </w:p>
        </w:tc>
      </w:tr>
      <w:tr w14:paraId="478E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gridSpan w:val="3"/>
            <w:shd w:val="clear" w:color="auto" w:fill="BEBEBE" w:themeFill="background1" w:themeFillShade="BF"/>
            <w:vAlign w:val="center"/>
          </w:tcPr>
          <w:p w14:paraId="322B5933">
            <w:pPr>
              <w:widowControl/>
              <w:rPr>
                <w:rFonts w:ascii="仿宋" w:hAnsi="仿宋" w:eastAsia="仿宋" w:cs="宋体"/>
                <w:color w:val="auto"/>
                <w:kern w:val="0"/>
                <w:highlight w:val="none"/>
              </w:rPr>
            </w:pPr>
            <w:r>
              <w:rPr>
                <w:rFonts w:hint="eastAsia" w:ascii="仿宋" w:hAnsi="仿宋" w:eastAsia="仿宋" w:cs="宋体"/>
                <w:b/>
                <w:bCs/>
                <w:color w:val="auto"/>
                <w:kern w:val="0"/>
                <w:highlight w:val="none"/>
              </w:rPr>
              <w:t>四、系统测评服务</w:t>
            </w:r>
          </w:p>
        </w:tc>
        <w:tc>
          <w:tcPr>
            <w:tcW w:w="0" w:type="auto"/>
            <w:shd w:val="clear" w:color="auto" w:fill="BEBEBE" w:themeFill="background1" w:themeFillShade="BF"/>
            <w:vAlign w:val="center"/>
          </w:tcPr>
          <w:p w14:paraId="2F74D338">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408E244F">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05232450">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5E8ABB27">
            <w:pPr>
              <w:widowControl/>
              <w:jc w:val="center"/>
              <w:rPr>
                <w:rFonts w:ascii="仿宋" w:hAnsi="仿宋" w:eastAsia="仿宋" w:cs="宋体"/>
                <w:color w:val="auto"/>
                <w:kern w:val="0"/>
                <w:highlight w:val="none"/>
              </w:rPr>
            </w:pPr>
          </w:p>
        </w:tc>
      </w:tr>
      <w:tr w14:paraId="4788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5270CF30">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37BD36D3">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二级等保测评</w:t>
            </w:r>
          </w:p>
        </w:tc>
        <w:tc>
          <w:tcPr>
            <w:tcW w:w="0" w:type="auto"/>
            <w:vAlign w:val="center"/>
          </w:tcPr>
          <w:p w14:paraId="60CD1C06">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为系统提供网络安全二级等保检测服务。</w:t>
            </w:r>
          </w:p>
        </w:tc>
        <w:tc>
          <w:tcPr>
            <w:tcW w:w="0" w:type="auto"/>
            <w:vAlign w:val="center"/>
          </w:tcPr>
          <w:p w14:paraId="34038A0D">
            <w:pPr>
              <w:widowControl/>
              <w:ind w:right="630"/>
              <w:jc w:val="right"/>
              <w:rPr>
                <w:rFonts w:ascii="仿宋" w:hAnsi="仿宋" w:eastAsia="仿宋" w:cs="宋体"/>
                <w:color w:val="auto"/>
                <w:kern w:val="0"/>
                <w:highlight w:val="none"/>
              </w:rPr>
            </w:pPr>
            <w:r>
              <w:rPr>
                <w:rFonts w:hint="eastAsia" w:ascii="仿宋" w:hAnsi="仿宋" w:eastAsia="仿宋" w:cs="宋体"/>
                <w:color w:val="auto"/>
                <w:kern w:val="0"/>
                <w:highlight w:val="none"/>
              </w:rPr>
              <w:t>/</w:t>
            </w:r>
          </w:p>
        </w:tc>
        <w:tc>
          <w:tcPr>
            <w:tcW w:w="0" w:type="auto"/>
            <w:vAlign w:val="center"/>
          </w:tcPr>
          <w:p w14:paraId="1BA288D8">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4F9AB8E1">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套</w:t>
            </w:r>
          </w:p>
        </w:tc>
        <w:tc>
          <w:tcPr>
            <w:tcW w:w="0" w:type="auto"/>
            <w:vAlign w:val="center"/>
          </w:tcPr>
          <w:p w14:paraId="109DE8A9">
            <w:pPr>
              <w:widowControl/>
              <w:jc w:val="center"/>
              <w:rPr>
                <w:rFonts w:ascii="仿宋" w:hAnsi="仿宋" w:eastAsia="仿宋" w:cs="宋体"/>
                <w:color w:val="auto"/>
                <w:kern w:val="0"/>
                <w:highlight w:val="none"/>
              </w:rPr>
            </w:pPr>
          </w:p>
        </w:tc>
      </w:tr>
      <w:tr w14:paraId="3D4F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gridSpan w:val="3"/>
            <w:shd w:val="clear" w:color="auto" w:fill="BEBEBE" w:themeFill="background1" w:themeFillShade="BF"/>
            <w:vAlign w:val="center"/>
          </w:tcPr>
          <w:p w14:paraId="1BBC6341">
            <w:pPr>
              <w:widowControl/>
              <w:rPr>
                <w:rFonts w:ascii="仿宋" w:hAnsi="仿宋" w:eastAsia="仿宋" w:cs="宋体"/>
                <w:color w:val="auto"/>
                <w:kern w:val="0"/>
                <w:highlight w:val="none"/>
              </w:rPr>
            </w:pPr>
            <w:r>
              <w:rPr>
                <w:rFonts w:hint="eastAsia" w:ascii="仿宋" w:hAnsi="仿宋" w:eastAsia="仿宋" w:cs="宋体"/>
                <w:b/>
                <w:bCs/>
                <w:color w:val="auto"/>
                <w:kern w:val="0"/>
                <w:highlight w:val="none"/>
              </w:rPr>
              <w:t>五、其他服务</w:t>
            </w:r>
          </w:p>
        </w:tc>
        <w:tc>
          <w:tcPr>
            <w:tcW w:w="0" w:type="auto"/>
            <w:shd w:val="clear" w:color="auto" w:fill="BEBEBE" w:themeFill="background1" w:themeFillShade="BF"/>
            <w:vAlign w:val="center"/>
          </w:tcPr>
          <w:p w14:paraId="193ED0E4">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5EE33EDB">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420DF1CD">
            <w:pPr>
              <w:widowControl/>
              <w:jc w:val="center"/>
              <w:rPr>
                <w:rFonts w:ascii="仿宋" w:hAnsi="仿宋" w:eastAsia="仿宋" w:cs="宋体"/>
                <w:color w:val="auto"/>
                <w:kern w:val="0"/>
                <w:highlight w:val="none"/>
              </w:rPr>
            </w:pPr>
          </w:p>
        </w:tc>
        <w:tc>
          <w:tcPr>
            <w:tcW w:w="0" w:type="auto"/>
            <w:shd w:val="clear" w:color="auto" w:fill="BEBEBE" w:themeFill="background1" w:themeFillShade="BF"/>
            <w:vAlign w:val="center"/>
          </w:tcPr>
          <w:p w14:paraId="7EBD5149">
            <w:pPr>
              <w:widowControl/>
              <w:jc w:val="center"/>
              <w:rPr>
                <w:rFonts w:ascii="仿宋" w:hAnsi="仿宋" w:eastAsia="仿宋" w:cs="宋体"/>
                <w:color w:val="auto"/>
                <w:kern w:val="0"/>
                <w:highlight w:val="none"/>
              </w:rPr>
            </w:pPr>
          </w:p>
        </w:tc>
      </w:tr>
      <w:tr w14:paraId="3721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Align w:val="center"/>
          </w:tcPr>
          <w:p w14:paraId="0AB3B12D">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19D24B66">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运营维护</w:t>
            </w:r>
          </w:p>
        </w:tc>
        <w:tc>
          <w:tcPr>
            <w:tcW w:w="0" w:type="auto"/>
            <w:vAlign w:val="center"/>
          </w:tcPr>
          <w:p w14:paraId="554FE6F8">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项目运营维护服务3年</w:t>
            </w:r>
          </w:p>
        </w:tc>
        <w:tc>
          <w:tcPr>
            <w:tcW w:w="0" w:type="auto"/>
            <w:vAlign w:val="center"/>
          </w:tcPr>
          <w:p w14:paraId="10C81CB1">
            <w:pPr>
              <w:widowControl/>
              <w:jc w:val="center"/>
              <w:rPr>
                <w:rFonts w:ascii="仿宋" w:hAnsi="仿宋" w:eastAsia="仿宋" w:cs="宋体"/>
                <w:color w:val="auto"/>
                <w:kern w:val="0"/>
                <w:highlight w:val="none"/>
              </w:rPr>
            </w:pPr>
          </w:p>
        </w:tc>
        <w:tc>
          <w:tcPr>
            <w:tcW w:w="0" w:type="auto"/>
            <w:vAlign w:val="center"/>
          </w:tcPr>
          <w:p w14:paraId="79434AE7">
            <w:pPr>
              <w:widowControl/>
              <w:jc w:val="right"/>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0" w:type="auto"/>
            <w:vAlign w:val="center"/>
          </w:tcPr>
          <w:p w14:paraId="129DBC43">
            <w:pPr>
              <w:widowControl/>
              <w:jc w:val="left"/>
              <w:rPr>
                <w:rFonts w:ascii="仿宋" w:hAnsi="仿宋" w:eastAsia="仿宋" w:cs="宋体"/>
                <w:color w:val="auto"/>
                <w:kern w:val="0"/>
                <w:highlight w:val="none"/>
              </w:rPr>
            </w:pPr>
            <w:r>
              <w:rPr>
                <w:rFonts w:hint="eastAsia" w:ascii="仿宋" w:hAnsi="仿宋" w:eastAsia="仿宋" w:cs="宋体"/>
                <w:color w:val="auto"/>
                <w:kern w:val="0"/>
                <w:highlight w:val="none"/>
              </w:rPr>
              <w:t>项</w:t>
            </w:r>
          </w:p>
        </w:tc>
        <w:tc>
          <w:tcPr>
            <w:tcW w:w="0" w:type="auto"/>
            <w:vAlign w:val="center"/>
          </w:tcPr>
          <w:p w14:paraId="43ED2F71">
            <w:pPr>
              <w:widowControl/>
              <w:jc w:val="center"/>
              <w:rPr>
                <w:rFonts w:ascii="仿宋" w:hAnsi="仿宋" w:eastAsia="仿宋" w:cs="宋体"/>
                <w:color w:val="auto"/>
                <w:kern w:val="0"/>
                <w:highlight w:val="none"/>
              </w:rPr>
            </w:pPr>
          </w:p>
        </w:tc>
      </w:tr>
    </w:tbl>
    <w:p w14:paraId="22D3C22A">
      <w:pPr>
        <w:rPr>
          <w:color w:val="auto"/>
          <w:highlight w:val="none"/>
        </w:rPr>
      </w:pPr>
    </w:p>
    <w:p w14:paraId="1A227C8D">
      <w:pPr>
        <w:rPr>
          <w:color w:val="auto"/>
          <w:highlight w:val="none"/>
        </w:rPr>
      </w:pPr>
    </w:p>
    <w:p w14:paraId="566659B5">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软件开发相关要求</w:t>
      </w:r>
    </w:p>
    <w:p w14:paraId="0CF36B55">
      <w:pPr>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软件知识产权归属</w:t>
      </w:r>
    </w:p>
    <w:p w14:paraId="75DD0CB5">
      <w:pPr>
        <w:spacing w:line="360" w:lineRule="auto"/>
        <w:ind w:firstLine="480"/>
        <w:rPr>
          <w:rFonts w:ascii="宋体" w:hAnsi="宋体"/>
          <w:color w:val="auto"/>
          <w:sz w:val="24"/>
          <w:highlight w:val="none"/>
        </w:rPr>
      </w:pPr>
      <w:r>
        <w:rPr>
          <w:rFonts w:hint="eastAsia" w:ascii="宋体" w:hAnsi="宋体"/>
          <w:color w:val="auto"/>
          <w:sz w:val="24"/>
          <w:highlight w:val="none"/>
        </w:rPr>
        <w:t>软件知识产权归属采购人所有。</w:t>
      </w:r>
    </w:p>
    <w:p w14:paraId="5270D3EA">
      <w:pPr>
        <w:spacing w:line="360" w:lineRule="auto"/>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、数据安全</w:t>
      </w:r>
    </w:p>
    <w:p w14:paraId="79ADBCA6">
      <w:pPr>
        <w:spacing w:line="360" w:lineRule="auto"/>
        <w:ind w:firstLine="480"/>
        <w:rPr>
          <w:rFonts w:ascii="宋体" w:hAnsi="宋体"/>
          <w:color w:val="auto"/>
          <w:sz w:val="24"/>
          <w:highlight w:val="none"/>
        </w:rPr>
      </w:pPr>
      <w:r>
        <w:rPr>
          <w:rFonts w:ascii="宋体" w:hAnsi="宋体"/>
          <w:color w:val="auto"/>
          <w:sz w:val="24"/>
          <w:highlight w:val="none"/>
        </w:rPr>
        <w:t>软件应安全、准确、可靠，具有高可用性功能(或容错功能)，能够长时间不间断运行，能够防止不良侵害发生、降低故障发生率，确保安全生产。</w:t>
      </w:r>
    </w:p>
    <w:p w14:paraId="49743A86">
      <w:pPr>
        <w:spacing w:line="360" w:lineRule="auto"/>
        <w:ind w:firstLine="480"/>
        <w:rPr>
          <w:rFonts w:ascii="宋体" w:hAnsi="宋体"/>
          <w:color w:val="auto"/>
          <w:sz w:val="24"/>
          <w:highlight w:val="none"/>
        </w:rPr>
      </w:pPr>
      <w:r>
        <w:rPr>
          <w:rFonts w:ascii="宋体" w:hAnsi="宋体"/>
          <w:color w:val="auto"/>
          <w:sz w:val="24"/>
          <w:highlight w:val="none"/>
        </w:rPr>
        <w:t>软件要具有较强的硬件规模扩展能力。</w:t>
      </w:r>
    </w:p>
    <w:p w14:paraId="74B6A8B2">
      <w:pPr>
        <w:spacing w:line="360" w:lineRule="auto"/>
        <w:ind w:firstLine="480"/>
        <w:rPr>
          <w:rFonts w:ascii="宋体" w:hAnsi="宋体"/>
          <w:color w:val="auto"/>
          <w:sz w:val="24"/>
          <w:highlight w:val="none"/>
        </w:rPr>
      </w:pPr>
      <w:r>
        <w:rPr>
          <w:rFonts w:ascii="宋体" w:hAnsi="宋体"/>
          <w:color w:val="auto"/>
          <w:sz w:val="24"/>
          <w:highlight w:val="none"/>
        </w:rPr>
        <w:t>软件对硬件要具有相对独立性。</w:t>
      </w:r>
    </w:p>
    <w:p w14:paraId="5FB05CE4">
      <w:pPr>
        <w:spacing w:line="360" w:lineRule="auto"/>
        <w:ind w:firstLine="480"/>
        <w:rPr>
          <w:rFonts w:ascii="宋体" w:hAnsi="宋体"/>
          <w:color w:val="auto"/>
          <w:sz w:val="24"/>
          <w:highlight w:val="none"/>
        </w:rPr>
      </w:pPr>
      <w:r>
        <w:rPr>
          <w:rFonts w:ascii="宋体" w:hAnsi="宋体"/>
          <w:color w:val="auto"/>
          <w:sz w:val="24"/>
          <w:highlight w:val="none"/>
        </w:rPr>
        <w:t>软件本身要具有良好的扩展能力，具备高度的可伸缩扩充能力。</w:t>
      </w:r>
    </w:p>
    <w:p w14:paraId="624B6652">
      <w:pPr>
        <w:spacing w:line="360" w:lineRule="auto"/>
        <w:ind w:firstLine="480"/>
        <w:rPr>
          <w:rFonts w:ascii="宋体" w:hAnsi="宋体"/>
          <w:color w:val="auto"/>
          <w:sz w:val="24"/>
          <w:highlight w:val="none"/>
        </w:rPr>
      </w:pPr>
      <w:r>
        <w:rPr>
          <w:rFonts w:ascii="宋体" w:hAnsi="宋体"/>
          <w:color w:val="auto"/>
          <w:sz w:val="24"/>
          <w:highlight w:val="none"/>
        </w:rPr>
        <w:t>软件要具有良好的负载均衡能力。</w:t>
      </w:r>
    </w:p>
    <w:p w14:paraId="0704B7DB">
      <w:pPr>
        <w:spacing w:line="360" w:lineRule="auto"/>
        <w:ind w:firstLine="480"/>
        <w:rPr>
          <w:rFonts w:ascii="宋体" w:hAnsi="宋体"/>
          <w:color w:val="auto"/>
          <w:sz w:val="24"/>
          <w:highlight w:val="none"/>
        </w:rPr>
      </w:pPr>
      <w:r>
        <w:rPr>
          <w:rFonts w:ascii="宋体" w:hAnsi="宋体"/>
          <w:color w:val="auto"/>
          <w:sz w:val="24"/>
          <w:highlight w:val="none"/>
        </w:rPr>
        <w:t>软件具有可维护性，系统设置要方便灵活。</w:t>
      </w:r>
    </w:p>
    <w:p w14:paraId="0CD021AB">
      <w:pPr>
        <w:spacing w:line="360" w:lineRule="auto"/>
        <w:ind w:firstLine="480"/>
        <w:rPr>
          <w:rFonts w:ascii="宋体" w:hAnsi="宋体"/>
          <w:color w:val="auto"/>
          <w:sz w:val="24"/>
          <w:highlight w:val="none"/>
        </w:rPr>
      </w:pPr>
      <w:r>
        <w:rPr>
          <w:rFonts w:ascii="宋体" w:hAnsi="宋体"/>
          <w:color w:val="auto"/>
          <w:sz w:val="24"/>
          <w:highlight w:val="none"/>
        </w:rPr>
        <w:t>软件应提供符合业务规范的数据接口，以实现与其它系统的连接，支持一致性数据模型，保证数据的一致性、完整性。</w:t>
      </w:r>
    </w:p>
    <w:p w14:paraId="50F3D42E">
      <w:pPr>
        <w:spacing w:line="360" w:lineRule="auto"/>
        <w:ind w:firstLine="480"/>
        <w:rPr>
          <w:rFonts w:ascii="宋体" w:hAnsi="宋体"/>
          <w:color w:val="auto"/>
          <w:sz w:val="24"/>
          <w:highlight w:val="none"/>
        </w:rPr>
      </w:pPr>
      <w:r>
        <w:rPr>
          <w:rFonts w:ascii="宋体" w:hAnsi="宋体"/>
          <w:color w:val="auto"/>
          <w:sz w:val="24"/>
          <w:highlight w:val="none"/>
        </w:rPr>
        <w:t>软件设计面向数据，而不是面向流程，易于系统的构造和重组织。</w:t>
      </w:r>
    </w:p>
    <w:p w14:paraId="3C4D5B07">
      <w:pPr>
        <w:spacing w:line="360" w:lineRule="auto"/>
        <w:ind w:firstLine="480"/>
        <w:rPr>
          <w:rFonts w:ascii="宋体" w:hAnsi="宋体"/>
          <w:color w:val="auto"/>
          <w:sz w:val="24"/>
          <w:highlight w:val="none"/>
        </w:rPr>
      </w:pPr>
      <w:r>
        <w:rPr>
          <w:rFonts w:ascii="宋体" w:hAnsi="宋体"/>
          <w:color w:val="auto"/>
          <w:sz w:val="24"/>
          <w:highlight w:val="none"/>
        </w:rPr>
        <w:t>软件应能实现数据和处理结果的备份和管理。</w:t>
      </w:r>
    </w:p>
    <w:p w14:paraId="6E1676BB">
      <w:pPr>
        <w:spacing w:line="360" w:lineRule="auto"/>
        <w:ind w:firstLine="480"/>
        <w:rPr>
          <w:rFonts w:ascii="宋体" w:hAnsi="宋体"/>
          <w:color w:val="auto"/>
          <w:sz w:val="24"/>
          <w:highlight w:val="none"/>
        </w:rPr>
      </w:pPr>
      <w:r>
        <w:rPr>
          <w:rFonts w:ascii="宋体" w:hAnsi="宋体"/>
          <w:color w:val="auto"/>
          <w:sz w:val="24"/>
          <w:highlight w:val="none"/>
        </w:rPr>
        <w:t>软件能够保护投资，前后期的投资有效衔接。</w:t>
      </w:r>
    </w:p>
    <w:p w14:paraId="61260650">
      <w:pPr>
        <w:spacing w:line="360" w:lineRule="auto"/>
        <w:ind w:firstLine="480"/>
        <w:rPr>
          <w:rFonts w:ascii="宋体" w:hAnsi="宋体"/>
          <w:color w:val="auto"/>
          <w:sz w:val="24"/>
          <w:highlight w:val="none"/>
        </w:rPr>
      </w:pPr>
      <w:r>
        <w:rPr>
          <w:rFonts w:ascii="宋体" w:hAnsi="宋体"/>
          <w:color w:val="auto"/>
          <w:sz w:val="24"/>
          <w:highlight w:val="none"/>
        </w:rPr>
        <w:t>系统设计要做到代码标准化、模块标准化、文档标准化、测试标准化和信息标准化。</w:t>
      </w:r>
    </w:p>
    <w:p w14:paraId="3F1EA14B">
      <w:pPr>
        <w:wordWrap w:val="0"/>
        <w:spacing w:line="360" w:lineRule="auto"/>
        <w:ind w:firstLine="48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中标人须保证系统通过信息安全技术网络等级保护要求（GB/T22239-2019）第二级安全要求,若在此期间国家颁布最新等保标准，则中标人须按最新标准执行并通过相应评测要求。</w:t>
      </w:r>
    </w:p>
    <w:p w14:paraId="488FB8BB">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软件及设备安装、调试、工期</w:t>
      </w:r>
    </w:p>
    <w:p w14:paraId="28BB0837">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1、中标人需按采购人的要求和国家及行业规范负责设备安装和调试及试运行。</w:t>
      </w:r>
    </w:p>
    <w:p w14:paraId="33203AB4">
      <w:pPr>
        <w:spacing w:line="360" w:lineRule="auto"/>
        <w:ind w:firstLine="480" w:firstLineChars="200"/>
        <w:rPr>
          <w:color w:val="auto"/>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、软硬件工期：项目建设周期为</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内完成软硬件的供货、安装及调试、系统测试和上线试运行，并在试运行</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后完成项目验收。项目验收合格并交付使用后，提供三年维护服务，质保期内维护服务费用包含在投标价内。</w:t>
      </w:r>
    </w:p>
    <w:p w14:paraId="49BE7D44">
      <w:pPr>
        <w:pStyle w:val="5"/>
        <w:spacing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、若中标人未在规定时间内完成软件开发试运行的，采购人有权终止合同并要求中标人赔偿由此造成的损失。</w:t>
      </w:r>
    </w:p>
    <w:p w14:paraId="0EB57A1A">
      <w:pPr>
        <w:pStyle w:val="5"/>
        <w:spacing w:line="360" w:lineRule="auto"/>
        <w:ind w:firstLine="48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、安装及测试要求</w:t>
      </w:r>
    </w:p>
    <w:p w14:paraId="23DD914F">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（1）要求具有完整的系统测试计划，包括根据用户需求编写的，遍及系统全部功能、性能的测试用例，合理的测试方案和测试方法。要求保留完整的测试报告。</w:t>
      </w:r>
    </w:p>
    <w:p w14:paraId="359D8963">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（2）包括单元测试、集成测试、系统测试和压力测试。</w:t>
      </w:r>
    </w:p>
    <w:p w14:paraId="154651ED">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（3）测试过程要用户单位组织相关人员同参与。测试计划要详细描述针对各项测试，项目建设单位、集成商以及相关单位如何参与，如何配合，包括各单位职责和分工界面等内容描述。</w:t>
      </w:r>
    </w:p>
    <w:p w14:paraId="61150E88">
      <w:pPr>
        <w:pStyle w:val="5"/>
        <w:spacing w:line="360" w:lineRule="auto"/>
        <w:ind w:firstLine="48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（4）在安装、配置和测试、调试过程中,中标人应对最终用户技术人员所提出的技术问题,应给予满意的答复。所有测试通过后，在系统连续成功稳定试运行</w:t>
      </w:r>
      <w:r>
        <w:rPr>
          <w:rFonts w:ascii="宋体" w:hAnsi="宋体" w:cs="宋体"/>
          <w:snapToGrid w:val="0"/>
          <w:color w:val="auto"/>
          <w:kern w:val="0"/>
          <w:sz w:val="24"/>
          <w:highlight w:val="none"/>
        </w:rPr>
        <w:t>90</w:t>
      </w:r>
      <w:r>
        <w:rPr>
          <w:rFonts w:hint="eastAsia" w:ascii="宋体" w:hAnsi="宋体" w:cs="宋体"/>
          <w:snapToGrid w:val="0"/>
          <w:color w:val="auto"/>
          <w:kern w:val="0"/>
          <w:sz w:val="24"/>
          <w:highlight w:val="none"/>
        </w:rPr>
        <w:t>天后进行项目验收。</w:t>
      </w:r>
    </w:p>
    <w:p w14:paraId="2EB154DD">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目验收要求</w:t>
      </w:r>
    </w:p>
    <w:p w14:paraId="73D402EA">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项目的验收包括初步验收、试运行和终验。</w:t>
      </w:r>
    </w:p>
    <w:p w14:paraId="09244EBA">
      <w:pPr>
        <w:pStyle w:val="33"/>
        <w:numPr>
          <w:ilvl w:val="0"/>
          <w:numId w:val="17"/>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项目建设周期</w:t>
      </w:r>
    </w:p>
    <w:p w14:paraId="74E99E57">
      <w:pPr>
        <w:spacing w:line="360" w:lineRule="auto"/>
        <w:ind w:firstLine="480" w:firstLineChars="200"/>
        <w:rPr>
          <w:color w:val="auto"/>
          <w:highlight w:val="none"/>
        </w:rPr>
      </w:pPr>
      <w:r>
        <w:rPr>
          <w:rFonts w:hint="eastAsia" w:ascii="宋体" w:hAnsi="宋体" w:cs="宋体"/>
          <w:snapToGrid w:val="0"/>
          <w:color w:val="auto"/>
          <w:kern w:val="0"/>
          <w:sz w:val="24"/>
          <w:highlight w:val="none"/>
        </w:rPr>
        <w:t>项目建设周期为</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p>
    <w:p w14:paraId="387E8632">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、项目初验</w:t>
      </w:r>
    </w:p>
    <w:p w14:paraId="4469E93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初验前，中标人应首先对设备及软件进行自测，并将自测报告提交采购人审查。中标人依本合同约定向采购人提交成果及相关文档，并向采购人提出初验申请。采购人接到中标人初验申请后，组织初验，初验合格后联合签署初验报告。</w:t>
      </w:r>
    </w:p>
    <w:p w14:paraId="159CE8BD">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、试运行</w:t>
      </w:r>
    </w:p>
    <w:p w14:paraId="486ED82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初验合格后，系统进入试运行，试运行时间为不少于</w:t>
      </w:r>
      <w:r>
        <w:rPr>
          <w:rFonts w:hint="eastAsia" w:ascii="宋体" w:hAnsi="宋体" w:cs="宋体"/>
          <w:snapToGrid w:val="0"/>
          <w:color w:val="auto"/>
          <w:kern w:val="0"/>
          <w:sz w:val="24"/>
          <w:highlight w:val="none"/>
          <w:lang w:val="en-US" w:eastAsia="zh-CN"/>
        </w:rPr>
        <w:t>90天</w:t>
      </w:r>
      <w:r>
        <w:rPr>
          <w:rFonts w:hint="eastAsia" w:ascii="宋体" w:hAnsi="宋体" w:cs="宋体"/>
          <w:snapToGrid w:val="0"/>
          <w:color w:val="auto"/>
          <w:kern w:val="0"/>
          <w:sz w:val="24"/>
          <w:highlight w:val="none"/>
        </w:rPr>
        <w:t>。</w:t>
      </w:r>
    </w:p>
    <w:p w14:paraId="6A453EA3">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、终验</w:t>
      </w:r>
    </w:p>
    <w:p w14:paraId="6A912F1C">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设备通过试运行后，中标人向采购人提出终验申请，采购人组织相关单位进行设备及软件的终验。终验通过，进入正式运行阶段。终验收合格的条件必须至少满足以下三个要求：已提供了合同要求的全部设备和资料；试运行时性能满足合同要求；性能测试和试运行验收时出现的问题已被解决。</w:t>
      </w:r>
    </w:p>
    <w:p w14:paraId="2743332E">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w:t>
      </w:r>
    </w:p>
    <w:p w14:paraId="50FA4967">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、中标人应保证提供自</w:t>
      </w:r>
      <w:r>
        <w:rPr>
          <w:rFonts w:hint="eastAsia" w:ascii="宋体" w:hAnsi="宋体" w:cs="宋体"/>
          <w:snapToGrid w:val="0"/>
          <w:color w:val="auto"/>
          <w:kern w:val="0"/>
          <w:sz w:val="24"/>
          <w:highlight w:val="none"/>
          <w:u w:val="single"/>
        </w:rPr>
        <w:t>项目验收合格并交付使用后</w:t>
      </w:r>
      <w:r>
        <w:rPr>
          <w:rFonts w:hint="eastAsia" w:ascii="宋体" w:hAnsi="宋体" w:cs="宋体"/>
          <w:snapToGrid w:val="0"/>
          <w:color w:val="auto"/>
          <w:kern w:val="0"/>
          <w:sz w:val="24"/>
          <w:highlight w:val="none"/>
        </w:rPr>
        <w:t>起至少</w:t>
      </w:r>
      <w:r>
        <w:rPr>
          <w:rFonts w:hint="eastAsia" w:ascii="宋体" w:hAnsi="宋体" w:cs="宋体"/>
          <w:snapToGrid w:val="0"/>
          <w:color w:val="auto"/>
          <w:kern w:val="0"/>
          <w:sz w:val="24"/>
          <w:highlight w:val="none"/>
          <w:u w:val="single"/>
        </w:rPr>
        <w:t xml:space="preserve"> 三</w:t>
      </w:r>
      <w:r>
        <w:rPr>
          <w:rFonts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年的维护服务。维护服务期内提供免费系统维护，并根据运营情况定期进行系统免费升级。合同期满后，平台开发的所有软件、大数据以及采购清单的硬件均归采购人所有。</w:t>
      </w:r>
    </w:p>
    <w:p w14:paraId="694CE54D">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、响应时效：（1）提供7*24 小时技术服务热线，负责解答用户在软件使用中遇到的问题，并及时提出解决问题的建议和操作方法。（2）中标人对用户的服务要求应在0.5小时内响应，一般问题现场排除故障响应时间小于</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小时，</w:t>
      </w: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小时内恢复系统正常运行。重大技术问题，技术专家2小时内抵达现场，4小时内给予解决；若短期无法解决的，应及时提供应急措施，并提出书面解决方案报业主批准。如果逾期未作出响应，中标人应承担由于故障造成的全部损失，并由此产生的风险和费用由中标人承担</w:t>
      </w:r>
    </w:p>
    <w:p w14:paraId="006A4B23">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为保证设备正常、安全地运行，技术支持力量和优良的服务是系统正常、安全运行的保障。供应商应据此制定系统详细的技术支持与服务方案，包括服务内容、服务方式、服务响应时间、应急措施及组织结构等。</w:t>
      </w:r>
    </w:p>
    <w:p w14:paraId="687B94C9">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、中标人须做出无推诿承诺。即中标人应提供特殊措施，无论由于哪一方产生的问题而使设备或系统发生不正常情况时，并在得到采购人通知后，立即派工程师到场，全力协助用户，使系统尽快恢复正常。</w:t>
      </w:r>
    </w:p>
    <w:p w14:paraId="6B8336D5">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、因维护不到位等原因造成数据出错或不能完全正常运行的，从不能正常运作的第三天起，按100元/天/点进行相应扣款。</w:t>
      </w:r>
    </w:p>
    <w:p w14:paraId="7F35FCE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6、质保期外设备及配件价格：中标人须按本合同设备及配件价格或市场价（以上价格就低计取）进行供应。</w:t>
      </w:r>
    </w:p>
    <w:p w14:paraId="614C3A97">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培训服务</w:t>
      </w:r>
    </w:p>
    <w:p w14:paraId="1D325DAE">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、中标人必须为采购人提供软件使用、设备操作和管理维护培训，培训形式包括客户现场培训、课堂培训；供应商必须列明相应的培训课程。</w:t>
      </w:r>
    </w:p>
    <w:p w14:paraId="0AE3B515">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、供应商应在投标文件中提供详细的培训计划，包括培训项目、人数、地点、日程、资料、其它等详细内容，为所有被培训人员提供培训用文字资料和讲义等相关用品。</w:t>
      </w:r>
    </w:p>
    <w:p w14:paraId="01F98B0B">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、技术培训的内容必须包含软件的日常操作和管理维护，以及基本的故障诊断与排错。中标人培训人员必须是公司的资深工程师。</w:t>
      </w:r>
    </w:p>
    <w:p w14:paraId="34FA1EDA">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、培训工作必须在合同生效之后系统试运行之前安排。</w:t>
      </w:r>
    </w:p>
    <w:p w14:paraId="7BBDCA72">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w:t>
      </w:r>
      <w:r>
        <w:rPr>
          <w:rFonts w:hint="eastAsia" w:ascii="宋体" w:hAnsi="宋体" w:cs="宋体"/>
          <w:snapToGrid w:val="0"/>
          <w:color w:val="auto"/>
          <w:kern w:val="0"/>
          <w:sz w:val="24"/>
          <w:highlight w:val="none"/>
        </w:rPr>
        <w:t>、所有培训费用（含培训教材费），已包括在投标总价中。</w:t>
      </w:r>
    </w:p>
    <w:p w14:paraId="4E1DB7F6">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6</w:t>
      </w:r>
      <w:r>
        <w:rPr>
          <w:rFonts w:hint="eastAsia" w:ascii="宋体" w:hAnsi="宋体" w:cs="宋体"/>
          <w:snapToGrid w:val="0"/>
          <w:color w:val="auto"/>
          <w:kern w:val="0"/>
          <w:sz w:val="24"/>
          <w:highlight w:val="none"/>
        </w:rPr>
        <w:t>、实际培训时间、人数和地点按中标人与采购人商定为准</w:t>
      </w:r>
    </w:p>
    <w:p w14:paraId="3D37357C">
      <w:pPr>
        <w:numPr>
          <w:ilvl w:val="0"/>
          <w:numId w:val="21"/>
        </w:numPr>
        <w:autoSpaceDE w:val="0"/>
        <w:autoSpaceDN w:val="0"/>
        <w:adjustRightInd w:val="0"/>
        <w:spacing w:line="600" w:lineRule="auto"/>
        <w:ind w:firstLine="482"/>
        <w:jc w:val="left"/>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支付方式</w:t>
      </w:r>
    </w:p>
    <w:p w14:paraId="3847951D">
      <w:pPr>
        <w:pStyle w:val="32"/>
        <w:shd w:val="clear"/>
        <w:spacing w:line="360" w:lineRule="auto"/>
        <w:rPr>
          <w:rFonts w:hint="eastAsia" w:ascii="宋体" w:hAnsi="宋体" w:eastAsia="宋体" w:cs="宋体"/>
          <w:color w:val="auto"/>
          <w:kern w:val="2"/>
          <w:sz w:val="24"/>
          <w:szCs w:val="24"/>
          <w:highlight w:val="none"/>
          <w:shd w:val="clear"/>
          <w:lang w:val="en-US" w:eastAsia="zh-CN" w:bidi="ar-SA"/>
        </w:rPr>
      </w:pPr>
      <w:r>
        <w:rPr>
          <w:rFonts w:hint="eastAsia" w:ascii="宋体" w:hAnsi="宋体" w:eastAsia="宋体" w:cs="宋体"/>
          <w:color w:val="auto"/>
          <w:kern w:val="2"/>
          <w:sz w:val="24"/>
          <w:szCs w:val="24"/>
          <w:highlight w:val="none"/>
          <w:shd w:val="clear"/>
          <w:lang w:val="en-US" w:eastAsia="zh-CN" w:bidi="ar-SA"/>
        </w:rPr>
        <w:t>合同生效以及具备实施条件并收到发票后7个工作日内支付合同价的40%，</w:t>
      </w:r>
      <w:r>
        <w:rPr>
          <w:rFonts w:hint="eastAsia" w:ascii="宋体" w:hAnsi="宋体" w:cs="宋体"/>
          <w:color w:val="auto"/>
          <w:kern w:val="2"/>
          <w:sz w:val="24"/>
          <w:szCs w:val="24"/>
          <w:highlight w:val="none"/>
          <w:shd w:val="clear"/>
          <w:lang w:val="en-US" w:eastAsia="zh-CN" w:bidi="ar-SA"/>
        </w:rPr>
        <w:t>项目通过初验后支付合同价的30%</w:t>
      </w:r>
      <w:r>
        <w:rPr>
          <w:rFonts w:hint="eastAsia" w:ascii="宋体" w:hAnsi="宋体" w:eastAsia="宋体" w:cs="宋体"/>
          <w:color w:val="auto"/>
          <w:kern w:val="2"/>
          <w:sz w:val="24"/>
          <w:szCs w:val="24"/>
          <w:highlight w:val="none"/>
          <w:shd w:val="clear"/>
          <w:lang w:val="en-US" w:eastAsia="zh-CN" w:bidi="ar-SA"/>
        </w:rPr>
        <w:t>，</w:t>
      </w:r>
      <w:r>
        <w:rPr>
          <w:rFonts w:hint="eastAsia" w:ascii="宋体" w:hAnsi="宋体" w:cs="宋体"/>
          <w:color w:val="auto"/>
          <w:kern w:val="2"/>
          <w:sz w:val="24"/>
          <w:szCs w:val="24"/>
          <w:highlight w:val="none"/>
          <w:shd w:val="clear"/>
          <w:lang w:val="en-US" w:eastAsia="zh-CN" w:bidi="ar-SA"/>
        </w:rPr>
        <w:t>项目通过终验后支付合同价的25%并退还履约保证金，</w:t>
      </w:r>
      <w:r>
        <w:rPr>
          <w:rFonts w:hint="eastAsia" w:ascii="宋体" w:hAnsi="宋体" w:eastAsia="宋体" w:cs="宋体"/>
          <w:color w:val="auto"/>
          <w:kern w:val="2"/>
          <w:sz w:val="24"/>
          <w:szCs w:val="24"/>
          <w:highlight w:val="none"/>
          <w:shd w:val="clear"/>
          <w:lang w:val="en-US" w:eastAsia="zh-CN" w:bidi="ar-SA"/>
        </w:rPr>
        <w:t>平台维护期（平台运营）验收结束后支付尾款</w:t>
      </w:r>
      <w:r>
        <w:rPr>
          <w:rFonts w:hint="eastAsia" w:ascii="宋体" w:hAnsi="宋体" w:cs="宋体"/>
          <w:color w:val="auto"/>
          <w:kern w:val="2"/>
          <w:sz w:val="24"/>
          <w:szCs w:val="24"/>
          <w:highlight w:val="none"/>
          <w:shd w:val="clear"/>
          <w:lang w:val="en-US" w:eastAsia="zh-CN" w:bidi="ar-SA"/>
        </w:rPr>
        <w:t>5</w:t>
      </w:r>
      <w:r>
        <w:rPr>
          <w:rFonts w:hint="eastAsia" w:ascii="宋体" w:hAnsi="宋体" w:eastAsia="宋体" w:cs="宋体"/>
          <w:color w:val="auto"/>
          <w:kern w:val="2"/>
          <w:sz w:val="24"/>
          <w:szCs w:val="24"/>
          <w:highlight w:val="none"/>
          <w:shd w:val="clear"/>
          <w:lang w:val="en-US" w:eastAsia="zh-CN" w:bidi="ar-SA"/>
        </w:rPr>
        <w:t>%。</w:t>
      </w:r>
    </w:p>
    <w:p w14:paraId="5A0570BE">
      <w:pPr>
        <w:widowControl/>
        <w:jc w:val="left"/>
        <w:rPr>
          <w:color w:val="auto"/>
          <w:highlight w:val="none"/>
        </w:rPr>
      </w:pPr>
    </w:p>
    <w:p w14:paraId="300B7D92">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合同金额及付款方式</w:t>
      </w:r>
    </w:p>
    <w:p w14:paraId="71F0794C">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1、合同金额</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大写人民币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整（</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合同金额包含项目所需全部服务，不得缺漏，是履行合同的最终价格，包括</w:t>
      </w:r>
      <w:r>
        <w:rPr>
          <w:rFonts w:hint="eastAsia" w:ascii="宋体" w:hAnsi="宋体" w:cs="宋体"/>
          <w:color w:val="auto"/>
          <w:kern w:val="0"/>
          <w:sz w:val="24"/>
          <w:highlight w:val="none"/>
          <w:lang w:val="en-US" w:eastAsia="zh-CN"/>
        </w:rPr>
        <w:t>服务内容</w:t>
      </w:r>
      <w:r>
        <w:rPr>
          <w:rFonts w:hint="eastAsia" w:ascii="宋体" w:hAnsi="宋体" w:eastAsia="宋体" w:cs="宋体"/>
          <w:color w:val="auto"/>
          <w:kern w:val="0"/>
          <w:sz w:val="24"/>
          <w:highlight w:val="none"/>
          <w:lang w:val="en-US" w:eastAsia="zh-CN"/>
        </w:rPr>
        <w:t>、税金、代理服务费及不可预见费用等一切费用。</w:t>
      </w:r>
    </w:p>
    <w:p w14:paraId="703CE64A">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违约责任</w:t>
      </w:r>
    </w:p>
    <w:p w14:paraId="561BAE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如乙方未能按合同要求提供服务给甲方造成恶劣影响和损失时，甲方有权终止本合同，并还可要求乙方赔偿由此造成的一切损失。</w:t>
      </w:r>
    </w:p>
    <w:p w14:paraId="1F4E0B2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乙方未经甲方同意擅自转包，甲方有权终止本合同。</w:t>
      </w:r>
    </w:p>
    <w:p w14:paraId="1DED47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由于政策或不可抗力等因素引起项目中断，甲方终止本合同应提前15天通知乙方。</w:t>
      </w:r>
    </w:p>
    <w:p w14:paraId="0FD1CF20">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争议解决</w:t>
      </w:r>
    </w:p>
    <w:p w14:paraId="7E46A7C4">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3081B47">
      <w:pPr>
        <w:shd w:val="clear"/>
        <w:tabs>
          <w:tab w:val="left" w:pos="525"/>
          <w:tab w:val="left" w:pos="1365"/>
        </w:tabs>
        <w:spacing w:line="42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选择仲裁的，</w:t>
      </w:r>
      <w:r>
        <w:rPr>
          <w:rFonts w:hint="eastAsia" w:ascii="宋体" w:hAnsi="宋体" w:cs="宋体"/>
          <w:color w:val="auto"/>
          <w:sz w:val="24"/>
          <w:szCs w:val="24"/>
          <w:highlight w:val="none"/>
          <w:lang w:val="en-US" w:eastAsia="zh-CN"/>
        </w:rPr>
        <w:t>以绍兴仲裁委员会仲裁解决，通过诉讼方式解决的，</w:t>
      </w:r>
      <w:r>
        <w:rPr>
          <w:rFonts w:hint="eastAsia" w:ascii="宋体" w:hAnsi="宋体" w:eastAsia="宋体" w:cs="宋体"/>
          <w:color w:val="auto"/>
          <w:kern w:val="0"/>
          <w:sz w:val="24"/>
          <w:szCs w:val="24"/>
          <w:highlight w:val="none"/>
        </w:rPr>
        <w:t>任何一方均可向</w:t>
      </w:r>
      <w:r>
        <w:rPr>
          <w:rFonts w:hint="eastAsia" w:ascii="宋体" w:hAnsi="宋体" w:cs="宋体"/>
          <w:color w:val="auto"/>
          <w:kern w:val="0"/>
          <w:sz w:val="24"/>
          <w:szCs w:val="24"/>
          <w:highlight w:val="none"/>
          <w:lang w:val="en-US" w:eastAsia="zh-CN"/>
        </w:rPr>
        <w:t>甲</w:t>
      </w:r>
      <w:r>
        <w:rPr>
          <w:rFonts w:hint="eastAsia" w:ascii="宋体" w:hAnsi="宋体" w:eastAsia="宋体" w:cs="宋体"/>
          <w:color w:val="auto"/>
          <w:kern w:val="0"/>
          <w:sz w:val="24"/>
          <w:szCs w:val="24"/>
          <w:highlight w:val="none"/>
        </w:rPr>
        <w:t>方所在地人民法院提起诉讼</w:t>
      </w:r>
      <w:r>
        <w:rPr>
          <w:rFonts w:hint="eastAsia" w:ascii="宋体" w:hAnsi="宋体" w:eastAsia="宋体" w:cs="宋体"/>
          <w:color w:val="auto"/>
          <w:sz w:val="24"/>
          <w:szCs w:val="24"/>
          <w:highlight w:val="none"/>
        </w:rPr>
        <w:t>；通过诉讼方式解决的。</w:t>
      </w:r>
    </w:p>
    <w:p w14:paraId="7F67D8CF">
      <w:pPr>
        <w:shd w:val="clear"/>
        <w:tabs>
          <w:tab w:val="left" w:pos="525"/>
          <w:tab w:val="left" w:pos="1365"/>
        </w:tabs>
        <w:spacing w:line="420" w:lineRule="exact"/>
        <w:ind w:firstLine="480"/>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3E7B318C">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免责条款</w:t>
      </w:r>
    </w:p>
    <w:p w14:paraId="6332553A">
      <w:pPr>
        <w:shd w:val="clear"/>
        <w:tabs>
          <w:tab w:val="left" w:pos="525"/>
          <w:tab w:val="left" w:pos="1365"/>
        </w:tabs>
        <w:spacing w:line="42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因不可抗力导致甲乙双方或一方不能履行或不能完全履行本协议项下有关义务时，双方相互不承担违约责任。但遇有不可抗力的一方应于不可抗力发生后15日内将情况告知对方，并提供有关部门的证明。在不可抗力影响消除后的合理时间内，一方或双方应当继续履行协议。由于不可抗力导致协议不能或者没有必要继续履行的，本协议可由乙方解除。</w:t>
      </w:r>
    </w:p>
    <w:p w14:paraId="21E60601">
      <w:pPr>
        <w:numPr>
          <w:ilvl w:val="0"/>
          <w:numId w:val="0"/>
        </w:numPr>
        <w:shd w:val="clear"/>
        <w:tabs>
          <w:tab w:val="left" w:pos="525"/>
          <w:tab w:val="left" w:pos="1365"/>
        </w:tabs>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若因一方延迟履行后发生不可抗力导致不能履行，不能免除责任。</w:t>
      </w:r>
    </w:p>
    <w:p w14:paraId="7D66F3DE">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协议的变更、解除</w:t>
      </w:r>
    </w:p>
    <w:p w14:paraId="5949EAFF">
      <w:pPr>
        <w:shd w:val="clear"/>
        <w:tabs>
          <w:tab w:val="left" w:pos="0"/>
          <w:tab w:val="left" w:pos="420"/>
          <w:tab w:val="left" w:pos="1080"/>
          <w:tab w:val="left" w:pos="1800"/>
          <w:tab w:val="left" w:pos="2520"/>
          <w:tab w:val="left" w:pos="3240"/>
          <w:tab w:val="left" w:pos="3960"/>
          <w:tab w:val="left" w:pos="4680"/>
        </w:tabs>
        <w:autoSpaceDE w:val="0"/>
        <w:autoSpaceDN w:val="0"/>
        <w:adjustRightInd w:val="0"/>
        <w:snapToGrid w:val="0"/>
        <w:spacing w:after="50" w:line="420" w:lineRule="exact"/>
        <w:ind w:left="105" w:leftChars="5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在协议有效期内双方中任何一方欲变更或解除协议必须采取书面形式，口头无效。解除协议需提前三个月向对方提出。</w:t>
      </w:r>
    </w:p>
    <w:p w14:paraId="074520AD">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协议期限</w:t>
      </w:r>
    </w:p>
    <w:p w14:paraId="1392BDF8">
      <w:pPr>
        <w:numPr>
          <w:ilvl w:val="-1"/>
          <w:numId w:val="0"/>
        </w:numPr>
        <w:shd w:val="clear"/>
        <w:tabs>
          <w:tab w:val="left" w:pos="525"/>
          <w:tab w:val="left" w:pos="1365"/>
        </w:tabs>
        <w:spacing w:line="420" w:lineRule="exact"/>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本协议确定的期限为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3D35DC6E">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政府采购政策</w:t>
      </w:r>
    </w:p>
    <w:p w14:paraId="4A44444F">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GB"/>
        </w:rPr>
        <w:t>本合同应当按照规定执行政府采购政策。</w:t>
      </w:r>
    </w:p>
    <w:p w14:paraId="5BCFC71D">
      <w:pPr>
        <w:shd w:val="clear"/>
        <w:tabs>
          <w:tab w:val="left" w:pos="525"/>
          <w:tab w:val="left" w:pos="1155"/>
          <w:tab w:val="left" w:pos="1365"/>
        </w:tabs>
        <w:autoSpaceDE/>
        <w:autoSpaceDN/>
        <w:adjustRightInd/>
        <w:snapToGrid/>
        <w:spacing w:before="0" w:line="420" w:lineRule="exact"/>
        <w:ind w:firstLine="48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cs="宋体"/>
          <w:color w:val="auto"/>
          <w:sz w:val="24"/>
          <w:szCs w:val="24"/>
          <w:highlight w:val="none"/>
        </w:rPr>
        <w:t>，有过错的一方应当承担赔偿责任，双方都有过错的，各自承担相应的责任。</w:t>
      </w:r>
    </w:p>
    <w:p w14:paraId="7B2DDFB2">
      <w:pPr>
        <w:shd w:val="clear"/>
        <w:tabs>
          <w:tab w:val="left" w:pos="525"/>
          <w:tab w:val="left" w:pos="1155"/>
          <w:tab w:val="left" w:pos="1365"/>
        </w:tabs>
        <w:spacing w:after="0"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对于</w:t>
      </w:r>
      <w:r>
        <w:rPr>
          <w:rFonts w:hint="eastAsia" w:ascii="宋体" w:hAnsi="宋体" w:cs="宋体"/>
          <w:color w:val="auto"/>
          <w:sz w:val="24"/>
          <w:szCs w:val="24"/>
          <w:highlight w:val="none"/>
          <w:lang w:eastAsia="zh-CN"/>
        </w:rPr>
        <w:t>为落实中小企业支持政策，</w:t>
      </w:r>
      <w:r>
        <w:rPr>
          <w:rFonts w:hint="eastAsia" w:ascii="宋体" w:hAnsi="宋体" w:cs="宋体"/>
          <w:color w:val="auto"/>
          <w:sz w:val="24"/>
          <w:szCs w:val="24"/>
          <w:highlight w:val="none"/>
        </w:rPr>
        <w:t>通过采购项目</w:t>
      </w:r>
      <w:r>
        <w:rPr>
          <w:rFonts w:hint="eastAsia" w:ascii="宋体" w:hAnsi="宋体" w:cs="宋体"/>
          <w:color w:val="auto"/>
          <w:sz w:val="24"/>
          <w:szCs w:val="24"/>
          <w:highlight w:val="none"/>
          <w:lang w:eastAsia="zh-CN"/>
        </w:rPr>
        <w:t>整体</w:t>
      </w:r>
      <w:r>
        <w:rPr>
          <w:rFonts w:hint="eastAsia" w:ascii="宋体" w:hAnsi="宋体" w:cs="宋体"/>
          <w:color w:val="auto"/>
          <w:sz w:val="24"/>
          <w:szCs w:val="24"/>
          <w:highlight w:val="none"/>
        </w:rPr>
        <w:t>预留、</w:t>
      </w:r>
      <w:r>
        <w:rPr>
          <w:rFonts w:hint="eastAsia" w:ascii="宋体" w:hAnsi="宋体" w:cs="宋体"/>
          <w:color w:val="auto"/>
          <w:sz w:val="24"/>
          <w:szCs w:val="24"/>
          <w:highlight w:val="none"/>
          <w:lang w:eastAsia="zh-CN"/>
        </w:rPr>
        <w:t>设置</w:t>
      </w:r>
      <w:r>
        <w:rPr>
          <w:rFonts w:hint="eastAsia" w:ascii="宋体" w:hAnsi="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A5B35D">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法律适用</w:t>
      </w:r>
    </w:p>
    <w:p w14:paraId="4961D886">
      <w:pPr>
        <w:pStyle w:val="95"/>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本合同的订立、生效、解释、履行及与本合同有关的争议解决，均适用法律、行政法规。</w:t>
      </w:r>
    </w:p>
    <w:p w14:paraId="13477A36">
      <w:pPr>
        <w:pStyle w:val="95"/>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本合同条款与法律、行政法规的强制性规定不一致的，双方当事人应按照法律、行政法规的强制性规定修改本合同的相关条款。</w:t>
      </w:r>
    </w:p>
    <w:p w14:paraId="59FCA881">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通知</w:t>
      </w:r>
    </w:p>
    <w:p w14:paraId="09A413ED">
      <w:pPr>
        <w:pStyle w:val="95"/>
        <w:shd w:val="clea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本合同任何一方向对方发出的通知、信件、数据电文等，应当发送至本合同所约定的通讯地址、联系人、联系电话或电子邮箱。</w:t>
      </w:r>
    </w:p>
    <w:p w14:paraId="7CAC6E36">
      <w:pPr>
        <w:pStyle w:val="95"/>
        <w:shd w:val="clear"/>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388D57B1">
      <w:pPr>
        <w:pStyle w:val="95"/>
        <w:shd w:val="clear"/>
        <w:adjustRightInd w:val="0"/>
        <w:snapToGrid w:val="0"/>
        <w:spacing w:before="0" w:line="400" w:lineRule="exact"/>
        <w:ind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7EE356FB">
      <w:pPr>
        <w:pStyle w:val="95"/>
        <w:shd w:val="clear"/>
        <w:adjustRightInd w:val="0"/>
        <w:snapToGrid w:val="0"/>
        <w:spacing w:before="0" w:line="400" w:lineRule="exact"/>
        <w:ind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58C883F8">
      <w:pPr>
        <w:pStyle w:val="40"/>
        <w:shd w:val="clear"/>
        <w:rPr>
          <w:rFonts w:hint="eastAsia"/>
          <w:color w:val="auto"/>
          <w:highlight w:val="none"/>
        </w:rPr>
      </w:pPr>
    </w:p>
    <w:p w14:paraId="1CD19C7E">
      <w:pPr>
        <w:numPr>
          <w:ilvl w:val="0"/>
          <w:numId w:val="21"/>
        </w:numPr>
        <w:autoSpaceDE w:val="0"/>
        <w:autoSpaceDN w:val="0"/>
        <w:adjustRightInd w:val="0"/>
        <w:spacing w:line="600" w:lineRule="auto"/>
        <w:ind w:firstLine="482"/>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附则   </w:t>
      </w:r>
    </w:p>
    <w:p w14:paraId="382EEC28">
      <w:pPr>
        <w:pStyle w:val="5"/>
        <w:keepNext w:val="0"/>
        <w:keepLines w:val="0"/>
        <w:pageBreakBefore w:val="0"/>
        <w:widowControl w:val="0"/>
        <w:shd w:val="clear"/>
        <w:kinsoku/>
        <w:wordWrap/>
        <w:overflowPunct/>
        <w:topLinePunct w:val="0"/>
        <w:autoSpaceDE/>
        <w:autoSpaceDN/>
        <w:bidi w:val="0"/>
        <w:adjustRightInd/>
        <w:snapToGrid/>
        <w:spacing w:line="480" w:lineRule="exact"/>
        <w:ind w:left="480"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1、本合同附件属于本合同不可分割部分，具有同等效力。</w:t>
      </w:r>
    </w:p>
    <w:p w14:paraId="2A777E60">
      <w:pPr>
        <w:pStyle w:val="5"/>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2、甲乙双方经协商后，可对本合同的条款进行修订、补充，并以书面形式签订补充协议，补充协议与本合同具有同等法律效力。</w:t>
      </w:r>
    </w:p>
    <w:p w14:paraId="2464B472">
      <w:pPr>
        <w:pStyle w:val="5"/>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3、合同期满，本合同自然终止。</w:t>
      </w:r>
    </w:p>
    <w:p w14:paraId="64D077AB">
      <w:pPr>
        <w:pStyle w:val="5"/>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4、本项目招标文件具有同等的法律效力。</w:t>
      </w:r>
    </w:p>
    <w:p w14:paraId="3B40C040">
      <w:pPr>
        <w:pStyle w:val="5"/>
        <w:keepNext w:val="0"/>
        <w:keepLines w:val="0"/>
        <w:pageBreakBefore w:val="0"/>
        <w:widowControl w:val="0"/>
        <w:shd w:val="clear"/>
        <w:kinsoku/>
        <w:wordWrap/>
        <w:overflowPunct/>
        <w:topLinePunct w:val="0"/>
        <w:autoSpaceDE/>
        <w:autoSpaceDN/>
        <w:bidi w:val="0"/>
        <w:adjustRightInd/>
        <w:snapToGrid/>
        <w:spacing w:line="48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5、本合同未尽事宜，甲乙双方友好协商解决，协商不成提交上虞区人民法院裁决。</w:t>
      </w:r>
    </w:p>
    <w:p w14:paraId="6F8022FC">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6、本项目货物如涉及柴油动力移动源，柴油动力移动源应当符合低排放要求</w:t>
      </w:r>
      <w:r>
        <w:rPr>
          <w:rFonts w:hint="eastAsia" w:ascii="宋体" w:hAnsi="宋体" w:cs="宋体"/>
          <w:b w:val="0"/>
          <w:bCs/>
          <w:color w:val="auto"/>
          <w:kern w:val="0"/>
          <w:sz w:val="24"/>
          <w:highlight w:val="none"/>
          <w:lang w:val="en-US" w:eastAsia="zh-CN"/>
        </w:rPr>
        <w:t>。</w:t>
      </w:r>
    </w:p>
    <w:p w14:paraId="4C5C9CFD">
      <w:pPr>
        <w:keepNext w:val="0"/>
        <w:keepLines w:val="0"/>
        <w:pageBreakBefore w:val="0"/>
        <w:widowControl w:val="0"/>
        <w:shd w:val="clea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本合同一式</w:t>
      </w:r>
      <w:r>
        <w:rPr>
          <w:rFonts w:hint="eastAsia" w:ascii="宋体" w:hAnsi="宋体" w:eastAsia="宋体" w:cs="宋体"/>
          <w:b/>
          <w:color w:val="auto"/>
          <w:kern w:val="0"/>
          <w:sz w:val="24"/>
          <w:highlight w:val="none"/>
          <w:u w:val="single"/>
        </w:rPr>
        <w:t>　</w:t>
      </w:r>
      <w:r>
        <w:rPr>
          <w:rFonts w:hint="eastAsia" w:ascii="宋体" w:hAnsi="宋体" w:cs="宋体"/>
          <w:b/>
          <w:color w:val="auto"/>
          <w:kern w:val="0"/>
          <w:sz w:val="24"/>
          <w:highlight w:val="none"/>
          <w:u w:val="single"/>
          <w:lang w:val="en-US" w:eastAsia="zh-CN"/>
        </w:rPr>
        <w:t>陆</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eastAsia="zh-CN"/>
        </w:rPr>
        <w:t>甲方</w:t>
      </w:r>
      <w:r>
        <w:rPr>
          <w:rFonts w:hint="eastAsia" w:ascii="宋体" w:hAnsi="宋体" w:eastAsia="宋体" w:cs="宋体"/>
          <w:b/>
          <w:color w:val="auto"/>
          <w:kern w:val="0"/>
          <w:sz w:val="24"/>
          <w:highlight w:val="none"/>
        </w:rPr>
        <w:t>和</w:t>
      </w:r>
      <w:r>
        <w:rPr>
          <w:rFonts w:hint="eastAsia" w:ascii="宋体" w:hAnsi="宋体" w:eastAsia="宋体" w:cs="宋体"/>
          <w:b/>
          <w:color w:val="auto"/>
          <w:kern w:val="0"/>
          <w:sz w:val="24"/>
          <w:highlight w:val="none"/>
          <w:lang w:eastAsia="zh-CN"/>
        </w:rPr>
        <w:t>乙方</w:t>
      </w:r>
      <w:r>
        <w:rPr>
          <w:rFonts w:hint="eastAsia" w:ascii="宋体" w:hAnsi="宋体" w:eastAsia="宋体" w:cs="宋体"/>
          <w:b/>
          <w:color w:val="auto"/>
          <w:kern w:val="0"/>
          <w:sz w:val="24"/>
          <w:highlight w:val="none"/>
        </w:rPr>
        <w:t>各执</w:t>
      </w:r>
      <w:r>
        <w:rPr>
          <w:rFonts w:hint="eastAsia" w:ascii="宋体" w:hAnsi="宋体" w:cs="宋体"/>
          <w:b/>
          <w:color w:val="auto"/>
          <w:kern w:val="0"/>
          <w:sz w:val="24"/>
          <w:highlight w:val="none"/>
          <w:u w:val="single"/>
          <w:lang w:val="en-US" w:eastAsia="zh-CN"/>
        </w:rPr>
        <w:t xml:space="preserve"> 叁 </w:t>
      </w:r>
      <w:r>
        <w:rPr>
          <w:rFonts w:hint="eastAsia" w:ascii="宋体" w:hAnsi="宋体" w:eastAsia="宋体" w:cs="宋体"/>
          <w:b/>
          <w:color w:val="auto"/>
          <w:kern w:val="0"/>
          <w:sz w:val="24"/>
          <w:highlight w:val="none"/>
        </w:rPr>
        <w:t>份，</w:t>
      </w:r>
      <w:r>
        <w:rPr>
          <w:rFonts w:hint="eastAsia" w:ascii="宋体" w:hAnsi="宋体" w:eastAsia="宋体" w:cs="宋体"/>
          <w:b/>
          <w:color w:val="auto"/>
          <w:kern w:val="0"/>
          <w:sz w:val="24"/>
          <w:highlight w:val="none"/>
          <w:lang w:val="en-US" w:eastAsia="zh-CN"/>
        </w:rPr>
        <w:t>并由甲方在30日内做好政采云平台网上合同创建及备案。</w:t>
      </w:r>
    </w:p>
    <w:tbl>
      <w:tblPr>
        <w:tblStyle w:val="2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7"/>
      </w:tblGrid>
      <w:tr w14:paraId="534E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383CEE32">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甲方单位</w:t>
            </w:r>
          </w:p>
        </w:tc>
        <w:tc>
          <w:tcPr>
            <w:tcW w:w="2362" w:type="dxa"/>
            <w:noWrap w:val="0"/>
            <w:vAlign w:val="center"/>
          </w:tcPr>
          <w:p w14:paraId="4762461B">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c>
          <w:tcPr>
            <w:tcW w:w="1636" w:type="dxa"/>
            <w:noWrap w:val="0"/>
            <w:vAlign w:val="center"/>
          </w:tcPr>
          <w:p w14:paraId="5E4C3D4E">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乙方单位</w:t>
            </w:r>
          </w:p>
        </w:tc>
        <w:tc>
          <w:tcPr>
            <w:tcW w:w="2727" w:type="dxa"/>
            <w:noWrap w:val="0"/>
            <w:vAlign w:val="center"/>
          </w:tcPr>
          <w:p w14:paraId="6611185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（盖章）</w:t>
            </w:r>
          </w:p>
        </w:tc>
      </w:tr>
      <w:tr w14:paraId="2200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5B08233D">
            <w:pPr>
              <w:shd w:val="clear"/>
              <w:tabs>
                <w:tab w:val="left" w:pos="525"/>
                <w:tab w:val="left" w:pos="1155"/>
                <w:tab w:val="left" w:pos="1365"/>
              </w:tabs>
              <w:adjustRightInd/>
              <w:snapToGrid/>
              <w:spacing w:line="420" w:lineRule="exact"/>
              <w:ind w:firstLine="0"/>
              <w:jc w:val="center"/>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w:t>
            </w:r>
          </w:p>
          <w:p w14:paraId="3F71BB1D">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color w:val="auto"/>
                <w:sz w:val="24"/>
                <w:szCs w:val="24"/>
                <w:highlight w:val="none"/>
                <w:lang w:val="en-GB"/>
              </w:rPr>
              <w:t>或</w:t>
            </w:r>
            <w:r>
              <w:rPr>
                <w:rFonts w:hint="eastAsia" w:ascii="宋体" w:hAnsi="宋体" w:cs="宋体"/>
                <w:color w:val="auto"/>
                <w:sz w:val="24"/>
                <w:szCs w:val="24"/>
                <w:highlight w:val="none"/>
                <w:lang w:val="en-GB" w:eastAsia="zh-CN"/>
              </w:rPr>
              <w:t>授权代表</w:t>
            </w:r>
            <w:r>
              <w:rPr>
                <w:rFonts w:hint="eastAsia" w:ascii="宋体" w:hAnsi="宋体" w:cs="宋体"/>
                <w:snapToGrid w:val="0"/>
                <w:color w:val="auto"/>
                <w:kern w:val="0"/>
                <w:sz w:val="24"/>
                <w:highlight w:val="none"/>
              </w:rPr>
              <w:t>签名</w:t>
            </w:r>
          </w:p>
        </w:tc>
        <w:tc>
          <w:tcPr>
            <w:tcW w:w="2362" w:type="dxa"/>
            <w:noWrap w:val="0"/>
            <w:vAlign w:val="center"/>
          </w:tcPr>
          <w:p w14:paraId="2746C8F5">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1C4870B4">
            <w:pPr>
              <w:keepNext w:val="0"/>
              <w:keepLines w:val="0"/>
              <w:pageBreakBefore w:val="0"/>
              <w:widowControl/>
              <w:shd w:val="clear"/>
              <w:tabs>
                <w:tab w:val="left" w:pos="525"/>
                <w:tab w:val="left" w:pos="1155"/>
                <w:tab w:val="left" w:pos="1365"/>
              </w:tabs>
              <w:kinsoku/>
              <w:wordWrap/>
              <w:overflowPunct/>
              <w:topLinePunct w:val="0"/>
              <w:bidi w:val="0"/>
              <w:snapToGrid/>
              <w:spacing w:line="42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color w:val="auto"/>
                <w:sz w:val="24"/>
                <w:szCs w:val="24"/>
                <w:highlight w:val="none"/>
                <w:lang w:val="en-GB"/>
              </w:rPr>
              <w:t>法定代表人或</w:t>
            </w:r>
            <w:r>
              <w:rPr>
                <w:rFonts w:hint="eastAsia" w:ascii="宋体" w:hAnsi="宋体" w:cs="宋体"/>
                <w:color w:val="auto"/>
                <w:sz w:val="24"/>
                <w:szCs w:val="24"/>
                <w:highlight w:val="none"/>
                <w:lang w:val="en-GB" w:eastAsia="zh-CN"/>
              </w:rPr>
              <w:t>授权代表签名</w:t>
            </w:r>
          </w:p>
        </w:tc>
        <w:tc>
          <w:tcPr>
            <w:tcW w:w="2727" w:type="dxa"/>
            <w:noWrap w:val="0"/>
            <w:vAlign w:val="center"/>
          </w:tcPr>
          <w:p w14:paraId="49E0CB7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0514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66BC8DA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362" w:type="dxa"/>
            <w:noWrap w:val="0"/>
            <w:vAlign w:val="center"/>
          </w:tcPr>
          <w:p w14:paraId="341399D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3A418DC0">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tc>
        <w:tc>
          <w:tcPr>
            <w:tcW w:w="2727" w:type="dxa"/>
            <w:noWrap w:val="0"/>
            <w:vAlign w:val="center"/>
          </w:tcPr>
          <w:p w14:paraId="3E21141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19C6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70307A88">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362" w:type="dxa"/>
            <w:noWrap w:val="0"/>
            <w:vAlign w:val="center"/>
          </w:tcPr>
          <w:p w14:paraId="197E920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427C5CDB">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tc>
        <w:tc>
          <w:tcPr>
            <w:tcW w:w="2727" w:type="dxa"/>
            <w:noWrap w:val="0"/>
            <w:vAlign w:val="center"/>
          </w:tcPr>
          <w:p w14:paraId="5C568AB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75F8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53" w:type="dxa"/>
            <w:noWrap w:val="0"/>
            <w:vAlign w:val="center"/>
          </w:tcPr>
          <w:p w14:paraId="39270BB3">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362" w:type="dxa"/>
            <w:noWrap w:val="0"/>
            <w:vAlign w:val="center"/>
          </w:tcPr>
          <w:p w14:paraId="62198DF9">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53C64927">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2727" w:type="dxa"/>
            <w:noWrap w:val="0"/>
            <w:vAlign w:val="center"/>
          </w:tcPr>
          <w:p w14:paraId="21B86FC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394D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453" w:type="dxa"/>
            <w:noWrap w:val="0"/>
            <w:vAlign w:val="center"/>
          </w:tcPr>
          <w:p w14:paraId="683D95C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账号</w:t>
            </w:r>
          </w:p>
        </w:tc>
        <w:tc>
          <w:tcPr>
            <w:tcW w:w="2362" w:type="dxa"/>
            <w:noWrap w:val="0"/>
            <w:vAlign w:val="center"/>
          </w:tcPr>
          <w:p w14:paraId="1D0CA81A">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c>
          <w:tcPr>
            <w:tcW w:w="1636" w:type="dxa"/>
            <w:noWrap w:val="0"/>
            <w:vAlign w:val="center"/>
          </w:tcPr>
          <w:p w14:paraId="3FADFD96">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账号</w:t>
            </w:r>
          </w:p>
        </w:tc>
        <w:tc>
          <w:tcPr>
            <w:tcW w:w="2727" w:type="dxa"/>
            <w:noWrap w:val="0"/>
            <w:vAlign w:val="center"/>
          </w:tcPr>
          <w:p w14:paraId="395E5284">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p>
        </w:tc>
      </w:tr>
      <w:tr w14:paraId="6490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178" w:type="dxa"/>
            <w:gridSpan w:val="4"/>
            <w:noWrap w:val="0"/>
            <w:vAlign w:val="center"/>
          </w:tcPr>
          <w:p w14:paraId="65338875">
            <w:pPr>
              <w:keepNext w:val="0"/>
              <w:keepLines w:val="0"/>
              <w:pageBreakBefore w:val="0"/>
              <w:widowControl w:val="0"/>
              <w:shd w:val="clear"/>
              <w:kinsoku/>
              <w:wordWrap/>
              <w:overflowPunct/>
              <w:topLinePunct w:val="0"/>
              <w:bidi w:val="0"/>
              <w:snapToGrid w:val="0"/>
              <w:spacing w:line="440" w:lineRule="exact"/>
              <w:jc w:val="center"/>
              <w:textAlignment w:val="auto"/>
              <w:rPr>
                <w:rFonts w:hint="eastAsia" w:ascii="宋体" w:hAnsi="宋体" w:cs="宋体"/>
                <w:snapToGrid w:val="0"/>
                <w:color w:val="auto"/>
                <w:kern w:val="0"/>
                <w:sz w:val="24"/>
                <w:highlight w:val="none"/>
              </w:rPr>
            </w:pPr>
            <w:r>
              <w:rPr>
                <w:rFonts w:hint="eastAsia" w:ascii="宋体" w:hAnsi="宋体"/>
                <w:color w:val="auto"/>
                <w:sz w:val="24"/>
                <w:szCs w:val="24"/>
                <w:highlight w:val="none"/>
                <w:lang w:val="en-GB"/>
              </w:rPr>
              <w:t>注：涉及联合体或其他合同主体的信息应按上表格式加列。</w:t>
            </w:r>
          </w:p>
        </w:tc>
      </w:tr>
    </w:tbl>
    <w:p w14:paraId="765AD2E2">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61CF5B2">
      <w:pPr>
        <w:pStyle w:val="3"/>
        <w:shd w:val="clear"/>
        <w:jc w:val="center"/>
        <w:rPr>
          <w:rFonts w:hint="eastAsia" w:ascii="宋体" w:hAnsi="宋体" w:eastAsia="宋体" w:cs="宋体"/>
          <w:color w:val="auto"/>
          <w:sz w:val="36"/>
          <w:szCs w:val="36"/>
          <w:highlight w:val="none"/>
        </w:rPr>
      </w:pPr>
      <w:bookmarkStart w:id="84" w:name="_Toc4669"/>
      <w:bookmarkStart w:id="85" w:name="_Toc7690"/>
      <w:bookmarkStart w:id="86" w:name="_Toc19237"/>
      <w:r>
        <w:rPr>
          <w:rFonts w:hint="eastAsia" w:ascii="宋体" w:hAnsi="宋体" w:eastAsia="宋体" w:cs="宋体"/>
          <w:color w:val="auto"/>
          <w:sz w:val="36"/>
          <w:szCs w:val="36"/>
          <w:highlight w:val="none"/>
        </w:rPr>
        <w:t>第六部分 应提交的有关格式范例</w:t>
      </w:r>
      <w:bookmarkEnd w:id="84"/>
      <w:bookmarkEnd w:id="85"/>
      <w:bookmarkEnd w:id="86"/>
    </w:p>
    <w:p w14:paraId="65949FDE">
      <w:pPr>
        <w:shd w:val="clear"/>
        <w:rPr>
          <w:rFonts w:hint="eastAsia" w:ascii="宋体" w:hAnsi="宋体" w:eastAsia="宋体" w:cs="宋体"/>
          <w:color w:val="auto"/>
          <w:highlight w:val="none"/>
        </w:rPr>
      </w:pPr>
    </w:p>
    <w:p w14:paraId="62EC486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6984BD30">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67AF762D">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62CF7962">
      <w:pPr>
        <w:shd w:val="clear"/>
        <w:spacing w:line="360" w:lineRule="auto"/>
        <w:jc w:val="center"/>
        <w:rPr>
          <w:rFonts w:hint="eastAsia" w:ascii="宋体" w:hAnsi="宋体" w:eastAsia="宋体" w:cs="宋体"/>
          <w:b/>
          <w:bCs/>
          <w:color w:val="auto"/>
          <w:kern w:val="0"/>
          <w:sz w:val="36"/>
          <w:szCs w:val="36"/>
          <w:highlight w:val="none"/>
        </w:rPr>
      </w:pPr>
    </w:p>
    <w:p w14:paraId="135E25D8">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6716D51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4DEE1F1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8A0A5C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FFB6E8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（3）具有履行合同所必需的产品和专业技术能力的承诺函；</w:t>
      </w:r>
    </w:p>
    <w:p w14:paraId="2C1BBD71">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5F4271B2">
      <w:pPr>
        <w:pStyle w:val="5"/>
        <w:shd w:val="clear"/>
        <w:rPr>
          <w:rFonts w:hint="eastAsia"/>
          <w:color w:val="auto"/>
          <w:highlight w:val="none"/>
          <w:lang w:eastAsia="zh-CN"/>
        </w:rPr>
      </w:pPr>
    </w:p>
    <w:p w14:paraId="18A2E626">
      <w:pPr>
        <w:pStyle w:val="10"/>
        <w:shd w:val="clear"/>
        <w:ind w:firstLine="486"/>
        <w:rPr>
          <w:rFonts w:hint="eastAsia" w:ascii="宋体" w:hAnsi="宋体" w:eastAsia="宋体" w:cs="宋体"/>
          <w:color w:val="auto"/>
          <w:highlight w:val="none"/>
        </w:rPr>
      </w:pPr>
    </w:p>
    <w:p w14:paraId="382E548E">
      <w:pPr>
        <w:pStyle w:val="10"/>
        <w:shd w:val="clear"/>
        <w:ind w:firstLine="486"/>
        <w:rPr>
          <w:rFonts w:hint="eastAsia" w:ascii="宋体" w:hAnsi="宋体" w:eastAsia="宋体" w:cs="宋体"/>
          <w:color w:val="auto"/>
          <w:highlight w:val="none"/>
        </w:rPr>
      </w:pPr>
    </w:p>
    <w:p w14:paraId="5D9E2F82">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7" w:name="_Toc24699"/>
    </w:p>
    <w:p w14:paraId="711DC41E">
      <w:pPr>
        <w:shd w:val="clear"/>
        <w:rPr>
          <w:rFonts w:hint="eastAsia" w:ascii="宋体" w:hAnsi="宋体" w:eastAsia="宋体" w:cs="宋体"/>
          <w:b/>
          <w:bCs/>
          <w:color w:val="auto"/>
          <w:highlight w:val="none"/>
        </w:rPr>
      </w:pPr>
      <w:r>
        <w:rPr>
          <w:rFonts w:hint="eastAsia" w:ascii="宋体" w:hAnsi="宋体" w:eastAsia="宋体" w:cs="宋体"/>
          <w:b/>
          <w:bCs/>
          <w:color w:val="auto"/>
          <w:highlight w:val="none"/>
        </w:rPr>
        <w:t>附件一：</w:t>
      </w:r>
    </w:p>
    <w:p w14:paraId="495C0CCF">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87"/>
    </w:p>
    <w:p w14:paraId="0C2A9AC8">
      <w:pPr>
        <w:pStyle w:val="5"/>
        <w:shd w:val="clear"/>
        <w:spacing w:line="360" w:lineRule="auto"/>
        <w:rPr>
          <w:rFonts w:hint="eastAsia" w:ascii="宋体" w:hAnsi="宋体" w:eastAsia="宋体" w:cs="宋体"/>
          <w:color w:val="auto"/>
          <w:highlight w:val="none"/>
        </w:rPr>
      </w:pPr>
    </w:p>
    <w:p w14:paraId="4EB1EE0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绍兴市上虞区市容环境卫生管理服务中心</w:t>
      </w:r>
      <w:r>
        <w:rPr>
          <w:rFonts w:hint="eastAsia" w:ascii="宋体" w:hAnsi="宋体" w:eastAsia="宋体" w:cs="宋体"/>
          <w:color w:val="auto"/>
          <w:sz w:val="24"/>
          <w:szCs w:val="24"/>
          <w:highlight w:val="none"/>
        </w:rPr>
        <w:t>：</w:t>
      </w:r>
    </w:p>
    <w:p w14:paraId="17ECD26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779B5DC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72C27D00">
      <w:pPr>
        <w:shd w:val="clear"/>
        <w:spacing w:line="360" w:lineRule="auto"/>
        <w:ind w:firstLine="480" w:firstLineChars="200"/>
        <w:rPr>
          <w:rFonts w:hint="eastAsia" w:ascii="宋体" w:hAnsi="宋体" w:eastAsia="宋体" w:cs="宋体"/>
          <w:color w:val="auto"/>
          <w:sz w:val="24"/>
          <w:szCs w:val="24"/>
          <w:highlight w:val="none"/>
        </w:rPr>
      </w:pPr>
    </w:p>
    <w:p w14:paraId="7451C3C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52BBB7A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06076DB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A39F72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607DE72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13758B1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B1F84E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A53CCB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6597E23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0466597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C52B139">
      <w:pPr>
        <w:pStyle w:val="13"/>
        <w:shd w:val="clear"/>
        <w:snapToGrid w:val="0"/>
        <w:spacing w:line="360" w:lineRule="auto"/>
        <w:rPr>
          <w:rFonts w:hint="eastAsia" w:ascii="宋体" w:hAnsi="宋体" w:eastAsia="宋体" w:cs="宋体"/>
          <w:color w:val="auto"/>
          <w:sz w:val="24"/>
          <w:szCs w:val="24"/>
          <w:highlight w:val="none"/>
        </w:rPr>
      </w:pPr>
    </w:p>
    <w:p w14:paraId="2C72A8DF">
      <w:pPr>
        <w:pStyle w:val="13"/>
        <w:shd w:val="clear"/>
        <w:snapToGrid w:val="0"/>
        <w:spacing w:line="360" w:lineRule="auto"/>
        <w:rPr>
          <w:rFonts w:hint="eastAsia" w:ascii="宋体" w:hAnsi="宋体" w:eastAsia="宋体" w:cs="宋体"/>
          <w:color w:val="auto"/>
          <w:sz w:val="24"/>
          <w:szCs w:val="24"/>
          <w:highlight w:val="none"/>
        </w:rPr>
      </w:pPr>
    </w:p>
    <w:p w14:paraId="6EC8764E">
      <w:pPr>
        <w:pStyle w:val="13"/>
        <w:shd w:val="clear"/>
        <w:snapToGrid w:val="0"/>
        <w:spacing w:line="360" w:lineRule="auto"/>
        <w:rPr>
          <w:rFonts w:hint="eastAsia" w:ascii="宋体" w:hAnsi="宋体" w:eastAsia="宋体" w:cs="宋体"/>
          <w:color w:val="auto"/>
          <w:sz w:val="24"/>
          <w:szCs w:val="24"/>
          <w:highlight w:val="none"/>
        </w:rPr>
      </w:pPr>
    </w:p>
    <w:p w14:paraId="6A51A2C4">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49256306">
      <w:pPr>
        <w:shd w:val="clear"/>
        <w:spacing w:line="360" w:lineRule="auto"/>
        <w:rPr>
          <w:rFonts w:hint="eastAsia" w:ascii="宋体" w:hAnsi="宋体" w:eastAsia="宋体" w:cs="宋体"/>
          <w:b/>
          <w:bCs/>
          <w:color w:val="auto"/>
          <w:sz w:val="24"/>
          <w:szCs w:val="24"/>
          <w:highlight w:val="none"/>
        </w:rPr>
      </w:pPr>
    </w:p>
    <w:p w14:paraId="631EF156">
      <w:pPr>
        <w:pStyle w:val="10"/>
        <w:shd w:val="clear"/>
        <w:ind w:firstLine="486"/>
        <w:rPr>
          <w:rFonts w:hint="eastAsia" w:ascii="宋体" w:hAnsi="宋体" w:eastAsia="宋体" w:cs="宋体"/>
          <w:color w:val="auto"/>
          <w:highlight w:val="none"/>
        </w:rPr>
      </w:pPr>
    </w:p>
    <w:p w14:paraId="0324AE0E">
      <w:pPr>
        <w:shd w:val="clea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4B90E822">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投 标 </w:t>
      </w:r>
      <w:r>
        <w:rPr>
          <w:rFonts w:hint="eastAsia" w:ascii="宋体" w:hAnsi="宋体" w:eastAsia="宋体" w:cs="宋体"/>
          <w:b/>
          <w:bCs/>
          <w:color w:val="auto"/>
          <w:sz w:val="32"/>
          <w:szCs w:val="32"/>
          <w:highlight w:val="none"/>
          <w:lang w:eastAsia="zh-CN"/>
        </w:rPr>
        <w:t>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42254AF6">
      <w:pPr>
        <w:pStyle w:val="20"/>
        <w:shd w:val="clear"/>
        <w:rPr>
          <w:rFonts w:hint="eastAsia" w:ascii="宋体" w:hAnsi="宋体" w:eastAsia="宋体" w:cs="宋体"/>
          <w:color w:val="auto"/>
          <w:highlight w:val="none"/>
        </w:rPr>
      </w:pPr>
    </w:p>
    <w:p w14:paraId="004F98E2">
      <w:pPr>
        <w:shd w:val="clear"/>
        <w:rPr>
          <w:rFonts w:hint="eastAsia" w:ascii="宋体" w:hAnsi="宋体" w:eastAsia="宋体" w:cs="宋体"/>
          <w:color w:val="auto"/>
          <w:highlight w:val="none"/>
        </w:rPr>
      </w:pPr>
    </w:p>
    <w:p w14:paraId="16C420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绍兴市上虞区市容环境卫生管理服务中心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3CF315C">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浙江省成套工程有限公司</w:t>
      </w:r>
      <w:r>
        <w:rPr>
          <w:rFonts w:hint="eastAsia" w:ascii="宋体" w:hAnsi="宋体" w:eastAsia="宋体" w:cs="宋体"/>
          <w:color w:val="auto"/>
          <w:sz w:val="24"/>
          <w:highlight w:val="none"/>
          <w:u w:val="single"/>
        </w:rPr>
        <w:t>：</w:t>
      </w:r>
    </w:p>
    <w:p w14:paraId="382216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4053B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5A9EAD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5A1176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385A516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23A7D5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5B20C3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76D9E5C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2621B6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1C774B28">
      <w:pPr>
        <w:pStyle w:val="59"/>
        <w:numPr>
          <w:ilvl w:val="0"/>
          <w:numId w:val="0"/>
        </w:numPr>
        <w:shd w:val="clea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36665F5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60C614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5A4E4194">
      <w:pPr>
        <w:shd w:val="clear"/>
        <w:spacing w:line="360" w:lineRule="auto"/>
        <w:ind w:firstLine="480" w:firstLineChars="200"/>
        <w:rPr>
          <w:rFonts w:hint="eastAsia" w:ascii="宋体" w:hAnsi="宋体" w:eastAsia="宋体" w:cs="宋体"/>
          <w:color w:val="auto"/>
          <w:sz w:val="24"/>
          <w:highlight w:val="none"/>
        </w:rPr>
      </w:pPr>
    </w:p>
    <w:p w14:paraId="317BD6CE">
      <w:pPr>
        <w:pStyle w:val="10"/>
        <w:shd w:val="clear"/>
        <w:rPr>
          <w:rFonts w:hint="eastAsia" w:ascii="宋体" w:hAnsi="宋体" w:eastAsia="宋体" w:cs="宋体"/>
          <w:color w:val="auto"/>
          <w:highlight w:val="none"/>
        </w:rPr>
      </w:pPr>
    </w:p>
    <w:p w14:paraId="4D64A1CD">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601586F7">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A48B06D">
      <w:pPr>
        <w:shd w:val="clea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0D8F7408">
      <w:pPr>
        <w:shd w:val="clear"/>
        <w:spacing w:line="360" w:lineRule="auto"/>
        <w:jc w:val="left"/>
        <w:rPr>
          <w:rFonts w:hint="eastAsia" w:ascii="宋体" w:hAnsi="宋体" w:eastAsia="宋体" w:cs="宋体"/>
          <w:b/>
          <w:bCs/>
          <w:color w:val="auto"/>
          <w:sz w:val="24"/>
          <w:szCs w:val="24"/>
          <w:highlight w:val="none"/>
          <w:lang w:val="zh-CN"/>
        </w:rPr>
      </w:pPr>
    </w:p>
    <w:p w14:paraId="6D807DAB">
      <w:pPr>
        <w:pStyle w:val="5"/>
        <w:shd w:val="clear"/>
        <w:rPr>
          <w:rFonts w:hint="eastAsia"/>
          <w:color w:val="auto"/>
          <w:highlight w:val="none"/>
          <w:lang w:val="zh-CN"/>
        </w:rPr>
      </w:pPr>
    </w:p>
    <w:p w14:paraId="21B2B20E">
      <w:pPr>
        <w:shd w:val="clear"/>
        <w:spacing w:line="360" w:lineRule="auto"/>
        <w:jc w:val="left"/>
        <w:rPr>
          <w:rFonts w:hint="eastAsia" w:ascii="宋体" w:hAnsi="宋体" w:eastAsia="宋体" w:cs="宋体"/>
          <w:b/>
          <w:bCs/>
          <w:color w:val="auto"/>
          <w:sz w:val="24"/>
          <w:szCs w:val="24"/>
          <w:highlight w:val="none"/>
          <w:lang w:val="zh-CN"/>
        </w:rPr>
      </w:pPr>
    </w:p>
    <w:p w14:paraId="0E79BE2F">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75712159">
      <w:pPr>
        <w:shd w:val="clear"/>
        <w:spacing w:line="360" w:lineRule="auto"/>
        <w:jc w:val="center"/>
        <w:rPr>
          <w:rFonts w:cs="Times New Roman" w:asciiTheme="minorEastAsia" w:hAnsiTheme="minorEastAsia" w:eastAsiaTheme="minorEastAsia"/>
          <w:color w:val="auto"/>
          <w:highlight w:val="none"/>
        </w:rPr>
      </w:pPr>
      <w:r>
        <w:rPr>
          <w:rFonts w:hint="eastAsia" w:ascii="宋体" w:hAnsi="宋体" w:eastAsia="宋体" w:cs="宋体"/>
          <w:b/>
          <w:bCs/>
          <w:color w:val="auto"/>
          <w:kern w:val="0"/>
          <w:sz w:val="36"/>
          <w:szCs w:val="36"/>
          <w:highlight w:val="none"/>
        </w:rPr>
        <w:t>目录</w:t>
      </w:r>
      <w:bookmarkStart w:id="88" w:name="_Toc10131"/>
    </w:p>
    <w:p w14:paraId="5EC7851A">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评分对应表（格式见附件，主要用于评委对应评分内容）</w:t>
      </w:r>
    </w:p>
    <w:p w14:paraId="1B2CE6D2">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供应商商务技术文件中资信分自评表（格式见附件）；</w:t>
      </w:r>
    </w:p>
    <w:p w14:paraId="14DC3F4E">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磋商项目明细清单（格式见附件）；</w:t>
      </w:r>
    </w:p>
    <w:p w14:paraId="7025B20B">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技术响应及建议表（格式见附件）；</w:t>
      </w:r>
    </w:p>
    <w:p w14:paraId="1F342DF6">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商务响应表（格式见附件）；</w:t>
      </w:r>
    </w:p>
    <w:p w14:paraId="2EAE4C5B">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系统演示；</w:t>
      </w:r>
    </w:p>
    <w:p w14:paraId="24EDA9D7">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项目需求分析</w:t>
      </w:r>
      <w:r>
        <w:rPr>
          <w:rFonts w:hint="eastAsia" w:cs="宋体" w:asciiTheme="minorEastAsia" w:hAnsiTheme="minorEastAsia" w:eastAsiaTheme="minorEastAsia"/>
          <w:color w:val="auto"/>
          <w:highlight w:val="none"/>
          <w:lang w:eastAsia="zh-CN"/>
        </w:rPr>
        <w:t>；</w:t>
      </w:r>
    </w:p>
    <w:p w14:paraId="0338A130">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项目整体设计方案</w:t>
      </w:r>
      <w:r>
        <w:rPr>
          <w:rFonts w:hint="eastAsia" w:cs="宋体" w:asciiTheme="minorEastAsia" w:hAnsiTheme="minorEastAsia" w:eastAsiaTheme="minorEastAsia"/>
          <w:color w:val="auto"/>
          <w:highlight w:val="none"/>
          <w:lang w:eastAsia="zh-CN"/>
        </w:rPr>
        <w:t>；</w:t>
      </w:r>
    </w:p>
    <w:p w14:paraId="386BCAC5">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系统功能方案设计</w:t>
      </w:r>
      <w:r>
        <w:rPr>
          <w:rFonts w:hint="eastAsia" w:cs="宋体" w:asciiTheme="minorEastAsia" w:hAnsiTheme="minorEastAsia" w:eastAsiaTheme="minorEastAsia"/>
          <w:color w:val="auto"/>
          <w:highlight w:val="none"/>
          <w:lang w:eastAsia="zh-CN"/>
        </w:rPr>
        <w:t>；</w:t>
      </w:r>
    </w:p>
    <w:p w14:paraId="658E7E7D">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数据整合方案</w:t>
      </w:r>
      <w:r>
        <w:rPr>
          <w:rFonts w:hint="eastAsia" w:cs="宋体" w:asciiTheme="minorEastAsia" w:hAnsiTheme="minorEastAsia" w:eastAsiaTheme="minorEastAsia"/>
          <w:color w:val="auto"/>
          <w:highlight w:val="none"/>
          <w:lang w:eastAsia="zh-CN"/>
        </w:rPr>
        <w:t>；</w:t>
      </w:r>
    </w:p>
    <w:p w14:paraId="16AB58A2">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信创设计方案</w:t>
      </w:r>
      <w:r>
        <w:rPr>
          <w:rFonts w:hint="eastAsia" w:cs="宋体" w:asciiTheme="minorEastAsia" w:hAnsiTheme="minorEastAsia" w:eastAsiaTheme="minorEastAsia"/>
          <w:color w:val="auto"/>
          <w:highlight w:val="none"/>
          <w:lang w:eastAsia="zh-CN"/>
        </w:rPr>
        <w:t>；</w:t>
      </w:r>
    </w:p>
    <w:p w14:paraId="1A729A31">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系统安全设计</w:t>
      </w:r>
      <w:r>
        <w:rPr>
          <w:rFonts w:hint="eastAsia" w:cs="宋体" w:asciiTheme="minorEastAsia" w:hAnsiTheme="minorEastAsia" w:eastAsiaTheme="minorEastAsia"/>
          <w:color w:val="auto"/>
          <w:highlight w:val="none"/>
          <w:lang w:eastAsia="zh-CN"/>
        </w:rPr>
        <w:t>；</w:t>
      </w:r>
    </w:p>
    <w:p w14:paraId="7A89CF67">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实施方案</w:t>
      </w:r>
      <w:r>
        <w:rPr>
          <w:rFonts w:hint="eastAsia" w:cs="宋体" w:asciiTheme="minorEastAsia" w:hAnsiTheme="minorEastAsia" w:eastAsiaTheme="minorEastAsia"/>
          <w:color w:val="auto"/>
          <w:highlight w:val="none"/>
          <w:lang w:eastAsia="zh-CN"/>
        </w:rPr>
        <w:t>；</w:t>
      </w:r>
    </w:p>
    <w:p w14:paraId="7DAC0FBC">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培训方案</w:t>
      </w:r>
      <w:r>
        <w:rPr>
          <w:rFonts w:hint="eastAsia" w:cs="宋体" w:asciiTheme="minorEastAsia" w:hAnsiTheme="minorEastAsia" w:eastAsiaTheme="minorEastAsia"/>
          <w:color w:val="auto"/>
          <w:highlight w:val="none"/>
          <w:lang w:eastAsia="zh-CN"/>
        </w:rPr>
        <w:t>；</w:t>
      </w:r>
    </w:p>
    <w:p w14:paraId="24381F00">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人员配置</w:t>
      </w:r>
      <w:r>
        <w:rPr>
          <w:rFonts w:hint="eastAsia" w:cs="宋体" w:asciiTheme="minorEastAsia" w:hAnsiTheme="minorEastAsia" w:eastAsiaTheme="minorEastAsia"/>
          <w:color w:val="auto"/>
          <w:highlight w:val="none"/>
          <w:lang w:eastAsia="zh-CN"/>
        </w:rPr>
        <w:t>；</w:t>
      </w:r>
    </w:p>
    <w:p w14:paraId="16C73C18">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rPr>
        <w:t>售后服务</w:t>
      </w:r>
      <w:r>
        <w:rPr>
          <w:rFonts w:hint="eastAsia" w:cs="宋体" w:asciiTheme="minorEastAsia" w:hAnsiTheme="minorEastAsia" w:eastAsiaTheme="minorEastAsia"/>
          <w:color w:val="auto"/>
          <w:highlight w:val="none"/>
          <w:lang w:eastAsia="zh-CN"/>
        </w:rPr>
        <w:t>；</w:t>
      </w:r>
    </w:p>
    <w:p w14:paraId="3BF44EB5">
      <w:pPr>
        <w:pStyle w:val="59"/>
        <w:numPr>
          <w:ilvl w:val="0"/>
          <w:numId w:val="22"/>
        </w:numPr>
        <w:shd w:val="clear"/>
        <w:spacing w:before="0" w:line="336" w:lineRule="auto"/>
        <w:ind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资质证书；</w:t>
      </w:r>
    </w:p>
    <w:p w14:paraId="7CE3B0D1">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eastAsia="zh-CN"/>
        </w:rPr>
        <w:t>团队实力；</w:t>
      </w:r>
    </w:p>
    <w:p w14:paraId="3AA3257E">
      <w:pPr>
        <w:pStyle w:val="59"/>
        <w:numPr>
          <w:ilvl w:val="0"/>
          <w:numId w:val="22"/>
        </w:numPr>
        <w:shd w:val="clear"/>
        <w:spacing w:before="0" w:line="336"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供应商认为需要的其他文件资料。</w:t>
      </w:r>
    </w:p>
    <w:p w14:paraId="57993BAA">
      <w:pPr>
        <w:shd w:val="clear"/>
        <w:snapToGrid w:val="0"/>
        <w:spacing w:before="50" w:after="50"/>
        <w:jc w:val="left"/>
        <w:rPr>
          <w:rFonts w:hint="eastAsia" w:ascii="宋体" w:hAnsi="宋体" w:eastAsia="宋体" w:cs="宋体"/>
          <w:b/>
          <w:bCs/>
          <w:color w:val="auto"/>
          <w:sz w:val="24"/>
          <w:szCs w:val="24"/>
          <w:highlight w:val="none"/>
          <w:lang w:val="zh-CN"/>
        </w:rPr>
      </w:pPr>
    </w:p>
    <w:p w14:paraId="6262C2DC">
      <w:pPr>
        <w:pStyle w:val="5"/>
        <w:shd w:val="clear"/>
        <w:rPr>
          <w:rFonts w:hint="eastAsia" w:ascii="宋体" w:hAnsi="宋体" w:eastAsia="宋体" w:cs="宋体"/>
          <w:b/>
          <w:bCs/>
          <w:color w:val="auto"/>
          <w:sz w:val="24"/>
          <w:szCs w:val="24"/>
          <w:highlight w:val="none"/>
          <w:lang w:val="zh-CN"/>
        </w:rPr>
      </w:pPr>
    </w:p>
    <w:p w14:paraId="60F6D60D">
      <w:pPr>
        <w:shd w:val="clear"/>
        <w:rPr>
          <w:rFonts w:hint="eastAsia"/>
          <w:color w:val="auto"/>
          <w:highlight w:val="none"/>
          <w:lang w:val="zh-CN"/>
        </w:rPr>
      </w:pPr>
    </w:p>
    <w:p w14:paraId="3FFD5A7B">
      <w:pPr>
        <w:pStyle w:val="2"/>
        <w:rPr>
          <w:rFonts w:hint="eastAsia"/>
          <w:color w:val="auto"/>
          <w:highlight w:val="none"/>
          <w:lang w:val="zh-CN"/>
        </w:rPr>
      </w:pPr>
    </w:p>
    <w:p w14:paraId="215E44DA">
      <w:pPr>
        <w:rPr>
          <w:rFonts w:hint="eastAsia"/>
          <w:color w:val="auto"/>
          <w:highlight w:val="none"/>
          <w:lang w:val="zh-CN"/>
        </w:rPr>
      </w:pPr>
    </w:p>
    <w:p w14:paraId="7096255B">
      <w:pPr>
        <w:pStyle w:val="2"/>
        <w:rPr>
          <w:rFonts w:hint="eastAsia"/>
          <w:color w:val="auto"/>
          <w:highlight w:val="none"/>
          <w:lang w:val="zh-CN"/>
        </w:rPr>
      </w:pPr>
    </w:p>
    <w:p w14:paraId="25B3B4AE">
      <w:pPr>
        <w:rPr>
          <w:rFonts w:hint="eastAsia"/>
          <w:color w:val="auto"/>
          <w:highlight w:val="none"/>
          <w:lang w:val="zh-CN"/>
        </w:rPr>
      </w:pPr>
    </w:p>
    <w:p w14:paraId="34FAD391">
      <w:pPr>
        <w:pStyle w:val="5"/>
        <w:shd w:val="clear"/>
        <w:rPr>
          <w:rFonts w:hint="eastAsia"/>
          <w:color w:val="auto"/>
          <w:highlight w:val="none"/>
          <w:lang w:val="zh-CN"/>
        </w:rPr>
      </w:pPr>
    </w:p>
    <w:p w14:paraId="63C8204D">
      <w:pPr>
        <w:shd w:val="clear"/>
        <w:snapToGrid w:val="0"/>
        <w:spacing w:before="50" w:after="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5DAEAE6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077C8760">
      <w:pPr>
        <w:shd w:val="clear"/>
        <w:snapToGrid w:val="0"/>
        <w:spacing w:before="50"/>
        <w:jc w:val="center"/>
        <w:rPr>
          <w:rFonts w:hint="eastAsia" w:ascii="宋体" w:hAnsi="宋体" w:eastAsia="宋体" w:cs="宋体"/>
          <w:b/>
          <w:bCs/>
          <w:color w:val="auto"/>
          <w:sz w:val="32"/>
          <w:szCs w:val="32"/>
          <w:highlight w:val="none"/>
        </w:rPr>
      </w:pPr>
    </w:p>
    <w:p w14:paraId="38C1FC2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50AB93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DC8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76DA8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19A093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1B5A481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7EB9A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46A57F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02C0FC8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AB0207D">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65AF7EB">
            <w:pPr>
              <w:shd w:val="clear"/>
              <w:jc w:val="center"/>
              <w:rPr>
                <w:rFonts w:hint="eastAsia" w:ascii="宋体" w:hAnsi="宋体" w:eastAsia="宋体" w:cs="宋体"/>
                <w:color w:val="auto"/>
                <w:sz w:val="24"/>
                <w:szCs w:val="24"/>
                <w:highlight w:val="none"/>
              </w:rPr>
            </w:pPr>
          </w:p>
        </w:tc>
      </w:tr>
      <w:tr w14:paraId="1849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C75B60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81DFB65">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B3A62B8">
            <w:pPr>
              <w:shd w:val="clear"/>
              <w:jc w:val="center"/>
              <w:rPr>
                <w:rFonts w:hint="eastAsia" w:ascii="宋体" w:hAnsi="宋体" w:eastAsia="宋体" w:cs="宋体"/>
                <w:color w:val="auto"/>
                <w:sz w:val="24"/>
                <w:szCs w:val="24"/>
                <w:highlight w:val="none"/>
              </w:rPr>
            </w:pPr>
          </w:p>
        </w:tc>
      </w:tr>
      <w:tr w14:paraId="58A42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C8723F0">
            <w:pPr>
              <w:shd w:val="clea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B2FDE8C">
            <w:pPr>
              <w:shd w:val="clea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703FD24">
            <w:pPr>
              <w:shd w:val="clear"/>
              <w:jc w:val="center"/>
              <w:rPr>
                <w:rFonts w:hint="eastAsia" w:ascii="宋体" w:hAnsi="宋体" w:eastAsia="宋体" w:cs="宋体"/>
                <w:color w:val="auto"/>
                <w:sz w:val="24"/>
                <w:szCs w:val="24"/>
                <w:highlight w:val="none"/>
              </w:rPr>
            </w:pPr>
          </w:p>
        </w:tc>
      </w:tr>
      <w:tr w14:paraId="1C559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ABD63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4C6760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528021C">
            <w:pPr>
              <w:shd w:val="clear"/>
              <w:spacing w:line="360" w:lineRule="auto"/>
              <w:ind w:firstLine="480" w:firstLineChars="200"/>
              <w:jc w:val="center"/>
              <w:rPr>
                <w:rFonts w:hint="eastAsia" w:ascii="宋体" w:hAnsi="宋体" w:eastAsia="宋体" w:cs="宋体"/>
                <w:color w:val="auto"/>
                <w:sz w:val="24"/>
                <w:szCs w:val="24"/>
                <w:highlight w:val="none"/>
              </w:rPr>
            </w:pPr>
          </w:p>
        </w:tc>
      </w:tr>
      <w:tr w14:paraId="02E8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73F978">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25DFAC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744C1E5">
            <w:pPr>
              <w:shd w:val="clear"/>
              <w:spacing w:line="360" w:lineRule="auto"/>
              <w:ind w:firstLine="480" w:firstLineChars="200"/>
              <w:jc w:val="center"/>
              <w:rPr>
                <w:rFonts w:hint="eastAsia" w:ascii="宋体" w:hAnsi="宋体" w:eastAsia="宋体" w:cs="宋体"/>
                <w:color w:val="auto"/>
                <w:sz w:val="24"/>
                <w:szCs w:val="24"/>
                <w:highlight w:val="none"/>
              </w:rPr>
            </w:pPr>
          </w:p>
        </w:tc>
      </w:tr>
      <w:tr w14:paraId="69470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BDA1CAE">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DF2C23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F4BC9E4">
            <w:pPr>
              <w:shd w:val="clear"/>
              <w:spacing w:line="360" w:lineRule="auto"/>
              <w:ind w:firstLine="480" w:firstLineChars="200"/>
              <w:jc w:val="center"/>
              <w:rPr>
                <w:rFonts w:hint="eastAsia" w:ascii="宋体" w:hAnsi="宋体" w:eastAsia="宋体" w:cs="宋体"/>
                <w:color w:val="auto"/>
                <w:sz w:val="24"/>
                <w:szCs w:val="24"/>
                <w:highlight w:val="none"/>
              </w:rPr>
            </w:pPr>
          </w:p>
        </w:tc>
      </w:tr>
      <w:tr w14:paraId="2D91E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59702F4">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D64FD43">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3E7E417">
            <w:pPr>
              <w:shd w:val="clear"/>
              <w:spacing w:line="360" w:lineRule="auto"/>
              <w:ind w:firstLine="480" w:firstLineChars="200"/>
              <w:jc w:val="center"/>
              <w:rPr>
                <w:rFonts w:hint="eastAsia" w:ascii="宋体" w:hAnsi="宋体" w:eastAsia="宋体" w:cs="宋体"/>
                <w:color w:val="auto"/>
                <w:sz w:val="24"/>
                <w:szCs w:val="24"/>
                <w:highlight w:val="none"/>
              </w:rPr>
            </w:pPr>
          </w:p>
        </w:tc>
      </w:tr>
      <w:tr w14:paraId="6A6E0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53A21C8">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80E6F03">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67D83C1">
            <w:pPr>
              <w:shd w:val="clear"/>
              <w:spacing w:line="360" w:lineRule="auto"/>
              <w:ind w:firstLine="480" w:firstLineChars="200"/>
              <w:jc w:val="center"/>
              <w:rPr>
                <w:rFonts w:hint="eastAsia" w:ascii="宋体" w:hAnsi="宋体" w:eastAsia="宋体" w:cs="宋体"/>
                <w:color w:val="auto"/>
                <w:sz w:val="24"/>
                <w:szCs w:val="24"/>
                <w:highlight w:val="none"/>
              </w:rPr>
            </w:pPr>
          </w:p>
        </w:tc>
      </w:tr>
      <w:tr w14:paraId="4E75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B5482AD">
            <w:pPr>
              <w:shd w:val="clea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0BADC61">
            <w:pPr>
              <w:shd w:val="clea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1E866D5">
            <w:pPr>
              <w:shd w:val="clear"/>
              <w:spacing w:line="360" w:lineRule="auto"/>
              <w:ind w:firstLine="480" w:firstLineChars="200"/>
              <w:jc w:val="center"/>
              <w:rPr>
                <w:rFonts w:hint="eastAsia" w:ascii="宋体" w:hAnsi="宋体" w:eastAsia="宋体" w:cs="宋体"/>
                <w:color w:val="auto"/>
                <w:sz w:val="24"/>
                <w:szCs w:val="24"/>
                <w:highlight w:val="none"/>
              </w:rPr>
            </w:pPr>
          </w:p>
        </w:tc>
      </w:tr>
    </w:tbl>
    <w:p w14:paraId="00300355">
      <w:pPr>
        <w:shd w:val="clear"/>
        <w:spacing w:line="360" w:lineRule="auto"/>
        <w:ind w:firstLine="480" w:firstLineChars="200"/>
        <w:rPr>
          <w:rFonts w:hint="eastAsia" w:ascii="宋体" w:hAnsi="宋体" w:eastAsia="宋体" w:cs="宋体"/>
          <w:color w:val="auto"/>
          <w:sz w:val="24"/>
          <w:szCs w:val="24"/>
          <w:highlight w:val="none"/>
        </w:rPr>
      </w:pPr>
    </w:p>
    <w:p w14:paraId="5DAFA52A">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668810CC">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5A68F9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C1195F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04B7FE4">
      <w:pPr>
        <w:shd w:val="clear"/>
        <w:rPr>
          <w:rFonts w:hint="eastAsia" w:ascii="宋体" w:hAnsi="宋体" w:eastAsia="宋体" w:cs="宋体"/>
          <w:color w:val="auto"/>
          <w:highlight w:val="none"/>
          <w:lang w:val="zh-CN"/>
        </w:rPr>
      </w:pPr>
    </w:p>
    <w:p w14:paraId="3D5E008A">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437FAFEC">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88"/>
    </w:p>
    <w:p w14:paraId="5200F112">
      <w:pPr>
        <w:shd w:val="clear"/>
        <w:snapToGrid w:val="0"/>
        <w:spacing w:before="50"/>
        <w:jc w:val="center"/>
        <w:rPr>
          <w:rFonts w:hint="eastAsia" w:ascii="宋体" w:hAnsi="宋体" w:eastAsia="宋体" w:cs="宋体"/>
          <w:b/>
          <w:bCs/>
          <w:color w:val="auto"/>
          <w:sz w:val="32"/>
          <w:szCs w:val="32"/>
          <w:highlight w:val="none"/>
        </w:rPr>
      </w:pPr>
    </w:p>
    <w:p w14:paraId="3D0DA95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C866FA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C225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70098E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33F19C9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4B28BFF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4F1A4F8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58ED377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1C95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215889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71874178">
            <w:pPr>
              <w:shd w:val="clear"/>
              <w:jc w:val="center"/>
              <w:rPr>
                <w:rFonts w:hint="eastAsia" w:ascii="宋体" w:hAnsi="宋体" w:eastAsia="宋体" w:cs="宋体"/>
                <w:color w:val="auto"/>
                <w:sz w:val="24"/>
                <w:szCs w:val="24"/>
                <w:highlight w:val="none"/>
              </w:rPr>
            </w:pPr>
          </w:p>
        </w:tc>
        <w:tc>
          <w:tcPr>
            <w:tcW w:w="1462" w:type="dxa"/>
          </w:tcPr>
          <w:p w14:paraId="573ECA4D">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721BAC7">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86D926F">
            <w:pPr>
              <w:shd w:val="clear"/>
              <w:jc w:val="center"/>
              <w:rPr>
                <w:rFonts w:hint="eastAsia" w:ascii="宋体" w:hAnsi="宋体" w:eastAsia="宋体" w:cs="宋体"/>
                <w:color w:val="auto"/>
                <w:sz w:val="24"/>
                <w:szCs w:val="24"/>
                <w:highlight w:val="none"/>
              </w:rPr>
            </w:pPr>
          </w:p>
        </w:tc>
      </w:tr>
      <w:tr w14:paraId="2C0E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893684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001B3673">
            <w:pPr>
              <w:shd w:val="clear"/>
              <w:jc w:val="center"/>
              <w:rPr>
                <w:rFonts w:hint="eastAsia" w:ascii="宋体" w:hAnsi="宋体" w:eastAsia="宋体" w:cs="宋体"/>
                <w:color w:val="auto"/>
                <w:sz w:val="24"/>
                <w:szCs w:val="24"/>
                <w:highlight w:val="none"/>
              </w:rPr>
            </w:pPr>
          </w:p>
        </w:tc>
        <w:tc>
          <w:tcPr>
            <w:tcW w:w="1462" w:type="dxa"/>
          </w:tcPr>
          <w:p w14:paraId="3D1D788D">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999749A">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BFB5073">
            <w:pPr>
              <w:shd w:val="clear"/>
              <w:jc w:val="center"/>
              <w:rPr>
                <w:rFonts w:hint="eastAsia" w:ascii="宋体" w:hAnsi="宋体" w:eastAsia="宋体" w:cs="宋体"/>
                <w:color w:val="auto"/>
                <w:sz w:val="24"/>
                <w:szCs w:val="24"/>
                <w:highlight w:val="none"/>
              </w:rPr>
            </w:pPr>
          </w:p>
        </w:tc>
      </w:tr>
      <w:tr w14:paraId="4D1F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6968300">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7C13D207">
            <w:pPr>
              <w:shd w:val="clear"/>
              <w:jc w:val="center"/>
              <w:rPr>
                <w:rFonts w:hint="eastAsia" w:ascii="宋体" w:hAnsi="宋体" w:eastAsia="宋体" w:cs="宋体"/>
                <w:color w:val="auto"/>
                <w:sz w:val="24"/>
                <w:szCs w:val="24"/>
                <w:highlight w:val="none"/>
              </w:rPr>
            </w:pPr>
          </w:p>
        </w:tc>
        <w:tc>
          <w:tcPr>
            <w:tcW w:w="1462" w:type="dxa"/>
          </w:tcPr>
          <w:p w14:paraId="3DA383C6">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078C380">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D4058E6">
            <w:pPr>
              <w:shd w:val="clear"/>
              <w:jc w:val="center"/>
              <w:rPr>
                <w:rFonts w:hint="eastAsia" w:ascii="宋体" w:hAnsi="宋体" w:eastAsia="宋体" w:cs="宋体"/>
                <w:color w:val="auto"/>
                <w:sz w:val="24"/>
                <w:szCs w:val="24"/>
                <w:highlight w:val="none"/>
              </w:rPr>
            </w:pPr>
          </w:p>
        </w:tc>
      </w:tr>
      <w:tr w14:paraId="3872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A3796B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78B8E251">
            <w:pPr>
              <w:shd w:val="clear"/>
              <w:jc w:val="center"/>
              <w:rPr>
                <w:rFonts w:hint="eastAsia" w:ascii="宋体" w:hAnsi="宋体" w:eastAsia="宋体" w:cs="宋体"/>
                <w:color w:val="auto"/>
                <w:sz w:val="24"/>
                <w:szCs w:val="24"/>
                <w:highlight w:val="none"/>
              </w:rPr>
            </w:pPr>
          </w:p>
        </w:tc>
        <w:tc>
          <w:tcPr>
            <w:tcW w:w="1462" w:type="dxa"/>
          </w:tcPr>
          <w:p w14:paraId="43470D2D">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3C1A68C8">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473BFFC8">
            <w:pPr>
              <w:shd w:val="clear"/>
              <w:jc w:val="center"/>
              <w:rPr>
                <w:rFonts w:hint="eastAsia" w:ascii="宋体" w:hAnsi="宋体" w:eastAsia="宋体" w:cs="宋体"/>
                <w:color w:val="auto"/>
                <w:sz w:val="24"/>
                <w:szCs w:val="24"/>
                <w:highlight w:val="none"/>
              </w:rPr>
            </w:pPr>
          </w:p>
        </w:tc>
      </w:tr>
      <w:tr w14:paraId="2705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3EDA6F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29ACF5F5">
            <w:pPr>
              <w:shd w:val="clear"/>
              <w:jc w:val="center"/>
              <w:rPr>
                <w:rFonts w:hint="eastAsia" w:ascii="宋体" w:hAnsi="宋体" w:eastAsia="宋体" w:cs="宋体"/>
                <w:color w:val="auto"/>
                <w:sz w:val="24"/>
                <w:szCs w:val="24"/>
                <w:highlight w:val="none"/>
              </w:rPr>
            </w:pPr>
          </w:p>
        </w:tc>
        <w:tc>
          <w:tcPr>
            <w:tcW w:w="1462" w:type="dxa"/>
          </w:tcPr>
          <w:p w14:paraId="1A785120">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FE48ECE">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D178FD8">
            <w:pPr>
              <w:shd w:val="clear"/>
              <w:jc w:val="center"/>
              <w:rPr>
                <w:rFonts w:hint="eastAsia" w:ascii="宋体" w:hAnsi="宋体" w:eastAsia="宋体" w:cs="宋体"/>
                <w:color w:val="auto"/>
                <w:sz w:val="24"/>
                <w:szCs w:val="24"/>
                <w:highlight w:val="none"/>
              </w:rPr>
            </w:pPr>
          </w:p>
        </w:tc>
      </w:tr>
      <w:tr w14:paraId="11763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822C5A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51B131D8">
            <w:pPr>
              <w:shd w:val="clear"/>
              <w:jc w:val="center"/>
              <w:rPr>
                <w:rFonts w:hint="eastAsia" w:ascii="宋体" w:hAnsi="宋体" w:eastAsia="宋体" w:cs="宋体"/>
                <w:color w:val="auto"/>
                <w:sz w:val="24"/>
                <w:szCs w:val="24"/>
                <w:highlight w:val="none"/>
              </w:rPr>
            </w:pPr>
          </w:p>
        </w:tc>
        <w:tc>
          <w:tcPr>
            <w:tcW w:w="1462" w:type="dxa"/>
          </w:tcPr>
          <w:p w14:paraId="1810CCDC">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B79DDAC">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7C42B6B">
            <w:pPr>
              <w:shd w:val="clear"/>
              <w:jc w:val="center"/>
              <w:rPr>
                <w:rFonts w:hint="eastAsia" w:ascii="宋体" w:hAnsi="宋体" w:eastAsia="宋体" w:cs="宋体"/>
                <w:color w:val="auto"/>
                <w:sz w:val="24"/>
                <w:szCs w:val="24"/>
                <w:highlight w:val="none"/>
              </w:rPr>
            </w:pPr>
          </w:p>
        </w:tc>
      </w:tr>
      <w:tr w14:paraId="1E85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4D0A0C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2B3D9907">
            <w:pPr>
              <w:shd w:val="clear"/>
              <w:jc w:val="center"/>
              <w:rPr>
                <w:rFonts w:hint="eastAsia" w:ascii="宋体" w:hAnsi="宋体" w:eastAsia="宋体" w:cs="宋体"/>
                <w:color w:val="auto"/>
                <w:sz w:val="24"/>
                <w:szCs w:val="24"/>
                <w:highlight w:val="none"/>
              </w:rPr>
            </w:pPr>
          </w:p>
        </w:tc>
        <w:tc>
          <w:tcPr>
            <w:tcW w:w="1462" w:type="dxa"/>
          </w:tcPr>
          <w:p w14:paraId="05B64434">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70B35D8">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B739B4D">
            <w:pPr>
              <w:shd w:val="clear"/>
              <w:jc w:val="center"/>
              <w:rPr>
                <w:rFonts w:hint="eastAsia" w:ascii="宋体" w:hAnsi="宋体" w:eastAsia="宋体" w:cs="宋体"/>
                <w:color w:val="auto"/>
                <w:sz w:val="24"/>
                <w:szCs w:val="24"/>
                <w:highlight w:val="none"/>
              </w:rPr>
            </w:pPr>
          </w:p>
        </w:tc>
      </w:tr>
      <w:tr w14:paraId="7DAD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38AC6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6CE3625F">
            <w:pPr>
              <w:shd w:val="clear"/>
              <w:jc w:val="center"/>
              <w:rPr>
                <w:rFonts w:hint="eastAsia" w:ascii="宋体" w:hAnsi="宋体" w:eastAsia="宋体" w:cs="宋体"/>
                <w:color w:val="auto"/>
                <w:sz w:val="24"/>
                <w:szCs w:val="24"/>
                <w:highlight w:val="none"/>
              </w:rPr>
            </w:pPr>
          </w:p>
        </w:tc>
        <w:tc>
          <w:tcPr>
            <w:tcW w:w="1462" w:type="dxa"/>
          </w:tcPr>
          <w:p w14:paraId="351A457B">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B781787">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0731862">
            <w:pPr>
              <w:shd w:val="clear"/>
              <w:jc w:val="center"/>
              <w:rPr>
                <w:rFonts w:hint="eastAsia" w:ascii="宋体" w:hAnsi="宋体" w:eastAsia="宋体" w:cs="宋体"/>
                <w:color w:val="auto"/>
                <w:sz w:val="24"/>
                <w:szCs w:val="24"/>
                <w:highlight w:val="none"/>
              </w:rPr>
            </w:pPr>
          </w:p>
        </w:tc>
      </w:tr>
      <w:tr w14:paraId="3808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8495271">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65F7EB22">
            <w:pPr>
              <w:shd w:val="clear"/>
              <w:jc w:val="center"/>
              <w:rPr>
                <w:rFonts w:hint="eastAsia" w:ascii="宋体" w:hAnsi="宋体" w:eastAsia="宋体" w:cs="宋体"/>
                <w:color w:val="auto"/>
                <w:sz w:val="24"/>
                <w:szCs w:val="24"/>
                <w:highlight w:val="none"/>
              </w:rPr>
            </w:pPr>
          </w:p>
        </w:tc>
        <w:tc>
          <w:tcPr>
            <w:tcW w:w="1462" w:type="dxa"/>
          </w:tcPr>
          <w:p w14:paraId="04FEE556">
            <w:pPr>
              <w:shd w:val="clea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1B12DB4A">
            <w:pPr>
              <w:shd w:val="clea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947BA68">
            <w:pPr>
              <w:shd w:val="clear"/>
              <w:jc w:val="center"/>
              <w:rPr>
                <w:rFonts w:hint="eastAsia" w:ascii="宋体" w:hAnsi="宋体" w:eastAsia="宋体" w:cs="宋体"/>
                <w:color w:val="auto"/>
                <w:sz w:val="24"/>
                <w:szCs w:val="24"/>
                <w:highlight w:val="none"/>
              </w:rPr>
            </w:pPr>
          </w:p>
        </w:tc>
      </w:tr>
    </w:tbl>
    <w:p w14:paraId="4E283396">
      <w:pPr>
        <w:shd w:val="clear"/>
        <w:spacing w:line="360" w:lineRule="auto"/>
        <w:ind w:firstLine="480" w:firstLineChars="200"/>
        <w:rPr>
          <w:rFonts w:hint="eastAsia" w:ascii="宋体" w:hAnsi="宋体" w:eastAsia="宋体" w:cs="宋体"/>
          <w:color w:val="auto"/>
          <w:sz w:val="24"/>
          <w:szCs w:val="24"/>
          <w:highlight w:val="none"/>
        </w:rPr>
      </w:pPr>
    </w:p>
    <w:p w14:paraId="0764DBB5">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28E112A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D9AFC2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0FB0B35">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98A2B94">
      <w:pPr>
        <w:shd w:val="clea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w:t>
      </w:r>
    </w:p>
    <w:p w14:paraId="1981162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00E552B5">
      <w:pPr>
        <w:shd w:val="clear"/>
        <w:spacing w:line="360" w:lineRule="auto"/>
        <w:ind w:firstLine="480" w:firstLineChars="200"/>
        <w:rPr>
          <w:rFonts w:hint="eastAsia" w:ascii="宋体" w:hAnsi="宋体" w:eastAsia="宋体" w:cs="宋体"/>
          <w:color w:val="auto"/>
          <w:sz w:val="24"/>
          <w:szCs w:val="24"/>
          <w:highlight w:val="none"/>
        </w:rPr>
      </w:pPr>
    </w:p>
    <w:p w14:paraId="1545C30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2FC700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4D20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7A29630">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79B377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BBDD61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633C01CD">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55B6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746EA8B">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B5BAD44">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FB671B4">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2C84E30A">
            <w:pPr>
              <w:shd w:val="clear"/>
              <w:snapToGrid w:val="0"/>
              <w:spacing w:before="50" w:after="50"/>
              <w:jc w:val="center"/>
              <w:rPr>
                <w:rFonts w:hint="eastAsia" w:ascii="宋体" w:hAnsi="宋体" w:eastAsia="宋体" w:cs="宋体"/>
                <w:color w:val="auto"/>
                <w:sz w:val="24"/>
                <w:szCs w:val="24"/>
                <w:highlight w:val="none"/>
              </w:rPr>
            </w:pPr>
          </w:p>
        </w:tc>
      </w:tr>
      <w:tr w14:paraId="52EE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D388F37">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B88FFFA">
            <w:pPr>
              <w:shd w:val="clea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4366091">
            <w:pPr>
              <w:shd w:val="clea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816772F">
            <w:pPr>
              <w:shd w:val="clear"/>
              <w:snapToGrid w:val="0"/>
              <w:spacing w:before="50" w:after="50"/>
              <w:jc w:val="center"/>
              <w:rPr>
                <w:rFonts w:hint="eastAsia" w:ascii="宋体" w:hAnsi="宋体" w:eastAsia="宋体" w:cs="宋体"/>
                <w:color w:val="auto"/>
                <w:sz w:val="24"/>
                <w:szCs w:val="24"/>
                <w:highlight w:val="none"/>
              </w:rPr>
            </w:pPr>
          </w:p>
        </w:tc>
      </w:tr>
    </w:tbl>
    <w:p w14:paraId="16E87E1E">
      <w:pPr>
        <w:shd w:val="clea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01799A30">
      <w:pPr>
        <w:pStyle w:val="10"/>
        <w:shd w:val="clear"/>
        <w:rPr>
          <w:rFonts w:hint="eastAsia" w:ascii="宋体" w:hAnsi="宋体" w:eastAsia="宋体" w:cs="宋体"/>
          <w:color w:val="auto"/>
          <w:highlight w:val="none"/>
        </w:rPr>
      </w:pPr>
    </w:p>
    <w:p w14:paraId="6475E526">
      <w:pPr>
        <w:pStyle w:val="10"/>
        <w:shd w:val="clear"/>
        <w:rPr>
          <w:rFonts w:hint="eastAsia" w:ascii="宋体" w:hAnsi="宋体" w:eastAsia="宋体" w:cs="宋体"/>
          <w:color w:val="auto"/>
          <w:highlight w:val="none"/>
        </w:rPr>
      </w:pPr>
    </w:p>
    <w:p w14:paraId="59DC47DE">
      <w:pPr>
        <w:pStyle w:val="10"/>
        <w:shd w:val="clear"/>
        <w:rPr>
          <w:rFonts w:hint="eastAsia" w:ascii="宋体" w:hAnsi="宋体" w:eastAsia="宋体" w:cs="宋体"/>
          <w:color w:val="auto"/>
          <w:highlight w:val="none"/>
        </w:rPr>
      </w:pPr>
    </w:p>
    <w:p w14:paraId="380D281D">
      <w:pPr>
        <w:shd w:val="clear"/>
        <w:snapToGrid w:val="0"/>
        <w:spacing w:beforeLines="50"/>
        <w:rPr>
          <w:rFonts w:hint="eastAsia" w:ascii="宋体" w:hAnsi="宋体" w:eastAsia="宋体" w:cs="宋体"/>
          <w:color w:val="auto"/>
          <w:sz w:val="24"/>
          <w:szCs w:val="24"/>
          <w:highlight w:val="none"/>
        </w:rPr>
      </w:pPr>
    </w:p>
    <w:p w14:paraId="4A71346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430391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4A5CC55">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53B100B">
      <w:pPr>
        <w:shd w:val="clear"/>
        <w:snapToGrid w:val="0"/>
        <w:spacing w:before="50" w:after="50"/>
        <w:rPr>
          <w:rFonts w:hint="eastAsia" w:ascii="宋体" w:hAnsi="宋体" w:eastAsia="宋体" w:cs="宋体"/>
          <w:color w:val="auto"/>
          <w:spacing w:val="20"/>
          <w:sz w:val="24"/>
          <w:szCs w:val="24"/>
          <w:highlight w:val="none"/>
        </w:rPr>
      </w:pPr>
    </w:p>
    <w:p w14:paraId="09611729">
      <w:pPr>
        <w:shd w:val="clear"/>
        <w:snapToGrid w:val="0"/>
        <w:spacing w:before="50" w:after="50"/>
        <w:rPr>
          <w:rFonts w:hint="eastAsia" w:ascii="宋体" w:hAnsi="宋体" w:eastAsia="宋体" w:cs="宋体"/>
          <w:color w:val="auto"/>
          <w:spacing w:val="20"/>
          <w:sz w:val="30"/>
          <w:szCs w:val="30"/>
          <w:highlight w:val="none"/>
        </w:rPr>
      </w:pPr>
    </w:p>
    <w:p w14:paraId="1BCC24B7">
      <w:pPr>
        <w:pStyle w:val="10"/>
        <w:shd w:val="clear"/>
        <w:ind w:firstLine="686"/>
        <w:rPr>
          <w:rFonts w:hint="eastAsia" w:ascii="宋体" w:hAnsi="宋体" w:eastAsia="宋体" w:cs="宋体"/>
          <w:color w:val="auto"/>
          <w:spacing w:val="20"/>
          <w:sz w:val="30"/>
          <w:szCs w:val="30"/>
          <w:highlight w:val="none"/>
        </w:rPr>
      </w:pPr>
    </w:p>
    <w:p w14:paraId="264C6285">
      <w:pPr>
        <w:pStyle w:val="10"/>
        <w:shd w:val="clear"/>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3C248CE5">
      <w:pPr>
        <w:shd w:val="clear"/>
        <w:rPr>
          <w:rFonts w:hint="eastAsia" w:ascii="宋体" w:hAnsi="宋体" w:eastAsia="宋体" w:cs="宋体"/>
          <w:b/>
          <w:bCs/>
          <w:color w:val="auto"/>
          <w:sz w:val="24"/>
          <w:szCs w:val="24"/>
          <w:highlight w:val="none"/>
        </w:rPr>
      </w:pPr>
      <w:bookmarkStart w:id="89"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p>
    <w:p w14:paraId="6250A066">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89"/>
    </w:p>
    <w:p w14:paraId="04F4BB1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469282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81C59E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579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3F63E0A">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27EB688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0576E5E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1E1F6E9D">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63AA82F5">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7B2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A3A295B">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5CAE9EC4">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2571D518">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16D8D338">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5905859E">
            <w:pPr>
              <w:shd w:val="clear"/>
              <w:snapToGrid w:val="0"/>
              <w:spacing w:before="50" w:after="50"/>
              <w:jc w:val="center"/>
              <w:rPr>
                <w:rFonts w:hint="eastAsia" w:ascii="宋体" w:hAnsi="宋体" w:eastAsia="宋体" w:cs="宋体"/>
                <w:color w:val="auto"/>
                <w:sz w:val="24"/>
                <w:szCs w:val="24"/>
                <w:highlight w:val="none"/>
              </w:rPr>
            </w:pPr>
          </w:p>
        </w:tc>
      </w:tr>
      <w:tr w14:paraId="598C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4C4BCB9">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5037060E">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2390EFC0">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26A4A963">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26A5474B">
            <w:pPr>
              <w:shd w:val="clear"/>
              <w:snapToGrid w:val="0"/>
              <w:spacing w:before="50" w:after="50"/>
              <w:jc w:val="center"/>
              <w:rPr>
                <w:rFonts w:hint="eastAsia" w:ascii="宋体" w:hAnsi="宋体" w:eastAsia="宋体" w:cs="宋体"/>
                <w:color w:val="auto"/>
                <w:sz w:val="24"/>
                <w:szCs w:val="24"/>
                <w:highlight w:val="none"/>
              </w:rPr>
            </w:pPr>
          </w:p>
        </w:tc>
      </w:tr>
      <w:tr w14:paraId="4CD8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8123A0A">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BA4733A">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0091196C">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CC8AABC">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08DAA6EC">
            <w:pPr>
              <w:shd w:val="clear"/>
              <w:snapToGrid w:val="0"/>
              <w:spacing w:before="50" w:after="50"/>
              <w:jc w:val="center"/>
              <w:rPr>
                <w:rFonts w:hint="eastAsia" w:ascii="宋体" w:hAnsi="宋体" w:eastAsia="宋体" w:cs="宋体"/>
                <w:color w:val="auto"/>
                <w:sz w:val="24"/>
                <w:szCs w:val="24"/>
                <w:highlight w:val="none"/>
              </w:rPr>
            </w:pPr>
          </w:p>
        </w:tc>
      </w:tr>
      <w:tr w14:paraId="59CF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FACB546">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761FBCC1">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0B394237">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6D3A29DE">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5876E2F8">
            <w:pPr>
              <w:shd w:val="clear"/>
              <w:snapToGrid w:val="0"/>
              <w:spacing w:before="50" w:after="50"/>
              <w:jc w:val="center"/>
              <w:rPr>
                <w:rFonts w:hint="eastAsia" w:ascii="宋体" w:hAnsi="宋体" w:eastAsia="宋体" w:cs="宋体"/>
                <w:color w:val="auto"/>
                <w:sz w:val="24"/>
                <w:szCs w:val="24"/>
                <w:highlight w:val="none"/>
              </w:rPr>
            </w:pPr>
          </w:p>
        </w:tc>
      </w:tr>
      <w:tr w14:paraId="0174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D9C3A21">
            <w:pPr>
              <w:shd w:val="clea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142E4BF3">
            <w:pPr>
              <w:shd w:val="clea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45CF9398">
            <w:pPr>
              <w:shd w:val="clea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2BD833FB">
            <w:pPr>
              <w:shd w:val="clea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296B5590">
            <w:pPr>
              <w:shd w:val="clear"/>
              <w:snapToGrid w:val="0"/>
              <w:spacing w:before="50" w:after="50"/>
              <w:jc w:val="center"/>
              <w:rPr>
                <w:rFonts w:hint="eastAsia" w:ascii="宋体" w:hAnsi="宋体" w:eastAsia="宋体" w:cs="宋体"/>
                <w:color w:val="auto"/>
                <w:sz w:val="24"/>
                <w:szCs w:val="24"/>
                <w:highlight w:val="none"/>
              </w:rPr>
            </w:pPr>
          </w:p>
        </w:tc>
      </w:tr>
      <w:tr w14:paraId="7F36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4C66AA9">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44C60194">
            <w:pPr>
              <w:shd w:val="clear"/>
              <w:spacing w:line="360" w:lineRule="auto"/>
              <w:jc w:val="center"/>
              <w:rPr>
                <w:rFonts w:hint="eastAsia" w:ascii="宋体" w:hAnsi="宋体" w:eastAsia="宋体" w:cs="宋体"/>
                <w:color w:val="auto"/>
                <w:sz w:val="24"/>
                <w:szCs w:val="24"/>
                <w:highlight w:val="none"/>
              </w:rPr>
            </w:pPr>
          </w:p>
        </w:tc>
      </w:tr>
    </w:tbl>
    <w:p w14:paraId="296917F5">
      <w:pPr>
        <w:shd w:val="clear"/>
        <w:snapToGrid w:val="0"/>
        <w:spacing w:line="360" w:lineRule="auto"/>
        <w:rPr>
          <w:rFonts w:hint="eastAsia" w:ascii="宋体" w:hAnsi="宋体" w:eastAsia="宋体" w:cs="宋体"/>
          <w:color w:val="auto"/>
          <w:sz w:val="24"/>
          <w:szCs w:val="24"/>
          <w:highlight w:val="none"/>
        </w:rPr>
      </w:pPr>
    </w:p>
    <w:p w14:paraId="58634939">
      <w:pPr>
        <w:pStyle w:val="13"/>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2987C626">
      <w:pPr>
        <w:shd w:val="clear"/>
        <w:rPr>
          <w:rFonts w:hint="eastAsia" w:ascii="宋体" w:hAnsi="宋体" w:eastAsia="宋体" w:cs="宋体"/>
          <w:color w:val="auto"/>
          <w:sz w:val="24"/>
          <w:szCs w:val="24"/>
          <w:highlight w:val="none"/>
        </w:rPr>
      </w:pPr>
    </w:p>
    <w:p w14:paraId="240C6950">
      <w:pPr>
        <w:pStyle w:val="10"/>
        <w:shd w:val="clear"/>
        <w:rPr>
          <w:rFonts w:hint="eastAsia" w:ascii="宋体" w:hAnsi="宋体" w:eastAsia="宋体" w:cs="宋体"/>
          <w:color w:val="auto"/>
          <w:highlight w:val="none"/>
        </w:rPr>
      </w:pPr>
    </w:p>
    <w:p w14:paraId="1C038B05">
      <w:pPr>
        <w:shd w:val="clear"/>
        <w:snapToGrid w:val="0"/>
        <w:spacing w:line="360" w:lineRule="auto"/>
        <w:rPr>
          <w:rFonts w:hint="eastAsia" w:ascii="宋体" w:hAnsi="宋体" w:eastAsia="宋体" w:cs="宋体"/>
          <w:color w:val="auto"/>
          <w:sz w:val="24"/>
          <w:szCs w:val="24"/>
          <w:highlight w:val="none"/>
        </w:rPr>
      </w:pPr>
    </w:p>
    <w:p w14:paraId="5435101E">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2E5B63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42FFDDA">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24D4FC4">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D14CB7">
      <w:pPr>
        <w:shd w:val="clea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69B8FA1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563F9F25">
      <w:pPr>
        <w:shd w:val="clear"/>
        <w:snapToGrid w:val="0"/>
        <w:spacing w:before="50"/>
        <w:jc w:val="center"/>
        <w:rPr>
          <w:rFonts w:hint="eastAsia" w:ascii="宋体" w:hAnsi="宋体" w:eastAsia="宋体" w:cs="宋体"/>
          <w:b/>
          <w:bCs/>
          <w:color w:val="auto"/>
          <w:sz w:val="32"/>
          <w:szCs w:val="32"/>
          <w:highlight w:val="none"/>
        </w:rPr>
      </w:pPr>
    </w:p>
    <w:p w14:paraId="21290DC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3146CE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10EF0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42765A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4231653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06F0A04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2B2063E8">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178C764D">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49548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09C5113">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095E91D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2C6793">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F5265CD">
            <w:pPr>
              <w:shd w:val="clear"/>
              <w:snapToGrid w:val="0"/>
              <w:spacing w:before="50" w:after="50"/>
              <w:jc w:val="center"/>
              <w:rPr>
                <w:rFonts w:hint="eastAsia" w:ascii="宋体" w:hAnsi="宋体" w:eastAsia="宋体" w:cs="宋体"/>
                <w:color w:val="auto"/>
                <w:sz w:val="24"/>
                <w:szCs w:val="24"/>
                <w:highlight w:val="none"/>
              </w:rPr>
            </w:pPr>
          </w:p>
        </w:tc>
      </w:tr>
      <w:tr w14:paraId="49C6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244D8D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4D01FECD">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B10552">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F216F52">
            <w:pPr>
              <w:shd w:val="clear"/>
              <w:snapToGrid w:val="0"/>
              <w:spacing w:before="50" w:after="50"/>
              <w:jc w:val="center"/>
              <w:rPr>
                <w:rFonts w:hint="eastAsia" w:ascii="宋体" w:hAnsi="宋体" w:eastAsia="宋体" w:cs="宋体"/>
                <w:color w:val="auto"/>
                <w:sz w:val="24"/>
                <w:szCs w:val="24"/>
                <w:highlight w:val="none"/>
              </w:rPr>
            </w:pPr>
          </w:p>
        </w:tc>
      </w:tr>
      <w:tr w14:paraId="71CBF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CAF1F1D">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6F3F88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29CC11">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6B0BD6E">
            <w:pPr>
              <w:shd w:val="clear"/>
              <w:snapToGrid w:val="0"/>
              <w:spacing w:before="50" w:after="50"/>
              <w:jc w:val="center"/>
              <w:rPr>
                <w:rFonts w:hint="eastAsia" w:ascii="宋体" w:hAnsi="宋体" w:eastAsia="宋体" w:cs="宋体"/>
                <w:color w:val="auto"/>
                <w:sz w:val="24"/>
                <w:szCs w:val="24"/>
                <w:highlight w:val="none"/>
              </w:rPr>
            </w:pPr>
          </w:p>
        </w:tc>
      </w:tr>
      <w:tr w14:paraId="16E56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24B342B">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1D8038E1">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68FC11">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2099F11">
            <w:pPr>
              <w:shd w:val="clear"/>
              <w:snapToGrid w:val="0"/>
              <w:spacing w:before="50" w:after="50"/>
              <w:jc w:val="center"/>
              <w:rPr>
                <w:rFonts w:hint="eastAsia" w:ascii="宋体" w:hAnsi="宋体" w:eastAsia="宋体" w:cs="宋体"/>
                <w:color w:val="auto"/>
                <w:sz w:val="24"/>
                <w:szCs w:val="24"/>
                <w:highlight w:val="none"/>
              </w:rPr>
            </w:pPr>
          </w:p>
        </w:tc>
      </w:tr>
      <w:tr w14:paraId="0A3AD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AE909EF">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61B48EEA">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835C14">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6A5C32A">
            <w:pPr>
              <w:shd w:val="clear"/>
              <w:snapToGrid w:val="0"/>
              <w:spacing w:before="50" w:after="50"/>
              <w:jc w:val="center"/>
              <w:rPr>
                <w:rFonts w:hint="eastAsia" w:ascii="宋体" w:hAnsi="宋体" w:eastAsia="宋体" w:cs="宋体"/>
                <w:color w:val="auto"/>
                <w:sz w:val="24"/>
                <w:szCs w:val="24"/>
                <w:highlight w:val="none"/>
              </w:rPr>
            </w:pPr>
          </w:p>
        </w:tc>
      </w:tr>
      <w:tr w14:paraId="27E1E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13CCA26">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1B24B580">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28E861">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B0B7E1F">
            <w:pPr>
              <w:shd w:val="clear"/>
              <w:snapToGrid w:val="0"/>
              <w:spacing w:before="50" w:after="50"/>
              <w:jc w:val="center"/>
              <w:rPr>
                <w:rFonts w:hint="eastAsia" w:ascii="宋体" w:hAnsi="宋体" w:eastAsia="宋体" w:cs="宋体"/>
                <w:color w:val="auto"/>
                <w:sz w:val="24"/>
                <w:szCs w:val="24"/>
                <w:highlight w:val="none"/>
              </w:rPr>
            </w:pPr>
          </w:p>
        </w:tc>
      </w:tr>
      <w:tr w14:paraId="73560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0415204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4D8B3EA6">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F8C0E6">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1DEC40B">
            <w:pPr>
              <w:shd w:val="clear"/>
              <w:snapToGrid w:val="0"/>
              <w:spacing w:before="50" w:after="50"/>
              <w:jc w:val="center"/>
              <w:rPr>
                <w:rFonts w:hint="eastAsia" w:ascii="宋体" w:hAnsi="宋体" w:eastAsia="宋体" w:cs="宋体"/>
                <w:color w:val="auto"/>
                <w:sz w:val="24"/>
                <w:szCs w:val="24"/>
                <w:highlight w:val="none"/>
              </w:rPr>
            </w:pPr>
          </w:p>
        </w:tc>
      </w:tr>
      <w:tr w14:paraId="099D4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89BF70E">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19EB8E07">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23645C">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F186A44">
            <w:pPr>
              <w:shd w:val="clear"/>
              <w:snapToGrid w:val="0"/>
              <w:spacing w:before="50" w:after="50"/>
              <w:jc w:val="center"/>
              <w:rPr>
                <w:rFonts w:hint="eastAsia" w:ascii="宋体" w:hAnsi="宋体" w:eastAsia="宋体" w:cs="宋体"/>
                <w:color w:val="auto"/>
                <w:sz w:val="24"/>
                <w:szCs w:val="24"/>
                <w:highlight w:val="none"/>
              </w:rPr>
            </w:pPr>
          </w:p>
        </w:tc>
      </w:tr>
      <w:tr w14:paraId="0E255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EA010D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13053909">
            <w:pPr>
              <w:shd w:val="clea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DC5960">
            <w:pPr>
              <w:shd w:val="clea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D46CB94">
            <w:pPr>
              <w:shd w:val="clear"/>
              <w:snapToGrid w:val="0"/>
              <w:spacing w:before="50" w:after="50"/>
              <w:jc w:val="center"/>
              <w:rPr>
                <w:rFonts w:hint="eastAsia" w:ascii="宋体" w:hAnsi="宋体" w:eastAsia="宋体" w:cs="宋体"/>
                <w:color w:val="auto"/>
                <w:sz w:val="24"/>
                <w:szCs w:val="24"/>
                <w:highlight w:val="none"/>
              </w:rPr>
            </w:pPr>
          </w:p>
        </w:tc>
      </w:tr>
    </w:tbl>
    <w:p w14:paraId="7B5BE27B">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20F32A6C">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011843D3">
      <w:pPr>
        <w:shd w:val="clear"/>
        <w:spacing w:line="360" w:lineRule="auto"/>
        <w:ind w:left="3780" w:leftChars="1800" w:firstLine="480" w:firstLineChars="200"/>
        <w:rPr>
          <w:rFonts w:hint="eastAsia" w:ascii="宋体" w:hAnsi="宋体" w:eastAsia="宋体" w:cs="宋体"/>
          <w:color w:val="auto"/>
          <w:sz w:val="24"/>
          <w:szCs w:val="24"/>
          <w:highlight w:val="none"/>
        </w:rPr>
      </w:pPr>
    </w:p>
    <w:p w14:paraId="0C631828">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DD8BE1D">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52FAA2C">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FB5C788">
      <w:pPr>
        <w:shd w:val="clea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58C4E2B1">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400B3AE2">
      <w:pPr>
        <w:shd w:val="clear"/>
        <w:snapToGrid w:val="0"/>
        <w:spacing w:beforeLines="50" w:after="50"/>
        <w:jc w:val="center"/>
        <w:rPr>
          <w:rFonts w:hint="eastAsia" w:ascii="宋体" w:hAnsi="宋体" w:eastAsia="宋体" w:cs="宋体"/>
          <w:b/>
          <w:bCs/>
          <w:color w:val="auto"/>
          <w:sz w:val="30"/>
          <w:szCs w:val="30"/>
          <w:highlight w:val="none"/>
        </w:rPr>
      </w:pPr>
    </w:p>
    <w:p w14:paraId="2DD23D8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678290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8A2D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6FF6C8E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C86841A">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98F4302">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1BC8140">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5F99F014">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6CC6E357">
            <w:pPr>
              <w:shd w:val="clea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1E1F8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AB49AF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AAB108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8419CE6">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D9CC7B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1EAE66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30C1E6C">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6DA49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9DC806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F56A1D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8BE11F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979522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680167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C41F2CD">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12A0B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E6343F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BB599FD">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0F3D941">
            <w:pPr>
              <w:pStyle w:val="14"/>
              <w:shd w:val="clear"/>
              <w:snapToGrid w:val="0"/>
              <w:spacing w:before="156"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3178713">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216984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5759982">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3993E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1134E9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F5AE31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72A1268">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E49D95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978D1E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197EFB4">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6760B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21FF54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4F8C10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6D25B15">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37C04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D302ECC">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4048F93">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4915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DD2199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8CE90A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5C460B1">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FDD845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582D4A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ECC3B25">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161D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8AF15F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A9C321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68C982C">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603AB02">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8AC07C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5739BA">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5E76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1568E3F">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1DEDC9A">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F3533A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A517327">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AB1C45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A0844AF">
            <w:pPr>
              <w:shd w:val="clear"/>
              <w:snapToGrid w:val="0"/>
              <w:spacing w:before="156" w:beforeLines="50" w:after="50" w:line="460" w:lineRule="exact"/>
              <w:rPr>
                <w:rFonts w:hint="eastAsia" w:ascii="宋体" w:hAnsi="宋体" w:eastAsia="宋体" w:cs="宋体"/>
                <w:color w:val="auto"/>
                <w:sz w:val="24"/>
                <w:szCs w:val="24"/>
                <w:highlight w:val="none"/>
              </w:rPr>
            </w:pPr>
          </w:p>
        </w:tc>
      </w:tr>
      <w:tr w14:paraId="79D9D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939A86B">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956D2DE">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7735B0">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455C689">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B38F114">
            <w:pPr>
              <w:shd w:val="clea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656270">
            <w:pPr>
              <w:shd w:val="clear"/>
              <w:snapToGrid w:val="0"/>
              <w:spacing w:before="156" w:beforeLines="50" w:after="50" w:line="460" w:lineRule="exact"/>
              <w:rPr>
                <w:rFonts w:hint="eastAsia" w:ascii="宋体" w:hAnsi="宋体" w:eastAsia="宋体" w:cs="宋体"/>
                <w:color w:val="auto"/>
                <w:sz w:val="24"/>
                <w:szCs w:val="24"/>
                <w:highlight w:val="none"/>
              </w:rPr>
            </w:pPr>
          </w:p>
        </w:tc>
      </w:tr>
    </w:tbl>
    <w:p w14:paraId="1A99D610">
      <w:pPr>
        <w:shd w:val="clear"/>
        <w:spacing w:line="360" w:lineRule="auto"/>
        <w:ind w:firstLine="480" w:firstLineChars="200"/>
        <w:rPr>
          <w:rFonts w:hint="eastAsia" w:ascii="宋体" w:hAnsi="宋体" w:eastAsia="宋体" w:cs="宋体"/>
          <w:color w:val="auto"/>
          <w:sz w:val="24"/>
          <w:szCs w:val="24"/>
          <w:highlight w:val="none"/>
        </w:rPr>
      </w:pPr>
    </w:p>
    <w:p w14:paraId="7AB6954B">
      <w:pPr>
        <w:shd w:val="clea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3971522C">
      <w:pPr>
        <w:pStyle w:val="10"/>
        <w:shd w:val="clear"/>
        <w:rPr>
          <w:rFonts w:hint="eastAsia" w:ascii="宋体" w:hAnsi="宋体" w:eastAsia="宋体" w:cs="宋体"/>
          <w:color w:val="auto"/>
          <w:highlight w:val="none"/>
        </w:rPr>
      </w:pPr>
    </w:p>
    <w:p w14:paraId="3E8ADAF5">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707EC3C">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99C41AB">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A7BE417">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29FBE050">
      <w:pPr>
        <w:shd w:val="clear"/>
        <w:spacing w:line="360" w:lineRule="auto"/>
        <w:jc w:val="center"/>
        <w:rPr>
          <w:rFonts w:hint="eastAsia" w:ascii="宋体" w:hAnsi="宋体" w:eastAsia="宋体" w:cs="宋体"/>
          <w:b/>
          <w:bCs/>
          <w:color w:val="auto"/>
          <w:kern w:val="0"/>
          <w:sz w:val="36"/>
          <w:szCs w:val="36"/>
          <w:highlight w:val="none"/>
        </w:rPr>
      </w:pPr>
    </w:p>
    <w:p w14:paraId="16E1BA82">
      <w:pPr>
        <w:shd w:val="clea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2495E757">
      <w:pPr>
        <w:pStyle w:val="10"/>
        <w:shd w:val="clear"/>
        <w:ind w:firstLine="723"/>
        <w:rPr>
          <w:rFonts w:hint="eastAsia" w:ascii="宋体" w:hAnsi="宋体" w:eastAsia="宋体" w:cs="宋体"/>
          <w:b/>
          <w:bCs/>
          <w:color w:val="auto"/>
          <w:kern w:val="0"/>
          <w:sz w:val="36"/>
          <w:szCs w:val="36"/>
          <w:highlight w:val="none"/>
        </w:rPr>
      </w:pPr>
    </w:p>
    <w:p w14:paraId="0A77D88C">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4F115EE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5B90BB49">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1A6F6D6F">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）中小企业声明函</w:t>
      </w:r>
      <w:r>
        <w:rPr>
          <w:rFonts w:hint="eastAsia" w:ascii="宋体" w:hAnsi="宋体" w:eastAsia="宋体" w:cs="宋体"/>
          <w:color w:val="auto"/>
          <w:kern w:val="2"/>
          <w:sz w:val="24"/>
          <w:szCs w:val="24"/>
          <w:highlight w:val="none"/>
          <w:lang w:val="en-US" w:eastAsia="zh-CN" w:bidi="ar-SA"/>
        </w:rPr>
        <w:t>(如有)</w:t>
      </w:r>
      <w:r>
        <w:rPr>
          <w:rFonts w:hint="eastAsia" w:ascii="宋体" w:hAnsi="宋体" w:eastAsia="宋体" w:cs="宋体"/>
          <w:color w:val="auto"/>
          <w:sz w:val="24"/>
          <w:szCs w:val="24"/>
          <w:highlight w:val="none"/>
          <w:lang w:eastAsia="zh-CN"/>
        </w:rPr>
        <w:t>（格式见附件）；</w:t>
      </w:r>
    </w:p>
    <w:p w14:paraId="67CB1F6C">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）残疾人福利性单位声明函(如有)（格式见附件）；</w:t>
      </w:r>
    </w:p>
    <w:p w14:paraId="611AB691">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）监狱企业证明文件(如有)（格式见附件）。</w:t>
      </w:r>
    </w:p>
    <w:p w14:paraId="6364CE12">
      <w:pPr>
        <w:shd w:val="clear"/>
        <w:spacing w:line="360" w:lineRule="auto"/>
        <w:rPr>
          <w:rFonts w:hint="eastAsia" w:ascii="宋体" w:hAnsi="宋体" w:eastAsia="宋体" w:cs="宋体"/>
          <w:color w:val="auto"/>
          <w:sz w:val="24"/>
          <w:szCs w:val="24"/>
          <w:highlight w:val="none"/>
          <w:lang w:eastAsia="zh-CN"/>
        </w:rPr>
      </w:pPr>
    </w:p>
    <w:p w14:paraId="7953398B">
      <w:pPr>
        <w:shd w:val="clear"/>
        <w:rPr>
          <w:rFonts w:hint="eastAsia" w:ascii="宋体" w:hAnsi="宋体" w:eastAsia="宋体" w:cs="宋体"/>
          <w:color w:val="auto"/>
          <w:highlight w:val="none"/>
        </w:rPr>
      </w:pPr>
    </w:p>
    <w:p w14:paraId="5505D297">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AF8C933">
      <w:pPr>
        <w:shd w:val="clear"/>
        <w:rPr>
          <w:rFonts w:hint="eastAsia" w:ascii="宋体" w:hAnsi="宋体" w:eastAsia="宋体" w:cs="宋体"/>
          <w:b/>
          <w:bCs/>
          <w:color w:val="auto"/>
          <w:highlight w:val="none"/>
          <w:lang w:val="zh-CN"/>
        </w:rPr>
      </w:pPr>
      <w:bookmarkStart w:id="90" w:name="_Toc3094"/>
      <w:r>
        <w:rPr>
          <w:rFonts w:hint="eastAsia" w:ascii="宋体" w:hAnsi="宋体" w:eastAsia="宋体" w:cs="宋体"/>
          <w:b/>
          <w:bCs/>
          <w:color w:val="auto"/>
          <w:sz w:val="24"/>
          <w:szCs w:val="24"/>
          <w:highlight w:val="none"/>
          <w:lang w:val="zh-CN"/>
        </w:rPr>
        <w:t>附件</w:t>
      </w:r>
      <w:bookmarkStart w:id="91" w:name="_Toc98731770"/>
      <w:bookmarkStart w:id="92" w:name="_Toc130094924"/>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3D8CBDFE">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90"/>
      <w:bookmarkEnd w:id="91"/>
      <w:bookmarkEnd w:id="92"/>
    </w:p>
    <w:p w14:paraId="0356C032">
      <w:pPr>
        <w:shd w:val="clear"/>
        <w:spacing w:line="360" w:lineRule="auto"/>
        <w:ind w:firstLine="480" w:firstLineChars="200"/>
        <w:rPr>
          <w:rFonts w:hint="eastAsia" w:ascii="宋体" w:hAnsi="宋体" w:eastAsia="宋体" w:cs="宋体"/>
          <w:color w:val="auto"/>
          <w:sz w:val="24"/>
          <w:szCs w:val="24"/>
          <w:highlight w:val="none"/>
          <w:u w:val="single"/>
        </w:rPr>
      </w:pPr>
    </w:p>
    <w:p w14:paraId="7598968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绍兴市上虞区市容环境卫生管理服务中心</w:t>
      </w:r>
      <w:r>
        <w:rPr>
          <w:rFonts w:hint="eastAsia" w:ascii="宋体" w:hAnsi="宋体" w:eastAsia="宋体" w:cs="宋体"/>
          <w:color w:val="auto"/>
          <w:sz w:val="24"/>
          <w:szCs w:val="24"/>
          <w:highlight w:val="none"/>
        </w:rPr>
        <w:t>：</w:t>
      </w:r>
    </w:p>
    <w:p w14:paraId="09426FC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65693318">
      <w:pPr>
        <w:shd w:val="clea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0A2C1A4">
      <w:pPr>
        <w:shd w:val="clea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w:t>
      </w:r>
    </w:p>
    <w:p w14:paraId="408A6AF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我单位同意提供按照采购人的可能要求与其投标有关的一切数据和资料，完全理解采购人不一定要接受最低价者作为成交供应商。</w:t>
      </w:r>
    </w:p>
    <w:p w14:paraId="3C7DECE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0AAD894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189E58A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0D16C23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7152F8B0">
      <w:pPr>
        <w:pStyle w:val="13"/>
        <w:shd w:val="clear"/>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B8240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71818FF3">
      <w:pPr>
        <w:shd w:val="clea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7841A4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0DE15B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73D14FC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314C102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3DECFE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E8FDB44">
      <w:pPr>
        <w:shd w:val="clear"/>
        <w:spacing w:line="360" w:lineRule="auto"/>
        <w:ind w:firstLine="5280" w:firstLineChars="2200"/>
        <w:rPr>
          <w:rFonts w:hint="eastAsia" w:ascii="宋体" w:hAnsi="宋体" w:eastAsia="宋体" w:cs="宋体"/>
          <w:color w:val="auto"/>
          <w:sz w:val="24"/>
          <w:szCs w:val="24"/>
          <w:highlight w:val="none"/>
        </w:rPr>
      </w:pPr>
    </w:p>
    <w:p w14:paraId="535A7794">
      <w:pPr>
        <w:shd w:val="clear"/>
        <w:rPr>
          <w:rFonts w:hint="eastAsia" w:ascii="宋体" w:hAnsi="宋体" w:eastAsia="宋体" w:cs="宋体"/>
          <w:color w:val="auto"/>
          <w:sz w:val="24"/>
          <w:szCs w:val="24"/>
          <w:highlight w:val="none"/>
          <w:lang w:val="zh-CN"/>
        </w:rPr>
      </w:pPr>
      <w:bookmarkStart w:id="93" w:name="_Toc12011"/>
      <w:r>
        <w:rPr>
          <w:rFonts w:hint="eastAsia" w:ascii="宋体" w:hAnsi="宋体" w:eastAsia="宋体" w:cs="宋体"/>
          <w:color w:val="auto"/>
          <w:sz w:val="24"/>
          <w:szCs w:val="24"/>
          <w:highlight w:val="none"/>
          <w:lang w:val="zh-CN"/>
        </w:rPr>
        <w:br w:type="page"/>
      </w:r>
    </w:p>
    <w:p w14:paraId="0221A6BB">
      <w:pPr>
        <w:shd w:val="clea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94" w:name="_Toc98731771"/>
      <w:bookmarkStart w:id="95" w:name="_Toc130094925"/>
      <w:r>
        <w:rPr>
          <w:rFonts w:hint="eastAsia" w:ascii="宋体" w:hAnsi="宋体" w:eastAsia="宋体" w:cs="宋体"/>
          <w:b/>
          <w:bCs/>
          <w:color w:val="auto"/>
          <w:sz w:val="24"/>
          <w:szCs w:val="24"/>
          <w:highlight w:val="none"/>
        </w:rPr>
        <w:t>十：</w:t>
      </w:r>
    </w:p>
    <w:p w14:paraId="35E6042F">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93"/>
      <w:bookmarkEnd w:id="94"/>
      <w:bookmarkEnd w:id="95"/>
    </w:p>
    <w:p w14:paraId="4DEF6EE8">
      <w:pPr>
        <w:pStyle w:val="13"/>
        <w:shd w:val="clear"/>
        <w:spacing w:line="360" w:lineRule="auto"/>
        <w:rPr>
          <w:rFonts w:hint="eastAsia" w:ascii="宋体" w:hAnsi="宋体" w:eastAsia="宋体" w:cs="宋体"/>
          <w:color w:val="auto"/>
          <w:sz w:val="24"/>
          <w:szCs w:val="24"/>
          <w:highlight w:val="none"/>
        </w:rPr>
      </w:pPr>
    </w:p>
    <w:p w14:paraId="2E93CBB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E1208A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1221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051DFB27">
            <w:pPr>
              <w:pStyle w:val="1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投标总价</w:t>
            </w:r>
          </w:p>
        </w:tc>
        <w:tc>
          <w:tcPr>
            <w:tcW w:w="6862" w:type="dxa"/>
            <w:noWrap w:val="0"/>
            <w:vAlign w:val="center"/>
          </w:tcPr>
          <w:p w14:paraId="2C0E5C90">
            <w:pPr>
              <w:pStyle w:val="1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大写：</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元（小写：</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w:t>
            </w:r>
          </w:p>
        </w:tc>
      </w:tr>
      <w:tr w14:paraId="4D31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2C6BE764">
            <w:pPr>
              <w:pStyle w:val="13"/>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投标报价应包含项目所需全部服务，不得缺漏，是履行合同的最终价格，包括</w:t>
            </w:r>
            <w:r>
              <w:rPr>
                <w:rFonts w:hint="eastAsia" w:hAnsi="宋体" w:cs="宋体"/>
                <w:b/>
                <w:bCs/>
                <w:color w:val="auto"/>
                <w:sz w:val="24"/>
                <w:szCs w:val="24"/>
                <w:highlight w:val="none"/>
                <w:lang w:eastAsia="zh-CN"/>
              </w:rPr>
              <w:t>服务内容</w:t>
            </w:r>
            <w:r>
              <w:rPr>
                <w:rFonts w:hint="eastAsia" w:ascii="宋体" w:hAnsi="宋体" w:eastAsia="宋体" w:cs="宋体"/>
                <w:b/>
                <w:bCs/>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054893A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D1E2B06">
      <w:pPr>
        <w:pStyle w:val="13"/>
        <w:shd w:val="clear"/>
        <w:spacing w:line="360" w:lineRule="auto"/>
        <w:rPr>
          <w:rFonts w:hint="eastAsia" w:ascii="宋体" w:hAnsi="宋体" w:eastAsia="宋体" w:cs="宋体"/>
          <w:color w:val="auto"/>
          <w:sz w:val="24"/>
          <w:szCs w:val="24"/>
          <w:highlight w:val="none"/>
        </w:rPr>
      </w:pPr>
    </w:p>
    <w:p w14:paraId="120F8866">
      <w:pPr>
        <w:pStyle w:val="13"/>
        <w:shd w:val="clear"/>
        <w:spacing w:line="360" w:lineRule="auto"/>
        <w:rPr>
          <w:rFonts w:hint="eastAsia" w:ascii="宋体" w:hAnsi="宋体" w:eastAsia="宋体" w:cs="宋体"/>
          <w:color w:val="auto"/>
          <w:sz w:val="24"/>
          <w:szCs w:val="24"/>
          <w:highlight w:val="none"/>
        </w:rPr>
      </w:pPr>
    </w:p>
    <w:p w14:paraId="79E55813">
      <w:pPr>
        <w:pStyle w:val="13"/>
        <w:shd w:val="clear"/>
        <w:spacing w:line="360" w:lineRule="auto"/>
        <w:rPr>
          <w:rFonts w:hint="eastAsia" w:ascii="宋体" w:hAnsi="宋体" w:eastAsia="宋体" w:cs="宋体"/>
          <w:color w:val="auto"/>
          <w:sz w:val="24"/>
          <w:szCs w:val="24"/>
          <w:highlight w:val="none"/>
        </w:rPr>
      </w:pPr>
    </w:p>
    <w:p w14:paraId="63D293F7">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4E46D1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67ED872">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3FA02DB">
      <w:pPr>
        <w:shd w:val="clear"/>
        <w:snapToGrid w:val="0"/>
        <w:spacing w:line="360" w:lineRule="auto"/>
        <w:ind w:firstLine="435"/>
        <w:rPr>
          <w:rFonts w:hint="eastAsia" w:ascii="宋体" w:hAnsi="宋体" w:eastAsia="宋体" w:cs="宋体"/>
          <w:color w:val="auto"/>
          <w:highlight w:val="none"/>
        </w:rPr>
      </w:pPr>
    </w:p>
    <w:p w14:paraId="61684595">
      <w:pPr>
        <w:shd w:val="clear"/>
        <w:snapToGrid w:val="0"/>
        <w:spacing w:line="360" w:lineRule="auto"/>
        <w:ind w:firstLine="435"/>
        <w:rPr>
          <w:rFonts w:hint="eastAsia" w:ascii="宋体" w:hAnsi="宋体" w:eastAsia="宋体" w:cs="宋体"/>
          <w:color w:val="auto"/>
          <w:highlight w:val="none"/>
        </w:rPr>
      </w:pPr>
    </w:p>
    <w:p w14:paraId="23B73DFE">
      <w:pPr>
        <w:shd w:val="clea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96" w:name="_Toc7196"/>
      <w:r>
        <w:rPr>
          <w:rFonts w:hint="eastAsia" w:ascii="宋体" w:hAnsi="宋体" w:eastAsia="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w:t>
      </w:r>
    </w:p>
    <w:p w14:paraId="6A95B5D3">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1B17FF3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12A4FA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38B4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51C297F9">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239AF147">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1927" w:type="dxa"/>
            <w:vMerge w:val="restart"/>
            <w:vAlign w:val="center"/>
          </w:tcPr>
          <w:p w14:paraId="6F3FC57A">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1065" w:type="dxa"/>
            <w:vMerge w:val="restart"/>
            <w:vAlign w:val="center"/>
          </w:tcPr>
          <w:p w14:paraId="74354399">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755" w:type="dxa"/>
            <w:vMerge w:val="restart"/>
            <w:vAlign w:val="center"/>
          </w:tcPr>
          <w:p w14:paraId="65C4F4FC">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80" w:type="dxa"/>
            <w:vMerge w:val="restart"/>
            <w:vAlign w:val="center"/>
          </w:tcPr>
          <w:p w14:paraId="3FAD94A0">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108EDE6E">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1049" w:type="dxa"/>
            <w:vMerge w:val="restart"/>
            <w:vAlign w:val="center"/>
          </w:tcPr>
          <w:p w14:paraId="04158A88">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272" w:type="dxa"/>
            <w:gridSpan w:val="2"/>
            <w:vAlign w:val="center"/>
          </w:tcPr>
          <w:p w14:paraId="71342BAF">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7C36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501691F0">
            <w:pPr>
              <w:pStyle w:val="13"/>
              <w:shd w:val="clear"/>
              <w:spacing w:line="360" w:lineRule="auto"/>
              <w:jc w:val="center"/>
              <w:rPr>
                <w:rFonts w:hint="eastAsia" w:ascii="宋体" w:hAnsi="宋体" w:eastAsia="宋体" w:cs="宋体"/>
                <w:color w:val="auto"/>
                <w:sz w:val="22"/>
                <w:szCs w:val="22"/>
                <w:highlight w:val="none"/>
              </w:rPr>
            </w:pPr>
          </w:p>
        </w:tc>
        <w:tc>
          <w:tcPr>
            <w:tcW w:w="1927" w:type="dxa"/>
            <w:vMerge w:val="continue"/>
            <w:vAlign w:val="center"/>
          </w:tcPr>
          <w:p w14:paraId="796A0A8E">
            <w:pPr>
              <w:pStyle w:val="13"/>
              <w:shd w:val="clear"/>
              <w:spacing w:line="360" w:lineRule="auto"/>
              <w:jc w:val="center"/>
              <w:rPr>
                <w:rFonts w:hint="eastAsia" w:ascii="宋体" w:hAnsi="宋体" w:eastAsia="宋体" w:cs="宋体"/>
                <w:color w:val="auto"/>
                <w:sz w:val="22"/>
                <w:szCs w:val="22"/>
                <w:highlight w:val="none"/>
              </w:rPr>
            </w:pPr>
          </w:p>
        </w:tc>
        <w:tc>
          <w:tcPr>
            <w:tcW w:w="1065" w:type="dxa"/>
            <w:vMerge w:val="continue"/>
            <w:vAlign w:val="center"/>
          </w:tcPr>
          <w:p w14:paraId="13BA90D9">
            <w:pPr>
              <w:pStyle w:val="13"/>
              <w:shd w:val="clear"/>
              <w:spacing w:line="360" w:lineRule="auto"/>
              <w:jc w:val="center"/>
              <w:rPr>
                <w:rFonts w:hint="eastAsia" w:ascii="宋体" w:hAnsi="宋体" w:eastAsia="宋体" w:cs="宋体"/>
                <w:color w:val="auto"/>
                <w:sz w:val="22"/>
                <w:szCs w:val="22"/>
                <w:highlight w:val="none"/>
              </w:rPr>
            </w:pPr>
          </w:p>
        </w:tc>
        <w:tc>
          <w:tcPr>
            <w:tcW w:w="1755" w:type="dxa"/>
            <w:vMerge w:val="continue"/>
            <w:vAlign w:val="center"/>
          </w:tcPr>
          <w:p w14:paraId="468435AD">
            <w:pPr>
              <w:pStyle w:val="13"/>
              <w:shd w:val="clear"/>
              <w:spacing w:line="360" w:lineRule="auto"/>
              <w:jc w:val="center"/>
              <w:rPr>
                <w:rFonts w:hint="eastAsia" w:ascii="宋体" w:hAnsi="宋体" w:eastAsia="宋体" w:cs="宋体"/>
                <w:color w:val="auto"/>
                <w:sz w:val="22"/>
                <w:szCs w:val="22"/>
                <w:highlight w:val="none"/>
              </w:rPr>
            </w:pPr>
          </w:p>
        </w:tc>
        <w:tc>
          <w:tcPr>
            <w:tcW w:w="480" w:type="dxa"/>
            <w:vMerge w:val="continue"/>
            <w:vAlign w:val="center"/>
          </w:tcPr>
          <w:p w14:paraId="23DC42A4">
            <w:pPr>
              <w:pStyle w:val="13"/>
              <w:shd w:val="clear"/>
              <w:spacing w:line="360" w:lineRule="auto"/>
              <w:jc w:val="center"/>
              <w:rPr>
                <w:rFonts w:hint="eastAsia" w:ascii="宋体" w:hAnsi="宋体" w:eastAsia="宋体" w:cs="宋体"/>
                <w:color w:val="auto"/>
                <w:sz w:val="22"/>
                <w:szCs w:val="22"/>
                <w:highlight w:val="none"/>
              </w:rPr>
            </w:pPr>
          </w:p>
        </w:tc>
        <w:tc>
          <w:tcPr>
            <w:tcW w:w="1049" w:type="dxa"/>
            <w:vMerge w:val="continue"/>
            <w:vAlign w:val="center"/>
          </w:tcPr>
          <w:p w14:paraId="3F5C6610">
            <w:pPr>
              <w:pStyle w:val="13"/>
              <w:shd w:val="clear"/>
              <w:spacing w:line="360" w:lineRule="auto"/>
              <w:jc w:val="center"/>
              <w:rPr>
                <w:rFonts w:hint="eastAsia" w:ascii="宋体" w:hAnsi="宋体" w:eastAsia="宋体" w:cs="宋体"/>
                <w:color w:val="auto"/>
                <w:sz w:val="22"/>
                <w:szCs w:val="22"/>
                <w:highlight w:val="none"/>
              </w:rPr>
            </w:pPr>
          </w:p>
        </w:tc>
        <w:tc>
          <w:tcPr>
            <w:tcW w:w="1148" w:type="dxa"/>
            <w:vAlign w:val="center"/>
          </w:tcPr>
          <w:p w14:paraId="2D08DC2F">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124" w:type="dxa"/>
            <w:vAlign w:val="center"/>
          </w:tcPr>
          <w:p w14:paraId="77042C1E">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5481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1AE5C5B">
            <w:pPr>
              <w:pStyle w:val="13"/>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27" w:type="dxa"/>
            <w:vAlign w:val="center"/>
          </w:tcPr>
          <w:p w14:paraId="2D92927C">
            <w:pPr>
              <w:pStyle w:val="13"/>
              <w:shd w:val="clear"/>
              <w:rPr>
                <w:rFonts w:hint="eastAsia" w:ascii="宋体" w:hAnsi="宋体" w:eastAsia="宋体" w:cs="宋体"/>
                <w:color w:val="auto"/>
                <w:sz w:val="22"/>
                <w:szCs w:val="22"/>
                <w:highlight w:val="none"/>
              </w:rPr>
            </w:pPr>
          </w:p>
        </w:tc>
        <w:tc>
          <w:tcPr>
            <w:tcW w:w="1065" w:type="dxa"/>
            <w:vAlign w:val="center"/>
          </w:tcPr>
          <w:p w14:paraId="2DECC05B">
            <w:pPr>
              <w:pStyle w:val="13"/>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6E560A21">
            <w:pPr>
              <w:pStyle w:val="13"/>
              <w:shd w:val="clear"/>
              <w:spacing w:line="360" w:lineRule="auto"/>
              <w:rPr>
                <w:rFonts w:hint="eastAsia" w:ascii="宋体" w:hAnsi="宋体" w:eastAsia="宋体" w:cs="宋体"/>
                <w:b/>
                <w:bCs/>
                <w:color w:val="auto"/>
                <w:sz w:val="22"/>
                <w:szCs w:val="22"/>
                <w:highlight w:val="none"/>
              </w:rPr>
            </w:pPr>
          </w:p>
        </w:tc>
        <w:tc>
          <w:tcPr>
            <w:tcW w:w="480" w:type="dxa"/>
            <w:vAlign w:val="center"/>
          </w:tcPr>
          <w:p w14:paraId="144875E8">
            <w:pPr>
              <w:pStyle w:val="13"/>
              <w:shd w:val="clear"/>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01A550D4">
            <w:pPr>
              <w:pStyle w:val="13"/>
              <w:shd w:val="clear"/>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4E7B89A0">
            <w:pPr>
              <w:pStyle w:val="13"/>
              <w:shd w:val="clear"/>
              <w:spacing w:line="360" w:lineRule="auto"/>
              <w:rPr>
                <w:rFonts w:hint="eastAsia" w:ascii="宋体" w:hAnsi="宋体" w:eastAsia="宋体" w:cs="宋体"/>
                <w:color w:val="auto"/>
                <w:sz w:val="22"/>
                <w:szCs w:val="22"/>
                <w:highlight w:val="none"/>
              </w:rPr>
            </w:pPr>
          </w:p>
        </w:tc>
        <w:tc>
          <w:tcPr>
            <w:tcW w:w="1124" w:type="dxa"/>
          </w:tcPr>
          <w:p w14:paraId="0AE74E6B">
            <w:pPr>
              <w:pStyle w:val="13"/>
              <w:shd w:val="clear"/>
              <w:spacing w:line="360" w:lineRule="auto"/>
              <w:rPr>
                <w:rFonts w:hint="eastAsia" w:ascii="宋体" w:hAnsi="宋体" w:eastAsia="宋体" w:cs="宋体"/>
                <w:color w:val="auto"/>
                <w:sz w:val="22"/>
                <w:szCs w:val="22"/>
                <w:highlight w:val="none"/>
              </w:rPr>
            </w:pPr>
          </w:p>
        </w:tc>
      </w:tr>
      <w:tr w14:paraId="7A18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73860DD">
            <w:pPr>
              <w:pStyle w:val="13"/>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27" w:type="dxa"/>
            <w:vAlign w:val="center"/>
          </w:tcPr>
          <w:p w14:paraId="7D295ED9">
            <w:pPr>
              <w:pStyle w:val="13"/>
              <w:shd w:val="clear"/>
              <w:rPr>
                <w:rFonts w:hint="eastAsia" w:ascii="宋体" w:hAnsi="宋体" w:eastAsia="宋体" w:cs="宋体"/>
                <w:color w:val="auto"/>
                <w:sz w:val="22"/>
                <w:szCs w:val="22"/>
                <w:highlight w:val="none"/>
              </w:rPr>
            </w:pPr>
          </w:p>
        </w:tc>
        <w:tc>
          <w:tcPr>
            <w:tcW w:w="1065" w:type="dxa"/>
            <w:vAlign w:val="center"/>
          </w:tcPr>
          <w:p w14:paraId="7EF29BAF">
            <w:pPr>
              <w:pStyle w:val="13"/>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0D410A94">
            <w:pPr>
              <w:pStyle w:val="13"/>
              <w:shd w:val="clear"/>
              <w:spacing w:line="360" w:lineRule="auto"/>
              <w:rPr>
                <w:rFonts w:hint="eastAsia" w:ascii="宋体" w:hAnsi="宋体" w:eastAsia="宋体" w:cs="宋体"/>
                <w:b/>
                <w:bCs/>
                <w:color w:val="auto"/>
                <w:sz w:val="22"/>
                <w:szCs w:val="22"/>
                <w:highlight w:val="none"/>
              </w:rPr>
            </w:pPr>
          </w:p>
        </w:tc>
        <w:tc>
          <w:tcPr>
            <w:tcW w:w="480" w:type="dxa"/>
            <w:vAlign w:val="center"/>
          </w:tcPr>
          <w:p w14:paraId="52047FF5">
            <w:pPr>
              <w:pStyle w:val="13"/>
              <w:shd w:val="clear"/>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3E573E72">
            <w:pPr>
              <w:pStyle w:val="13"/>
              <w:shd w:val="clear"/>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4B77A841">
            <w:pPr>
              <w:pStyle w:val="13"/>
              <w:shd w:val="clear"/>
              <w:spacing w:line="360" w:lineRule="auto"/>
              <w:rPr>
                <w:rFonts w:hint="eastAsia" w:ascii="宋体" w:hAnsi="宋体" w:eastAsia="宋体" w:cs="宋体"/>
                <w:color w:val="auto"/>
                <w:sz w:val="22"/>
                <w:szCs w:val="22"/>
                <w:highlight w:val="none"/>
              </w:rPr>
            </w:pPr>
          </w:p>
        </w:tc>
        <w:tc>
          <w:tcPr>
            <w:tcW w:w="1124" w:type="dxa"/>
          </w:tcPr>
          <w:p w14:paraId="1325E8CC">
            <w:pPr>
              <w:pStyle w:val="13"/>
              <w:shd w:val="clear"/>
              <w:spacing w:line="360" w:lineRule="auto"/>
              <w:rPr>
                <w:rFonts w:hint="eastAsia" w:ascii="宋体" w:hAnsi="宋体" w:eastAsia="宋体" w:cs="宋体"/>
                <w:color w:val="auto"/>
                <w:sz w:val="22"/>
                <w:szCs w:val="22"/>
                <w:highlight w:val="none"/>
              </w:rPr>
            </w:pPr>
          </w:p>
        </w:tc>
      </w:tr>
      <w:tr w14:paraId="06EB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CA689C9">
            <w:pPr>
              <w:pStyle w:val="13"/>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27" w:type="dxa"/>
            <w:vAlign w:val="center"/>
          </w:tcPr>
          <w:p w14:paraId="5A48BEBA">
            <w:pPr>
              <w:pStyle w:val="13"/>
              <w:shd w:val="clear"/>
              <w:rPr>
                <w:rFonts w:hint="eastAsia" w:ascii="宋体" w:hAnsi="宋体" w:eastAsia="宋体" w:cs="宋体"/>
                <w:color w:val="auto"/>
                <w:sz w:val="22"/>
                <w:szCs w:val="22"/>
                <w:highlight w:val="none"/>
              </w:rPr>
            </w:pPr>
          </w:p>
        </w:tc>
        <w:tc>
          <w:tcPr>
            <w:tcW w:w="1065" w:type="dxa"/>
            <w:vAlign w:val="center"/>
          </w:tcPr>
          <w:p w14:paraId="3206EC10">
            <w:pPr>
              <w:pStyle w:val="13"/>
              <w:shd w:val="clear"/>
              <w:spacing w:line="360" w:lineRule="auto"/>
              <w:rPr>
                <w:rFonts w:hint="eastAsia" w:ascii="宋体" w:hAnsi="宋体" w:eastAsia="宋体" w:cs="宋体"/>
                <w:b/>
                <w:bCs/>
                <w:color w:val="auto"/>
                <w:sz w:val="22"/>
                <w:szCs w:val="22"/>
                <w:highlight w:val="none"/>
              </w:rPr>
            </w:pPr>
          </w:p>
        </w:tc>
        <w:tc>
          <w:tcPr>
            <w:tcW w:w="1755" w:type="dxa"/>
            <w:vAlign w:val="center"/>
          </w:tcPr>
          <w:p w14:paraId="50BB54FF">
            <w:pPr>
              <w:pStyle w:val="13"/>
              <w:shd w:val="clear"/>
              <w:spacing w:line="360" w:lineRule="auto"/>
              <w:rPr>
                <w:rFonts w:hint="eastAsia" w:ascii="宋体" w:hAnsi="宋体" w:eastAsia="宋体" w:cs="宋体"/>
                <w:b/>
                <w:bCs/>
                <w:color w:val="auto"/>
                <w:sz w:val="22"/>
                <w:szCs w:val="22"/>
                <w:highlight w:val="none"/>
              </w:rPr>
            </w:pPr>
          </w:p>
        </w:tc>
        <w:tc>
          <w:tcPr>
            <w:tcW w:w="480" w:type="dxa"/>
            <w:vAlign w:val="center"/>
          </w:tcPr>
          <w:p w14:paraId="0478F386">
            <w:pPr>
              <w:pStyle w:val="13"/>
              <w:shd w:val="clear"/>
              <w:spacing w:line="360" w:lineRule="auto"/>
              <w:rPr>
                <w:rFonts w:hint="eastAsia" w:ascii="宋体" w:hAnsi="宋体" w:eastAsia="宋体" w:cs="宋体"/>
                <w:b/>
                <w:bCs/>
                <w:color w:val="auto"/>
                <w:sz w:val="22"/>
                <w:szCs w:val="22"/>
                <w:highlight w:val="none"/>
              </w:rPr>
            </w:pPr>
          </w:p>
        </w:tc>
        <w:tc>
          <w:tcPr>
            <w:tcW w:w="1049" w:type="dxa"/>
            <w:vAlign w:val="center"/>
          </w:tcPr>
          <w:p w14:paraId="34E3F2D9">
            <w:pPr>
              <w:pStyle w:val="13"/>
              <w:shd w:val="clear"/>
              <w:spacing w:line="360" w:lineRule="auto"/>
              <w:rPr>
                <w:rFonts w:hint="eastAsia" w:ascii="宋体" w:hAnsi="宋体" w:eastAsia="宋体" w:cs="宋体"/>
                <w:b/>
                <w:bCs/>
                <w:color w:val="auto"/>
                <w:sz w:val="22"/>
                <w:szCs w:val="22"/>
                <w:highlight w:val="none"/>
              </w:rPr>
            </w:pPr>
          </w:p>
        </w:tc>
        <w:tc>
          <w:tcPr>
            <w:tcW w:w="1148" w:type="dxa"/>
          </w:tcPr>
          <w:p w14:paraId="3BAD76F1">
            <w:pPr>
              <w:pStyle w:val="13"/>
              <w:shd w:val="clear"/>
              <w:spacing w:line="360" w:lineRule="auto"/>
              <w:rPr>
                <w:rFonts w:hint="eastAsia" w:ascii="宋体" w:hAnsi="宋体" w:eastAsia="宋体" w:cs="宋体"/>
                <w:color w:val="auto"/>
                <w:sz w:val="22"/>
                <w:szCs w:val="22"/>
                <w:highlight w:val="none"/>
              </w:rPr>
            </w:pPr>
          </w:p>
        </w:tc>
        <w:tc>
          <w:tcPr>
            <w:tcW w:w="1124" w:type="dxa"/>
          </w:tcPr>
          <w:p w14:paraId="70688851">
            <w:pPr>
              <w:pStyle w:val="13"/>
              <w:shd w:val="clear"/>
              <w:spacing w:line="360" w:lineRule="auto"/>
              <w:rPr>
                <w:rFonts w:hint="eastAsia" w:ascii="宋体" w:hAnsi="宋体" w:eastAsia="宋体" w:cs="宋体"/>
                <w:color w:val="auto"/>
                <w:sz w:val="22"/>
                <w:szCs w:val="22"/>
                <w:highlight w:val="none"/>
              </w:rPr>
            </w:pPr>
          </w:p>
        </w:tc>
      </w:tr>
      <w:tr w14:paraId="24DE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A921687">
            <w:pPr>
              <w:pStyle w:val="13"/>
              <w:shd w:val="clea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927" w:type="dxa"/>
            <w:vAlign w:val="center"/>
          </w:tcPr>
          <w:p w14:paraId="39DAF300">
            <w:pPr>
              <w:pStyle w:val="13"/>
              <w:shd w:val="clear"/>
              <w:rPr>
                <w:rFonts w:hint="eastAsia" w:ascii="宋体" w:hAnsi="宋体" w:eastAsia="宋体" w:cs="宋体"/>
                <w:color w:val="auto"/>
                <w:sz w:val="22"/>
                <w:szCs w:val="22"/>
                <w:highlight w:val="none"/>
              </w:rPr>
            </w:pPr>
          </w:p>
        </w:tc>
        <w:tc>
          <w:tcPr>
            <w:tcW w:w="1065" w:type="dxa"/>
            <w:vAlign w:val="center"/>
          </w:tcPr>
          <w:p w14:paraId="69871ABE">
            <w:pPr>
              <w:pStyle w:val="13"/>
              <w:shd w:val="clear"/>
              <w:spacing w:line="360" w:lineRule="auto"/>
              <w:jc w:val="center"/>
              <w:rPr>
                <w:rFonts w:hint="eastAsia" w:ascii="宋体" w:hAnsi="宋体" w:eastAsia="宋体" w:cs="宋体"/>
                <w:color w:val="auto"/>
                <w:sz w:val="22"/>
                <w:szCs w:val="22"/>
                <w:highlight w:val="none"/>
              </w:rPr>
            </w:pPr>
          </w:p>
        </w:tc>
        <w:tc>
          <w:tcPr>
            <w:tcW w:w="1755" w:type="dxa"/>
            <w:vAlign w:val="center"/>
          </w:tcPr>
          <w:p w14:paraId="523C4522">
            <w:pPr>
              <w:pStyle w:val="13"/>
              <w:shd w:val="clear"/>
              <w:spacing w:line="360" w:lineRule="auto"/>
              <w:jc w:val="center"/>
              <w:rPr>
                <w:rFonts w:hint="eastAsia" w:ascii="宋体" w:hAnsi="宋体" w:eastAsia="宋体" w:cs="宋体"/>
                <w:color w:val="auto"/>
                <w:sz w:val="22"/>
                <w:szCs w:val="22"/>
                <w:highlight w:val="none"/>
              </w:rPr>
            </w:pPr>
          </w:p>
        </w:tc>
        <w:tc>
          <w:tcPr>
            <w:tcW w:w="480" w:type="dxa"/>
            <w:vAlign w:val="center"/>
          </w:tcPr>
          <w:p w14:paraId="2A321CEF">
            <w:pPr>
              <w:pStyle w:val="13"/>
              <w:shd w:val="clear"/>
              <w:spacing w:line="360" w:lineRule="auto"/>
              <w:jc w:val="center"/>
              <w:rPr>
                <w:rFonts w:hint="eastAsia" w:ascii="宋体" w:hAnsi="宋体" w:eastAsia="宋体" w:cs="宋体"/>
                <w:color w:val="auto"/>
                <w:sz w:val="22"/>
                <w:szCs w:val="22"/>
                <w:highlight w:val="none"/>
              </w:rPr>
            </w:pPr>
          </w:p>
        </w:tc>
        <w:tc>
          <w:tcPr>
            <w:tcW w:w="1049" w:type="dxa"/>
            <w:vAlign w:val="center"/>
          </w:tcPr>
          <w:p w14:paraId="68F1C393">
            <w:pPr>
              <w:pStyle w:val="13"/>
              <w:shd w:val="clear"/>
              <w:spacing w:line="360" w:lineRule="auto"/>
              <w:jc w:val="center"/>
              <w:rPr>
                <w:rFonts w:hint="eastAsia" w:ascii="宋体" w:hAnsi="宋体" w:eastAsia="宋体" w:cs="宋体"/>
                <w:color w:val="auto"/>
                <w:sz w:val="22"/>
                <w:szCs w:val="22"/>
                <w:highlight w:val="none"/>
              </w:rPr>
            </w:pPr>
          </w:p>
        </w:tc>
        <w:tc>
          <w:tcPr>
            <w:tcW w:w="1148" w:type="dxa"/>
          </w:tcPr>
          <w:p w14:paraId="07E26DBB">
            <w:pPr>
              <w:pStyle w:val="13"/>
              <w:shd w:val="clear"/>
              <w:spacing w:line="360" w:lineRule="auto"/>
              <w:rPr>
                <w:rFonts w:hint="eastAsia" w:ascii="宋体" w:hAnsi="宋体" w:eastAsia="宋体" w:cs="宋体"/>
                <w:color w:val="auto"/>
                <w:sz w:val="22"/>
                <w:szCs w:val="22"/>
                <w:highlight w:val="none"/>
              </w:rPr>
            </w:pPr>
          </w:p>
        </w:tc>
        <w:tc>
          <w:tcPr>
            <w:tcW w:w="1124" w:type="dxa"/>
          </w:tcPr>
          <w:p w14:paraId="108F152C">
            <w:pPr>
              <w:pStyle w:val="13"/>
              <w:shd w:val="clear"/>
              <w:spacing w:line="360" w:lineRule="auto"/>
              <w:rPr>
                <w:rFonts w:hint="eastAsia" w:ascii="宋体" w:hAnsi="宋体" w:eastAsia="宋体" w:cs="宋体"/>
                <w:color w:val="auto"/>
                <w:sz w:val="22"/>
                <w:szCs w:val="22"/>
                <w:highlight w:val="none"/>
              </w:rPr>
            </w:pPr>
          </w:p>
        </w:tc>
      </w:tr>
      <w:tr w14:paraId="3FB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3CEF0E3B">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27" w:type="dxa"/>
            <w:vAlign w:val="center"/>
          </w:tcPr>
          <w:p w14:paraId="54A1BC7C">
            <w:pPr>
              <w:pStyle w:val="13"/>
              <w:shd w:val="clear"/>
              <w:spacing w:line="360" w:lineRule="auto"/>
              <w:jc w:val="center"/>
              <w:rPr>
                <w:rFonts w:hint="eastAsia" w:ascii="宋体" w:hAnsi="宋体" w:eastAsia="宋体" w:cs="宋体"/>
                <w:color w:val="auto"/>
                <w:sz w:val="22"/>
                <w:szCs w:val="22"/>
                <w:highlight w:val="none"/>
              </w:rPr>
            </w:pPr>
          </w:p>
        </w:tc>
        <w:tc>
          <w:tcPr>
            <w:tcW w:w="1065" w:type="dxa"/>
            <w:vAlign w:val="center"/>
          </w:tcPr>
          <w:p w14:paraId="582BF857">
            <w:pPr>
              <w:shd w:val="clear"/>
              <w:jc w:val="center"/>
              <w:rPr>
                <w:rFonts w:hint="eastAsia" w:ascii="宋体" w:hAnsi="宋体" w:eastAsia="宋体" w:cs="宋体"/>
                <w:b/>
                <w:bCs/>
                <w:color w:val="auto"/>
                <w:sz w:val="22"/>
                <w:szCs w:val="22"/>
                <w:highlight w:val="none"/>
              </w:rPr>
            </w:pPr>
          </w:p>
        </w:tc>
        <w:tc>
          <w:tcPr>
            <w:tcW w:w="1755" w:type="dxa"/>
            <w:vAlign w:val="center"/>
          </w:tcPr>
          <w:p w14:paraId="7382F034">
            <w:pPr>
              <w:shd w:val="clear"/>
              <w:jc w:val="center"/>
              <w:rPr>
                <w:rFonts w:hint="eastAsia" w:ascii="宋体" w:hAnsi="宋体" w:eastAsia="宋体" w:cs="宋体"/>
                <w:b/>
                <w:bCs/>
                <w:color w:val="auto"/>
                <w:sz w:val="22"/>
                <w:szCs w:val="22"/>
                <w:highlight w:val="none"/>
              </w:rPr>
            </w:pPr>
          </w:p>
        </w:tc>
        <w:tc>
          <w:tcPr>
            <w:tcW w:w="480" w:type="dxa"/>
            <w:vAlign w:val="center"/>
          </w:tcPr>
          <w:p w14:paraId="3147EE6C">
            <w:pPr>
              <w:pStyle w:val="13"/>
              <w:shd w:val="clear"/>
              <w:spacing w:line="360" w:lineRule="auto"/>
              <w:jc w:val="center"/>
              <w:rPr>
                <w:rFonts w:hint="eastAsia" w:ascii="宋体" w:hAnsi="宋体" w:eastAsia="宋体" w:cs="宋体"/>
                <w:b/>
                <w:bCs/>
                <w:color w:val="auto"/>
                <w:sz w:val="22"/>
                <w:szCs w:val="22"/>
                <w:highlight w:val="none"/>
              </w:rPr>
            </w:pPr>
          </w:p>
        </w:tc>
        <w:tc>
          <w:tcPr>
            <w:tcW w:w="1049" w:type="dxa"/>
            <w:vAlign w:val="center"/>
          </w:tcPr>
          <w:p w14:paraId="2B3261DF">
            <w:pPr>
              <w:pStyle w:val="13"/>
              <w:shd w:val="clear"/>
              <w:spacing w:line="360" w:lineRule="auto"/>
              <w:jc w:val="center"/>
              <w:rPr>
                <w:rFonts w:hint="eastAsia" w:ascii="宋体" w:hAnsi="宋体" w:eastAsia="宋体" w:cs="宋体"/>
                <w:b/>
                <w:bCs/>
                <w:color w:val="auto"/>
                <w:sz w:val="22"/>
                <w:szCs w:val="22"/>
                <w:highlight w:val="none"/>
              </w:rPr>
            </w:pPr>
          </w:p>
        </w:tc>
        <w:tc>
          <w:tcPr>
            <w:tcW w:w="1148" w:type="dxa"/>
            <w:vAlign w:val="center"/>
          </w:tcPr>
          <w:p w14:paraId="1C17EF23">
            <w:pPr>
              <w:pStyle w:val="13"/>
              <w:shd w:val="clear"/>
              <w:spacing w:line="360" w:lineRule="auto"/>
              <w:jc w:val="center"/>
              <w:rPr>
                <w:rFonts w:hint="eastAsia" w:ascii="宋体" w:hAnsi="宋体" w:eastAsia="宋体" w:cs="宋体"/>
                <w:b/>
                <w:bCs/>
                <w:color w:val="auto"/>
                <w:sz w:val="22"/>
                <w:szCs w:val="22"/>
                <w:highlight w:val="none"/>
              </w:rPr>
            </w:pPr>
          </w:p>
        </w:tc>
        <w:tc>
          <w:tcPr>
            <w:tcW w:w="1124" w:type="dxa"/>
            <w:vAlign w:val="center"/>
          </w:tcPr>
          <w:p w14:paraId="367D00C3">
            <w:pPr>
              <w:pStyle w:val="13"/>
              <w:shd w:val="clear"/>
              <w:spacing w:line="360" w:lineRule="auto"/>
              <w:jc w:val="center"/>
              <w:rPr>
                <w:rFonts w:hint="eastAsia" w:ascii="宋体" w:hAnsi="宋体" w:eastAsia="宋体" w:cs="宋体"/>
                <w:b/>
                <w:bCs/>
                <w:color w:val="auto"/>
                <w:sz w:val="22"/>
                <w:szCs w:val="22"/>
                <w:highlight w:val="none"/>
              </w:rPr>
            </w:pPr>
          </w:p>
        </w:tc>
      </w:tr>
      <w:tr w14:paraId="0274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4087B0F7">
            <w:pPr>
              <w:pStyle w:val="13"/>
              <w:shd w:val="clea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927" w:type="dxa"/>
            <w:vAlign w:val="center"/>
          </w:tcPr>
          <w:p w14:paraId="3BD11779">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065" w:type="dxa"/>
            <w:vAlign w:val="center"/>
          </w:tcPr>
          <w:p w14:paraId="649E3685">
            <w:pPr>
              <w:shd w:val="clear"/>
              <w:jc w:val="center"/>
              <w:rPr>
                <w:rFonts w:hint="eastAsia" w:ascii="宋体" w:hAnsi="宋体" w:eastAsia="宋体" w:cs="宋体"/>
                <w:color w:val="auto"/>
                <w:sz w:val="22"/>
                <w:szCs w:val="22"/>
                <w:highlight w:val="none"/>
              </w:rPr>
            </w:pPr>
          </w:p>
        </w:tc>
        <w:tc>
          <w:tcPr>
            <w:tcW w:w="1755" w:type="dxa"/>
            <w:vAlign w:val="center"/>
          </w:tcPr>
          <w:p w14:paraId="7719604D">
            <w:pPr>
              <w:shd w:val="clear"/>
              <w:jc w:val="center"/>
              <w:rPr>
                <w:rFonts w:hint="eastAsia" w:ascii="宋体" w:hAnsi="宋体" w:eastAsia="宋体" w:cs="宋体"/>
                <w:color w:val="auto"/>
                <w:sz w:val="22"/>
                <w:szCs w:val="22"/>
                <w:highlight w:val="none"/>
              </w:rPr>
            </w:pPr>
          </w:p>
        </w:tc>
        <w:tc>
          <w:tcPr>
            <w:tcW w:w="480" w:type="dxa"/>
            <w:vAlign w:val="center"/>
          </w:tcPr>
          <w:p w14:paraId="4B352324">
            <w:pPr>
              <w:pStyle w:val="13"/>
              <w:shd w:val="clear"/>
              <w:spacing w:line="360" w:lineRule="auto"/>
              <w:jc w:val="center"/>
              <w:rPr>
                <w:rFonts w:hint="eastAsia" w:ascii="宋体" w:hAnsi="宋体" w:eastAsia="宋体" w:cs="宋体"/>
                <w:color w:val="auto"/>
                <w:sz w:val="22"/>
                <w:szCs w:val="22"/>
                <w:highlight w:val="none"/>
              </w:rPr>
            </w:pPr>
          </w:p>
        </w:tc>
        <w:tc>
          <w:tcPr>
            <w:tcW w:w="1049" w:type="dxa"/>
            <w:vAlign w:val="center"/>
          </w:tcPr>
          <w:p w14:paraId="24D2F7FD">
            <w:pPr>
              <w:pStyle w:val="13"/>
              <w:shd w:val="clear"/>
              <w:spacing w:line="360" w:lineRule="auto"/>
              <w:jc w:val="center"/>
              <w:rPr>
                <w:rFonts w:hint="eastAsia" w:ascii="宋体" w:hAnsi="宋体" w:eastAsia="宋体" w:cs="宋体"/>
                <w:color w:val="auto"/>
                <w:sz w:val="22"/>
                <w:szCs w:val="22"/>
                <w:highlight w:val="none"/>
              </w:rPr>
            </w:pPr>
          </w:p>
        </w:tc>
        <w:tc>
          <w:tcPr>
            <w:tcW w:w="1148" w:type="dxa"/>
          </w:tcPr>
          <w:p w14:paraId="43AD1689">
            <w:pPr>
              <w:pStyle w:val="13"/>
              <w:shd w:val="clear"/>
              <w:spacing w:line="360" w:lineRule="auto"/>
              <w:rPr>
                <w:rFonts w:hint="eastAsia" w:ascii="宋体" w:hAnsi="宋体" w:eastAsia="宋体" w:cs="宋体"/>
                <w:color w:val="auto"/>
                <w:sz w:val="22"/>
                <w:szCs w:val="22"/>
                <w:highlight w:val="none"/>
              </w:rPr>
            </w:pPr>
          </w:p>
        </w:tc>
        <w:tc>
          <w:tcPr>
            <w:tcW w:w="1124" w:type="dxa"/>
          </w:tcPr>
          <w:p w14:paraId="1758E183">
            <w:pPr>
              <w:pStyle w:val="13"/>
              <w:shd w:val="clear"/>
              <w:spacing w:line="360" w:lineRule="auto"/>
              <w:rPr>
                <w:rFonts w:hint="eastAsia" w:ascii="宋体" w:hAnsi="宋体" w:eastAsia="宋体" w:cs="宋体"/>
                <w:color w:val="auto"/>
                <w:sz w:val="22"/>
                <w:szCs w:val="22"/>
                <w:highlight w:val="none"/>
              </w:rPr>
            </w:pPr>
          </w:p>
        </w:tc>
      </w:tr>
      <w:tr w14:paraId="1954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49B82F56">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621" w:type="dxa"/>
            <w:gridSpan w:val="6"/>
            <w:vAlign w:val="center"/>
          </w:tcPr>
          <w:p w14:paraId="7377D957">
            <w:pPr>
              <w:pStyle w:val="13"/>
              <w:shd w:val="clea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6031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157C1A49">
            <w:pPr>
              <w:pStyle w:val="13"/>
              <w:shd w:val="clear"/>
              <w:spacing w:line="360" w:lineRule="auto"/>
              <w:ind w:firstLine="48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本次报价应包含项目所需全部服务，不得缺漏，是履行合同的最终价格，包括</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5CAFA94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CF242F">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3700E0B1">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7BA4775">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66B2C50">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B2F824A">
      <w:pPr>
        <w:pStyle w:val="4"/>
        <w:shd w:val="clear"/>
        <w:rPr>
          <w:rFonts w:hint="eastAsia" w:ascii="宋体" w:hAnsi="宋体" w:eastAsia="宋体" w:cs="宋体"/>
          <w:color w:val="auto"/>
          <w:sz w:val="24"/>
          <w:szCs w:val="24"/>
          <w:highlight w:val="none"/>
        </w:rPr>
      </w:pPr>
    </w:p>
    <w:p w14:paraId="2066BFEC">
      <w:pPr>
        <w:pStyle w:val="4"/>
        <w:shd w:val="clear"/>
        <w:rPr>
          <w:rFonts w:hint="eastAsia" w:ascii="宋体" w:hAnsi="宋体" w:eastAsia="宋体" w:cs="宋体"/>
          <w:b/>
          <w:bCs/>
          <w:color w:val="auto"/>
          <w:highlight w:val="none"/>
          <w:lang w:val="zh-CN"/>
        </w:rPr>
      </w:pPr>
    </w:p>
    <w:p w14:paraId="6ACCE7B1">
      <w:pPr>
        <w:pStyle w:val="5"/>
        <w:rPr>
          <w:rFonts w:hint="eastAsia" w:ascii="宋体" w:hAnsi="宋体" w:eastAsia="宋体" w:cs="宋体"/>
          <w:b/>
          <w:bCs/>
          <w:color w:val="auto"/>
          <w:highlight w:val="none"/>
          <w:lang w:val="zh-CN"/>
        </w:rPr>
      </w:pPr>
    </w:p>
    <w:p w14:paraId="77851DC3">
      <w:pPr>
        <w:pStyle w:val="5"/>
        <w:rPr>
          <w:rFonts w:hint="eastAsia" w:ascii="宋体" w:hAnsi="宋体" w:eastAsia="宋体" w:cs="宋体"/>
          <w:b/>
          <w:bCs/>
          <w:color w:val="auto"/>
          <w:highlight w:val="none"/>
          <w:lang w:val="zh-CN"/>
        </w:rPr>
      </w:pPr>
    </w:p>
    <w:p w14:paraId="182D79D6">
      <w:pPr>
        <w:shd w:val="clea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lang w:val="zh-CN"/>
        </w:rPr>
        <w:t>：</w:t>
      </w:r>
    </w:p>
    <w:p w14:paraId="1C86159A">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285E41B5">
      <w:pPr>
        <w:shd w:val="clear"/>
        <w:spacing w:line="288"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14:paraId="66530576">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34607415">
      <w:pPr>
        <w:shd w:val="clea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207042A">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F4D6C3">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5AE76E">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450597A">
      <w:pPr>
        <w:shd w:val="clear"/>
        <w:spacing w:line="288" w:lineRule="auto"/>
        <w:ind w:right="420" w:firstLine="4320" w:firstLineChars="1800"/>
        <w:rPr>
          <w:rFonts w:hint="eastAsia" w:ascii="宋体" w:hAnsi="宋体" w:eastAsia="宋体" w:cs="宋体"/>
          <w:color w:val="auto"/>
          <w:sz w:val="24"/>
          <w:szCs w:val="24"/>
          <w:highlight w:val="none"/>
        </w:rPr>
      </w:pPr>
    </w:p>
    <w:p w14:paraId="687DBFE1">
      <w:pPr>
        <w:shd w:val="clear"/>
        <w:spacing w:line="288" w:lineRule="auto"/>
        <w:ind w:right="420" w:firstLine="4320" w:firstLineChars="1800"/>
        <w:rPr>
          <w:rFonts w:hint="eastAsia" w:ascii="宋体" w:hAnsi="宋体" w:eastAsia="宋体" w:cs="宋体"/>
          <w:color w:val="auto"/>
          <w:sz w:val="24"/>
          <w:szCs w:val="24"/>
          <w:highlight w:val="none"/>
        </w:rPr>
      </w:pPr>
    </w:p>
    <w:p w14:paraId="48D68A24">
      <w:pPr>
        <w:shd w:val="clea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2A6FCB4">
      <w:pPr>
        <w:shd w:val="clea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FD4FCBE">
      <w:pPr>
        <w:pStyle w:val="5"/>
        <w:shd w:val="clear"/>
        <w:spacing w:line="288" w:lineRule="auto"/>
        <w:rPr>
          <w:rFonts w:hint="eastAsia" w:ascii="宋体" w:hAnsi="宋体" w:eastAsia="宋体" w:cs="宋体"/>
          <w:color w:val="auto"/>
          <w:sz w:val="24"/>
          <w:szCs w:val="24"/>
          <w:highlight w:val="none"/>
        </w:rPr>
      </w:pPr>
    </w:p>
    <w:p w14:paraId="4C34373B">
      <w:pPr>
        <w:shd w:val="clear"/>
        <w:spacing w:line="288" w:lineRule="auto"/>
        <w:ind w:firstLine="480" w:firstLineChars="200"/>
        <w:jc w:val="left"/>
        <w:rPr>
          <w:rFonts w:hint="eastAsia" w:ascii="宋体" w:hAnsi="宋体" w:eastAsia="宋体" w:cs="宋体"/>
          <w:color w:val="auto"/>
          <w:sz w:val="24"/>
          <w:szCs w:val="24"/>
          <w:highlight w:val="none"/>
        </w:rPr>
      </w:pPr>
    </w:p>
    <w:p w14:paraId="07F2829E">
      <w:pPr>
        <w:shd w:val="clear"/>
        <w:spacing w:line="288" w:lineRule="auto"/>
        <w:ind w:firstLine="480" w:firstLineChars="200"/>
        <w:jc w:val="left"/>
        <w:rPr>
          <w:rFonts w:hint="eastAsia" w:ascii="宋体" w:hAnsi="宋体" w:eastAsia="宋体" w:cs="宋体"/>
          <w:color w:val="auto"/>
          <w:sz w:val="24"/>
          <w:szCs w:val="24"/>
          <w:highlight w:val="none"/>
        </w:rPr>
      </w:pPr>
    </w:p>
    <w:p w14:paraId="7D25D93B">
      <w:pPr>
        <w:shd w:val="clear"/>
        <w:spacing w:line="288" w:lineRule="auto"/>
        <w:ind w:firstLine="480" w:firstLineChars="200"/>
        <w:jc w:val="left"/>
        <w:rPr>
          <w:rFonts w:hint="eastAsia" w:ascii="宋体" w:hAnsi="宋体" w:eastAsia="宋体" w:cs="宋体"/>
          <w:color w:val="auto"/>
          <w:sz w:val="24"/>
          <w:szCs w:val="24"/>
          <w:highlight w:val="none"/>
        </w:rPr>
      </w:pPr>
    </w:p>
    <w:p w14:paraId="29BF421A">
      <w:pPr>
        <w:shd w:val="clea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7986DAA">
      <w:pPr>
        <w:widowControl/>
        <w:shd w:val="clear"/>
        <w:snapToGrid w:val="0"/>
        <w:spacing w:line="324" w:lineRule="auto"/>
        <w:ind w:firstLine="480" w:firstLineChars="200"/>
        <w:jc w:val="left"/>
        <w:rPr>
          <w:rFonts w:hint="eastAsia" w:ascii="宋体" w:hAnsi="宋体" w:eastAsia="宋体" w:cs="宋体"/>
          <w:color w:val="auto"/>
          <w:sz w:val="24"/>
          <w:szCs w:val="24"/>
          <w:highlight w:val="none"/>
        </w:rPr>
      </w:pPr>
    </w:p>
    <w:p w14:paraId="05F48312">
      <w:pPr>
        <w:pStyle w:val="4"/>
        <w:shd w:val="clear"/>
        <w:spacing w:line="360" w:lineRule="auto"/>
        <w:jc w:val="center"/>
        <w:rPr>
          <w:rFonts w:hint="eastAsia" w:ascii="宋体" w:hAnsi="宋体" w:eastAsia="宋体" w:cs="宋体"/>
          <w:color w:val="auto"/>
          <w:sz w:val="24"/>
          <w:szCs w:val="24"/>
          <w:highlight w:val="none"/>
        </w:rPr>
      </w:pPr>
    </w:p>
    <w:p w14:paraId="2B32E89B">
      <w:pPr>
        <w:pStyle w:val="4"/>
        <w:shd w:val="clear"/>
        <w:spacing w:line="360" w:lineRule="auto"/>
        <w:jc w:val="center"/>
        <w:rPr>
          <w:rFonts w:hint="eastAsia" w:ascii="宋体" w:hAnsi="宋体" w:eastAsia="宋体" w:cs="宋体"/>
          <w:color w:val="auto"/>
          <w:sz w:val="24"/>
          <w:szCs w:val="24"/>
          <w:highlight w:val="none"/>
        </w:rPr>
      </w:pPr>
    </w:p>
    <w:p w14:paraId="75D4B196">
      <w:pPr>
        <w:shd w:val="clear"/>
        <w:jc w:val="center"/>
        <w:rPr>
          <w:rFonts w:hint="eastAsia" w:ascii="宋体" w:hAnsi="宋体" w:eastAsia="宋体" w:cs="宋体"/>
          <w:color w:val="auto"/>
          <w:highlight w:val="none"/>
          <w:lang w:val="zh-CN"/>
        </w:rPr>
      </w:pPr>
      <w:bookmarkStart w:id="97" w:name="_Toc3295"/>
      <w:bookmarkStart w:id="98" w:name="_Toc2071"/>
      <w:bookmarkStart w:id="99" w:name="_Toc30916"/>
      <w:r>
        <w:rPr>
          <w:rFonts w:hint="eastAsia" w:ascii="宋体" w:hAnsi="宋体" w:eastAsia="宋体" w:cs="宋体"/>
          <w:color w:val="auto"/>
          <w:highlight w:val="none"/>
        </w:rPr>
        <w:br w:type="page"/>
      </w:r>
      <w:bookmarkEnd w:id="97"/>
      <w:bookmarkEnd w:id="98"/>
      <w:bookmarkEnd w:id="99"/>
    </w:p>
    <w:p w14:paraId="27746D4A">
      <w:pPr>
        <w:shd w:val="clear"/>
        <w:rPr>
          <w:rFonts w:hint="eastAsia" w:ascii="宋体" w:hAnsi="宋体" w:eastAsia="宋体" w:cs="宋体"/>
          <w:b/>
          <w:bCs/>
          <w:color w:val="auto"/>
          <w:sz w:val="24"/>
          <w:szCs w:val="24"/>
          <w:highlight w:val="none"/>
          <w:lang w:val="zh-CN"/>
        </w:rPr>
      </w:pPr>
      <w:bookmarkStart w:id="100" w:name="_Toc25017"/>
      <w:bookmarkStart w:id="101" w:name="_Toc9715"/>
      <w:bookmarkStart w:id="102" w:name="_Toc16150"/>
      <w:bookmarkStart w:id="103" w:name="_Toc31472"/>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w:t>
      </w:r>
    </w:p>
    <w:p w14:paraId="515B7C5D">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0"/>
      <w:bookmarkEnd w:id="101"/>
      <w:bookmarkEnd w:id="102"/>
      <w:bookmarkEnd w:id="103"/>
    </w:p>
    <w:p w14:paraId="3EE68E2C">
      <w:pPr>
        <w:widowControl/>
        <w:shd w:val="clear"/>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703BC8A2">
      <w:pPr>
        <w:shd w:val="clear"/>
        <w:spacing w:line="588" w:lineRule="exact"/>
        <w:rPr>
          <w:rFonts w:hint="eastAsia" w:ascii="宋体" w:hAnsi="宋体" w:eastAsia="宋体" w:cs="宋体"/>
          <w:b/>
          <w:bCs/>
          <w:color w:val="auto"/>
          <w:spacing w:val="6"/>
          <w:sz w:val="30"/>
          <w:szCs w:val="30"/>
          <w:highlight w:val="none"/>
        </w:rPr>
      </w:pPr>
    </w:p>
    <w:p w14:paraId="51214346">
      <w:pPr>
        <w:shd w:val="clea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66EDCF7B">
      <w:pPr>
        <w:pStyle w:val="4"/>
        <w:shd w:val="clear"/>
        <w:rPr>
          <w:rFonts w:hint="eastAsia" w:ascii="宋体" w:hAnsi="宋体" w:eastAsia="宋体" w:cs="宋体"/>
          <w:color w:val="auto"/>
          <w:highlight w:val="none"/>
        </w:rPr>
      </w:pPr>
    </w:p>
    <w:p w14:paraId="4F782AB1">
      <w:pPr>
        <w:pStyle w:val="5"/>
        <w:shd w:val="clear"/>
        <w:rPr>
          <w:rFonts w:hint="eastAsia" w:ascii="宋体" w:hAnsi="宋体" w:eastAsia="宋体" w:cs="宋体"/>
          <w:color w:val="auto"/>
          <w:highlight w:val="none"/>
        </w:rPr>
      </w:pPr>
    </w:p>
    <w:p w14:paraId="331013CD">
      <w:pPr>
        <w:shd w:val="clear"/>
        <w:spacing w:line="588" w:lineRule="exact"/>
        <w:rPr>
          <w:rFonts w:hint="eastAsia" w:ascii="宋体" w:hAnsi="宋体" w:eastAsia="宋体" w:cs="宋体"/>
          <w:color w:val="auto"/>
          <w:sz w:val="24"/>
          <w:szCs w:val="24"/>
          <w:highlight w:val="none"/>
        </w:rPr>
      </w:pPr>
    </w:p>
    <w:p w14:paraId="172703A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16A2468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910DC5F">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6443558">
      <w:pPr>
        <w:shd w:val="clear"/>
        <w:rPr>
          <w:rFonts w:hint="eastAsia" w:ascii="宋体" w:hAnsi="宋体" w:eastAsia="宋体" w:cs="宋体"/>
          <w:b/>
          <w:bCs/>
          <w:color w:val="auto"/>
          <w:sz w:val="24"/>
          <w:szCs w:val="24"/>
          <w:highlight w:val="none"/>
          <w:lang w:val="zh-CN"/>
        </w:rPr>
      </w:pPr>
      <w:bookmarkStart w:id="104" w:name="_Toc2386"/>
      <w:bookmarkStart w:id="105" w:name="_Toc15966"/>
      <w:bookmarkStart w:id="106" w:name="_Toc24"/>
      <w:bookmarkStart w:id="107" w:name="_Toc5441"/>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rPr>
        <w:t>：</w:t>
      </w:r>
    </w:p>
    <w:p w14:paraId="206DC6AB">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104"/>
      <w:bookmarkEnd w:id="105"/>
      <w:bookmarkEnd w:id="106"/>
      <w:bookmarkEnd w:id="107"/>
    </w:p>
    <w:p w14:paraId="483CCD06">
      <w:pPr>
        <w:widowControl/>
        <w:shd w:val="clear"/>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1404B2ED">
      <w:pPr>
        <w:widowControl/>
        <w:shd w:val="clear"/>
        <w:snapToGrid w:val="0"/>
        <w:spacing w:line="324" w:lineRule="auto"/>
        <w:jc w:val="center"/>
        <w:rPr>
          <w:rFonts w:hint="eastAsia" w:ascii="宋体" w:hAnsi="宋体" w:eastAsia="宋体" w:cs="宋体"/>
          <w:color w:val="auto"/>
          <w:kern w:val="0"/>
          <w:sz w:val="24"/>
          <w:szCs w:val="24"/>
          <w:highlight w:val="none"/>
        </w:rPr>
      </w:pPr>
    </w:p>
    <w:p w14:paraId="50F0C21C">
      <w:pPr>
        <w:shd w:val="clear"/>
        <w:spacing w:line="588" w:lineRule="exact"/>
        <w:ind w:firstLine="480" w:firstLineChars="200"/>
        <w:rPr>
          <w:rFonts w:hint="eastAsia" w:ascii="宋体" w:hAnsi="宋体" w:eastAsia="宋体" w:cs="宋体"/>
          <w:color w:val="auto"/>
          <w:sz w:val="24"/>
          <w:szCs w:val="24"/>
          <w:highlight w:val="none"/>
        </w:rPr>
      </w:pPr>
    </w:p>
    <w:p w14:paraId="199C5BE8">
      <w:pPr>
        <w:shd w:val="clear"/>
        <w:adjustRightInd w:val="0"/>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监狱企业需提供省级以上的监狱管理局、戒毒管理局（含新疆生产建设兵团）出具的属于监狱企业的证明文件。  </w:t>
      </w:r>
    </w:p>
    <w:p w14:paraId="3C8FF6C4">
      <w:pPr>
        <w:pStyle w:val="4"/>
        <w:shd w:val="clear"/>
        <w:rPr>
          <w:rFonts w:hint="eastAsia" w:ascii="宋体" w:hAnsi="宋体" w:eastAsia="宋体" w:cs="宋体"/>
          <w:color w:val="auto"/>
          <w:highlight w:val="none"/>
        </w:rPr>
      </w:pPr>
    </w:p>
    <w:p w14:paraId="22A25C0B">
      <w:pPr>
        <w:pStyle w:val="5"/>
        <w:shd w:val="clear"/>
        <w:rPr>
          <w:rFonts w:hint="eastAsia" w:ascii="宋体" w:hAnsi="宋体" w:eastAsia="宋体" w:cs="宋体"/>
          <w:color w:val="auto"/>
          <w:highlight w:val="none"/>
        </w:rPr>
      </w:pPr>
    </w:p>
    <w:p w14:paraId="7935BC14">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E4238E9">
      <w:pPr>
        <w:shd w:val="clea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F27B1F0">
      <w:pPr>
        <w:pStyle w:val="10"/>
        <w:shd w:val="clear"/>
        <w:ind w:firstLine="0"/>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rPr>
        <w:t>供应商全称（公章）：</w:t>
      </w:r>
    </w:p>
    <w:p w14:paraId="12A9545B">
      <w:pPr>
        <w:pStyle w:val="10"/>
        <w:shd w:val="clear"/>
        <w:ind w:firstLine="0"/>
        <w:rPr>
          <w:rFonts w:hint="eastAsia" w:ascii="宋体" w:hAnsi="宋体" w:eastAsia="宋体" w:cs="宋体"/>
          <w:b/>
          <w:bCs/>
          <w:color w:val="auto"/>
          <w:highlight w:val="none"/>
          <w:lang w:val="zh-CN"/>
        </w:rPr>
      </w:pPr>
    </w:p>
    <w:p w14:paraId="2EA8045A">
      <w:pPr>
        <w:pStyle w:val="10"/>
        <w:shd w:val="clear"/>
        <w:ind w:firstLine="0"/>
        <w:rPr>
          <w:rFonts w:hint="eastAsia" w:ascii="宋体" w:hAnsi="宋体" w:eastAsia="宋体" w:cs="宋体"/>
          <w:b/>
          <w:bCs/>
          <w:color w:val="auto"/>
          <w:highlight w:val="none"/>
          <w:lang w:val="zh-CN"/>
        </w:rPr>
      </w:pPr>
    </w:p>
    <w:p w14:paraId="40B2EB71">
      <w:pPr>
        <w:pStyle w:val="25"/>
        <w:shd w:val="clear"/>
        <w:rPr>
          <w:rFonts w:hint="eastAsia" w:ascii="宋体" w:hAnsi="宋体" w:eastAsia="宋体" w:cs="宋体"/>
          <w:b/>
          <w:bCs/>
          <w:color w:val="auto"/>
          <w:highlight w:val="none"/>
          <w:lang w:val="zh-CN"/>
        </w:rPr>
      </w:pPr>
    </w:p>
    <w:p w14:paraId="3EF6E5E8">
      <w:pPr>
        <w:pStyle w:val="24"/>
        <w:shd w:val="clear"/>
        <w:rPr>
          <w:rFonts w:hint="eastAsia" w:ascii="宋体" w:hAnsi="宋体" w:eastAsia="宋体" w:cs="宋体"/>
          <w:b/>
          <w:bCs/>
          <w:color w:val="auto"/>
          <w:highlight w:val="none"/>
          <w:lang w:val="zh-CN"/>
        </w:rPr>
      </w:pPr>
    </w:p>
    <w:p w14:paraId="499405D6">
      <w:pPr>
        <w:pStyle w:val="20"/>
        <w:shd w:val="clear"/>
        <w:rPr>
          <w:rFonts w:hint="eastAsia" w:ascii="宋体" w:hAnsi="宋体" w:eastAsia="宋体" w:cs="宋体"/>
          <w:b/>
          <w:bCs/>
          <w:color w:val="auto"/>
          <w:highlight w:val="none"/>
          <w:lang w:val="zh-CN"/>
        </w:rPr>
      </w:pPr>
    </w:p>
    <w:p w14:paraId="387DBCFD">
      <w:pPr>
        <w:shd w:val="clear"/>
        <w:rPr>
          <w:rFonts w:hint="eastAsia" w:ascii="宋体" w:hAnsi="宋体" w:eastAsia="宋体" w:cs="宋体"/>
          <w:b/>
          <w:bCs/>
          <w:color w:val="auto"/>
          <w:highlight w:val="none"/>
          <w:lang w:val="zh-CN"/>
        </w:rPr>
      </w:pPr>
    </w:p>
    <w:p w14:paraId="0BB5F3CB">
      <w:pPr>
        <w:pStyle w:val="4"/>
        <w:shd w:val="clear"/>
        <w:rPr>
          <w:rFonts w:hint="eastAsia" w:ascii="宋体" w:hAnsi="宋体" w:eastAsia="宋体" w:cs="宋体"/>
          <w:b/>
          <w:bCs/>
          <w:color w:val="auto"/>
          <w:highlight w:val="none"/>
          <w:lang w:val="zh-CN"/>
        </w:rPr>
      </w:pPr>
    </w:p>
    <w:p w14:paraId="17D89905">
      <w:pPr>
        <w:pStyle w:val="5"/>
        <w:shd w:val="clear"/>
        <w:rPr>
          <w:rFonts w:hint="eastAsia" w:ascii="宋体" w:hAnsi="宋体" w:eastAsia="宋体" w:cs="宋体"/>
          <w:b/>
          <w:bCs/>
          <w:color w:val="auto"/>
          <w:highlight w:val="none"/>
          <w:lang w:val="zh-CN"/>
        </w:rPr>
      </w:pPr>
    </w:p>
    <w:p w14:paraId="4E5EC664">
      <w:pPr>
        <w:pStyle w:val="5"/>
        <w:shd w:val="clear"/>
        <w:rPr>
          <w:rFonts w:hint="eastAsia" w:ascii="宋体" w:hAnsi="宋体" w:eastAsia="宋体" w:cs="宋体"/>
          <w:b/>
          <w:bCs/>
          <w:color w:val="auto"/>
          <w:highlight w:val="none"/>
          <w:lang w:val="zh-CN"/>
        </w:rPr>
      </w:pPr>
    </w:p>
    <w:bookmarkEnd w:id="96"/>
    <w:p w14:paraId="6800C380">
      <w:pPr>
        <w:shd w:val="clear"/>
        <w:spacing w:line="360" w:lineRule="auto"/>
        <w:jc w:val="left"/>
        <w:rPr>
          <w:rFonts w:hint="eastAsia" w:ascii="宋体" w:hAnsi="宋体" w:eastAsia="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59B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84B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023630">
                          <w:pPr>
                            <w:pStyle w:val="16"/>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79023630">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009D">
    <w:pPr>
      <w:pStyle w:val="16"/>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4175D419">
                          <w:pPr>
                            <w:pStyle w:val="16"/>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4175D419">
                    <w:pPr>
                      <w:pStyle w:val="16"/>
                    </w:pPr>
                    <w:r>
                      <w:fldChar w:fldCharType="begin"/>
                    </w:r>
                    <w:r>
                      <w:instrText xml:space="preserve"> PAGE  \* MERGEFORMAT </w:instrText>
                    </w:r>
                    <w:r>
                      <w:fldChar w:fldCharType="separate"/>
                    </w:r>
                    <w:r>
                      <w:t>59</w:t>
                    </w:r>
                    <w:r>
                      <w:fldChar w:fldCharType="end"/>
                    </w:r>
                  </w:p>
                </w:txbxContent>
              </v:textbox>
            </v:shape>
          </w:pict>
        </mc:Fallback>
      </mc:AlternateContent>
    </w:r>
  </w:p>
  <w:p w14:paraId="70C8FBC6">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F012">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436F"/>
    <w:multiLevelType w:val="singleLevel"/>
    <w:tmpl w:val="9E7D436F"/>
    <w:lvl w:ilvl="0" w:tentative="0">
      <w:start w:val="1"/>
      <w:numFmt w:val="chineseCounting"/>
      <w:suff w:val="nothing"/>
      <w:lvlText w:val="%1、"/>
      <w:lvlJc w:val="left"/>
      <w:rPr>
        <w:rFonts w:hint="eastAsia"/>
      </w:rPr>
    </w:lvl>
  </w:abstractNum>
  <w:abstractNum w:abstractNumId="1">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2">
    <w:nsid w:val="EB77D58F"/>
    <w:multiLevelType w:val="singleLevel"/>
    <w:tmpl w:val="EB77D58F"/>
    <w:lvl w:ilvl="0" w:tentative="0">
      <w:start w:val="1"/>
      <w:numFmt w:val="decimal"/>
      <w:suff w:val="nothing"/>
      <w:lvlText w:val="%1、"/>
      <w:lvlJc w:val="left"/>
    </w:lvl>
  </w:abstractNum>
  <w:abstractNum w:abstractNumId="3">
    <w:nsid w:val="EFA9B0F6"/>
    <w:multiLevelType w:val="singleLevel"/>
    <w:tmpl w:val="EFA9B0F6"/>
    <w:lvl w:ilvl="0" w:tentative="0">
      <w:start w:val="1"/>
      <w:numFmt w:val="chineseCounting"/>
      <w:suff w:val="nothing"/>
      <w:lvlText w:val="%1、"/>
      <w:lvlJc w:val="left"/>
      <w:pPr>
        <w:ind w:left="-482" w:firstLine="397"/>
      </w:pPr>
      <w:rPr>
        <w:rFonts w:hint="eastAsia"/>
      </w:rPr>
    </w:lvl>
  </w:abstractNum>
  <w:abstractNum w:abstractNumId="4">
    <w:nsid w:val="F4396F3A"/>
    <w:multiLevelType w:val="singleLevel"/>
    <w:tmpl w:val="F4396F3A"/>
    <w:lvl w:ilvl="0" w:tentative="0">
      <w:start w:val="2"/>
      <w:numFmt w:val="chineseCounting"/>
      <w:suff w:val="nothing"/>
      <w:lvlText w:val="%1、"/>
      <w:lvlJc w:val="left"/>
      <w:rPr>
        <w:rFonts w:hint="eastAsia"/>
      </w:rPr>
    </w:lvl>
  </w:abstractNum>
  <w:abstractNum w:abstractNumId="5">
    <w:nsid w:val="F6B56090"/>
    <w:multiLevelType w:val="singleLevel"/>
    <w:tmpl w:val="F6B56090"/>
    <w:lvl w:ilvl="0" w:tentative="0">
      <w:start w:val="1"/>
      <w:numFmt w:val="chineseCounting"/>
      <w:suff w:val="nothing"/>
      <w:lvlText w:val="%1、"/>
      <w:lvlJc w:val="left"/>
      <w:pPr>
        <w:ind w:left="0" w:firstLine="397"/>
      </w:pPr>
      <w:rPr>
        <w:rFonts w:hint="eastAsia"/>
      </w:rPr>
    </w:lvl>
  </w:abstractNum>
  <w:abstractNum w:abstractNumId="6">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7">
    <w:nsid w:val="05296F5F"/>
    <w:multiLevelType w:val="multilevel"/>
    <w:tmpl w:val="05296F5F"/>
    <w:lvl w:ilvl="0" w:tentative="0">
      <w:start w:val="1"/>
      <w:numFmt w:val="chineseCounting"/>
      <w:suff w:val="nothing"/>
      <w:lvlText w:val="%1、"/>
      <w:lvlJc w:val="left"/>
      <w:pPr>
        <w:ind w:left="-482" w:firstLine="397"/>
      </w:pPr>
      <w:rPr>
        <w:rFonts w:hint="eastAsia"/>
      </w:rPr>
    </w:lvl>
    <w:lvl w:ilvl="1" w:tentative="0">
      <w:start w:val="1"/>
      <w:numFmt w:val="decimal"/>
      <w:suff w:val="nothing"/>
      <w:lvlText w:val="%2．"/>
      <w:lvlJc w:val="left"/>
      <w:pPr>
        <w:ind w:left="-482" w:firstLine="397"/>
      </w:pPr>
      <w:rPr>
        <w:rFonts w:hint="eastAsia"/>
      </w:rPr>
    </w:lvl>
    <w:lvl w:ilvl="2" w:tentative="0">
      <w:start w:val="1"/>
      <w:numFmt w:val="decimal"/>
      <w:suff w:val="nothing"/>
      <w:lvlText w:val="（%3）"/>
      <w:lvlJc w:val="left"/>
      <w:pPr>
        <w:ind w:left="-482" w:firstLine="397"/>
      </w:pPr>
      <w:rPr>
        <w:rFonts w:hint="eastAsia"/>
      </w:rPr>
    </w:lvl>
    <w:lvl w:ilvl="3" w:tentative="0">
      <w:start w:val="1"/>
      <w:numFmt w:val="decimalEnclosedCircleChinese"/>
      <w:suff w:val="nothing"/>
      <w:lvlText w:val="%4"/>
      <w:lvlJc w:val="left"/>
      <w:pPr>
        <w:ind w:left="-482" w:firstLine="397"/>
      </w:pPr>
      <w:rPr>
        <w:rFonts w:hint="eastAsia"/>
      </w:rPr>
    </w:lvl>
    <w:lvl w:ilvl="4" w:tentative="0">
      <w:start w:val="1"/>
      <w:numFmt w:val="decimal"/>
      <w:suff w:val="nothing"/>
      <w:lvlText w:val="%5）"/>
      <w:lvlJc w:val="left"/>
      <w:pPr>
        <w:ind w:left="-482" w:firstLine="397"/>
      </w:pPr>
      <w:rPr>
        <w:rFonts w:hint="eastAsia"/>
      </w:rPr>
    </w:lvl>
    <w:lvl w:ilvl="5" w:tentative="0">
      <w:start w:val="1"/>
      <w:numFmt w:val="lowerLetter"/>
      <w:suff w:val="nothing"/>
      <w:lvlText w:val="%6．"/>
      <w:lvlJc w:val="left"/>
      <w:pPr>
        <w:ind w:left="-482" w:firstLine="397"/>
      </w:pPr>
      <w:rPr>
        <w:rFonts w:hint="eastAsia"/>
      </w:rPr>
    </w:lvl>
    <w:lvl w:ilvl="6" w:tentative="0">
      <w:start w:val="1"/>
      <w:numFmt w:val="lowerLetter"/>
      <w:suff w:val="nothing"/>
      <w:lvlText w:val="%7）"/>
      <w:lvlJc w:val="left"/>
      <w:pPr>
        <w:ind w:left="-482" w:firstLine="397"/>
      </w:pPr>
      <w:rPr>
        <w:rFonts w:hint="eastAsia"/>
      </w:rPr>
    </w:lvl>
    <w:lvl w:ilvl="7" w:tentative="0">
      <w:start w:val="1"/>
      <w:numFmt w:val="lowerRoman"/>
      <w:suff w:val="nothing"/>
      <w:lvlText w:val="%8．"/>
      <w:lvlJc w:val="left"/>
      <w:pPr>
        <w:ind w:left="-482" w:firstLine="397"/>
      </w:pPr>
      <w:rPr>
        <w:rFonts w:hint="eastAsia"/>
      </w:rPr>
    </w:lvl>
    <w:lvl w:ilvl="8" w:tentative="0">
      <w:start w:val="1"/>
      <w:numFmt w:val="lowerRoman"/>
      <w:suff w:val="nothing"/>
      <w:lvlText w:val="%9）"/>
      <w:lvlJc w:val="left"/>
      <w:pPr>
        <w:ind w:left="-482" w:firstLine="397"/>
      </w:pPr>
      <w:rPr>
        <w:rFonts w:hint="eastAsia"/>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38403406"/>
    <w:multiLevelType w:val="multilevel"/>
    <w:tmpl w:val="3840340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6">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8">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9">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20">
    <w:nsid w:val="6AEA3252"/>
    <w:multiLevelType w:val="singleLevel"/>
    <w:tmpl w:val="6AEA3252"/>
    <w:lvl w:ilvl="0" w:tentative="0">
      <w:start w:val="1"/>
      <w:numFmt w:val="decimalEnclosedCircleChinese"/>
      <w:suff w:val="nothing"/>
      <w:lvlText w:val="%1　"/>
      <w:lvlJc w:val="left"/>
      <w:pPr>
        <w:ind w:firstLine="1134"/>
      </w:pPr>
      <w:rPr>
        <w:rFonts w:hint="eastAsia"/>
      </w:rPr>
    </w:lvl>
  </w:abstractNum>
  <w:abstractNum w:abstractNumId="21">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6"/>
  </w:num>
  <w:num w:numId="2">
    <w:abstractNumId w:val="6"/>
  </w:num>
  <w:num w:numId="3">
    <w:abstractNumId w:val="18"/>
  </w:num>
  <w:num w:numId="4">
    <w:abstractNumId w:val="10"/>
  </w:num>
  <w:num w:numId="5">
    <w:abstractNumId w:val="21"/>
  </w:num>
  <w:num w:numId="6">
    <w:abstractNumId w:val="11"/>
  </w:num>
  <w:num w:numId="7">
    <w:abstractNumId w:val="19"/>
  </w:num>
  <w:num w:numId="8">
    <w:abstractNumId w:val="2"/>
  </w:num>
  <w:num w:numId="9">
    <w:abstractNumId w:val="8"/>
  </w:num>
  <w:num w:numId="10">
    <w:abstractNumId w:val="9"/>
  </w:num>
  <w:num w:numId="11">
    <w:abstractNumId w:val="17"/>
  </w:num>
  <w:num w:numId="12">
    <w:abstractNumId w:val="15"/>
  </w:num>
  <w:num w:numId="13">
    <w:abstractNumId w:val="1"/>
  </w:num>
  <w:num w:numId="14">
    <w:abstractNumId w:val="12"/>
  </w:num>
  <w:num w:numId="15">
    <w:abstractNumId w:val="5"/>
  </w:num>
  <w:num w:numId="16">
    <w:abstractNumId w:val="3"/>
  </w:num>
  <w:num w:numId="17">
    <w:abstractNumId w:val="14"/>
  </w:num>
  <w:num w:numId="18">
    <w:abstractNumId w:val="0"/>
  </w:num>
  <w:num w:numId="19">
    <w:abstractNumId w:val="13"/>
  </w:num>
  <w:num w:numId="20">
    <w:abstractNumId w:val="4"/>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13CF6"/>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BD1729"/>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7041C"/>
    <w:rsid w:val="00F47432"/>
    <w:rsid w:val="00F673E5"/>
    <w:rsid w:val="00FD3C5B"/>
    <w:rsid w:val="00FD77B5"/>
    <w:rsid w:val="01044A81"/>
    <w:rsid w:val="014526C0"/>
    <w:rsid w:val="0149271B"/>
    <w:rsid w:val="01A77E95"/>
    <w:rsid w:val="01A86A05"/>
    <w:rsid w:val="01B77FDC"/>
    <w:rsid w:val="02710CE9"/>
    <w:rsid w:val="02851A7D"/>
    <w:rsid w:val="028B5EE0"/>
    <w:rsid w:val="028F657D"/>
    <w:rsid w:val="02C15155"/>
    <w:rsid w:val="02FB0AA9"/>
    <w:rsid w:val="02FB1EF4"/>
    <w:rsid w:val="03146882"/>
    <w:rsid w:val="034321D6"/>
    <w:rsid w:val="03A870EA"/>
    <w:rsid w:val="03E70B83"/>
    <w:rsid w:val="044134E4"/>
    <w:rsid w:val="049251C3"/>
    <w:rsid w:val="050E411D"/>
    <w:rsid w:val="052D21DD"/>
    <w:rsid w:val="059756B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B06C83"/>
    <w:rsid w:val="09D249E0"/>
    <w:rsid w:val="0A35335B"/>
    <w:rsid w:val="0ABC596C"/>
    <w:rsid w:val="0AFB449D"/>
    <w:rsid w:val="0B065E39"/>
    <w:rsid w:val="0B0C3424"/>
    <w:rsid w:val="0B7E72EA"/>
    <w:rsid w:val="0BE54EA7"/>
    <w:rsid w:val="0C7A6A78"/>
    <w:rsid w:val="0D094597"/>
    <w:rsid w:val="0DC018E5"/>
    <w:rsid w:val="0E090AFD"/>
    <w:rsid w:val="0E22642F"/>
    <w:rsid w:val="0E2D1637"/>
    <w:rsid w:val="0EA5368B"/>
    <w:rsid w:val="0EC76B81"/>
    <w:rsid w:val="0EEA1524"/>
    <w:rsid w:val="0F0B3FC1"/>
    <w:rsid w:val="0F9E5390"/>
    <w:rsid w:val="102670BD"/>
    <w:rsid w:val="104145F9"/>
    <w:rsid w:val="10B64C1C"/>
    <w:rsid w:val="10BA6CED"/>
    <w:rsid w:val="10C9129C"/>
    <w:rsid w:val="10EC6512"/>
    <w:rsid w:val="11015514"/>
    <w:rsid w:val="113C27FB"/>
    <w:rsid w:val="1156040D"/>
    <w:rsid w:val="115644ED"/>
    <w:rsid w:val="11AF1066"/>
    <w:rsid w:val="11CF6577"/>
    <w:rsid w:val="11F55F82"/>
    <w:rsid w:val="120954BB"/>
    <w:rsid w:val="121A05A5"/>
    <w:rsid w:val="12313422"/>
    <w:rsid w:val="12792BFB"/>
    <w:rsid w:val="129F37E3"/>
    <w:rsid w:val="12E30368"/>
    <w:rsid w:val="12F77B36"/>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C6282"/>
    <w:rsid w:val="162B04E9"/>
    <w:rsid w:val="1648774C"/>
    <w:rsid w:val="16671B3B"/>
    <w:rsid w:val="16B952CB"/>
    <w:rsid w:val="16D01B7A"/>
    <w:rsid w:val="16EB43B2"/>
    <w:rsid w:val="174B7A0D"/>
    <w:rsid w:val="17D3547E"/>
    <w:rsid w:val="19061AA7"/>
    <w:rsid w:val="190D09AE"/>
    <w:rsid w:val="192F2FE5"/>
    <w:rsid w:val="194A559B"/>
    <w:rsid w:val="199D3F96"/>
    <w:rsid w:val="19B03AD9"/>
    <w:rsid w:val="1A156465"/>
    <w:rsid w:val="1A485F5E"/>
    <w:rsid w:val="1A686CC5"/>
    <w:rsid w:val="1AB84A87"/>
    <w:rsid w:val="1AFB0A1E"/>
    <w:rsid w:val="1B155261"/>
    <w:rsid w:val="1B4A7538"/>
    <w:rsid w:val="1B4F1500"/>
    <w:rsid w:val="1B6755DD"/>
    <w:rsid w:val="1B976E81"/>
    <w:rsid w:val="1BB42683"/>
    <w:rsid w:val="1BC45F57"/>
    <w:rsid w:val="1BDB27A5"/>
    <w:rsid w:val="1C177D71"/>
    <w:rsid w:val="1CC874BD"/>
    <w:rsid w:val="1CFF0A9F"/>
    <w:rsid w:val="1D1E7984"/>
    <w:rsid w:val="1DB9235F"/>
    <w:rsid w:val="1DC74A1D"/>
    <w:rsid w:val="1DDB508D"/>
    <w:rsid w:val="1E031779"/>
    <w:rsid w:val="1E157011"/>
    <w:rsid w:val="1E6019F9"/>
    <w:rsid w:val="1E8C459E"/>
    <w:rsid w:val="1E934307"/>
    <w:rsid w:val="1EDA1EFB"/>
    <w:rsid w:val="1F2B0346"/>
    <w:rsid w:val="1F431821"/>
    <w:rsid w:val="1F890C4B"/>
    <w:rsid w:val="1FCD59D3"/>
    <w:rsid w:val="1FD10B66"/>
    <w:rsid w:val="1FDA3069"/>
    <w:rsid w:val="1FE10863"/>
    <w:rsid w:val="20005C4C"/>
    <w:rsid w:val="202C4AF6"/>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31177A3"/>
    <w:rsid w:val="234B0952"/>
    <w:rsid w:val="23720885"/>
    <w:rsid w:val="24054003"/>
    <w:rsid w:val="243A0EE4"/>
    <w:rsid w:val="248E2E3A"/>
    <w:rsid w:val="25B14925"/>
    <w:rsid w:val="26451EEA"/>
    <w:rsid w:val="26704F2E"/>
    <w:rsid w:val="269A56FB"/>
    <w:rsid w:val="26B506EC"/>
    <w:rsid w:val="27210100"/>
    <w:rsid w:val="27DC3878"/>
    <w:rsid w:val="27E76477"/>
    <w:rsid w:val="28254CD6"/>
    <w:rsid w:val="28373A12"/>
    <w:rsid w:val="286D4B1E"/>
    <w:rsid w:val="28AF339E"/>
    <w:rsid w:val="28C62F56"/>
    <w:rsid w:val="28DA203A"/>
    <w:rsid w:val="28E84A2F"/>
    <w:rsid w:val="28F0407A"/>
    <w:rsid w:val="290F208E"/>
    <w:rsid w:val="29124844"/>
    <w:rsid w:val="29152822"/>
    <w:rsid w:val="291A7D32"/>
    <w:rsid w:val="29320499"/>
    <w:rsid w:val="29655706"/>
    <w:rsid w:val="29693257"/>
    <w:rsid w:val="29837904"/>
    <w:rsid w:val="29AC284E"/>
    <w:rsid w:val="29B0557C"/>
    <w:rsid w:val="2A1A0F4E"/>
    <w:rsid w:val="2AB06233"/>
    <w:rsid w:val="2B3E2250"/>
    <w:rsid w:val="2BF7A349"/>
    <w:rsid w:val="2C1D57D4"/>
    <w:rsid w:val="2C263A29"/>
    <w:rsid w:val="2CAE51CD"/>
    <w:rsid w:val="2CCF49F6"/>
    <w:rsid w:val="2CE05BB9"/>
    <w:rsid w:val="2CF23945"/>
    <w:rsid w:val="2D346E5C"/>
    <w:rsid w:val="2D91275F"/>
    <w:rsid w:val="2DD52751"/>
    <w:rsid w:val="2E61222F"/>
    <w:rsid w:val="2E664953"/>
    <w:rsid w:val="2EB07460"/>
    <w:rsid w:val="2EB5699C"/>
    <w:rsid w:val="2F022232"/>
    <w:rsid w:val="2F6E3D48"/>
    <w:rsid w:val="300C303E"/>
    <w:rsid w:val="3036363E"/>
    <w:rsid w:val="30474804"/>
    <w:rsid w:val="30A901B1"/>
    <w:rsid w:val="30FB7A19"/>
    <w:rsid w:val="310261A7"/>
    <w:rsid w:val="315D4606"/>
    <w:rsid w:val="318D0B53"/>
    <w:rsid w:val="32076543"/>
    <w:rsid w:val="32A75185"/>
    <w:rsid w:val="32E75E2A"/>
    <w:rsid w:val="32F53E43"/>
    <w:rsid w:val="33340B4D"/>
    <w:rsid w:val="335F41BA"/>
    <w:rsid w:val="338713C1"/>
    <w:rsid w:val="33B962F5"/>
    <w:rsid w:val="33BA34B0"/>
    <w:rsid w:val="34367DA9"/>
    <w:rsid w:val="34655594"/>
    <w:rsid w:val="3477488D"/>
    <w:rsid w:val="349413EA"/>
    <w:rsid w:val="349D2C44"/>
    <w:rsid w:val="34C54BE3"/>
    <w:rsid w:val="34C574CF"/>
    <w:rsid w:val="350607E8"/>
    <w:rsid w:val="350D6182"/>
    <w:rsid w:val="3628478F"/>
    <w:rsid w:val="367C4935"/>
    <w:rsid w:val="36CE34E8"/>
    <w:rsid w:val="37020770"/>
    <w:rsid w:val="3703001E"/>
    <w:rsid w:val="3731706D"/>
    <w:rsid w:val="37B838EA"/>
    <w:rsid w:val="37F528A3"/>
    <w:rsid w:val="38454818"/>
    <w:rsid w:val="387939C8"/>
    <w:rsid w:val="3904514B"/>
    <w:rsid w:val="39606472"/>
    <w:rsid w:val="39706B79"/>
    <w:rsid w:val="39FB6A6E"/>
    <w:rsid w:val="39FC282B"/>
    <w:rsid w:val="3A164E28"/>
    <w:rsid w:val="3A7B3A28"/>
    <w:rsid w:val="3A9C1064"/>
    <w:rsid w:val="3ACF16E5"/>
    <w:rsid w:val="3AF143FE"/>
    <w:rsid w:val="3B1064BD"/>
    <w:rsid w:val="3B2C33D8"/>
    <w:rsid w:val="3B2C358C"/>
    <w:rsid w:val="3BE04637"/>
    <w:rsid w:val="3BF15362"/>
    <w:rsid w:val="3C17599F"/>
    <w:rsid w:val="3C6148B0"/>
    <w:rsid w:val="3C8B319B"/>
    <w:rsid w:val="3CD27730"/>
    <w:rsid w:val="3D267363"/>
    <w:rsid w:val="3D390470"/>
    <w:rsid w:val="3D4D11D6"/>
    <w:rsid w:val="3D593B6E"/>
    <w:rsid w:val="3DC76F84"/>
    <w:rsid w:val="3DCE50EF"/>
    <w:rsid w:val="3DDF7E2A"/>
    <w:rsid w:val="3E062B0C"/>
    <w:rsid w:val="3E1918E3"/>
    <w:rsid w:val="3E3759DF"/>
    <w:rsid w:val="3E96513D"/>
    <w:rsid w:val="3E98229E"/>
    <w:rsid w:val="3EA64B1B"/>
    <w:rsid w:val="3EE902D6"/>
    <w:rsid w:val="3EEE2128"/>
    <w:rsid w:val="3F00274D"/>
    <w:rsid w:val="3F894898"/>
    <w:rsid w:val="40E80A95"/>
    <w:rsid w:val="40FB3E72"/>
    <w:rsid w:val="41131941"/>
    <w:rsid w:val="411E7DFD"/>
    <w:rsid w:val="41C50CBF"/>
    <w:rsid w:val="42234900"/>
    <w:rsid w:val="42310D45"/>
    <w:rsid w:val="425D450F"/>
    <w:rsid w:val="42914373"/>
    <w:rsid w:val="4297507F"/>
    <w:rsid w:val="42A44E8B"/>
    <w:rsid w:val="42DA32B5"/>
    <w:rsid w:val="42E47ABD"/>
    <w:rsid w:val="43393B20"/>
    <w:rsid w:val="43495ACF"/>
    <w:rsid w:val="436C497E"/>
    <w:rsid w:val="438579A6"/>
    <w:rsid w:val="43F54CF5"/>
    <w:rsid w:val="448D6A38"/>
    <w:rsid w:val="44913E48"/>
    <w:rsid w:val="454D3269"/>
    <w:rsid w:val="45F46FB0"/>
    <w:rsid w:val="46562959"/>
    <w:rsid w:val="467F690A"/>
    <w:rsid w:val="468346FF"/>
    <w:rsid w:val="46B85F59"/>
    <w:rsid w:val="46C644C3"/>
    <w:rsid w:val="46DB1B02"/>
    <w:rsid w:val="46E961D3"/>
    <w:rsid w:val="476A6C24"/>
    <w:rsid w:val="47EF50CB"/>
    <w:rsid w:val="47F1203C"/>
    <w:rsid w:val="48621071"/>
    <w:rsid w:val="487B1097"/>
    <w:rsid w:val="48873289"/>
    <w:rsid w:val="492D7C31"/>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82815"/>
    <w:rsid w:val="4D8D2223"/>
    <w:rsid w:val="4DBE4790"/>
    <w:rsid w:val="4DE4323A"/>
    <w:rsid w:val="4E1560C6"/>
    <w:rsid w:val="4E2B5EFB"/>
    <w:rsid w:val="4E835670"/>
    <w:rsid w:val="4EE96853"/>
    <w:rsid w:val="4EEF6B88"/>
    <w:rsid w:val="4EF549D4"/>
    <w:rsid w:val="4F8E227A"/>
    <w:rsid w:val="4FA72F38"/>
    <w:rsid w:val="4FFC17B4"/>
    <w:rsid w:val="50702768"/>
    <w:rsid w:val="50CF3D2E"/>
    <w:rsid w:val="50D82DAE"/>
    <w:rsid w:val="50FE0AB7"/>
    <w:rsid w:val="51696EE6"/>
    <w:rsid w:val="516E1798"/>
    <w:rsid w:val="51BD5D57"/>
    <w:rsid w:val="51F03A65"/>
    <w:rsid w:val="525C5D72"/>
    <w:rsid w:val="52FE55DB"/>
    <w:rsid w:val="53024C93"/>
    <w:rsid w:val="537961D3"/>
    <w:rsid w:val="538250DE"/>
    <w:rsid w:val="53D224B3"/>
    <w:rsid w:val="53E87428"/>
    <w:rsid w:val="53FA1456"/>
    <w:rsid w:val="5447281C"/>
    <w:rsid w:val="549D5EDD"/>
    <w:rsid w:val="54A90D98"/>
    <w:rsid w:val="54E44556"/>
    <w:rsid w:val="54F65EBA"/>
    <w:rsid w:val="55AF412E"/>
    <w:rsid w:val="55D27624"/>
    <w:rsid w:val="56324628"/>
    <w:rsid w:val="56336B0D"/>
    <w:rsid w:val="564533BF"/>
    <w:rsid w:val="567A6E51"/>
    <w:rsid w:val="56B45E9F"/>
    <w:rsid w:val="56F203B4"/>
    <w:rsid w:val="57472D83"/>
    <w:rsid w:val="57747C3B"/>
    <w:rsid w:val="579A11F6"/>
    <w:rsid w:val="57B64F52"/>
    <w:rsid w:val="57FB19B1"/>
    <w:rsid w:val="57FC55AA"/>
    <w:rsid w:val="580928E7"/>
    <w:rsid w:val="583E1CF5"/>
    <w:rsid w:val="58501BF8"/>
    <w:rsid w:val="58551F7D"/>
    <w:rsid w:val="58AE4C17"/>
    <w:rsid w:val="595B76D2"/>
    <w:rsid w:val="59E6138B"/>
    <w:rsid w:val="5AA412FE"/>
    <w:rsid w:val="5AAE70AA"/>
    <w:rsid w:val="5ABA7A19"/>
    <w:rsid w:val="5AC72F10"/>
    <w:rsid w:val="5B136F0D"/>
    <w:rsid w:val="5B56778E"/>
    <w:rsid w:val="5B840C5F"/>
    <w:rsid w:val="5B964D28"/>
    <w:rsid w:val="5BB71F8E"/>
    <w:rsid w:val="5BC44F00"/>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D51B08"/>
    <w:rsid w:val="610552EA"/>
    <w:rsid w:val="61162C50"/>
    <w:rsid w:val="613F6CAD"/>
    <w:rsid w:val="61490A69"/>
    <w:rsid w:val="617203D0"/>
    <w:rsid w:val="61EC0543"/>
    <w:rsid w:val="622320AD"/>
    <w:rsid w:val="62460B06"/>
    <w:rsid w:val="626A5FAC"/>
    <w:rsid w:val="626C41FD"/>
    <w:rsid w:val="62F7205C"/>
    <w:rsid w:val="631840FD"/>
    <w:rsid w:val="632950A7"/>
    <w:rsid w:val="634B16C2"/>
    <w:rsid w:val="638717D9"/>
    <w:rsid w:val="647D6B2F"/>
    <w:rsid w:val="64981C38"/>
    <w:rsid w:val="64A14715"/>
    <w:rsid w:val="64AA3487"/>
    <w:rsid w:val="64AE2EEE"/>
    <w:rsid w:val="64B672B1"/>
    <w:rsid w:val="64E71BB9"/>
    <w:rsid w:val="64F70EA9"/>
    <w:rsid w:val="654F1A47"/>
    <w:rsid w:val="6559389C"/>
    <w:rsid w:val="65C03700"/>
    <w:rsid w:val="65EC15AB"/>
    <w:rsid w:val="666B40A1"/>
    <w:rsid w:val="671B6AB8"/>
    <w:rsid w:val="67996221"/>
    <w:rsid w:val="681E7F53"/>
    <w:rsid w:val="683D657B"/>
    <w:rsid w:val="69610B03"/>
    <w:rsid w:val="69A14E77"/>
    <w:rsid w:val="69A714AC"/>
    <w:rsid w:val="69CC227F"/>
    <w:rsid w:val="6A1671DC"/>
    <w:rsid w:val="6A6C2E15"/>
    <w:rsid w:val="6AA36AD3"/>
    <w:rsid w:val="6AF74155"/>
    <w:rsid w:val="6B584AFC"/>
    <w:rsid w:val="6B59453E"/>
    <w:rsid w:val="6B661FA8"/>
    <w:rsid w:val="6BE66EA4"/>
    <w:rsid w:val="6C1A0897"/>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8D5813"/>
    <w:rsid w:val="71A224E9"/>
    <w:rsid w:val="71D074AE"/>
    <w:rsid w:val="72310D3B"/>
    <w:rsid w:val="72741EBA"/>
    <w:rsid w:val="72E81C73"/>
    <w:rsid w:val="72EA0AEA"/>
    <w:rsid w:val="73253CFE"/>
    <w:rsid w:val="734A6100"/>
    <w:rsid w:val="73767D80"/>
    <w:rsid w:val="738854C1"/>
    <w:rsid w:val="739E4C23"/>
    <w:rsid w:val="73B1244F"/>
    <w:rsid w:val="73EB3D22"/>
    <w:rsid w:val="74064BED"/>
    <w:rsid w:val="7415373C"/>
    <w:rsid w:val="74494BE5"/>
    <w:rsid w:val="74533BD1"/>
    <w:rsid w:val="747948CE"/>
    <w:rsid w:val="74E22169"/>
    <w:rsid w:val="75126D7A"/>
    <w:rsid w:val="75285314"/>
    <w:rsid w:val="75A65E27"/>
    <w:rsid w:val="75BA5477"/>
    <w:rsid w:val="769918E2"/>
    <w:rsid w:val="76BFAF13"/>
    <w:rsid w:val="76C81BF1"/>
    <w:rsid w:val="771A12B8"/>
    <w:rsid w:val="77537603"/>
    <w:rsid w:val="77B17B51"/>
    <w:rsid w:val="77C436E5"/>
    <w:rsid w:val="785513ED"/>
    <w:rsid w:val="78937CF7"/>
    <w:rsid w:val="78973897"/>
    <w:rsid w:val="78D167C0"/>
    <w:rsid w:val="78FBF684"/>
    <w:rsid w:val="79096067"/>
    <w:rsid w:val="799C2E68"/>
    <w:rsid w:val="79ED6971"/>
    <w:rsid w:val="79FE2D83"/>
    <w:rsid w:val="7A057571"/>
    <w:rsid w:val="7A263419"/>
    <w:rsid w:val="7A2B2F32"/>
    <w:rsid w:val="7A96669D"/>
    <w:rsid w:val="7AA33536"/>
    <w:rsid w:val="7AE8472F"/>
    <w:rsid w:val="7B4D35F3"/>
    <w:rsid w:val="7B7D91F1"/>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3"/>
    <w:autoRedefine/>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5"/>
    <w:link w:val="44"/>
    <w:autoRedefine/>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45"/>
    <w:autoRedefine/>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10"/>
    <w:pPr>
      <w:spacing w:before="240" w:after="60"/>
      <w:jc w:val="center"/>
      <w:outlineLvl w:val="0"/>
    </w:pPr>
    <w:rPr>
      <w:rFonts w:asciiTheme="majorHAnsi" w:hAnsiTheme="majorHAnsi" w:cstheme="majorBidi"/>
      <w:b/>
      <w:bCs/>
      <w:sz w:val="32"/>
      <w:szCs w:val="32"/>
    </w:rPr>
  </w:style>
  <w:style w:type="paragraph" w:styleId="5">
    <w:name w:val="Normal Indent"/>
    <w:basedOn w:val="1"/>
    <w:autoRedefine/>
    <w:qFormat/>
    <w:uiPriority w:val="99"/>
    <w:pPr>
      <w:ind w:firstLine="420"/>
    </w:pPr>
  </w:style>
  <w:style w:type="paragraph" w:styleId="8">
    <w:name w:val="annotation text"/>
    <w:basedOn w:val="1"/>
    <w:autoRedefine/>
    <w:semiHidden/>
    <w:unhideWhenUsed/>
    <w:qFormat/>
    <w:uiPriority w:val="99"/>
    <w:pPr>
      <w:jc w:val="left"/>
    </w:pPr>
  </w:style>
  <w:style w:type="paragraph" w:styleId="9">
    <w:name w:val="Body Text"/>
    <w:basedOn w:val="1"/>
    <w:link w:val="46"/>
    <w:autoRedefine/>
    <w:qFormat/>
    <w:uiPriority w:val="99"/>
  </w:style>
  <w:style w:type="paragraph" w:styleId="10">
    <w:name w:val="Body Text Indent"/>
    <w:basedOn w:val="1"/>
    <w:next w:val="1"/>
    <w:link w:val="52"/>
    <w:autoRedefine/>
    <w:qFormat/>
    <w:uiPriority w:val="99"/>
    <w:pPr>
      <w:adjustRightInd w:val="0"/>
      <w:spacing w:line="360" w:lineRule="auto"/>
      <w:ind w:firstLine="490"/>
      <w:jc w:val="left"/>
    </w:pPr>
    <w:rPr>
      <w:rFonts w:ascii="宋体" w:hAnsi="宋体" w:cs="宋体"/>
      <w:sz w:val="24"/>
      <w:szCs w:val="24"/>
    </w:rPr>
  </w:style>
  <w:style w:type="paragraph" w:styleId="11">
    <w:name w:val="Block Text"/>
    <w:basedOn w:val="1"/>
    <w:autoRedefine/>
    <w:qFormat/>
    <w:uiPriority w:val="0"/>
    <w:pPr>
      <w:spacing w:before="120" w:line="360" w:lineRule="auto"/>
      <w:ind w:left="824" w:right="202"/>
    </w:pPr>
    <w:rPr>
      <w:rFonts w:ascii="宋体" w:hAnsi="宋体"/>
      <w:sz w:val="24"/>
      <w:szCs w:val="21"/>
    </w:rPr>
  </w:style>
  <w:style w:type="paragraph" w:styleId="12">
    <w:name w:val="toc 3"/>
    <w:basedOn w:val="1"/>
    <w:next w:val="1"/>
    <w:autoRedefine/>
    <w:semiHidden/>
    <w:qFormat/>
    <w:uiPriority w:val="99"/>
    <w:pPr>
      <w:ind w:left="840" w:leftChars="400"/>
    </w:pPr>
  </w:style>
  <w:style w:type="paragraph" w:styleId="13">
    <w:name w:val="Plain Text"/>
    <w:basedOn w:val="1"/>
    <w:next w:val="1"/>
    <w:link w:val="53"/>
    <w:autoRedefine/>
    <w:qFormat/>
    <w:uiPriority w:val="99"/>
    <w:rPr>
      <w:rFonts w:ascii="宋体" w:hAnsi="Courier New" w:cs="宋体"/>
    </w:rPr>
  </w:style>
  <w:style w:type="paragraph" w:styleId="14">
    <w:name w:val="Date"/>
    <w:basedOn w:val="1"/>
    <w:next w:val="1"/>
    <w:link w:val="54"/>
    <w:autoRedefine/>
    <w:qFormat/>
    <w:uiPriority w:val="99"/>
    <w:pPr>
      <w:ind w:left="100" w:leftChars="2500"/>
    </w:pPr>
    <w:rPr>
      <w:rFonts w:ascii="宋体" w:hAnsi="宋体" w:cs="宋体"/>
      <w:color w:val="000000"/>
      <w:sz w:val="24"/>
      <w:szCs w:val="24"/>
    </w:rPr>
  </w:style>
  <w:style w:type="paragraph" w:styleId="15">
    <w:name w:val="Balloon Text"/>
    <w:basedOn w:val="1"/>
    <w:link w:val="55"/>
    <w:autoRedefine/>
    <w:semiHidden/>
    <w:qFormat/>
    <w:uiPriority w:val="99"/>
    <w:rPr>
      <w:sz w:val="18"/>
      <w:szCs w:val="18"/>
    </w:rPr>
  </w:style>
  <w:style w:type="paragraph" w:styleId="16">
    <w:name w:val="footer"/>
    <w:basedOn w:val="1"/>
    <w:link w:val="56"/>
    <w:autoRedefine/>
    <w:qFormat/>
    <w:uiPriority w:val="99"/>
    <w:pPr>
      <w:tabs>
        <w:tab w:val="center" w:pos="4153"/>
        <w:tab w:val="right" w:pos="8306"/>
      </w:tabs>
      <w:snapToGrid w:val="0"/>
      <w:jc w:val="left"/>
    </w:pPr>
    <w:rPr>
      <w:sz w:val="18"/>
      <w:szCs w:val="18"/>
    </w:rPr>
  </w:style>
  <w:style w:type="paragraph" w:styleId="17">
    <w:name w:val="header"/>
    <w:basedOn w:val="1"/>
    <w:link w:val="57"/>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8">
    <w:name w:val="toc 1"/>
    <w:basedOn w:val="1"/>
    <w:next w:val="1"/>
    <w:autoRedefine/>
    <w:semiHidden/>
    <w:qFormat/>
    <w:uiPriority w:val="99"/>
  </w:style>
  <w:style w:type="paragraph" w:styleId="19">
    <w:name w:val="toc 4"/>
    <w:basedOn w:val="1"/>
    <w:next w:val="1"/>
    <w:autoRedefine/>
    <w:qFormat/>
    <w:uiPriority w:val="39"/>
    <w:pPr>
      <w:ind w:left="1260" w:leftChars="600"/>
    </w:pPr>
    <w:rPr>
      <w:szCs w:val="24"/>
    </w:rPr>
  </w:style>
  <w:style w:type="paragraph" w:styleId="20">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1">
    <w:name w:val="toc 2"/>
    <w:basedOn w:val="1"/>
    <w:next w:val="1"/>
    <w:autoRedefine/>
    <w:semiHidden/>
    <w:qFormat/>
    <w:uiPriority w:val="99"/>
    <w:pPr>
      <w:ind w:left="420" w:leftChars="2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4">
    <w:name w:val="Body Text First Indent"/>
    <w:basedOn w:val="9"/>
    <w:next w:val="20"/>
    <w:link w:val="58"/>
    <w:autoRedefine/>
    <w:qFormat/>
    <w:uiPriority w:val="99"/>
    <w:pPr>
      <w:ind w:firstLine="420" w:firstLineChars="100"/>
    </w:pPr>
  </w:style>
  <w:style w:type="paragraph" w:styleId="25">
    <w:name w:val="Body Text First Indent 2"/>
    <w:basedOn w:val="10"/>
    <w:next w:val="24"/>
    <w:autoRedefine/>
    <w:qFormat/>
    <w:uiPriority w:val="0"/>
    <w:pPr>
      <w:ind w:firstLine="420"/>
    </w:pPr>
  </w:style>
  <w:style w:type="table" w:styleId="27">
    <w:name w:val="Table Grid"/>
    <w:basedOn w:val="26"/>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99"/>
    <w:rPr>
      <w:b/>
      <w:bCs/>
    </w:rPr>
  </w:style>
  <w:style w:type="character" w:styleId="30">
    <w:name w:val="page number"/>
    <w:basedOn w:val="28"/>
    <w:autoRedefine/>
    <w:qFormat/>
    <w:uiPriority w:val="99"/>
  </w:style>
  <w:style w:type="character" w:styleId="31">
    <w:name w:val="Hyperlink"/>
    <w:basedOn w:val="28"/>
    <w:autoRedefine/>
    <w:qFormat/>
    <w:uiPriority w:val="99"/>
    <w:rPr>
      <w:color w:val="0000FF"/>
      <w:u w:val="single"/>
    </w:rPr>
  </w:style>
  <w:style w:type="paragraph" w:customStyle="1" w:styleId="32">
    <w:name w:val="段落"/>
    <w:basedOn w:val="33"/>
    <w:qFormat/>
    <w:uiPriority w:val="0"/>
    <w:pPr>
      <w:ind w:firstLine="200"/>
    </w:pPr>
    <w:rPr>
      <w:rFonts w:ascii="Verdana" w:hAnsi="Verdana"/>
      <w:color w:val="000000"/>
      <w:shd w:val="clear" w:color="auto" w:fill="FFFFFF"/>
    </w:rPr>
  </w:style>
  <w:style w:type="paragraph" w:styleId="33">
    <w:name w:val="List Paragraph"/>
    <w:basedOn w:val="1"/>
    <w:autoRedefine/>
    <w:qFormat/>
    <w:uiPriority w:val="1"/>
    <w:pPr>
      <w:ind w:firstLine="420" w:firstLineChars="200"/>
    </w:pPr>
    <w:rPr>
      <w:szCs w:val="24"/>
    </w:rPr>
  </w:style>
  <w:style w:type="paragraph" w:customStyle="1" w:styleId="34">
    <w:name w:val="正文首行缩进1"/>
    <w:basedOn w:val="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35">
    <w:name w:val="Quote"/>
    <w:basedOn w:val="1"/>
    <w:next w:val="1"/>
    <w:autoRedefine/>
    <w:qFormat/>
    <w:uiPriority w:val="0"/>
    <w:pPr>
      <w:wordWrap w:val="0"/>
      <w:spacing w:before="200" w:after="160"/>
      <w:ind w:left="864" w:right="864"/>
      <w:jc w:val="center"/>
    </w:pPr>
    <w:rPr>
      <w:i/>
    </w:rPr>
  </w:style>
  <w:style w:type="paragraph" w:customStyle="1" w:styleId="36">
    <w:name w:val="BodyText1I2"/>
    <w:basedOn w:val="37"/>
    <w:autoRedefine/>
    <w:qFormat/>
    <w:uiPriority w:val="0"/>
    <w:pPr>
      <w:ind w:firstLine="420"/>
    </w:pPr>
    <w:rPr>
      <w:sz w:val="21"/>
    </w:rPr>
  </w:style>
  <w:style w:type="paragraph" w:customStyle="1" w:styleId="37">
    <w:name w:val="BodyTextIndent"/>
    <w:basedOn w:val="1"/>
    <w:next w:val="36"/>
    <w:autoRedefine/>
    <w:qFormat/>
    <w:uiPriority w:val="0"/>
    <w:pPr>
      <w:spacing w:line="360" w:lineRule="auto"/>
      <w:ind w:firstLine="490"/>
      <w:jc w:val="left"/>
    </w:pPr>
    <w:rPr>
      <w:rFonts w:ascii="宋体" w:hAnsi="宋体"/>
      <w:sz w:val="24"/>
    </w:rPr>
  </w:style>
  <w:style w:type="paragraph" w:customStyle="1" w:styleId="38">
    <w:name w:val="Body Text First Indent1"/>
    <w:basedOn w:val="9"/>
    <w:autoRedefine/>
    <w:qFormat/>
    <w:uiPriority w:val="0"/>
    <w:pPr>
      <w:tabs>
        <w:tab w:val="left" w:pos="1275"/>
      </w:tabs>
      <w:ind w:firstLine="420" w:firstLineChars="100"/>
    </w:pPr>
  </w:style>
  <w:style w:type="paragraph" w:customStyle="1" w:styleId="39">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0">
    <w:name w:val="表格文字"/>
    <w:basedOn w:val="10"/>
    <w:next w:val="9"/>
    <w:autoRedefine/>
    <w:qFormat/>
    <w:uiPriority w:val="0"/>
    <w:pPr>
      <w:adjustRightInd w:val="0"/>
      <w:spacing w:line="420" w:lineRule="atLeast"/>
      <w:textAlignment w:val="baseline"/>
    </w:pPr>
  </w:style>
  <w:style w:type="paragraph" w:customStyle="1" w:styleId="41">
    <w:name w:val="正文缩进1"/>
    <w:basedOn w:val="1"/>
    <w:autoRedefine/>
    <w:qFormat/>
    <w:uiPriority w:val="0"/>
    <w:pPr>
      <w:ind w:firstLine="420" w:firstLineChars="200"/>
    </w:pPr>
  </w:style>
  <w:style w:type="paragraph" w:customStyle="1" w:styleId="42">
    <w:name w:val="正文（首行缩进2字符）"/>
    <w:basedOn w:val="1"/>
    <w:autoRedefine/>
    <w:qFormat/>
    <w:uiPriority w:val="0"/>
    <w:pPr>
      <w:spacing w:line="360" w:lineRule="auto"/>
      <w:ind w:firstLine="480" w:firstLineChars="200"/>
    </w:pPr>
    <w:rPr>
      <w:sz w:val="24"/>
      <w:szCs w:val="20"/>
    </w:rPr>
  </w:style>
  <w:style w:type="character" w:customStyle="1" w:styleId="43">
    <w:name w:val="标题 1 Char"/>
    <w:basedOn w:val="28"/>
    <w:link w:val="3"/>
    <w:autoRedefine/>
    <w:qFormat/>
    <w:locked/>
    <w:uiPriority w:val="99"/>
    <w:rPr>
      <w:b/>
      <w:bCs/>
      <w:kern w:val="44"/>
      <w:sz w:val="44"/>
      <w:szCs w:val="44"/>
    </w:rPr>
  </w:style>
  <w:style w:type="character" w:customStyle="1" w:styleId="44">
    <w:name w:val="标题 2 Char"/>
    <w:basedOn w:val="28"/>
    <w:link w:val="4"/>
    <w:autoRedefine/>
    <w:qFormat/>
    <w:locked/>
    <w:uiPriority w:val="99"/>
    <w:rPr>
      <w:rFonts w:ascii="宋体" w:cs="宋体"/>
      <w:b/>
      <w:bCs/>
      <w:kern w:val="2"/>
      <w:sz w:val="28"/>
      <w:szCs w:val="28"/>
    </w:rPr>
  </w:style>
  <w:style w:type="character" w:customStyle="1" w:styleId="45">
    <w:name w:val="标题 3 Char"/>
    <w:basedOn w:val="28"/>
    <w:link w:val="6"/>
    <w:autoRedefine/>
    <w:qFormat/>
    <w:locked/>
    <w:uiPriority w:val="99"/>
    <w:rPr>
      <w:rFonts w:ascii="宋体" w:cs="宋体"/>
      <w:b/>
      <w:bCs/>
      <w:kern w:val="2"/>
      <w:sz w:val="28"/>
      <w:szCs w:val="28"/>
    </w:rPr>
  </w:style>
  <w:style w:type="character" w:customStyle="1" w:styleId="46">
    <w:name w:val="正文文本 Char"/>
    <w:basedOn w:val="28"/>
    <w:link w:val="9"/>
    <w:autoRedefine/>
    <w:semiHidden/>
    <w:qFormat/>
    <w:uiPriority w:val="99"/>
    <w:rPr>
      <w:rFonts w:ascii="Times New Roman" w:hAnsi="Times New Roman"/>
      <w:szCs w:val="21"/>
    </w:rPr>
  </w:style>
  <w:style w:type="paragraph" w:customStyle="1" w:styleId="47">
    <w:name w:val="样式 表格正文 + 两端对齐"/>
    <w:basedOn w:val="1"/>
    <w:next w:val="48"/>
    <w:autoRedefine/>
    <w:qFormat/>
    <w:uiPriority w:val="99"/>
    <w:pPr>
      <w:spacing w:line="300" w:lineRule="auto"/>
    </w:pPr>
    <w:rPr>
      <w:sz w:val="24"/>
      <w:szCs w:val="24"/>
    </w:rPr>
  </w:style>
  <w:style w:type="paragraph" w:customStyle="1" w:styleId="48">
    <w:name w:val="正文1"/>
    <w:basedOn w:val="1"/>
    <w:next w:val="49"/>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9">
    <w:name w:val="自动更正"/>
    <w:next w:val="5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xl39"/>
    <w:basedOn w:val="1"/>
    <w:next w:val="51"/>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1">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2">
    <w:name w:val="正文文本缩进 Char"/>
    <w:basedOn w:val="28"/>
    <w:link w:val="10"/>
    <w:autoRedefine/>
    <w:semiHidden/>
    <w:qFormat/>
    <w:uiPriority w:val="99"/>
    <w:rPr>
      <w:rFonts w:ascii="Times New Roman" w:hAnsi="Times New Roman"/>
      <w:szCs w:val="21"/>
    </w:rPr>
  </w:style>
  <w:style w:type="character" w:customStyle="1" w:styleId="53">
    <w:name w:val="纯文本 Char"/>
    <w:basedOn w:val="28"/>
    <w:link w:val="13"/>
    <w:autoRedefine/>
    <w:semiHidden/>
    <w:qFormat/>
    <w:uiPriority w:val="99"/>
    <w:rPr>
      <w:rFonts w:ascii="宋体" w:hAnsi="Courier New" w:cs="Courier New"/>
      <w:szCs w:val="21"/>
    </w:rPr>
  </w:style>
  <w:style w:type="character" w:customStyle="1" w:styleId="54">
    <w:name w:val="日期 Char"/>
    <w:basedOn w:val="28"/>
    <w:link w:val="14"/>
    <w:autoRedefine/>
    <w:semiHidden/>
    <w:qFormat/>
    <w:uiPriority w:val="99"/>
    <w:rPr>
      <w:rFonts w:ascii="Times New Roman" w:hAnsi="Times New Roman"/>
      <w:szCs w:val="21"/>
    </w:rPr>
  </w:style>
  <w:style w:type="character" w:customStyle="1" w:styleId="55">
    <w:name w:val="批注框文本 Char"/>
    <w:basedOn w:val="28"/>
    <w:link w:val="15"/>
    <w:autoRedefine/>
    <w:qFormat/>
    <w:locked/>
    <w:uiPriority w:val="99"/>
    <w:rPr>
      <w:kern w:val="2"/>
      <w:sz w:val="18"/>
      <w:szCs w:val="18"/>
    </w:rPr>
  </w:style>
  <w:style w:type="character" w:customStyle="1" w:styleId="56">
    <w:name w:val="页脚 Char"/>
    <w:basedOn w:val="28"/>
    <w:link w:val="16"/>
    <w:autoRedefine/>
    <w:semiHidden/>
    <w:qFormat/>
    <w:uiPriority w:val="99"/>
    <w:rPr>
      <w:rFonts w:ascii="Times New Roman" w:hAnsi="Times New Roman"/>
      <w:sz w:val="18"/>
      <w:szCs w:val="18"/>
    </w:rPr>
  </w:style>
  <w:style w:type="character" w:customStyle="1" w:styleId="57">
    <w:name w:val="页眉 Char"/>
    <w:basedOn w:val="28"/>
    <w:link w:val="17"/>
    <w:autoRedefine/>
    <w:semiHidden/>
    <w:qFormat/>
    <w:uiPriority w:val="99"/>
    <w:rPr>
      <w:rFonts w:ascii="Times New Roman" w:hAnsi="Times New Roman"/>
      <w:sz w:val="18"/>
      <w:szCs w:val="18"/>
    </w:rPr>
  </w:style>
  <w:style w:type="character" w:customStyle="1" w:styleId="58">
    <w:name w:val="正文首行缩进 Char"/>
    <w:basedOn w:val="46"/>
    <w:link w:val="24"/>
    <w:autoRedefine/>
    <w:semiHidden/>
    <w:qFormat/>
    <w:uiPriority w:val="99"/>
    <w:rPr>
      <w:rFonts w:ascii="Times New Roman" w:hAnsi="Times New Roman"/>
      <w:szCs w:val="21"/>
    </w:rPr>
  </w:style>
  <w:style w:type="paragraph" w:customStyle="1" w:styleId="59">
    <w:name w:val="正文2"/>
    <w:basedOn w:val="1"/>
    <w:autoRedefine/>
    <w:qFormat/>
    <w:uiPriority w:val="99"/>
    <w:pPr>
      <w:adjustRightInd w:val="0"/>
      <w:spacing w:before="156" w:line="360" w:lineRule="auto"/>
      <w:ind w:firstLine="510" w:firstLineChars="200"/>
    </w:pPr>
    <w:rPr>
      <w:sz w:val="24"/>
      <w:szCs w:val="24"/>
    </w:rPr>
  </w:style>
  <w:style w:type="paragraph" w:customStyle="1" w:styleId="60">
    <w:name w:val="List Paragraph1"/>
    <w:basedOn w:val="1"/>
    <w:autoRedefine/>
    <w:qFormat/>
    <w:uiPriority w:val="99"/>
    <w:pPr>
      <w:widowControl/>
      <w:ind w:firstLine="420" w:firstLineChars="200"/>
      <w:jc w:val="left"/>
    </w:pPr>
    <w:rPr>
      <w:rFonts w:ascii="Calibri" w:hAnsi="Calibri" w:cs="Calibri"/>
    </w:rPr>
  </w:style>
  <w:style w:type="character" w:customStyle="1" w:styleId="61">
    <w:name w:val="style81"/>
    <w:autoRedefine/>
    <w:qFormat/>
    <w:uiPriority w:val="99"/>
    <w:rPr>
      <w:sz w:val="20"/>
      <w:szCs w:val="20"/>
    </w:rPr>
  </w:style>
  <w:style w:type="paragraph" w:customStyle="1" w:styleId="62">
    <w:name w:val="列出段落1"/>
    <w:basedOn w:val="1"/>
    <w:autoRedefine/>
    <w:qFormat/>
    <w:uiPriority w:val="99"/>
    <w:pPr>
      <w:ind w:firstLine="420"/>
      <w:jc w:val="left"/>
    </w:pPr>
  </w:style>
  <w:style w:type="paragraph" w:customStyle="1" w:styleId="63">
    <w:name w:val="表格"/>
    <w:basedOn w:val="1"/>
    <w:autoRedefine/>
    <w:qFormat/>
    <w:uiPriority w:val="99"/>
    <w:pPr>
      <w:autoSpaceDE w:val="0"/>
      <w:autoSpaceDN w:val="0"/>
      <w:jc w:val="center"/>
      <w:textAlignment w:val="baseline"/>
    </w:pPr>
    <w:rPr>
      <w:color w:val="000000"/>
      <w:kern w:val="0"/>
    </w:rPr>
  </w:style>
  <w:style w:type="character" w:customStyle="1" w:styleId="64">
    <w:name w:val="02 Char"/>
    <w:link w:val="65"/>
    <w:autoRedefine/>
    <w:qFormat/>
    <w:locked/>
    <w:uiPriority w:val="99"/>
    <w:rPr>
      <w:rFonts w:ascii="宋体" w:cs="宋体"/>
      <w:b/>
      <w:bCs/>
      <w:color w:val="FF0000"/>
      <w:kern w:val="2"/>
      <w:sz w:val="28"/>
      <w:szCs w:val="28"/>
    </w:rPr>
  </w:style>
  <w:style w:type="paragraph" w:customStyle="1" w:styleId="65">
    <w:name w:val="02"/>
    <w:basedOn w:val="4"/>
    <w:link w:val="64"/>
    <w:autoRedefine/>
    <w:qFormat/>
    <w:uiPriority w:val="99"/>
    <w:pPr>
      <w:jc w:val="center"/>
    </w:pPr>
    <w:rPr>
      <w:color w:val="FF0000"/>
    </w:rPr>
  </w:style>
  <w:style w:type="character" w:customStyle="1" w:styleId="66">
    <w:name w:val="03 Char"/>
    <w:link w:val="67"/>
    <w:autoRedefine/>
    <w:qFormat/>
    <w:locked/>
    <w:uiPriority w:val="99"/>
    <w:rPr>
      <w:rFonts w:ascii="宋体" w:cs="宋体"/>
      <w:b/>
      <w:bCs/>
      <w:kern w:val="2"/>
      <w:sz w:val="28"/>
      <w:szCs w:val="28"/>
    </w:rPr>
  </w:style>
  <w:style w:type="paragraph" w:customStyle="1" w:styleId="67">
    <w:name w:val="03"/>
    <w:basedOn w:val="6"/>
    <w:link w:val="66"/>
    <w:autoRedefine/>
    <w:qFormat/>
    <w:uiPriority w:val="99"/>
    <w:pPr>
      <w:numPr>
        <w:ilvl w:val="0"/>
        <w:numId w:val="0"/>
      </w:numPr>
    </w:pPr>
  </w:style>
  <w:style w:type="character" w:customStyle="1" w:styleId="68">
    <w:name w:val="宋体小四 Char"/>
    <w:link w:val="69"/>
    <w:autoRedefine/>
    <w:qFormat/>
    <w:locked/>
    <w:uiPriority w:val="99"/>
    <w:rPr>
      <w:rFonts w:ascii="宋体" w:eastAsia="宋体" w:cs="宋体"/>
      <w:kern w:val="2"/>
      <w:sz w:val="24"/>
      <w:szCs w:val="24"/>
    </w:rPr>
  </w:style>
  <w:style w:type="paragraph" w:customStyle="1" w:styleId="69">
    <w:name w:val="宋体小四"/>
    <w:basedOn w:val="1"/>
    <w:link w:val="68"/>
    <w:autoRedefine/>
    <w:qFormat/>
    <w:uiPriority w:val="99"/>
    <w:pPr>
      <w:spacing w:line="360" w:lineRule="auto"/>
      <w:ind w:firstLine="480" w:firstLineChars="200"/>
    </w:pPr>
    <w:rPr>
      <w:rFonts w:ascii="宋体" w:hAnsi="宋体" w:cs="宋体"/>
      <w:sz w:val="24"/>
      <w:szCs w:val="24"/>
    </w:rPr>
  </w:style>
  <w:style w:type="character" w:customStyle="1" w:styleId="70">
    <w:name w:val="fontstyle01"/>
    <w:basedOn w:val="28"/>
    <w:autoRedefine/>
    <w:qFormat/>
    <w:uiPriority w:val="99"/>
    <w:rPr>
      <w:rFonts w:ascii="宋体" w:eastAsia="宋体" w:cs="宋体"/>
      <w:color w:val="000000"/>
      <w:sz w:val="22"/>
      <w:szCs w:val="22"/>
    </w:rPr>
  </w:style>
  <w:style w:type="paragraph" w:customStyle="1" w:styleId="71">
    <w:name w:val="正文首行缩进2字符"/>
    <w:basedOn w:val="1"/>
    <w:autoRedefine/>
    <w:qFormat/>
    <w:uiPriority w:val="99"/>
    <w:pPr>
      <w:spacing w:line="360" w:lineRule="auto"/>
      <w:ind w:firstLine="200" w:firstLineChars="200"/>
    </w:pPr>
  </w:style>
  <w:style w:type="paragraph" w:customStyle="1" w:styleId="72">
    <w:name w:val="居中表格内容标题"/>
    <w:basedOn w:val="73"/>
    <w:autoRedefine/>
    <w:qFormat/>
    <w:uiPriority w:val="0"/>
    <w:pPr>
      <w:jc w:val="center"/>
    </w:pPr>
    <w:rPr>
      <w:b/>
    </w:rPr>
  </w:style>
  <w:style w:type="paragraph" w:customStyle="1" w:styleId="73">
    <w:name w:val="居中表格内容"/>
    <w:basedOn w:val="1"/>
    <w:next w:val="1"/>
    <w:autoRedefine/>
    <w:qFormat/>
    <w:uiPriority w:val="0"/>
    <w:pPr>
      <w:jc w:val="left"/>
    </w:pPr>
    <w:rPr>
      <w:szCs w:val="28"/>
    </w:rPr>
  </w:style>
  <w:style w:type="paragraph" w:customStyle="1" w:styleId="74">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5">
    <w:name w:val="Body text|2"/>
    <w:basedOn w:val="1"/>
    <w:autoRedefine/>
    <w:qFormat/>
    <w:uiPriority w:val="0"/>
    <w:pPr>
      <w:spacing w:line="360" w:lineRule="auto"/>
      <w:ind w:firstLine="660"/>
    </w:pPr>
    <w:rPr>
      <w:sz w:val="32"/>
      <w:szCs w:val="32"/>
      <w:lang w:val="zh-TW" w:eastAsia="zh-TW" w:bidi="zh-TW"/>
    </w:rPr>
  </w:style>
  <w:style w:type="character" w:customStyle="1" w:styleId="76">
    <w:name w:val="NormalCharacter"/>
    <w:autoRedefine/>
    <w:semiHidden/>
    <w:qFormat/>
    <w:uiPriority w:val="0"/>
  </w:style>
  <w:style w:type="paragraph" w:customStyle="1" w:styleId="77">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8">
    <w:name w:val="xc正文"/>
    <w:basedOn w:val="1"/>
    <w:autoRedefine/>
    <w:qFormat/>
    <w:uiPriority w:val="0"/>
    <w:pPr>
      <w:ind w:firstLine="200" w:firstLineChars="200"/>
    </w:pPr>
    <w:rPr>
      <w:szCs w:val="24"/>
    </w:rPr>
  </w:style>
  <w:style w:type="character" w:customStyle="1" w:styleId="79">
    <w:name w:val="fontstyle21"/>
    <w:autoRedefine/>
    <w:qFormat/>
    <w:uiPriority w:val="0"/>
    <w:rPr>
      <w:rFonts w:hint="default" w:ascii="TimesNewRomanPSMT" w:hAnsi="TimesNewRomanPSMT"/>
      <w:color w:val="000000"/>
      <w:sz w:val="32"/>
      <w:szCs w:val="32"/>
    </w:rPr>
  </w:style>
  <w:style w:type="paragraph" w:customStyle="1" w:styleId="80">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33"/>
    <w:autoRedefine/>
    <w:qFormat/>
    <w:uiPriority w:val="34"/>
    <w:pPr>
      <w:ind w:firstLine="420" w:firstLineChars="200"/>
    </w:pPr>
    <w:rPr>
      <w:szCs w:val="24"/>
    </w:rPr>
  </w:style>
  <w:style w:type="paragraph" w:customStyle="1" w:styleId="82">
    <w:name w:val="纯文本1"/>
    <w:basedOn w:val="1"/>
    <w:autoRedefine/>
    <w:qFormat/>
    <w:uiPriority w:val="0"/>
    <w:pPr>
      <w:ind w:firstLine="280" w:firstLineChars="100"/>
    </w:pPr>
    <w:rPr>
      <w:rFonts w:hAnsi="宋体" w:cs="Courier New"/>
    </w:rPr>
  </w:style>
  <w:style w:type="paragraph" w:customStyle="1" w:styleId="83">
    <w:name w:val="居中表名"/>
    <w:basedOn w:val="1"/>
    <w:next w:val="1"/>
    <w:autoRedefine/>
    <w:qFormat/>
    <w:uiPriority w:val="0"/>
    <w:pPr>
      <w:jc w:val="center"/>
    </w:pPr>
    <w:rPr>
      <w:rFonts w:eastAsia="黑体"/>
      <w:b/>
      <w:szCs w:val="28"/>
    </w:rPr>
  </w:style>
  <w:style w:type="paragraph" w:customStyle="1" w:styleId="84">
    <w:name w:val="列表段落1"/>
    <w:basedOn w:val="1"/>
    <w:autoRedefine/>
    <w:qFormat/>
    <w:uiPriority w:val="0"/>
    <w:pPr>
      <w:ind w:firstLine="420"/>
    </w:p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列出段落2"/>
    <w:basedOn w:val="1"/>
    <w:autoRedefine/>
    <w:qFormat/>
    <w:uiPriority w:val="1"/>
    <w:pPr>
      <w:ind w:firstLine="420" w:firstLineChars="200"/>
    </w:pPr>
    <w:rPr>
      <w:szCs w:val="24"/>
    </w:rPr>
  </w:style>
  <w:style w:type="character" w:customStyle="1" w:styleId="87">
    <w:name w:val="font21"/>
    <w:autoRedefine/>
    <w:qFormat/>
    <w:uiPriority w:val="0"/>
    <w:rPr>
      <w:rFonts w:hint="eastAsia" w:ascii="宋体" w:hAnsi="宋体" w:eastAsia="宋体" w:cs="宋体"/>
      <w:b/>
      <w:color w:val="FF0000"/>
      <w:sz w:val="24"/>
      <w:szCs w:val="24"/>
      <w:u w:val="none"/>
    </w:rPr>
  </w:style>
  <w:style w:type="paragraph" w:customStyle="1" w:styleId="88">
    <w:name w:val="样式6"/>
    <w:basedOn w:val="13"/>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autoRedefine/>
    <w:qFormat/>
    <w:uiPriority w:val="0"/>
    <w:rPr>
      <w:rFonts w:hint="eastAsia" w:ascii="宋体" w:hAnsi="Courier New"/>
      <w:szCs w:val="20"/>
    </w:rPr>
  </w:style>
  <w:style w:type="paragraph" w:customStyle="1" w:styleId="90">
    <w:name w:val="p0"/>
    <w:basedOn w:val="1"/>
    <w:autoRedefine/>
    <w:qFormat/>
    <w:uiPriority w:val="99"/>
    <w:pPr>
      <w:widowControl/>
    </w:pPr>
    <w:rPr>
      <w:kern w:val="0"/>
      <w:szCs w:val="21"/>
    </w:rPr>
  </w:style>
  <w:style w:type="character" w:customStyle="1" w:styleId="91">
    <w:name w:val="font01"/>
    <w:autoRedefine/>
    <w:qFormat/>
    <w:uiPriority w:val="0"/>
    <w:rPr>
      <w:rFonts w:hint="eastAsia" w:ascii="宋体" w:hAnsi="宋体" w:eastAsia="宋体" w:cs="Arial"/>
      <w:snapToGrid w:val="0"/>
      <w:color w:val="000000"/>
      <w:kern w:val="0"/>
      <w:sz w:val="24"/>
      <w:szCs w:val="24"/>
      <w:u w:val="none"/>
    </w:rPr>
  </w:style>
  <w:style w:type="character" w:customStyle="1" w:styleId="92">
    <w:name w:val="font11"/>
    <w:basedOn w:val="28"/>
    <w:autoRedefine/>
    <w:qFormat/>
    <w:uiPriority w:val="0"/>
    <w:rPr>
      <w:rFonts w:hint="eastAsia" w:ascii="宋体" w:hAnsi="宋体" w:eastAsia="宋体" w:cs="宋体"/>
      <w:color w:val="000000"/>
      <w:sz w:val="21"/>
      <w:szCs w:val="21"/>
      <w:u w:val="none"/>
    </w:rPr>
  </w:style>
  <w:style w:type="paragraph" w:customStyle="1" w:styleId="93">
    <w:name w:val="4正-b"/>
    <w:basedOn w:val="1"/>
    <w:qFormat/>
    <w:uiPriority w:val="0"/>
    <w:pPr>
      <w:spacing w:before="10" w:beforeLines="10" w:after="10" w:afterLines="10"/>
    </w:pPr>
    <w:rPr>
      <w:rFonts w:ascii="等线" w:hAnsi="等线" w:cs="等线"/>
      <w:iCs/>
      <w:szCs w:val="24"/>
    </w:rPr>
  </w:style>
  <w:style w:type="paragraph" w:customStyle="1" w:styleId="94">
    <w:name w:val="正文-公1"/>
    <w:basedOn w:val="1"/>
    <w:qFormat/>
    <w:uiPriority w:val="0"/>
    <w:pPr>
      <w:ind w:firstLine="200" w:firstLineChars="200"/>
    </w:pPr>
    <w:rPr>
      <w:color w:val="000000"/>
    </w:rPr>
  </w:style>
  <w:style w:type="paragraph" w:customStyle="1" w:styleId="9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81</Pages>
  <Words>13216</Words>
  <Characters>14306</Characters>
  <Lines>267</Lines>
  <Paragraphs>75</Paragraphs>
  <TotalTime>8</TotalTime>
  <ScaleCrop>false</ScaleCrop>
  <LinksUpToDate>false</LinksUpToDate>
  <CharactersWithSpaces>14593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hh</cp:lastModifiedBy>
  <cp:lastPrinted>2022-01-06T21:58:00Z</cp:lastPrinted>
  <dcterms:modified xsi:type="dcterms:W3CDTF">2024-11-25T14:04:14Z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6E65FE5CD1784030945804B60BDE4B23_13</vt:lpwstr>
  </property>
  <property fmtid="{D5CDD505-2E9C-101B-9397-08002B2CF9AE}" pid="4" name="commondata">
    <vt:lpwstr>eyJoZGlkIjoiNjY1YWU2ZTk2MGU1NDNlZGY5MzE0NzM2ODJlNDA4NTkifQ==</vt:lpwstr>
  </property>
</Properties>
</file>