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67FAF">
      <w:pPr>
        <w:wordWrap w:val="0"/>
        <w:spacing w:line="360" w:lineRule="auto"/>
        <w:ind w:firstLine="482"/>
        <w:jc w:val="center"/>
        <w:rPr>
          <w:rFonts w:hint="eastAsia" w:ascii="仿宋" w:hAnsi="仿宋" w:eastAsia="仿宋" w:cs="仿宋"/>
          <w:b/>
          <w:color w:val="auto"/>
          <w:sz w:val="24"/>
          <w:highlight w:val="none"/>
        </w:rPr>
      </w:pPr>
    </w:p>
    <w:p w14:paraId="22B67FB0">
      <w:pPr>
        <w:wordWrap w:val="0"/>
        <w:adjustRightInd/>
        <w:spacing w:line="360" w:lineRule="auto"/>
        <w:ind w:firstLine="883"/>
        <w:jc w:val="center"/>
        <w:rPr>
          <w:rFonts w:hint="eastAsia" w:ascii="仿宋" w:hAnsi="仿宋" w:eastAsia="仿宋" w:cs="仿宋"/>
          <w:b/>
          <w:color w:val="auto"/>
          <w:sz w:val="44"/>
          <w:szCs w:val="44"/>
          <w:highlight w:val="none"/>
        </w:rPr>
      </w:pPr>
    </w:p>
    <w:p w14:paraId="22B67FB1">
      <w:pPr>
        <w:wordWrap w:val="0"/>
        <w:spacing w:line="360" w:lineRule="auto"/>
        <w:ind w:firstLine="883"/>
        <w:jc w:val="center"/>
        <w:rPr>
          <w:rFonts w:hint="eastAsia" w:ascii="仿宋" w:hAnsi="仿宋" w:eastAsia="仿宋" w:cs="仿宋"/>
          <w:b/>
          <w:color w:val="auto"/>
          <w:sz w:val="44"/>
          <w:szCs w:val="44"/>
          <w:highlight w:val="none"/>
        </w:rPr>
      </w:pPr>
    </w:p>
    <w:p w14:paraId="22B67FB2">
      <w:pPr>
        <w:wordWrap w:val="0"/>
        <w:ind w:firstLine="723"/>
        <w:jc w:val="center"/>
        <w:outlineLvl w:val="0"/>
        <w:rPr>
          <w:rFonts w:hint="eastAsia" w:ascii="仿宋" w:hAnsi="仿宋" w:eastAsia="仿宋" w:cs="仿宋"/>
          <w:b/>
          <w:color w:val="auto"/>
          <w:sz w:val="84"/>
          <w:szCs w:val="84"/>
          <w:highlight w:val="none"/>
        </w:rPr>
      </w:pPr>
      <w:r>
        <w:rPr>
          <w:rFonts w:hint="eastAsia" w:ascii="仿宋" w:hAnsi="仿宋" w:eastAsia="仿宋" w:cs="仿宋"/>
          <w:b/>
          <w:color w:val="auto"/>
          <w:sz w:val="36"/>
          <w:szCs w:val="36"/>
          <w:highlight w:val="none"/>
        </w:rPr>
        <w:t xml:space="preserve"> </w:t>
      </w:r>
      <w:bookmarkStart w:id="0" w:name="_Toc361"/>
      <w:r>
        <w:rPr>
          <w:rFonts w:hint="eastAsia" w:ascii="仿宋" w:hAnsi="仿宋" w:eastAsia="仿宋" w:cs="仿宋"/>
          <w:b/>
          <w:color w:val="auto"/>
          <w:sz w:val="72"/>
          <w:szCs w:val="72"/>
          <w:highlight w:val="none"/>
        </w:rPr>
        <w:t>政府采购公开招标文件</w:t>
      </w:r>
      <w:bookmarkEnd w:id="0"/>
    </w:p>
    <w:p w14:paraId="22B67FB3">
      <w:pPr>
        <w:widowControl/>
        <w:wordWrap w:val="0"/>
        <w:ind w:firstLine="883"/>
        <w:jc w:val="center"/>
        <w:rPr>
          <w:rFonts w:hint="eastAsia" w:ascii="仿宋" w:hAnsi="仿宋" w:eastAsia="仿宋" w:cs="仿宋"/>
          <w:b/>
          <w:color w:val="auto"/>
          <w:sz w:val="44"/>
          <w:szCs w:val="44"/>
          <w:highlight w:val="none"/>
        </w:rPr>
      </w:pPr>
    </w:p>
    <w:p w14:paraId="22B67FB4">
      <w:pPr>
        <w:widowControl/>
        <w:wordWrap w:val="0"/>
        <w:ind w:firstLine="883"/>
        <w:jc w:val="center"/>
        <w:rPr>
          <w:rFonts w:hint="eastAsia" w:ascii="仿宋" w:hAnsi="仿宋" w:eastAsia="仿宋" w:cs="仿宋"/>
          <w:b/>
          <w:color w:val="auto"/>
          <w:sz w:val="44"/>
          <w:szCs w:val="44"/>
          <w:highlight w:val="none"/>
        </w:rPr>
      </w:pPr>
    </w:p>
    <w:p w14:paraId="22B67FB5">
      <w:pPr>
        <w:widowControl/>
        <w:wordWrap w:val="0"/>
        <w:ind w:firstLine="883"/>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22B67FB6">
      <w:pPr>
        <w:pStyle w:val="58"/>
        <w:ind w:firstLine="482"/>
        <w:rPr>
          <w:rFonts w:hint="eastAsia" w:ascii="仿宋" w:hAnsi="仿宋" w:eastAsia="仿宋" w:cs="仿宋"/>
          <w:color w:val="auto"/>
          <w:highlight w:val="none"/>
        </w:rPr>
      </w:pPr>
    </w:p>
    <w:tbl>
      <w:tblPr>
        <w:tblStyle w:val="62"/>
        <w:tblpPr w:leftFromText="180" w:rightFromText="180" w:vertAnchor="text" w:horzAnchor="page" w:tblpX="2004" w:tblpY="441"/>
        <w:tblOverlap w:val="never"/>
        <w:tblW w:w="7686" w:type="dxa"/>
        <w:tblInd w:w="0" w:type="dxa"/>
        <w:tblLayout w:type="fixed"/>
        <w:tblCellMar>
          <w:top w:w="0" w:type="dxa"/>
          <w:left w:w="108" w:type="dxa"/>
          <w:bottom w:w="0" w:type="dxa"/>
          <w:right w:w="108" w:type="dxa"/>
        </w:tblCellMar>
      </w:tblPr>
      <w:tblGrid>
        <w:gridCol w:w="1926"/>
        <w:gridCol w:w="5760"/>
      </w:tblGrid>
      <w:tr w14:paraId="22B67FB9">
        <w:tblPrEx>
          <w:tblCellMar>
            <w:top w:w="0" w:type="dxa"/>
            <w:left w:w="108" w:type="dxa"/>
            <w:bottom w:w="0" w:type="dxa"/>
            <w:right w:w="108" w:type="dxa"/>
          </w:tblCellMar>
        </w:tblPrEx>
        <w:trPr>
          <w:trHeight w:val="1213" w:hRule="atLeast"/>
        </w:trPr>
        <w:tc>
          <w:tcPr>
            <w:tcW w:w="1926" w:type="dxa"/>
            <w:vAlign w:val="center"/>
          </w:tcPr>
          <w:p w14:paraId="22B67FB7">
            <w:pPr>
              <w:keepNext w:val="0"/>
              <w:keepLines w:val="0"/>
              <w:suppressLineNumbers w:val="0"/>
              <w:wordWrap w:val="0"/>
              <w:spacing w:before="0" w:beforeAutospacing="0" w:after="0" w:afterAutospacing="0" w:line="440" w:lineRule="exact"/>
              <w:ind w:left="0" w:right="0"/>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项目名称：</w:t>
            </w:r>
          </w:p>
        </w:tc>
        <w:tc>
          <w:tcPr>
            <w:tcW w:w="5760" w:type="dxa"/>
            <w:vAlign w:val="center"/>
          </w:tcPr>
          <w:p w14:paraId="22B67FB8">
            <w:pPr>
              <w:pStyle w:val="2"/>
              <w:keepNext w:val="0"/>
              <w:keepLines w:val="0"/>
              <w:suppressLineNumbers w:val="0"/>
              <w:wordWrap w:val="0"/>
              <w:snapToGrid w:val="0"/>
              <w:spacing w:before="0" w:beforeAutospacing="0" w:after="0" w:afterAutospacing="0" w:line="440" w:lineRule="exact"/>
              <w:ind w:left="0" w:right="0"/>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胜利河船闸、电厂热水河船闸、姚家坝泵站、施家桥闸站、九沙橡胶坝、九沙和睦闸、九沙东湖闸等养护服务采购项目</w:t>
            </w:r>
          </w:p>
        </w:tc>
      </w:tr>
      <w:tr w14:paraId="22B67FBC">
        <w:tblPrEx>
          <w:tblCellMar>
            <w:top w:w="0" w:type="dxa"/>
            <w:left w:w="108" w:type="dxa"/>
            <w:bottom w:w="0" w:type="dxa"/>
            <w:right w:w="108" w:type="dxa"/>
          </w:tblCellMar>
        </w:tblPrEx>
        <w:trPr>
          <w:trHeight w:val="1213" w:hRule="atLeast"/>
        </w:trPr>
        <w:tc>
          <w:tcPr>
            <w:tcW w:w="1926" w:type="dxa"/>
            <w:vAlign w:val="center"/>
          </w:tcPr>
          <w:p w14:paraId="22B67FBA">
            <w:pPr>
              <w:keepNext w:val="0"/>
              <w:keepLines w:val="0"/>
              <w:suppressLineNumbers w:val="0"/>
              <w:wordWrap w:val="0"/>
              <w:spacing w:before="0" w:beforeAutospacing="0" w:after="0" w:afterAutospacing="0" w:line="440" w:lineRule="exact"/>
              <w:ind w:left="0" w:right="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项目编号：</w:t>
            </w:r>
          </w:p>
        </w:tc>
        <w:tc>
          <w:tcPr>
            <w:tcW w:w="5760" w:type="dxa"/>
            <w:vAlign w:val="center"/>
          </w:tcPr>
          <w:p w14:paraId="22B67FBB">
            <w:pPr>
              <w:keepNext w:val="0"/>
              <w:keepLines w:val="0"/>
              <w:suppressLineNumbers w:val="0"/>
              <w:wordWrap w:val="0"/>
              <w:spacing w:before="0" w:beforeAutospacing="0" w:after="0" w:afterAutospacing="0" w:line="440" w:lineRule="exact"/>
              <w:ind w:left="0" w:right="0"/>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ZJCT6-HD2025-03</w:t>
            </w:r>
          </w:p>
        </w:tc>
      </w:tr>
    </w:tbl>
    <w:p w14:paraId="22B67FBD">
      <w:pPr>
        <w:wordWrap w:val="0"/>
        <w:spacing w:line="440" w:lineRule="exact"/>
        <w:ind w:firstLine="482"/>
        <w:jc w:val="center"/>
        <w:rPr>
          <w:rFonts w:hint="eastAsia" w:ascii="仿宋" w:hAnsi="仿宋" w:eastAsia="仿宋" w:cs="仿宋"/>
          <w:b/>
          <w:color w:val="auto"/>
          <w:sz w:val="24"/>
          <w:highlight w:val="none"/>
        </w:rPr>
      </w:pPr>
    </w:p>
    <w:p w14:paraId="22B67FBE">
      <w:pPr>
        <w:wordWrap w:val="0"/>
        <w:spacing w:line="440" w:lineRule="exact"/>
        <w:jc w:val="center"/>
        <w:rPr>
          <w:rFonts w:hint="eastAsia" w:ascii="仿宋" w:hAnsi="仿宋" w:eastAsia="仿宋" w:cs="仿宋"/>
          <w:color w:val="auto"/>
          <w:kern w:val="0"/>
          <w:sz w:val="24"/>
          <w:highlight w:val="none"/>
        </w:rPr>
      </w:pPr>
    </w:p>
    <w:p w14:paraId="22B67FBF">
      <w:pPr>
        <w:wordWrap w:val="0"/>
        <w:spacing w:line="440" w:lineRule="exact"/>
        <w:jc w:val="center"/>
        <w:rPr>
          <w:rFonts w:hint="eastAsia" w:ascii="仿宋" w:hAnsi="仿宋" w:eastAsia="仿宋" w:cs="仿宋"/>
          <w:color w:val="auto"/>
          <w:sz w:val="24"/>
          <w:highlight w:val="none"/>
        </w:rPr>
      </w:pPr>
    </w:p>
    <w:p w14:paraId="22B67FC0">
      <w:pPr>
        <w:wordWrap w:val="0"/>
        <w:spacing w:line="440" w:lineRule="exact"/>
        <w:jc w:val="center"/>
        <w:rPr>
          <w:rFonts w:hint="eastAsia" w:ascii="仿宋" w:hAnsi="仿宋" w:eastAsia="仿宋" w:cs="仿宋"/>
          <w:color w:val="auto"/>
          <w:sz w:val="24"/>
          <w:highlight w:val="none"/>
        </w:rPr>
      </w:pPr>
    </w:p>
    <w:p w14:paraId="22B67FC1">
      <w:pPr>
        <w:wordWrap w:val="0"/>
        <w:spacing w:line="440" w:lineRule="exact"/>
        <w:jc w:val="center"/>
        <w:rPr>
          <w:rFonts w:hint="eastAsia" w:ascii="仿宋" w:hAnsi="仿宋" w:eastAsia="仿宋" w:cs="仿宋"/>
          <w:color w:val="auto"/>
          <w:sz w:val="24"/>
          <w:highlight w:val="none"/>
        </w:rPr>
      </w:pPr>
    </w:p>
    <w:p w14:paraId="22B67FC2">
      <w:pPr>
        <w:wordWrap w:val="0"/>
        <w:spacing w:line="440" w:lineRule="exact"/>
        <w:jc w:val="center"/>
        <w:rPr>
          <w:rFonts w:hint="eastAsia" w:ascii="仿宋" w:hAnsi="仿宋" w:eastAsia="仿宋" w:cs="仿宋"/>
          <w:color w:val="auto"/>
          <w:sz w:val="24"/>
          <w:highlight w:val="none"/>
        </w:rPr>
      </w:pPr>
    </w:p>
    <w:p w14:paraId="22B67FC3">
      <w:pPr>
        <w:pStyle w:val="79"/>
        <w:wordWrap w:val="0"/>
        <w:spacing w:line="440" w:lineRule="exact"/>
        <w:rPr>
          <w:rFonts w:hint="eastAsia" w:ascii="仿宋" w:hAnsi="仿宋" w:eastAsia="仿宋" w:cs="仿宋"/>
          <w:color w:val="auto"/>
          <w:szCs w:val="24"/>
          <w:highlight w:val="none"/>
        </w:rPr>
      </w:pPr>
    </w:p>
    <w:p w14:paraId="22B67FC4">
      <w:pPr>
        <w:pStyle w:val="79"/>
        <w:wordWrap w:val="0"/>
        <w:spacing w:line="440" w:lineRule="exact"/>
        <w:rPr>
          <w:rFonts w:hint="eastAsia" w:ascii="仿宋" w:hAnsi="仿宋" w:eastAsia="仿宋" w:cs="仿宋"/>
          <w:color w:val="auto"/>
          <w:szCs w:val="24"/>
          <w:highlight w:val="none"/>
        </w:rPr>
      </w:pPr>
    </w:p>
    <w:p w14:paraId="22B67FC5">
      <w:pPr>
        <w:pStyle w:val="79"/>
        <w:wordWrap w:val="0"/>
        <w:spacing w:line="440" w:lineRule="exact"/>
        <w:rPr>
          <w:rFonts w:hint="eastAsia" w:ascii="仿宋" w:hAnsi="仿宋" w:eastAsia="仿宋" w:cs="仿宋"/>
          <w:color w:val="auto"/>
          <w:szCs w:val="24"/>
          <w:highlight w:val="none"/>
        </w:rPr>
      </w:pPr>
    </w:p>
    <w:p w14:paraId="22B67FC6">
      <w:pPr>
        <w:pStyle w:val="79"/>
        <w:wordWrap w:val="0"/>
        <w:spacing w:line="440" w:lineRule="exact"/>
        <w:rPr>
          <w:rFonts w:hint="eastAsia" w:ascii="仿宋" w:hAnsi="仿宋" w:eastAsia="仿宋" w:cs="仿宋"/>
          <w:color w:val="auto"/>
          <w:szCs w:val="24"/>
          <w:highlight w:val="none"/>
        </w:rPr>
      </w:pPr>
    </w:p>
    <w:p w14:paraId="22B67FC7">
      <w:pPr>
        <w:pStyle w:val="79"/>
        <w:wordWrap w:val="0"/>
        <w:spacing w:line="440" w:lineRule="exact"/>
        <w:rPr>
          <w:rFonts w:hint="eastAsia" w:ascii="仿宋" w:hAnsi="仿宋" w:eastAsia="仿宋" w:cs="仿宋"/>
          <w:color w:val="auto"/>
          <w:szCs w:val="24"/>
          <w:highlight w:val="none"/>
        </w:rPr>
      </w:pPr>
    </w:p>
    <w:p w14:paraId="22B67FC8">
      <w:pPr>
        <w:pStyle w:val="79"/>
        <w:wordWrap w:val="0"/>
        <w:spacing w:line="440" w:lineRule="exact"/>
        <w:rPr>
          <w:rFonts w:hint="eastAsia" w:ascii="仿宋" w:hAnsi="仿宋" w:eastAsia="仿宋" w:cs="仿宋"/>
          <w:color w:val="auto"/>
          <w:szCs w:val="24"/>
          <w:highlight w:val="none"/>
        </w:rPr>
      </w:pPr>
    </w:p>
    <w:tbl>
      <w:tblPr>
        <w:tblStyle w:val="62"/>
        <w:tblW w:w="9157" w:type="dxa"/>
        <w:jc w:val="center"/>
        <w:tblLayout w:type="fixed"/>
        <w:tblCellMar>
          <w:top w:w="0" w:type="dxa"/>
          <w:left w:w="108" w:type="dxa"/>
          <w:bottom w:w="0" w:type="dxa"/>
          <w:right w:w="108" w:type="dxa"/>
        </w:tblCellMar>
      </w:tblPr>
      <w:tblGrid>
        <w:gridCol w:w="2247"/>
        <w:gridCol w:w="6910"/>
      </w:tblGrid>
      <w:tr w14:paraId="22B67FCC">
        <w:tblPrEx>
          <w:tblCellMar>
            <w:top w:w="0" w:type="dxa"/>
            <w:left w:w="108" w:type="dxa"/>
            <w:bottom w:w="0" w:type="dxa"/>
            <w:right w:w="108" w:type="dxa"/>
          </w:tblCellMar>
        </w:tblPrEx>
        <w:trPr>
          <w:trHeight w:val="858" w:hRule="atLeast"/>
          <w:jc w:val="center"/>
        </w:trPr>
        <w:tc>
          <w:tcPr>
            <w:tcW w:w="2247" w:type="dxa"/>
            <w:vAlign w:val="center"/>
          </w:tcPr>
          <w:p w14:paraId="22B67FCA">
            <w:pPr>
              <w:keepNext w:val="0"/>
              <w:keepLines w:val="0"/>
              <w:suppressLineNumbers w:val="0"/>
              <w:wordWrap w:val="0"/>
              <w:spacing w:before="0" w:beforeAutospacing="0" w:after="0" w:afterAutospacing="0" w:line="440" w:lineRule="exact"/>
              <w:ind w:left="0" w:right="0"/>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采</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购</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人：</w:t>
            </w:r>
          </w:p>
        </w:tc>
        <w:tc>
          <w:tcPr>
            <w:tcW w:w="6910" w:type="dxa"/>
            <w:vAlign w:val="center"/>
          </w:tcPr>
          <w:p w14:paraId="22B67FCB">
            <w:pPr>
              <w:pStyle w:val="2"/>
              <w:keepNext w:val="0"/>
              <w:keepLines w:val="0"/>
              <w:suppressLineNumbers w:val="0"/>
              <w:wordWrap w:val="0"/>
              <w:snapToGrid w:val="0"/>
              <w:spacing w:before="0" w:beforeAutospacing="0" w:after="0" w:afterAutospacing="0" w:line="440" w:lineRule="exact"/>
              <w:ind w:left="0" w:right="0"/>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杭州市城市水设施和河道保护管理中心</w:t>
            </w:r>
          </w:p>
        </w:tc>
      </w:tr>
      <w:tr w14:paraId="22B67FCF">
        <w:tblPrEx>
          <w:tblCellMar>
            <w:top w:w="0" w:type="dxa"/>
            <w:left w:w="108" w:type="dxa"/>
            <w:bottom w:w="0" w:type="dxa"/>
            <w:right w:w="108" w:type="dxa"/>
          </w:tblCellMar>
        </w:tblPrEx>
        <w:trPr>
          <w:trHeight w:val="943" w:hRule="atLeast"/>
          <w:jc w:val="center"/>
        </w:trPr>
        <w:tc>
          <w:tcPr>
            <w:tcW w:w="2247" w:type="dxa"/>
            <w:vAlign w:val="center"/>
          </w:tcPr>
          <w:p w14:paraId="22B67FCD">
            <w:pPr>
              <w:keepNext w:val="0"/>
              <w:keepLines w:val="0"/>
              <w:suppressLineNumbers w:val="0"/>
              <w:wordWrap w:val="0"/>
              <w:spacing w:before="0" w:beforeAutospacing="0" w:after="0" w:afterAutospacing="0" w:line="440" w:lineRule="exact"/>
              <w:ind w:left="0" w:right="0"/>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代理机构：</w:t>
            </w:r>
          </w:p>
        </w:tc>
        <w:tc>
          <w:tcPr>
            <w:tcW w:w="6910" w:type="dxa"/>
            <w:vAlign w:val="center"/>
          </w:tcPr>
          <w:p w14:paraId="22B67FCE">
            <w:pPr>
              <w:pStyle w:val="2"/>
              <w:keepNext w:val="0"/>
              <w:keepLines w:val="0"/>
              <w:suppressLineNumbers w:val="0"/>
              <w:wordWrap w:val="0"/>
              <w:snapToGrid w:val="0"/>
              <w:spacing w:before="0" w:beforeAutospacing="0" w:after="0" w:afterAutospacing="0" w:line="440" w:lineRule="exact"/>
              <w:ind w:left="0" w:right="0"/>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浙江省成套工程有限公司</w:t>
            </w:r>
          </w:p>
        </w:tc>
      </w:tr>
      <w:tr w14:paraId="22B67FD2">
        <w:tblPrEx>
          <w:tblCellMar>
            <w:top w:w="0" w:type="dxa"/>
            <w:left w:w="108" w:type="dxa"/>
            <w:bottom w:w="0" w:type="dxa"/>
            <w:right w:w="108" w:type="dxa"/>
          </w:tblCellMar>
        </w:tblPrEx>
        <w:trPr>
          <w:trHeight w:val="929" w:hRule="atLeast"/>
          <w:jc w:val="center"/>
        </w:trPr>
        <w:tc>
          <w:tcPr>
            <w:tcW w:w="2247" w:type="dxa"/>
            <w:vAlign w:val="center"/>
          </w:tcPr>
          <w:p w14:paraId="22B67FD0">
            <w:pPr>
              <w:keepNext w:val="0"/>
              <w:keepLines w:val="0"/>
              <w:suppressLineNumbers w:val="0"/>
              <w:wordWrap w:val="0"/>
              <w:spacing w:before="0" w:beforeAutospacing="0" w:after="0" w:afterAutospacing="0" w:line="440" w:lineRule="exact"/>
              <w:ind w:left="0" w:right="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日    期：</w:t>
            </w:r>
          </w:p>
        </w:tc>
        <w:tc>
          <w:tcPr>
            <w:tcW w:w="6910" w:type="dxa"/>
            <w:vAlign w:val="center"/>
          </w:tcPr>
          <w:p w14:paraId="22B67FD1">
            <w:pPr>
              <w:keepNext w:val="0"/>
              <w:keepLines w:val="0"/>
              <w:suppressLineNumbers w:val="0"/>
              <w:wordWrap w:val="0"/>
              <w:spacing w:before="0" w:beforeAutospacing="0" w:after="0" w:afterAutospacing="0" w:line="440" w:lineRule="exact"/>
              <w:ind w:left="0" w:right="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二〇二</w:t>
            </w:r>
            <w:r>
              <w:rPr>
                <w:rFonts w:hint="eastAsia" w:ascii="仿宋" w:hAnsi="仿宋" w:eastAsia="仿宋" w:cs="仿宋"/>
                <w:b/>
                <w:bCs/>
                <w:color w:val="auto"/>
                <w:sz w:val="36"/>
                <w:szCs w:val="36"/>
                <w:highlight w:val="none"/>
                <w:lang w:eastAsia="zh-CN"/>
              </w:rPr>
              <w:t>五</w:t>
            </w:r>
            <w:r>
              <w:rPr>
                <w:rFonts w:hint="eastAsia" w:ascii="仿宋" w:hAnsi="仿宋" w:eastAsia="仿宋" w:cs="仿宋"/>
                <w:b/>
                <w:bCs/>
                <w:color w:val="auto"/>
                <w:sz w:val="36"/>
                <w:szCs w:val="36"/>
                <w:highlight w:val="none"/>
              </w:rPr>
              <w:t>年</w:t>
            </w:r>
            <w:r>
              <w:rPr>
                <w:rFonts w:hint="eastAsia" w:ascii="仿宋" w:hAnsi="仿宋" w:eastAsia="仿宋" w:cs="仿宋"/>
                <w:b/>
                <w:bCs/>
                <w:color w:val="auto"/>
                <w:sz w:val="36"/>
                <w:szCs w:val="36"/>
                <w:highlight w:val="none"/>
                <w:lang w:eastAsia="zh-CN"/>
              </w:rPr>
              <w:t>一</w:t>
            </w:r>
            <w:r>
              <w:rPr>
                <w:rFonts w:hint="eastAsia" w:ascii="仿宋" w:hAnsi="仿宋" w:eastAsia="仿宋" w:cs="仿宋"/>
                <w:b/>
                <w:bCs/>
                <w:color w:val="auto"/>
                <w:sz w:val="36"/>
                <w:szCs w:val="36"/>
                <w:highlight w:val="none"/>
              </w:rPr>
              <w:t>月</w:t>
            </w:r>
            <w:r>
              <w:rPr>
                <w:rFonts w:hint="eastAsia" w:ascii="仿宋" w:hAnsi="仿宋" w:eastAsia="仿宋" w:cs="仿宋"/>
                <w:b/>
                <w:bCs/>
                <w:color w:val="auto"/>
                <w:sz w:val="36"/>
                <w:szCs w:val="36"/>
                <w:highlight w:val="none"/>
                <w:lang w:eastAsia="zh-CN"/>
              </w:rPr>
              <w:t>八</w:t>
            </w:r>
            <w:r>
              <w:rPr>
                <w:rFonts w:hint="eastAsia" w:ascii="仿宋" w:hAnsi="仿宋" w:eastAsia="仿宋" w:cs="仿宋"/>
                <w:b/>
                <w:bCs/>
                <w:color w:val="auto"/>
                <w:sz w:val="36"/>
                <w:szCs w:val="36"/>
                <w:highlight w:val="none"/>
              </w:rPr>
              <w:t>日</w:t>
            </w:r>
          </w:p>
        </w:tc>
      </w:tr>
    </w:tbl>
    <w:p w14:paraId="66206AC4">
      <w:pPr>
        <w:wordWrap w:val="0"/>
        <w:spacing w:line="360" w:lineRule="auto"/>
        <w:jc w:val="center"/>
        <w:rPr>
          <w:rFonts w:hint="eastAsia" w:ascii="仿宋" w:hAnsi="仿宋" w:eastAsia="仿宋" w:cs="仿宋"/>
          <w:color w:val="auto"/>
          <w:sz w:val="24"/>
          <w:highlight w:val="none"/>
        </w:rPr>
        <w:sectPr>
          <w:headerReference r:id="rId4" w:type="first"/>
          <w:headerReference r:id="rId3" w:type="default"/>
          <w:footerReference r:id="rId5" w:type="even"/>
          <w:pgSz w:w="11905" w:h="16838"/>
          <w:pgMar w:top="652" w:right="1417" w:bottom="680" w:left="1417" w:header="539" w:footer="425" w:gutter="0"/>
          <w:cols w:space="0" w:num="1"/>
          <w:titlePg/>
          <w:docGrid w:linePitch="312" w:charSpace="0"/>
        </w:sectPr>
      </w:pPr>
    </w:p>
    <w:p w14:paraId="22B67FD4">
      <w:pPr>
        <w:pStyle w:val="58"/>
        <w:ind w:firstLine="482"/>
        <w:rPr>
          <w:rFonts w:hint="eastAsia" w:ascii="仿宋" w:hAnsi="仿宋" w:eastAsia="仿宋" w:cs="仿宋"/>
          <w:color w:val="auto"/>
          <w:highlight w:val="none"/>
        </w:rPr>
      </w:pPr>
    </w:p>
    <w:p w14:paraId="22B67FD5">
      <w:pPr>
        <w:wordWrap w:val="0"/>
        <w:spacing w:line="360" w:lineRule="auto"/>
        <w:ind w:firstLine="723"/>
        <w:jc w:val="center"/>
        <w:rPr>
          <w:rFonts w:hint="eastAsia" w:ascii="仿宋" w:hAnsi="仿宋" w:eastAsia="仿宋" w:cs="仿宋"/>
          <w:b/>
          <w:bCs/>
          <w:color w:val="auto"/>
          <w:sz w:val="36"/>
          <w:szCs w:val="36"/>
          <w:highlight w:val="none"/>
        </w:rPr>
      </w:pPr>
      <w:bookmarkStart w:id="1" w:name="_Hlt91233176"/>
      <w:bookmarkEnd w:id="1"/>
      <w:bookmarkStart w:id="2" w:name="_Toc91899869"/>
      <w:r>
        <w:rPr>
          <w:rFonts w:hint="eastAsia" w:ascii="仿宋" w:hAnsi="仿宋" w:eastAsia="仿宋" w:cs="仿宋"/>
          <w:b/>
          <w:bCs/>
          <w:color w:val="auto"/>
          <w:sz w:val="36"/>
          <w:szCs w:val="36"/>
          <w:highlight w:val="none"/>
        </w:rPr>
        <w:t>目录</w:t>
      </w:r>
    </w:p>
    <w:sdt>
      <w:sdtPr>
        <w:rPr>
          <w:rFonts w:ascii="宋体" w:hAnsi="宋体"/>
          <w:color w:val="auto"/>
          <w:highlight w:val="none"/>
        </w:rPr>
        <w:id w:val="147456608"/>
        <w15:color w:val="DBDBDB"/>
        <w:docPartObj>
          <w:docPartGallery w:val="Table of Contents"/>
          <w:docPartUnique/>
        </w:docPartObj>
      </w:sdtPr>
      <w:sdtEndPr>
        <w:rPr>
          <w:rFonts w:ascii="仿宋" w:hAnsi="仿宋" w:eastAsia="仿宋" w:cs="仿宋"/>
          <w:color w:val="auto"/>
          <w:highlight w:val="none"/>
        </w:rPr>
      </w:sdtEndPr>
      <w:sdtContent>
        <w:p w14:paraId="22B67FD6">
          <w:pPr>
            <w:jc w:val="center"/>
            <w:rPr>
              <w:color w:val="auto"/>
              <w:highlight w:val="none"/>
            </w:rPr>
          </w:pPr>
        </w:p>
        <w:p w14:paraId="22B67FD7">
          <w:pPr>
            <w:pStyle w:val="964"/>
            <w:tabs>
              <w:tab w:val="right" w:leader="dot" w:pos="9071"/>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40"/>
              <w:szCs w:val="28"/>
              <w:highlight w:val="none"/>
            </w:rPr>
            <w:fldChar w:fldCharType="begin"/>
          </w:r>
          <w:r>
            <w:rPr>
              <w:rFonts w:hint="eastAsia" w:ascii="仿宋" w:hAnsi="仿宋" w:eastAsia="仿宋" w:cs="仿宋"/>
              <w:color w:val="auto"/>
              <w:sz w:val="40"/>
              <w:szCs w:val="28"/>
              <w:highlight w:val="none"/>
            </w:rPr>
            <w:instrText xml:space="preserve">TOC \o "1-1" \h \u </w:instrText>
          </w:r>
          <w:r>
            <w:rPr>
              <w:rFonts w:hint="eastAsia" w:ascii="仿宋" w:hAnsi="仿宋" w:eastAsia="仿宋" w:cs="仿宋"/>
              <w:color w:val="auto"/>
              <w:sz w:val="40"/>
              <w:szCs w:val="28"/>
              <w:highlight w:val="none"/>
            </w:rPr>
            <w:fldChar w:fldCharType="separate"/>
          </w:r>
          <w:r>
            <w:rPr>
              <w:color w:val="auto"/>
              <w:highlight w:val="none"/>
            </w:rPr>
            <w:fldChar w:fldCharType="begin"/>
          </w:r>
          <w:r>
            <w:rPr>
              <w:color w:val="auto"/>
              <w:highlight w:val="none"/>
            </w:rPr>
            <w:instrText xml:space="preserve"> HYPERLINK \l "_Toc20941" </w:instrText>
          </w:r>
          <w:r>
            <w:rPr>
              <w:color w:val="auto"/>
              <w:highlight w:val="none"/>
            </w:rPr>
            <w:fldChar w:fldCharType="separate"/>
          </w:r>
          <w:r>
            <w:rPr>
              <w:rFonts w:hint="eastAsia" w:ascii="仿宋" w:hAnsi="仿宋" w:eastAsia="仿宋" w:cs="仿宋"/>
              <w:color w:val="auto"/>
              <w:sz w:val="28"/>
              <w:szCs w:val="28"/>
              <w:highlight w:val="none"/>
            </w:rPr>
            <w:t>第一部分 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_Toc20941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2B67FD8">
          <w:pPr>
            <w:pStyle w:val="964"/>
            <w:tabs>
              <w:tab w:val="right" w:leader="dot" w:pos="9071"/>
            </w:tabs>
            <w:spacing w:line="360"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"_Toc15530" </w:instrText>
          </w:r>
          <w:r>
            <w:rPr>
              <w:color w:val="auto"/>
              <w:highlight w:val="none"/>
            </w:rPr>
            <w:fldChar w:fldCharType="separate"/>
          </w:r>
          <w:r>
            <w:rPr>
              <w:rFonts w:hint="eastAsia" w:ascii="仿宋" w:hAnsi="仿宋" w:eastAsia="仿宋" w:cs="仿宋"/>
              <w:color w:val="auto"/>
              <w:sz w:val="28"/>
              <w:szCs w:val="28"/>
              <w:highlight w:val="none"/>
            </w:rPr>
            <w:t>第二部分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_Toc15530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2B67FD9">
          <w:pPr>
            <w:pStyle w:val="964"/>
            <w:tabs>
              <w:tab w:val="right" w:leader="dot" w:pos="9071"/>
            </w:tabs>
            <w:spacing w:line="360"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"_Toc32166" </w:instrText>
          </w:r>
          <w:r>
            <w:rPr>
              <w:color w:val="auto"/>
              <w:highlight w:val="none"/>
            </w:rPr>
            <w:fldChar w:fldCharType="separate"/>
          </w:r>
          <w:r>
            <w:rPr>
              <w:rFonts w:hint="eastAsia" w:ascii="仿宋" w:hAnsi="仿宋" w:eastAsia="仿宋" w:cs="仿宋"/>
              <w:color w:val="auto"/>
              <w:sz w:val="28"/>
              <w:szCs w:val="52"/>
              <w:highlight w:val="none"/>
            </w:rPr>
            <w:t>第三部分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_Toc32166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2B67FDA">
          <w:pPr>
            <w:pStyle w:val="964"/>
            <w:tabs>
              <w:tab w:val="right" w:leader="dot" w:pos="9071"/>
            </w:tabs>
            <w:spacing w:line="360"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"_Toc13545" </w:instrText>
          </w:r>
          <w:r>
            <w:rPr>
              <w:color w:val="auto"/>
              <w:highlight w:val="none"/>
            </w:rPr>
            <w:fldChar w:fldCharType="separate"/>
          </w:r>
          <w:r>
            <w:rPr>
              <w:rFonts w:hint="eastAsia" w:ascii="仿宋" w:hAnsi="仿宋" w:eastAsia="仿宋" w:cs="仿宋"/>
              <w:color w:val="auto"/>
              <w:sz w:val="28"/>
              <w:szCs w:val="52"/>
              <w:highlight w:val="none"/>
            </w:rPr>
            <w:t>第四部分 评标办法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_Toc13545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2B67FDB">
          <w:pPr>
            <w:pStyle w:val="964"/>
            <w:tabs>
              <w:tab w:val="right" w:leader="dot" w:pos="9071"/>
            </w:tabs>
            <w:spacing w:line="360"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"_Toc15911" </w:instrText>
          </w:r>
          <w:r>
            <w:rPr>
              <w:color w:val="auto"/>
              <w:highlight w:val="none"/>
            </w:rPr>
            <w:fldChar w:fldCharType="separate"/>
          </w:r>
          <w:r>
            <w:rPr>
              <w:rFonts w:hint="eastAsia" w:ascii="仿宋" w:hAnsi="仿宋" w:eastAsia="仿宋" w:cs="仿宋"/>
              <w:color w:val="auto"/>
              <w:sz w:val="28"/>
              <w:szCs w:val="52"/>
              <w:highlight w:val="none"/>
            </w:rPr>
            <w:t>第五部分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_Toc15911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2B67FDC">
          <w:pPr>
            <w:pStyle w:val="964"/>
            <w:tabs>
              <w:tab w:val="right" w:leader="dot" w:pos="9071"/>
            </w:tabs>
            <w:spacing w:line="360"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"_Toc28848" </w:instrText>
          </w:r>
          <w:r>
            <w:rPr>
              <w:color w:val="auto"/>
              <w:highlight w:val="none"/>
            </w:rPr>
            <w:fldChar w:fldCharType="separate"/>
          </w:r>
          <w:r>
            <w:rPr>
              <w:rFonts w:hint="eastAsia" w:ascii="仿宋" w:hAnsi="仿宋" w:eastAsia="仿宋" w:cs="仿宋"/>
              <w:color w:val="auto"/>
              <w:sz w:val="28"/>
              <w:szCs w:val="28"/>
              <w:highlight w:val="none"/>
            </w:rPr>
            <w:t>第六部分 应提交的有关格式范例</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_Toc28848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2B67FDD">
          <w:pPr>
            <w:pStyle w:val="964"/>
            <w:tabs>
              <w:tab w:val="right" w:leader="dot" w:pos="9071"/>
            </w:tabs>
            <w:spacing w:line="360" w:lineRule="auto"/>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"_Toc1515" </w:instrText>
          </w:r>
          <w:r>
            <w:rPr>
              <w:color w:val="auto"/>
              <w:highlight w:val="none"/>
            </w:rPr>
            <w:fldChar w:fldCharType="separate"/>
          </w: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_Toc1515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F46CD09">
          <w:pPr>
            <w:pStyle w:val="964"/>
            <w:tabs>
              <w:tab w:val="right" w:leader="dot" w:pos="9071"/>
            </w:tabs>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另附：</w:t>
          </w:r>
        </w:p>
        <w:p w14:paraId="575EE6DD">
          <w:pPr>
            <w:pStyle w:val="964"/>
            <w:tabs>
              <w:tab w:val="right" w:leader="dot" w:pos="9071"/>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附件</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杭州城市河道相关船闸/水闸、泵站及配套闸门基本情况表</w:t>
          </w:r>
        </w:p>
        <w:p w14:paraId="1E950F6A">
          <w:pPr>
            <w:pStyle w:val="964"/>
            <w:tabs>
              <w:tab w:val="right" w:leader="dot" w:pos="9071"/>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附件2城市河道闸站运行维护管理规范</w:t>
          </w:r>
        </w:p>
        <w:p w14:paraId="633BC3F3">
          <w:pPr>
            <w:pStyle w:val="964"/>
            <w:tabs>
              <w:tab w:val="right" w:leader="dot" w:pos="9071"/>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附件3杭州市城市河道养护人员作业行为规范（试行）</w:t>
          </w:r>
        </w:p>
        <w:p w14:paraId="06F9F247">
          <w:pPr>
            <w:pStyle w:val="964"/>
            <w:tabs>
              <w:tab w:val="right" w:leader="dot" w:pos="9071"/>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附件4杭州市市管河道闸站长效管理考核实施细则</w:t>
          </w:r>
        </w:p>
        <w:p w14:paraId="56D36D61">
          <w:pPr>
            <w:pStyle w:val="964"/>
            <w:tabs>
              <w:tab w:val="right" w:leader="dot" w:pos="9071"/>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附件5杭州市城市河道相关闸站运行维护费用（简明）</w:t>
          </w:r>
        </w:p>
        <w:p w14:paraId="30830118">
          <w:pPr>
            <w:pStyle w:val="964"/>
            <w:tabs>
              <w:tab w:val="right" w:leader="dot" w:pos="9071"/>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附件6杭州市城市河道相关闸站等级划分</w:t>
          </w:r>
        </w:p>
        <w:p w14:paraId="15219D57">
          <w:pPr>
            <w:pStyle w:val="964"/>
            <w:tabs>
              <w:tab w:val="right" w:leader="dot" w:pos="9071"/>
            </w:tabs>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附件7杭州市城市河道相关闸站运行维护费用（组成）</w:t>
          </w:r>
        </w:p>
        <w:p w14:paraId="22B67FDF">
          <w:pPr>
            <w:wordWrap w:val="0"/>
            <w:spacing w:line="360" w:lineRule="auto"/>
            <w:ind w:firstLine="640"/>
            <w:rPr>
              <w:rFonts w:hint="eastAsia" w:ascii="仿宋" w:hAnsi="仿宋" w:eastAsia="仿宋" w:cs="仿宋"/>
              <w:color w:val="auto"/>
              <w:highlight w:val="none"/>
            </w:rPr>
          </w:pPr>
          <w:r>
            <w:rPr>
              <w:rFonts w:hint="eastAsia" w:ascii="仿宋" w:hAnsi="仿宋" w:eastAsia="仿宋" w:cs="仿宋"/>
              <w:color w:val="auto"/>
              <w:sz w:val="32"/>
              <w:szCs w:val="40"/>
              <w:highlight w:val="none"/>
            </w:rPr>
            <w:fldChar w:fldCharType="end"/>
          </w:r>
        </w:p>
      </w:sdtContent>
    </w:sdt>
    <w:p w14:paraId="22B67FE0">
      <w:pPr>
        <w:pStyle w:val="2"/>
        <w:rPr>
          <w:color w:val="auto"/>
          <w:highlight w:val="none"/>
        </w:rPr>
      </w:pPr>
    </w:p>
    <w:p w14:paraId="22B67FE1">
      <w:pPr>
        <w:wordWrap w:val="0"/>
        <w:spacing w:line="360" w:lineRule="auto"/>
        <w:ind w:firstLine="549" w:firstLineChars="229"/>
        <w:rPr>
          <w:rFonts w:hint="eastAsia" w:ascii="仿宋" w:hAnsi="仿宋" w:eastAsia="仿宋" w:cs="仿宋"/>
          <w:color w:val="auto"/>
          <w:sz w:val="24"/>
          <w:highlight w:val="none"/>
        </w:rPr>
      </w:pPr>
    </w:p>
    <w:p w14:paraId="22B67FE2">
      <w:pPr>
        <w:wordWrap w:val="0"/>
        <w:spacing w:line="360" w:lineRule="auto"/>
        <w:ind w:firstLine="549" w:firstLineChars="229"/>
        <w:rPr>
          <w:rFonts w:hint="eastAsia" w:ascii="仿宋" w:hAnsi="仿宋" w:eastAsia="仿宋" w:cs="仿宋"/>
          <w:color w:val="auto"/>
          <w:sz w:val="24"/>
          <w:highlight w:val="none"/>
        </w:rPr>
      </w:pPr>
    </w:p>
    <w:p w14:paraId="22B67FE3">
      <w:pPr>
        <w:wordWrap w:val="0"/>
        <w:spacing w:line="360" w:lineRule="auto"/>
        <w:ind w:firstLine="549" w:firstLineChars="229"/>
        <w:rPr>
          <w:rFonts w:hint="eastAsia" w:ascii="仿宋" w:hAnsi="仿宋" w:eastAsia="仿宋" w:cs="仿宋"/>
          <w:color w:val="auto"/>
          <w:sz w:val="24"/>
          <w:highlight w:val="none"/>
        </w:rPr>
      </w:pPr>
    </w:p>
    <w:p w14:paraId="22B67FE4">
      <w:pPr>
        <w:wordWrap w:val="0"/>
        <w:spacing w:line="360" w:lineRule="auto"/>
        <w:rPr>
          <w:rFonts w:hint="eastAsia" w:ascii="仿宋" w:hAnsi="仿宋" w:eastAsia="仿宋" w:cs="仿宋"/>
          <w:color w:val="auto"/>
          <w:sz w:val="24"/>
          <w:highlight w:val="none"/>
        </w:rPr>
      </w:pPr>
    </w:p>
    <w:bookmarkEnd w:id="2"/>
    <w:p w14:paraId="43F779D8">
      <w:pPr>
        <w:wordWrap w:val="0"/>
        <w:adjustRightInd/>
        <w:spacing w:line="360" w:lineRule="auto"/>
        <w:ind w:firstLine="723"/>
        <w:jc w:val="center"/>
        <w:rPr>
          <w:rFonts w:hint="eastAsia" w:ascii="仿宋" w:hAnsi="仿宋" w:eastAsia="仿宋" w:cs="仿宋"/>
          <w:b/>
          <w:color w:val="auto"/>
          <w:sz w:val="36"/>
          <w:szCs w:val="36"/>
          <w:highlight w:val="none"/>
        </w:rPr>
        <w:sectPr>
          <w:footerReference r:id="rId7" w:type="first"/>
          <w:footerReference r:id="rId6" w:type="default"/>
          <w:pgSz w:w="11905" w:h="16838"/>
          <w:pgMar w:top="652" w:right="1417" w:bottom="680" w:left="1417" w:header="539" w:footer="425" w:gutter="0"/>
          <w:pgNumType w:start="1"/>
          <w:cols w:space="0" w:num="1"/>
          <w:docGrid w:linePitch="312" w:charSpace="0"/>
        </w:sectPr>
      </w:pPr>
      <w:bookmarkStart w:id="3" w:name="_Hlt74707423"/>
      <w:bookmarkEnd w:id="3"/>
      <w:bookmarkStart w:id="4" w:name="_Hlt74728647"/>
      <w:bookmarkEnd w:id="4"/>
      <w:bookmarkStart w:id="5" w:name="_Hlt74729822"/>
      <w:bookmarkEnd w:id="5"/>
      <w:bookmarkStart w:id="6" w:name="_Hlt74649545"/>
      <w:bookmarkEnd w:id="6"/>
      <w:bookmarkStart w:id="7" w:name="_Toc597"/>
      <w:bookmarkStart w:id="8" w:name="_Toc14735"/>
      <w:bookmarkStart w:id="9" w:name="_Toc31815"/>
      <w:bookmarkStart w:id="10" w:name="_Toc22995"/>
      <w:bookmarkStart w:id="11" w:name="_Toc12153"/>
      <w:bookmarkStart w:id="12" w:name="_Toc18065"/>
      <w:bookmarkStart w:id="13" w:name="_Toc20857"/>
      <w:bookmarkStart w:id="14" w:name="第二部分"/>
      <w:bookmarkStart w:id="15" w:name="_Toc91899870"/>
      <w:bookmarkStart w:id="16" w:name="_Toc91899871"/>
    </w:p>
    <w:p w14:paraId="22B67FE6">
      <w:pPr>
        <w:wordWrap w:val="0"/>
        <w:adjustRightInd/>
        <w:spacing w:line="360" w:lineRule="auto"/>
        <w:ind w:firstLine="723"/>
        <w:jc w:val="center"/>
        <w:outlineLvl w:val="0"/>
        <w:rPr>
          <w:rFonts w:hint="eastAsia" w:ascii="仿宋" w:hAnsi="仿宋" w:eastAsia="仿宋" w:cs="仿宋"/>
          <w:b/>
          <w:color w:val="auto"/>
          <w:sz w:val="36"/>
          <w:szCs w:val="20"/>
          <w:highlight w:val="none"/>
        </w:rPr>
      </w:pPr>
      <w:bookmarkStart w:id="17" w:name="_Toc20941"/>
      <w:bookmarkStart w:id="18" w:name="_Toc15208"/>
      <w:r>
        <w:rPr>
          <w:rFonts w:hint="eastAsia" w:ascii="仿宋" w:hAnsi="仿宋" w:eastAsia="仿宋" w:cs="仿宋"/>
          <w:b/>
          <w:color w:val="auto"/>
          <w:sz w:val="36"/>
          <w:szCs w:val="20"/>
          <w:highlight w:val="none"/>
        </w:rPr>
        <w:t>第一部分 招标公告</w:t>
      </w:r>
      <w:bookmarkEnd w:id="7"/>
      <w:bookmarkEnd w:id="8"/>
      <w:bookmarkEnd w:id="9"/>
      <w:bookmarkEnd w:id="10"/>
      <w:bookmarkEnd w:id="11"/>
      <w:bookmarkEnd w:id="12"/>
      <w:bookmarkEnd w:id="13"/>
      <w:bookmarkEnd w:id="17"/>
      <w:bookmarkEnd w:id="18"/>
    </w:p>
    <w:p w14:paraId="22B67FE7">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2B67FE8">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胜利河船闸、电厂热水河船闸、姚家坝泵站、施家桥闸站、九沙橡胶坝、九沙和睦闸、九沙东湖闸等养护服务采购项目</w:t>
      </w:r>
      <w:r>
        <w:rPr>
          <w:rFonts w:hint="eastAsia" w:ascii="仿宋" w:hAnsi="仿宋" w:eastAsia="仿宋" w:cs="仿宋"/>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"https://www.zcygov.cn/）获取（下载）招标文件，并于2022年%20月%20日%20点%20分00秒"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2</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12</w:t>
      </w:r>
      <w:r>
        <w:rPr>
          <w:rStyle w:val="76"/>
          <w:rFonts w:hint="eastAsia" w:ascii="仿宋" w:hAnsi="仿宋" w:eastAsia="仿宋" w:cs="仿宋"/>
          <w:snapToGrid/>
          <w:color w:val="auto"/>
          <w:kern w:val="2"/>
          <w:sz w:val="24"/>
          <w:szCs w:val="24"/>
          <w:highlight w:val="none"/>
        </w:rPr>
        <w:t>日9点30分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22B67FE9">
      <w:pPr>
        <w:wordWrap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22B67FEA">
      <w:pPr>
        <w:wordWrap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ZJCT6-HD2025-03</w:t>
      </w:r>
    </w:p>
    <w:p w14:paraId="22B67FEB">
      <w:pPr>
        <w:wordWrap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bookmarkStart w:id="19" w:name="_Hlk91669529"/>
      <w:r>
        <w:rPr>
          <w:rFonts w:hint="eastAsia" w:ascii="仿宋" w:hAnsi="仿宋" w:eastAsia="仿宋" w:cs="仿宋"/>
          <w:color w:val="auto"/>
          <w:sz w:val="24"/>
          <w:highlight w:val="none"/>
          <w:lang w:eastAsia="zh-CN"/>
        </w:rPr>
        <w:t>胜利河船闸、电厂热水河船闸、姚家坝泵站、施家桥闸站、九沙橡胶坝、九沙和睦闸、九沙东湖闸等养护服务采购项目</w:t>
      </w:r>
    </w:p>
    <w:bookmarkEnd w:id="19"/>
    <w:p w14:paraId="22B67FEC">
      <w:pPr>
        <w:wordWrap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lang w:eastAsia="zh-CN"/>
        </w:rPr>
        <w:t>7980237.84</w:t>
      </w:r>
    </w:p>
    <w:p w14:paraId="22B67FED">
      <w:pPr>
        <w:wordWrap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最高限价（元）：</w:t>
      </w:r>
      <w:r>
        <w:rPr>
          <w:rFonts w:hint="eastAsia" w:ascii="仿宋" w:hAnsi="仿宋" w:eastAsia="仿宋" w:cs="仿宋"/>
          <w:color w:val="auto"/>
          <w:sz w:val="24"/>
          <w:highlight w:val="none"/>
          <w:lang w:eastAsia="zh-CN"/>
        </w:rPr>
        <w:t>7980233.94</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2660077.98</w:t>
      </w:r>
      <w:r>
        <w:rPr>
          <w:rFonts w:hint="eastAsia" w:ascii="仿宋" w:hAnsi="仿宋" w:eastAsia="仿宋" w:cs="仿宋"/>
          <w:color w:val="auto"/>
          <w:sz w:val="24"/>
          <w:highlight w:val="none"/>
        </w:rPr>
        <w:t>元/年）</w:t>
      </w:r>
    </w:p>
    <w:p w14:paraId="22B67FEE">
      <w:pPr>
        <w:wordWrap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中小企业政策：不预留</w:t>
      </w:r>
    </w:p>
    <w:p w14:paraId="22B67FEF">
      <w:pPr>
        <w:wordWrap w:val="0"/>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eastAsia="zh-CN"/>
        </w:rPr>
        <w:t>上塘九沙片</w:t>
      </w:r>
      <w:r>
        <w:rPr>
          <w:rFonts w:hint="eastAsia" w:ascii="仿宋" w:hAnsi="仿宋" w:eastAsia="仿宋" w:cs="仿宋"/>
          <w:color w:val="auto"/>
          <w:sz w:val="24"/>
          <w:highlight w:val="none"/>
        </w:rPr>
        <w:t>闸站（包括</w:t>
      </w:r>
      <w:r>
        <w:rPr>
          <w:rFonts w:hint="eastAsia" w:ascii="仿宋" w:hAnsi="仿宋" w:eastAsia="仿宋" w:cs="仿宋"/>
          <w:color w:val="auto"/>
          <w:sz w:val="24"/>
          <w:highlight w:val="none"/>
          <w:lang w:eastAsia="zh-CN"/>
        </w:rPr>
        <w:t>胜利河船闸、电厂热水河船闸、姚家坝泵站、施家桥闸站、九沙橡胶坝、九沙和睦闸、九沙东湖闸7个闸站</w:t>
      </w:r>
      <w:r>
        <w:rPr>
          <w:rFonts w:hint="eastAsia" w:ascii="仿宋" w:hAnsi="仿宋" w:eastAsia="仿宋" w:cs="仿宋"/>
          <w:color w:val="auto"/>
          <w:sz w:val="24"/>
          <w:highlight w:val="none"/>
        </w:rPr>
        <w:t>）养护服务，包括各闸站水泵、闸门、变压器等主要设备，格栅（机）、启闭机、阀门、高低配、仪器仪表、检测自控、网络通信等配套设备，进出管（渠、道）、泵池（闸室）、管理用房等附属构（建）筑物和闸站管理范围内水面、绿化、园路等设施的日常运行及值守、保洁及保护、维护及检修；相关水情、水位、水质、视频信息的采集及远传；泵池、闸室范围内清疏和栅前且50米范围内垃圾打捞、废弃物外运；违法违章侵占、设障情况的阻止及报告（执法）和审批许可涉障情况巡查及劝导；相关应急抢险及重大活动保障等工作；以及按照有关规定受采购人委托的</w:t>
      </w:r>
      <w:r>
        <w:rPr>
          <w:rFonts w:hint="eastAsia" w:ascii="仿宋" w:hAnsi="仿宋" w:eastAsia="仿宋" w:cs="仿宋"/>
          <w:color w:val="auto"/>
          <w:sz w:val="24"/>
          <w:highlight w:val="none"/>
          <w:lang w:eastAsia="zh-CN"/>
        </w:rPr>
        <w:t>其他工作</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具体以招标文件“第三部分 采购需求”为准，供应商可点击本公告下方“浏览采购文件”查看采购需求。</w:t>
      </w:r>
    </w:p>
    <w:p w14:paraId="22B67FF0">
      <w:pPr>
        <w:wordWrap w:val="0"/>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合同履约期限：</w:t>
      </w:r>
      <w:r>
        <w:rPr>
          <w:rFonts w:hint="eastAsia" w:ascii="仿宋" w:hAnsi="仿宋" w:eastAsia="仿宋" w:cs="仿宋"/>
          <w:color w:val="auto"/>
          <w:kern w:val="0"/>
          <w:sz w:val="24"/>
          <w:highlight w:val="none"/>
        </w:rPr>
        <w:t>三年。合同一年一签，年履约验收通过的则续签次年养护合同。</w:t>
      </w:r>
    </w:p>
    <w:p w14:paraId="22B67FF1">
      <w:pPr>
        <w:wordWrap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本项目（是）接受联合体投标。</w:t>
      </w:r>
    </w:p>
    <w:p w14:paraId="22B67FF2">
      <w:pPr>
        <w:wordWrap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22B67FF3">
      <w:pPr>
        <w:wordWrap w:val="0"/>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2B67FF4">
      <w:pPr>
        <w:pStyle w:val="5"/>
        <w:keepNext w:val="0"/>
        <w:keepLines w:val="0"/>
        <w:ind w:left="0" w:firstLine="482" w:firstLineChars="200"/>
        <w:rPr>
          <w:rFonts w:hint="eastAsia" w:ascii="仿宋" w:eastAsia="仿宋" w:cs="仿宋"/>
          <w:snapToGrid w:val="0"/>
          <w:color w:val="auto"/>
          <w:kern w:val="28"/>
          <w:sz w:val="24"/>
          <w:szCs w:val="20"/>
          <w:highlight w:val="none"/>
        </w:rPr>
      </w:pPr>
      <w:r>
        <w:rPr>
          <w:rFonts w:hint="eastAsia" w:ascii="仿宋" w:eastAsia="仿宋" w:cs="仿宋"/>
          <w:snapToGrid w:val="0"/>
          <w:color w:val="auto"/>
          <w:kern w:val="28"/>
          <w:sz w:val="24"/>
          <w:szCs w:val="20"/>
          <w:highlight w:val="none"/>
        </w:rPr>
        <w:t>2.</w:t>
      </w:r>
      <w:r>
        <w:rPr>
          <w:rFonts w:hint="eastAsia" w:ascii="仿宋" w:eastAsia="仿宋" w:cs="仿宋"/>
          <w:color w:val="auto"/>
          <w:sz w:val="24"/>
          <w:highlight w:val="none"/>
        </w:rPr>
        <w:t>若联合体参加投标的，联合体成员均应满足资格要求，联合体成员不多于2个，项目负责人由牵头人派遣，并</w:t>
      </w:r>
      <w:r>
        <w:rPr>
          <w:rFonts w:hint="eastAsia" w:ascii="仿宋" w:eastAsia="仿宋" w:cs="仿宋"/>
          <w:snapToGrid w:val="0"/>
          <w:color w:val="auto"/>
          <w:kern w:val="28"/>
          <w:sz w:val="24"/>
          <w:szCs w:val="20"/>
          <w:highlight w:val="none"/>
        </w:rPr>
        <w:t>提供联合协议。</w:t>
      </w:r>
    </w:p>
    <w:p w14:paraId="22B67FF5">
      <w:pPr>
        <w:wordWrap w:val="0"/>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22B67FF6">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无；</w:t>
      </w:r>
    </w:p>
    <w:p w14:paraId="22B67FF7">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22B67FF8">
      <w:pPr>
        <w:wordWrap w:val="0"/>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sz w:val="24"/>
          <w:highlight w:val="none"/>
        </w:rPr>
        <w:t>服务全部由符合政策要求的中小企业承接，提供中小企业声明函；</w:t>
      </w:r>
    </w:p>
    <w:p w14:paraId="22B67FF9">
      <w:pPr>
        <w:wordWrap w:val="0"/>
        <w:spacing w:line="360" w:lineRule="auto"/>
        <w:ind w:firstLine="897" w:firstLineChars="374"/>
        <w:rPr>
          <w:rFonts w:hint="eastAsia" w:ascii="仿宋" w:hAnsi="仿宋" w:eastAsia="仿宋" w:cs="仿宋"/>
          <w:color w:val="auto"/>
          <w:highlight w:val="non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sz w:val="24"/>
          <w:highlight w:val="none"/>
        </w:rPr>
        <w:t>服务全部由符合政策要求的小微企业承接，提供中小企业声明函；</w:t>
      </w:r>
    </w:p>
    <w:p w14:paraId="22B67FFA">
      <w:pPr>
        <w:wordWrap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如果供应商本身提供所有标的均由小微企业承接，视同符合了资格条件，无需再与其他小微企业组成联合体参加政府采购活动，无需提供联合协议</w:t>
      </w:r>
      <w:r>
        <w:rPr>
          <w:rFonts w:hint="eastAsia" w:ascii="仿宋" w:hAnsi="仿宋" w:eastAsia="仿宋" w:cs="仿宋"/>
          <w:color w:val="auto"/>
          <w:sz w:val="24"/>
          <w:highlight w:val="none"/>
        </w:rPr>
        <w:t>；</w:t>
      </w:r>
    </w:p>
    <w:p w14:paraId="22B67FFB">
      <w:pPr>
        <w:wordWrap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如果供应商本身提供所有标的均由中小企业承接，视同符合了资格条件，无需再向中小企业分包，无需提供分包意向协议。</w:t>
      </w:r>
    </w:p>
    <w:p w14:paraId="22B67FFC">
      <w:pPr>
        <w:numPr>
          <w:ilvl w:val="255"/>
          <w:numId w:val="0"/>
        </w:numPr>
        <w:spacing w:line="360" w:lineRule="auto"/>
        <w:ind w:right="6"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4.本项目的特定资格要求：（1）</w:t>
      </w:r>
      <w:r>
        <w:rPr>
          <w:rFonts w:hint="eastAsia" w:ascii="仿宋" w:hAnsi="仿宋" w:eastAsia="仿宋" w:cs="仿宋"/>
          <w:color w:val="auto"/>
          <w:sz w:val="24"/>
          <w:highlight w:val="none"/>
          <w:u w:val="single"/>
        </w:rPr>
        <w:t>投标人应具备市政公用工程施工总承包三级（含）以上或水利水电施工总承包三级（含）以上资质</w:t>
      </w:r>
      <w:r>
        <w:rPr>
          <w:rFonts w:hint="eastAsia" w:ascii="仿宋" w:hAnsi="仿宋" w:eastAsia="仿宋" w:cs="仿宋"/>
          <w:color w:val="auto"/>
          <w:spacing w:val="16"/>
          <w:sz w:val="24"/>
          <w:highlight w:val="none"/>
          <w:u w:val="single"/>
        </w:rPr>
        <w:t>（提供</w:t>
      </w:r>
      <w:r>
        <w:rPr>
          <w:rFonts w:hint="eastAsia" w:ascii="仿宋" w:hAnsi="仿宋" w:eastAsia="仿宋" w:cs="仿宋"/>
          <w:color w:val="auto"/>
          <w:spacing w:val="-7"/>
          <w:sz w:val="24"/>
          <w:highlight w:val="none"/>
          <w:u w:val="single"/>
        </w:rPr>
        <w:t>投标截止日当周或前一周</w:t>
      </w:r>
      <w:r>
        <w:rPr>
          <w:rFonts w:hint="eastAsia" w:ascii="仿宋" w:hAnsi="仿宋" w:eastAsia="仿宋" w:cs="仿宋"/>
          <w:color w:val="auto"/>
          <w:spacing w:val="-3"/>
          <w:sz w:val="24"/>
          <w:highlight w:val="none"/>
          <w:u w:val="single"/>
        </w:rPr>
        <w:t>对应资质在“浙江省建筑市场监管公</w:t>
      </w:r>
      <w:r>
        <w:rPr>
          <w:rFonts w:hint="eastAsia" w:ascii="仿宋" w:hAnsi="仿宋" w:eastAsia="仿宋" w:cs="仿宋"/>
          <w:color w:val="auto"/>
          <w:spacing w:val="-4"/>
          <w:sz w:val="24"/>
          <w:highlight w:val="none"/>
          <w:u w:val="single"/>
        </w:rPr>
        <w:t>共服务系</w:t>
      </w:r>
      <w:r>
        <w:rPr>
          <w:rFonts w:hint="eastAsia" w:ascii="仿宋" w:hAnsi="仿宋" w:eastAsia="仿宋" w:cs="仿宋"/>
          <w:color w:val="auto"/>
          <w:spacing w:val="-7"/>
          <w:sz w:val="24"/>
          <w:highlight w:val="none"/>
          <w:u w:val="single"/>
        </w:rPr>
        <w:t>统”上资质动态核查结果处于“合格”状态的核查证明）</w:t>
      </w:r>
      <w:r>
        <w:rPr>
          <w:rFonts w:hint="eastAsia" w:ascii="仿宋" w:hAnsi="仿宋" w:eastAsia="仿宋" w:cs="仿宋"/>
          <w:color w:val="auto"/>
          <w:sz w:val="24"/>
          <w:highlight w:val="none"/>
          <w:u w:val="single"/>
        </w:rPr>
        <w:t>。</w:t>
      </w:r>
    </w:p>
    <w:p w14:paraId="22B67FFD">
      <w:pPr>
        <w:numPr>
          <w:ilvl w:val="255"/>
          <w:numId w:val="0"/>
        </w:numPr>
        <w:wordWrap w:val="0"/>
        <w:spacing w:line="360" w:lineRule="auto"/>
        <w:ind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2B67FFE">
      <w:pPr>
        <w:widowControl/>
        <w:wordWrap w:val="0"/>
        <w:adjustRightInd/>
        <w:spacing w:line="360" w:lineRule="auto"/>
        <w:ind w:firstLine="482"/>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22B67FFF">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2B68000">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22B68001">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2B68002">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2B68003">
      <w:pPr>
        <w:wordWrap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22B68004">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日9点30分00秒</w:t>
      </w:r>
      <w:r>
        <w:rPr>
          <w:rFonts w:hint="eastAsia" w:ascii="仿宋" w:hAnsi="仿宋" w:eastAsia="仿宋" w:cs="仿宋"/>
          <w:color w:val="auto"/>
          <w:sz w:val="24"/>
          <w:highlight w:val="none"/>
        </w:rPr>
        <w:t>（北京时间）</w:t>
      </w:r>
    </w:p>
    <w:p w14:paraId="22B68005">
      <w:pPr>
        <w:wordWrap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22B68006">
      <w:pPr>
        <w:wordWrap w:val="0"/>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日9点30分00秒</w:t>
      </w:r>
    </w:p>
    <w:p w14:paraId="22B68007">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22B68008">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现场组织地点：</w:t>
      </w:r>
      <w:r>
        <w:rPr>
          <w:rFonts w:hint="eastAsia" w:ascii="仿宋" w:hAnsi="仿宋" w:eastAsia="仿宋" w:cs="仿宋"/>
          <w:color w:val="auto"/>
          <w:sz w:val="24"/>
          <w:highlight w:val="none"/>
          <w:u w:val="single"/>
        </w:rPr>
        <w:t xml:space="preserve">  杭州市古墩路701号紫金广场A座15楼评标室  </w:t>
      </w:r>
      <w:r>
        <w:rPr>
          <w:rFonts w:hint="eastAsia" w:ascii="仿宋" w:hAnsi="仿宋" w:eastAsia="仿宋" w:cs="仿宋"/>
          <w:color w:val="auto"/>
          <w:sz w:val="24"/>
          <w:highlight w:val="none"/>
        </w:rPr>
        <w:t>。</w:t>
      </w:r>
    </w:p>
    <w:p w14:paraId="22B68009">
      <w:pPr>
        <w:wordWrap w:val="0"/>
        <w:spacing w:line="360" w:lineRule="auto"/>
        <w:ind w:firstLine="482"/>
        <w:rPr>
          <w:color w:val="auto"/>
          <w:highlight w:val="none"/>
        </w:rPr>
      </w:pPr>
      <w:r>
        <w:rPr>
          <w:rFonts w:hint="eastAsia" w:ascii="仿宋" w:hAnsi="仿宋" w:eastAsia="仿宋" w:cs="仿宋"/>
          <w:b/>
          <w:color w:val="auto"/>
          <w:sz w:val="24"/>
          <w:highlight w:val="none"/>
        </w:rPr>
        <w:t>五、采购意向公开链接</w:t>
      </w:r>
    </w:p>
    <w:p w14:paraId="22B6800A">
      <w:pPr>
        <w:pStyle w:val="2"/>
        <w:ind w:firstLine="480" w:firstLineChars="200"/>
        <w:rPr>
          <w:rFonts w:hint="eastAsia"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https://zfcg.czt.zj.gov.cn/site/detail?parentId=600007&amp;articleId=j57JfdV27MhSGVYm575xvQ%3D%3D</w:t>
      </w:r>
    </w:p>
    <w:p w14:paraId="22B6800B">
      <w:pPr>
        <w:wordWrap w:val="0"/>
        <w:spacing w:line="360" w:lineRule="auto"/>
        <w:ind w:firstLine="482"/>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22B6800C">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22B6800D">
      <w:pPr>
        <w:wordWrap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22B6800E">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2B6800F">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B68010">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2B68011">
      <w:pPr>
        <w:wordWrap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公告期限为发布之日起至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日。</w:t>
      </w:r>
    </w:p>
    <w:p w14:paraId="22B68012">
      <w:pPr>
        <w:wordWrap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22B68013">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22B68014">
      <w:pPr>
        <w:spacing w:line="360" w:lineRule="auto"/>
        <w:ind w:firstLine="480" w:firstLineChars="200"/>
        <w:rPr>
          <w:rFonts w:hint="eastAsia" w:ascii="仿宋" w:hAnsi="仿宋" w:eastAsia="仿宋" w:cs="仿宋"/>
          <w:color w:val="auto"/>
          <w:sz w:val="24"/>
          <w:highlight w:val="none"/>
          <w:lang w:val="zh-TW"/>
        </w:rPr>
      </w:pPr>
      <w:r>
        <w:rPr>
          <w:rFonts w:hint="eastAsia" w:ascii="仿宋" w:hAnsi="仿宋" w:eastAsia="仿宋" w:cs="仿宋"/>
          <w:color w:val="auto"/>
          <w:sz w:val="24"/>
          <w:highlight w:val="none"/>
          <w:lang w:val="zh-TW" w:eastAsia="zh-TW"/>
        </w:rPr>
        <w:t>名</w:t>
      </w:r>
      <w:r>
        <w:rPr>
          <w:rFonts w:hint="eastAsia" w:ascii="仿宋" w:hAnsi="仿宋" w:eastAsia="仿宋" w:cs="仿宋"/>
          <w:color w:val="auto"/>
          <w:sz w:val="24"/>
          <w:highlight w:val="none"/>
          <w:lang w:val="zh-TW"/>
        </w:rPr>
        <w:t xml:space="preserve"> </w:t>
      </w:r>
      <w:r>
        <w:rPr>
          <w:rFonts w:hint="eastAsia" w:ascii="仿宋" w:hAnsi="仿宋" w:eastAsia="仿宋" w:cs="仿宋"/>
          <w:color w:val="auto"/>
          <w:sz w:val="24"/>
          <w:highlight w:val="none"/>
          <w:lang w:val="zh-TW" w:eastAsia="zh-TW"/>
        </w:rPr>
        <w:t xml:space="preserve">  称：</w:t>
      </w:r>
      <w:r>
        <w:rPr>
          <w:rFonts w:hint="eastAsia" w:ascii="仿宋" w:hAnsi="仿宋" w:eastAsia="仿宋" w:cs="仿宋"/>
          <w:color w:val="auto"/>
          <w:sz w:val="24"/>
          <w:highlight w:val="none"/>
          <w:lang w:val="zh-TW"/>
        </w:rPr>
        <w:t>杭州市城市水设施和河道保护管理中心</w:t>
      </w:r>
    </w:p>
    <w:p w14:paraId="22B68015">
      <w:pPr>
        <w:wordWrap w:val="0"/>
        <w:spacing w:line="360" w:lineRule="auto"/>
        <w:ind w:firstLine="480" w:firstLineChars="200"/>
        <w:jc w:val="left"/>
        <w:rPr>
          <w:rFonts w:hint="eastAsia" w:ascii="仿宋" w:hAnsi="仿宋" w:eastAsia="仿宋" w:cs="仿宋"/>
          <w:color w:val="auto"/>
          <w:sz w:val="24"/>
          <w:highlight w:val="none"/>
          <w:lang w:val="zh-TW"/>
        </w:rPr>
      </w:pPr>
      <w:r>
        <w:rPr>
          <w:rFonts w:hint="eastAsia" w:ascii="仿宋" w:hAnsi="仿宋" w:eastAsia="仿宋" w:cs="仿宋"/>
          <w:color w:val="auto"/>
          <w:sz w:val="24"/>
          <w:highlight w:val="none"/>
          <w:lang w:val="zh-TW"/>
        </w:rPr>
        <w:t xml:space="preserve">地 </w:t>
      </w:r>
      <w:r>
        <w:rPr>
          <w:rFonts w:hint="eastAsia" w:ascii="仿宋" w:hAnsi="仿宋" w:eastAsia="仿宋" w:cs="仿宋"/>
          <w:color w:val="auto"/>
          <w:sz w:val="24"/>
          <w:highlight w:val="none"/>
          <w:lang w:val="zh-TW" w:eastAsia="zh-TW"/>
        </w:rPr>
        <w:t xml:space="preserve">  </w:t>
      </w:r>
      <w:r>
        <w:rPr>
          <w:rFonts w:hint="eastAsia" w:ascii="仿宋" w:hAnsi="仿宋" w:eastAsia="仿宋" w:cs="仿宋"/>
          <w:color w:val="auto"/>
          <w:sz w:val="24"/>
          <w:highlight w:val="none"/>
          <w:lang w:val="zh-TW"/>
        </w:rPr>
        <w:t>址：杭州市体育场路231号</w:t>
      </w:r>
    </w:p>
    <w:p w14:paraId="22B68016">
      <w:pPr>
        <w:wordWrap w:val="0"/>
        <w:spacing w:line="360" w:lineRule="auto"/>
        <w:ind w:firstLine="480" w:firstLineChars="200"/>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TW"/>
        </w:rPr>
        <w:t>项目联系人（询问）：俞</w:t>
      </w:r>
      <w:r>
        <w:rPr>
          <w:rFonts w:hint="eastAsia" w:ascii="仿宋" w:hAnsi="仿宋" w:eastAsia="仿宋" w:cs="仿宋"/>
          <w:color w:val="auto"/>
          <w:sz w:val="24"/>
          <w:highlight w:val="none"/>
          <w:lang w:val="zh-TW" w:eastAsia="zh-CN"/>
        </w:rPr>
        <w:t>工</w:t>
      </w:r>
    </w:p>
    <w:p w14:paraId="22B68017">
      <w:pPr>
        <w:wordWrap w:val="0"/>
        <w:spacing w:line="360" w:lineRule="auto"/>
        <w:ind w:firstLine="480" w:firstLineChars="200"/>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TW"/>
        </w:rPr>
        <w:t>项目联系方式（询问）：85866260</w:t>
      </w:r>
    </w:p>
    <w:p w14:paraId="22B68018">
      <w:pPr>
        <w:wordWrap w:val="0"/>
        <w:spacing w:line="360" w:lineRule="auto"/>
        <w:ind w:firstLine="480" w:firstLineChars="200"/>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TW"/>
        </w:rPr>
        <w:t>质疑联系人：吴</w:t>
      </w:r>
      <w:r>
        <w:rPr>
          <w:rFonts w:hint="eastAsia" w:ascii="仿宋" w:hAnsi="仿宋" w:eastAsia="仿宋" w:cs="仿宋"/>
          <w:color w:val="auto"/>
          <w:sz w:val="24"/>
          <w:highlight w:val="none"/>
          <w:lang w:val="zh-TW" w:eastAsia="zh-CN"/>
        </w:rPr>
        <w:t>工</w:t>
      </w:r>
      <w:bookmarkStart w:id="587" w:name="_GoBack"/>
      <w:bookmarkEnd w:id="587"/>
    </w:p>
    <w:p w14:paraId="22B68019">
      <w:pPr>
        <w:wordWrap w:val="0"/>
        <w:spacing w:line="360" w:lineRule="auto"/>
        <w:ind w:firstLine="480" w:firstLineChars="200"/>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TW"/>
        </w:rPr>
        <w:t>质疑联系方式 ：85866213</w:t>
      </w:r>
    </w:p>
    <w:p w14:paraId="22B6801A">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22B6801B">
      <w:pPr>
        <w:wordWrap w:val="0"/>
        <w:spacing w:line="360" w:lineRule="auto"/>
        <w:ind w:firstLine="480" w:firstLineChars="200"/>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TW"/>
        </w:rPr>
        <w:t>名 称：</w:t>
      </w:r>
      <w:r>
        <w:rPr>
          <w:rFonts w:hint="eastAsia" w:ascii="仿宋" w:hAnsi="仿宋" w:eastAsia="仿宋" w:cs="仿宋"/>
          <w:color w:val="auto"/>
          <w:sz w:val="24"/>
          <w:highlight w:val="none"/>
          <w:lang w:val="zh-TW"/>
        </w:rPr>
        <w:t>浙江省成套工程有限公司</w:t>
      </w:r>
      <w:r>
        <w:rPr>
          <w:rFonts w:hint="eastAsia" w:ascii="仿宋" w:hAnsi="仿宋" w:eastAsia="仿宋" w:cs="仿宋"/>
          <w:color w:val="auto"/>
          <w:sz w:val="24"/>
          <w:highlight w:val="none"/>
          <w:lang w:val="zh-TW" w:eastAsia="zh-TW"/>
        </w:rPr>
        <w:t> 　　　　　　　　　　　</w:t>
      </w:r>
    </w:p>
    <w:p w14:paraId="22B6801C">
      <w:pPr>
        <w:wordWrap w:val="0"/>
        <w:spacing w:line="360" w:lineRule="auto"/>
        <w:ind w:firstLine="480" w:firstLineChars="200"/>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TW"/>
        </w:rPr>
        <w:t>地 址：</w:t>
      </w:r>
      <w:r>
        <w:rPr>
          <w:rFonts w:hint="eastAsia" w:ascii="仿宋" w:hAnsi="仿宋" w:eastAsia="仿宋" w:cs="仿宋"/>
          <w:color w:val="auto"/>
          <w:sz w:val="24"/>
          <w:highlight w:val="none"/>
        </w:rPr>
        <w:t xml:space="preserve">杭州市西湖区古墩路701号紫金广场A座12楼   </w:t>
      </w:r>
      <w:r>
        <w:rPr>
          <w:rFonts w:hint="eastAsia" w:ascii="仿宋" w:hAnsi="仿宋" w:eastAsia="仿宋" w:cs="仿宋"/>
          <w:color w:val="auto"/>
          <w:sz w:val="24"/>
          <w:highlight w:val="none"/>
          <w:lang w:val="zh-TW" w:eastAsia="zh-TW"/>
        </w:rPr>
        <w:t>　</w:t>
      </w:r>
    </w:p>
    <w:p w14:paraId="22B6801D">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TW" w:eastAsia="zh-TW"/>
        </w:rPr>
        <w:t>项目联系人（询问）：</w:t>
      </w:r>
      <w:r>
        <w:rPr>
          <w:rFonts w:hint="eastAsia" w:ascii="仿宋" w:hAnsi="仿宋" w:eastAsia="仿宋" w:cs="仿宋"/>
          <w:color w:val="auto"/>
          <w:sz w:val="24"/>
          <w:highlight w:val="none"/>
        </w:rPr>
        <w:t xml:space="preserve">吕婷、杨钰沛、朱旭文  </w:t>
      </w:r>
    </w:p>
    <w:p w14:paraId="22B6801E">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TW" w:eastAsia="zh-TW"/>
        </w:rPr>
        <w:t>项目联系方式（询问）：</w:t>
      </w:r>
      <w:r>
        <w:rPr>
          <w:rFonts w:hint="eastAsia" w:ascii="仿宋" w:hAnsi="仿宋" w:eastAsia="仿宋" w:cs="仿宋"/>
          <w:color w:val="auto"/>
          <w:sz w:val="24"/>
          <w:highlight w:val="none"/>
        </w:rPr>
        <w:t>85152323</w:t>
      </w:r>
    </w:p>
    <w:p w14:paraId="22B6801F">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TW" w:eastAsia="zh-TW"/>
        </w:rPr>
        <w:t>质疑联系人：</w:t>
      </w:r>
      <w:r>
        <w:rPr>
          <w:rFonts w:hint="eastAsia" w:ascii="仿宋" w:hAnsi="仿宋" w:eastAsia="仿宋" w:cs="仿宋"/>
          <w:color w:val="auto"/>
          <w:sz w:val="24"/>
          <w:highlight w:val="none"/>
        </w:rPr>
        <w:t xml:space="preserve"> 韩飞</w:t>
      </w:r>
    </w:p>
    <w:p w14:paraId="22B68020">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TW" w:eastAsia="zh-TW"/>
        </w:rPr>
        <w:t>质疑联系方式：</w:t>
      </w:r>
      <w:r>
        <w:rPr>
          <w:rFonts w:hint="eastAsia" w:ascii="仿宋" w:hAnsi="仿宋" w:eastAsia="仿宋" w:cs="仿宋"/>
          <w:color w:val="auto"/>
          <w:sz w:val="24"/>
          <w:highlight w:val="none"/>
        </w:rPr>
        <w:t xml:space="preserve"> 88955383</w:t>
      </w:r>
    </w:p>
    <w:p w14:paraId="22B68021">
      <w:pPr>
        <w:wordWrap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3.同级政府采购监督管理部门            </w:t>
      </w:r>
    </w:p>
    <w:p w14:paraId="22B68022">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称：杭州市财政局政府采购监管处/浙江省政府采购行政裁决服务中心（杭州）　　地 址：杭州市上城区清泰街549号城建综合大楼11楼（快递仅限ems或顺丰）　　　　传  真： /　   </w:t>
      </w:r>
    </w:p>
    <w:p w14:paraId="22B68023">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：朱女士、王女士  　　　　　　　　　　　</w:t>
      </w:r>
    </w:p>
    <w:p w14:paraId="22B68024">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监督投诉电话：0571-87227671,0571-87800218</w:t>
      </w:r>
    </w:p>
    <w:p w14:paraId="22B68025">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政策咨询：陈先生、厉先生，0571-89580460、89580456</w:t>
      </w:r>
    </w:p>
    <w:p w14:paraId="22B68026">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FBE6EA0">
      <w:pPr>
        <w:wordWrap w:val="0"/>
        <w:spacing w:line="360" w:lineRule="auto"/>
        <w:ind w:firstLine="480" w:firstLineChars="200"/>
        <w:rPr>
          <w:rFonts w:hint="eastAsia" w:ascii="仿宋" w:hAnsi="仿宋" w:eastAsia="仿宋" w:cs="仿宋"/>
          <w:color w:val="auto"/>
          <w:sz w:val="24"/>
          <w:highlight w:val="none"/>
        </w:rPr>
        <w:sectPr>
          <w:footerReference r:id="rId8" w:type="default"/>
          <w:pgSz w:w="11905" w:h="16838"/>
          <w:pgMar w:top="652" w:right="1417" w:bottom="680" w:left="1417" w:header="539" w:footer="425" w:gutter="0"/>
          <w:pgNumType w:start="1"/>
          <w:cols w:space="0" w:num="1"/>
          <w:docGrid w:linePitch="312" w:charSpace="0"/>
        </w:sectPr>
      </w:pPr>
      <w:r>
        <w:rPr>
          <w:rFonts w:hint="eastAsia" w:ascii="仿宋" w:hAnsi="仿宋" w:eastAsia="仿宋" w:cs="仿宋"/>
          <w:color w:val="auto"/>
          <w:sz w:val="24"/>
          <w:highlight w:val="none"/>
        </w:rPr>
        <w:t>CA问题联系电话（人工）：汇信CA 400-888-4636；天谷CA 400-087-8198。</w:t>
      </w:r>
    </w:p>
    <w:p w14:paraId="22B68028">
      <w:pPr>
        <w:wordWrap w:val="0"/>
        <w:adjustRightInd/>
        <w:spacing w:line="360" w:lineRule="auto"/>
        <w:ind w:firstLine="723"/>
        <w:jc w:val="center"/>
        <w:outlineLvl w:val="0"/>
        <w:rPr>
          <w:rFonts w:hint="eastAsia" w:ascii="仿宋" w:hAnsi="仿宋" w:eastAsia="仿宋" w:cs="仿宋"/>
          <w:b/>
          <w:color w:val="auto"/>
          <w:sz w:val="36"/>
          <w:szCs w:val="20"/>
          <w:highlight w:val="none"/>
        </w:rPr>
      </w:pPr>
      <w:bookmarkStart w:id="20" w:name="_Toc27972"/>
      <w:bookmarkStart w:id="21" w:name="_Toc30254"/>
      <w:bookmarkStart w:id="22" w:name="_Toc24511"/>
      <w:bookmarkStart w:id="23" w:name="_Toc29805"/>
      <w:bookmarkStart w:id="24" w:name="_Toc19539"/>
      <w:bookmarkStart w:id="25" w:name="_Toc26106"/>
      <w:bookmarkStart w:id="26" w:name="_Toc25593"/>
      <w:bookmarkStart w:id="27" w:name="_Toc15530"/>
      <w:bookmarkStart w:id="28" w:name="_Toc24964"/>
      <w:r>
        <w:rPr>
          <w:rFonts w:hint="eastAsia" w:ascii="仿宋" w:hAnsi="仿宋" w:eastAsia="仿宋" w:cs="仿宋"/>
          <w:b/>
          <w:color w:val="auto"/>
          <w:sz w:val="36"/>
          <w:szCs w:val="20"/>
          <w:highlight w:val="none"/>
        </w:rPr>
        <w:t>第二部分</w:t>
      </w:r>
      <w:bookmarkEnd w:id="14"/>
      <w:r>
        <w:rPr>
          <w:rFonts w:hint="eastAsia" w:ascii="仿宋" w:hAnsi="仿宋" w:eastAsia="仿宋" w:cs="仿宋"/>
          <w:b/>
          <w:color w:val="auto"/>
          <w:sz w:val="36"/>
          <w:szCs w:val="20"/>
          <w:highlight w:val="none"/>
        </w:rPr>
        <w:t xml:space="preserve"> 投标人须知</w:t>
      </w:r>
      <w:bookmarkEnd w:id="15"/>
      <w:bookmarkEnd w:id="20"/>
      <w:bookmarkEnd w:id="21"/>
      <w:bookmarkEnd w:id="22"/>
      <w:bookmarkEnd w:id="23"/>
      <w:bookmarkEnd w:id="24"/>
      <w:bookmarkEnd w:id="25"/>
      <w:bookmarkEnd w:id="26"/>
      <w:bookmarkEnd w:id="27"/>
      <w:bookmarkEnd w:id="28"/>
    </w:p>
    <w:p w14:paraId="22B68029">
      <w:pPr>
        <w:wordWrap w:val="0"/>
        <w:snapToGrid w:val="0"/>
        <w:spacing w:line="360" w:lineRule="auto"/>
        <w:ind w:firstLine="643"/>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6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216"/>
      </w:tblGrid>
      <w:tr w14:paraId="22B6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22B6802A">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vAlign w:val="center"/>
          </w:tcPr>
          <w:p w14:paraId="22B6802B">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216" w:type="dxa"/>
            <w:vAlign w:val="center"/>
          </w:tcPr>
          <w:p w14:paraId="22B6802C">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2B6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22B6802E">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1843" w:type="dxa"/>
            <w:vAlign w:val="center"/>
          </w:tcPr>
          <w:p w14:paraId="22B6802F">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216" w:type="dxa"/>
            <w:vAlign w:val="center"/>
          </w:tcPr>
          <w:p w14:paraId="22B68030">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22B6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22B68032">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1843" w:type="dxa"/>
            <w:vAlign w:val="center"/>
          </w:tcPr>
          <w:p w14:paraId="22B68033">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216" w:type="dxa"/>
            <w:vAlign w:val="center"/>
          </w:tcPr>
          <w:p w14:paraId="22B68034">
            <w:pPr>
              <w:keepNext w:val="0"/>
              <w:keepLines w:val="0"/>
              <w:suppressLineNumbers w:val="0"/>
              <w:wordWrap w:val="0"/>
              <w:snapToGrid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lang w:eastAsia="zh-CN"/>
              </w:rPr>
              <w:t>胜利河船闸、电厂热水河船闸、姚家坝泵站、施家桥闸站、九沙橡胶坝、九沙和睦闸、九沙东湖闸等养护服务采购项目</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其他未列明</w:t>
            </w:r>
            <w:r>
              <w:rPr>
                <w:rFonts w:hint="eastAsia" w:ascii="仿宋" w:hAnsi="仿宋" w:eastAsia="仿宋" w:cs="仿宋"/>
                <w:color w:val="auto"/>
                <w:kern w:val="0"/>
                <w:sz w:val="24"/>
                <w:highlight w:val="none"/>
              </w:rPr>
              <w:t>行业；</w:t>
            </w:r>
          </w:p>
          <w:p w14:paraId="22B68035">
            <w:pPr>
              <w:keepNext w:val="0"/>
              <w:keepLines w:val="0"/>
              <w:suppressLineNumbers w:val="0"/>
              <w:wordWrap w:val="0"/>
              <w:snapToGrid w:val="0"/>
              <w:spacing w:before="0" w:beforeAutospacing="0" w:after="0" w:afterAutospacing="0" w:line="360" w:lineRule="exact"/>
              <w:ind w:left="0" w:right="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其他未列明行业：从业人员300人以下的为中小微型企业。其中，从业人员100人及以上的为中型企业；从业人员10人及以上的为小型企业；从业人员10人以下的为微型企业。</w:t>
            </w:r>
          </w:p>
        </w:tc>
      </w:tr>
      <w:tr w14:paraId="22B6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22B68037">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1843" w:type="dxa"/>
            <w:vAlign w:val="center"/>
          </w:tcPr>
          <w:p w14:paraId="22B68038">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w:t>
            </w:r>
          </w:p>
          <w:p w14:paraId="22B68039">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进口产品（服务项目不适用）</w:t>
            </w:r>
          </w:p>
        </w:tc>
        <w:tc>
          <w:tcPr>
            <w:tcW w:w="6216" w:type="dxa"/>
            <w:vAlign w:val="center"/>
          </w:tcPr>
          <w:p w14:paraId="22B6803A">
            <w:pPr>
              <w:keepNext w:val="0"/>
              <w:keepLines w:val="0"/>
              <w:suppressLineNumbers w:val="0"/>
              <w:wordWrap w:val="0"/>
              <w:snapToGrid w:val="0"/>
              <w:spacing w:before="0" w:beforeAutospacing="0" w:after="0" w:afterAutospacing="0" w:line="360" w:lineRule="exact"/>
              <w:ind w:left="0" w:right="0"/>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4241932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本项目不允许采购进口产品。</w:t>
            </w:r>
          </w:p>
          <w:p w14:paraId="22B6803B">
            <w:pPr>
              <w:keepNext w:val="0"/>
              <w:keepLines w:val="0"/>
              <w:suppressLineNumbers w:val="0"/>
              <w:wordWrap w:val="0"/>
              <w:snapToGrid w:val="0"/>
              <w:spacing w:before="0" w:beforeAutospacing="0" w:after="0" w:afterAutospacing="0" w:line="360" w:lineRule="exact"/>
              <w:ind w:left="0" w:right="0"/>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可以采购进口产品。</w:t>
            </w:r>
          </w:p>
        </w:tc>
      </w:tr>
      <w:tr w14:paraId="22B6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22B6803D">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1843" w:type="dxa"/>
            <w:vAlign w:val="center"/>
          </w:tcPr>
          <w:p w14:paraId="22B6803E">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216" w:type="dxa"/>
            <w:vAlign w:val="center"/>
          </w:tcPr>
          <w:p w14:paraId="22B6803F">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02119447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同</w:t>
            </w:r>
            <w:r>
              <w:rPr>
                <w:rFonts w:hint="eastAsia" w:ascii="仿宋" w:hAnsi="仿宋" w:eastAsia="仿宋" w:cs="仿宋"/>
                <w:color w:val="auto"/>
                <w:sz w:val="24"/>
                <w:highlight w:val="none"/>
              </w:rPr>
              <w:t>意分包，同意将非主体、非关键性</w:t>
            </w:r>
            <w:r>
              <w:rPr>
                <w:rFonts w:hint="eastAsia" w:ascii="仿宋" w:hAnsi="仿宋" w:eastAsia="仿宋" w:cs="仿宋"/>
                <w:color w:val="auto"/>
                <w:sz w:val="24"/>
                <w:highlight w:val="none"/>
                <w:u w:val="single"/>
              </w:rPr>
              <w:t>“检测”</w:t>
            </w:r>
            <w:r>
              <w:rPr>
                <w:rFonts w:hint="eastAsia" w:ascii="仿宋" w:hAnsi="仿宋" w:eastAsia="仿宋" w:cs="仿宋"/>
                <w:color w:val="auto"/>
                <w:sz w:val="24"/>
                <w:highlight w:val="none"/>
              </w:rPr>
              <w:t>工作分包。（若非主体、非关键性工作已由联合体成员承担的，则不允许分包。）</w:t>
            </w:r>
          </w:p>
          <w:p w14:paraId="22B68040">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☐不同意分包。</w:t>
            </w:r>
          </w:p>
          <w:p w14:paraId="22B68041">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注：分包份额不得超过总包单位。投标人中标后以分包方式履行合同的，提供分包意向协议（附件7）；不以分包方式履行合同的，则无需提供。不得限制大中型企业向小微企业合理分包。</w:t>
            </w:r>
            <w:r>
              <w:rPr>
                <w:rFonts w:hint="default" w:ascii="仿宋" w:hAnsi="仿宋" w:eastAsia="仿宋" w:cs="仿宋"/>
                <w:color w:val="auto"/>
                <w:sz w:val="24"/>
                <w:highlight w:val="none"/>
                <w:lang w:bidi="ar"/>
              </w:rPr>
              <w:sym w:font="Wingdings" w:char="00A8"/>
            </w:r>
            <w:r>
              <w:rPr>
                <w:rFonts w:hint="eastAsia" w:ascii="仿宋" w:hAnsi="仿宋" w:eastAsia="仿宋" w:cs="仿宋"/>
                <w:color w:val="auto"/>
                <w:sz w:val="24"/>
                <w:highlight w:val="none"/>
                <w:lang w:bidi="ar"/>
              </w:rPr>
              <w:t>本项目专门面向</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企业采购，分包单位必须为</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企业。</w:t>
            </w:r>
          </w:p>
        </w:tc>
      </w:tr>
      <w:tr w14:paraId="22B6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22B68043">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1843" w:type="dxa"/>
            <w:vAlign w:val="center"/>
          </w:tcPr>
          <w:p w14:paraId="22B68044">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216" w:type="dxa"/>
            <w:vAlign w:val="center"/>
          </w:tcPr>
          <w:p w14:paraId="22B68045">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370038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投标截止前，投标人可自行到项目所在地予以踏勘，对项目实施现场及周边环境等进行勘察，以获取编制投标文件和签署合同所需的所有资料。无论投标人是否踏勘现场，均被视作对项目现场的了解已完全满足本采购项目投标报价的需要。有关踏勘现场需要发生的一切费用由投标人自理，投标人自行负责在踏勘现场中所发生的任何风险责任和财产损失。</w:t>
            </w:r>
          </w:p>
          <w:p w14:paraId="22B68046">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22B6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rPr>
        <w:tc>
          <w:tcPr>
            <w:tcW w:w="629" w:type="dxa"/>
            <w:vAlign w:val="center"/>
          </w:tcPr>
          <w:p w14:paraId="22B68048">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vAlign w:val="center"/>
          </w:tcPr>
          <w:p w14:paraId="22B68049">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216" w:type="dxa"/>
            <w:vAlign w:val="center"/>
          </w:tcPr>
          <w:p w14:paraId="22B6804A">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8164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22B6804B">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22B6804C">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2B6804D">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2B6804E">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22B6804F">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2B68050">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22B68051">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2B68052">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22B6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rPr>
        <w:tc>
          <w:tcPr>
            <w:tcW w:w="629" w:type="dxa"/>
            <w:vAlign w:val="center"/>
          </w:tcPr>
          <w:p w14:paraId="22B68054">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vAlign w:val="center"/>
          </w:tcPr>
          <w:p w14:paraId="22B68055">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tc>
        <w:tc>
          <w:tcPr>
            <w:tcW w:w="6216" w:type="dxa"/>
            <w:vAlign w:val="center"/>
          </w:tcPr>
          <w:p w14:paraId="22B68056">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5716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2B68057">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22B68058">
            <w:pPr>
              <w:keepNext w:val="0"/>
              <w:keepLines w:val="0"/>
              <w:suppressLineNumbers w:val="0"/>
              <w:wordWrap w:val="0"/>
              <w:snapToGrid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讲解演示。每个投标人时间不超过</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分钟，讲解次序以投标文件解密时间先后次序为准，讲解演示人员（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）不超过</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人。讲解演示结束后按要求解答评标委员会提问。</w:t>
            </w:r>
          </w:p>
          <w:p w14:paraId="22B68059">
            <w:pPr>
              <w:keepNext w:val="0"/>
              <w:keepLines w:val="0"/>
              <w:suppressLineNumbers w:val="0"/>
              <w:wordWrap w:val="0"/>
              <w:snapToGrid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（2）方案讲解演示按以下方式</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22B6805A">
            <w:pPr>
              <w:keepNext w:val="0"/>
              <w:keepLines w:val="0"/>
              <w:suppressLineNumbers w:val="0"/>
              <w:wordWrap w:val="0"/>
              <w:snapToGrid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22B6805B">
            <w:pPr>
              <w:keepNext w:val="0"/>
              <w:keepLines w:val="0"/>
              <w:suppressLineNumbers w:val="0"/>
              <w:wordWrap w:val="0"/>
              <w:snapToGrid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方式二：代理机构评标场所现场讲解演示。现场讲解地点为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，讲解演示所用电脑等设备由投标人自备。现场讲解演示人员进场时提供讲解人员名单（加盖公章）及身份证明，否则不得讲解演示。</w:t>
            </w:r>
          </w:p>
          <w:p w14:paraId="22B6805C">
            <w:pPr>
              <w:keepNext w:val="0"/>
              <w:keepLines w:val="0"/>
              <w:suppressLineNumbers w:val="0"/>
              <w:wordWrap w:val="0"/>
              <w:snapToGrid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方式三：采用视频录制方式，用U盘介质储存快递或邮寄至代理机构（公告中列明的地址），视频中演示人应出示身份证。未派遣投标文件中的</w:t>
            </w:r>
            <w:r>
              <w:rPr>
                <w:rFonts w:hint="eastAsia" w:ascii="仿宋" w:hAnsi="仿宋" w:eastAsia="仿宋" w:cs="仿宋"/>
                <w:color w:val="auto"/>
                <w:kern w:val="0"/>
                <w:sz w:val="24"/>
                <w:highlight w:val="none"/>
                <w:u w:val="single"/>
              </w:rPr>
              <w:t>项目组人员</w:t>
            </w:r>
            <w:r>
              <w:rPr>
                <w:rFonts w:hint="eastAsia" w:ascii="仿宋" w:hAnsi="仿宋" w:eastAsia="仿宋" w:cs="仿宋"/>
                <w:color w:val="auto"/>
                <w:kern w:val="0"/>
                <w:sz w:val="24"/>
                <w:highlight w:val="none"/>
              </w:rPr>
              <w:t>进行演示讲解或未提供身份证明的，评分项不得分。若因U盘损坏或打不开则按视为未提交。</w:t>
            </w:r>
          </w:p>
          <w:p w14:paraId="22B6805D">
            <w:pPr>
              <w:keepNext w:val="0"/>
              <w:keepLines w:val="0"/>
              <w:suppressLineNumbers w:val="0"/>
              <w:wordWrap w:val="0"/>
              <w:snapToGrid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方式四：采用现场钉钉直播演示的。开标后，演示人请加钉钉号</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，请求发送后，代理工作人员将通过好友验证。直播演示前，首先演示人进行身份信息直播核对。未派遣投标文件中的项目组人员进行直播演示讲解或未提供身份证明的，评分项不得分。</w:t>
            </w:r>
          </w:p>
          <w:p w14:paraId="22B6805E">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2B6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Merge w:val="restart"/>
            <w:vAlign w:val="center"/>
          </w:tcPr>
          <w:p w14:paraId="22B68060">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vAlign w:val="center"/>
          </w:tcPr>
          <w:p w14:paraId="22B68061">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p w14:paraId="22B68062">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p>
        </w:tc>
        <w:tc>
          <w:tcPr>
            <w:tcW w:w="6216" w:type="dxa"/>
            <w:vAlign w:val="center"/>
          </w:tcPr>
          <w:p w14:paraId="22B68063">
            <w:pPr>
              <w:keepNext w:val="0"/>
              <w:keepLines w:val="0"/>
              <w:suppressLineNumbers w:val="0"/>
              <w:wordWrap w:val="0"/>
              <w:spacing w:before="0" w:beforeAutospacing="0" w:after="0" w:afterAutospacing="0" w:line="360" w:lineRule="exact"/>
              <w:ind w:left="0" w:right="0"/>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（1）资格证明文件：见招标文件第二部分11.1。</w:t>
            </w: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22B6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Merge w:val="continue"/>
            <w:vAlign w:val="center"/>
          </w:tcPr>
          <w:p w14:paraId="22B68065">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color w:val="auto"/>
                <w:sz w:val="24"/>
                <w:highlight w:val="none"/>
              </w:rPr>
            </w:pPr>
          </w:p>
        </w:tc>
        <w:tc>
          <w:tcPr>
            <w:tcW w:w="1843" w:type="dxa"/>
            <w:vMerge w:val="continue"/>
            <w:vAlign w:val="center"/>
          </w:tcPr>
          <w:p w14:paraId="22B68066">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p>
        </w:tc>
        <w:tc>
          <w:tcPr>
            <w:tcW w:w="6216" w:type="dxa"/>
            <w:vAlign w:val="center"/>
          </w:tcPr>
          <w:p w14:paraId="22B68067">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22B6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22B68069">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vAlign w:val="center"/>
          </w:tcPr>
          <w:p w14:paraId="22B6806A">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r>
              <w:rPr>
                <w:rFonts w:hint="eastAsia" w:ascii="仿宋" w:hAnsi="仿宋" w:eastAsia="仿宋" w:cs="仿宋"/>
                <w:b/>
                <w:color w:val="auto"/>
                <w:sz w:val="24"/>
                <w:highlight w:val="none"/>
                <w:lang w:bidi="ar"/>
              </w:rPr>
              <w:t>（服务项目不适用）</w:t>
            </w:r>
          </w:p>
        </w:tc>
        <w:tc>
          <w:tcPr>
            <w:tcW w:w="6216" w:type="dxa"/>
            <w:vAlign w:val="center"/>
          </w:tcPr>
          <w:p w14:paraId="22B6806B">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采购人拟采购的产品属于品目清单范围，采购人及其委托的采购代理机构将依据国家确定的认证机构出具的、处于有效期之内的节能产品、环境标志产品认证证书，对获得证书的产品实施政府优先采购或强制采购。</w:t>
            </w:r>
          </w:p>
        </w:tc>
      </w:tr>
      <w:tr w14:paraId="22B6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22B6806D">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vAlign w:val="center"/>
          </w:tcPr>
          <w:p w14:paraId="22B6806E">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216" w:type="dxa"/>
            <w:vAlign w:val="center"/>
          </w:tcPr>
          <w:p w14:paraId="22B6806F">
            <w:pPr>
              <w:keepNext w:val="0"/>
              <w:keepLines w:val="0"/>
              <w:suppressLineNumbers w:val="0"/>
              <w:wordWrap w:val="0"/>
              <w:snapToGrid w:val="0"/>
              <w:spacing w:before="0" w:beforeAutospacing="0" w:after="0" w:afterAutospacing="0" w:line="360" w:lineRule="exact"/>
              <w:ind w:left="0" w:right="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有关本项目实施所需的所有费用（含税费）均计入报价，包括但不限于</w:t>
            </w:r>
            <w:r>
              <w:rPr>
                <w:rFonts w:hint="eastAsia" w:ascii="仿宋" w:hAnsi="仿宋" w:eastAsia="仿宋" w:cs="仿宋"/>
                <w:color w:val="auto"/>
                <w:kern w:val="0"/>
                <w:sz w:val="24"/>
                <w:highlight w:val="none"/>
                <w:lang w:bidi="ar"/>
              </w:rPr>
              <w:t>工资总额、维护费用、个案费用（绿化保维、硬化保维、航标保维）等，具体详见采购需求。</w:t>
            </w:r>
            <w:r>
              <w:rPr>
                <w:rFonts w:hint="eastAsia" w:ascii="仿宋" w:hAnsi="仿宋" w:eastAsia="仿宋" w:cs="仿宋"/>
                <w:color w:val="auto"/>
                <w:sz w:val="24"/>
                <w:highlight w:val="none"/>
              </w:rPr>
              <w:t>人员工资不得低于杭州市人民政府规定的最低工资标准</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并充分考虑最低工资调整因素；落实职工劳保福利待遇，并按时缴纳社会保险费（养老保险、医疗保险、失业保险、工伤保险和生育保险）；保障职工休息休假权利；为签订一年（含）以上劳动合同制职工缴纳住房公积金。</w:t>
            </w:r>
          </w:p>
          <w:p w14:paraId="22B68070">
            <w:pPr>
              <w:keepNext w:val="0"/>
              <w:keepLines w:val="0"/>
              <w:suppressLineNumbers w:val="0"/>
              <w:wordWrap w:val="0"/>
              <w:snapToGrid w:val="0"/>
              <w:spacing w:before="0" w:beforeAutospacing="0" w:after="0" w:afterAutospacing="0" w:line="360" w:lineRule="exact"/>
              <w:ind w:left="0" w:right="0"/>
              <w:jc w:val="left"/>
              <w:rPr>
                <w:rFonts w:hint="eastAsia" w:ascii="仿宋" w:hAnsi="仿宋" w:eastAsia="仿宋" w:cs="仿宋"/>
                <w:color w:val="auto"/>
                <w:kern w:val="0"/>
                <w:sz w:val="24"/>
                <w:highlight w:val="none"/>
                <w:lang w:val="zh-CN"/>
              </w:rPr>
            </w:pPr>
            <w:r>
              <w:rPr>
                <w:rFonts w:hint="eastAsia" w:ascii="仿宋" w:hAnsi="仿宋" w:eastAsia="仿宋" w:cs="仿宋"/>
                <w:b/>
                <w:bCs/>
                <w:color w:val="auto"/>
                <w:kern w:val="0"/>
                <w:sz w:val="24"/>
                <w:highlight w:val="none"/>
                <w:lang w:val="zh-CN"/>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14:paraId="22B68071">
            <w:pPr>
              <w:keepNext w:val="0"/>
              <w:keepLines w:val="0"/>
              <w:widowControl/>
              <w:suppressLineNumbers w:val="0"/>
              <w:wordWrap w:val="0"/>
              <w:snapToGrid w:val="0"/>
              <w:spacing w:before="0" w:beforeAutospacing="0" w:after="0" w:afterAutospacing="0" w:line="360" w:lineRule="exact"/>
              <w:ind w:left="0" w:right="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提醒：</w:t>
            </w:r>
            <w:r>
              <w:rPr>
                <w:rFonts w:hint="eastAsia" w:ascii="仿宋" w:hAnsi="仿宋" w:eastAsia="仿宋" w:cs="仿宋"/>
                <w:b/>
                <w:color w:val="auto"/>
                <w:kern w:val="0"/>
                <w:sz w:val="24"/>
                <w:highlight w:val="none"/>
                <w:lang w:val="zh-CN"/>
              </w:rPr>
              <w:sym w:font="Wingdings" w:char="00A8"/>
            </w:r>
            <w:r>
              <w:rPr>
                <w:rFonts w:hint="eastAsia" w:ascii="仿宋" w:hAnsi="仿宋" w:eastAsia="仿宋" w:cs="仿宋"/>
                <w:b/>
                <w:color w:val="auto"/>
                <w:kern w:val="0"/>
                <w:sz w:val="24"/>
                <w:highlight w:val="none"/>
                <w:lang w:val="zh-CN"/>
              </w:rPr>
              <w:t>本项目履约验收时委托第三方</w:t>
            </w:r>
            <w:r>
              <w:rPr>
                <w:rFonts w:hint="eastAsia" w:ascii="仿宋" w:hAnsi="仿宋" w:eastAsia="仿宋" w:cs="仿宋"/>
                <w:b/>
                <w:color w:val="auto"/>
                <w:kern w:val="0"/>
                <w:sz w:val="24"/>
                <w:highlight w:val="none"/>
              </w:rPr>
              <w:t>检测/测量</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首次</w:t>
            </w:r>
            <w:r>
              <w:rPr>
                <w:rFonts w:hint="eastAsia" w:ascii="仿宋" w:hAnsi="仿宋" w:eastAsia="仿宋" w:cs="仿宋"/>
                <w:b/>
                <w:color w:val="auto"/>
                <w:kern w:val="0"/>
                <w:sz w:val="24"/>
                <w:highlight w:val="none"/>
                <w:lang w:val="zh-CN"/>
              </w:rPr>
              <w:t>验收时</w:t>
            </w:r>
            <w:r>
              <w:rPr>
                <w:rFonts w:hint="eastAsia" w:ascii="仿宋" w:hAnsi="仿宋" w:eastAsia="仿宋" w:cs="仿宋"/>
                <w:b/>
                <w:color w:val="auto"/>
                <w:kern w:val="0"/>
                <w:sz w:val="24"/>
                <w:highlight w:val="none"/>
              </w:rPr>
              <w:t>检测/测量</w:t>
            </w:r>
            <w:r>
              <w:rPr>
                <w:rFonts w:hint="eastAsia" w:ascii="仿宋" w:hAnsi="仿宋" w:eastAsia="仿宋" w:cs="仿宋"/>
                <w:b/>
                <w:color w:val="auto"/>
                <w:kern w:val="0"/>
                <w:sz w:val="24"/>
                <w:highlight w:val="none"/>
                <w:lang w:val="zh-CN"/>
              </w:rPr>
              <w:t>费用由采购人承担，不包含在投标总价中。首次验收不合格，重新验收过程中产生的检测</w:t>
            </w:r>
            <w:r>
              <w:rPr>
                <w:rFonts w:hint="eastAsia" w:ascii="仿宋" w:hAnsi="仿宋" w:eastAsia="仿宋" w:cs="仿宋"/>
                <w:b/>
                <w:color w:val="auto"/>
                <w:kern w:val="0"/>
                <w:sz w:val="24"/>
                <w:highlight w:val="none"/>
              </w:rPr>
              <w:t>/测量</w:t>
            </w:r>
            <w:r>
              <w:rPr>
                <w:rFonts w:hint="eastAsia" w:ascii="仿宋" w:hAnsi="仿宋" w:eastAsia="仿宋" w:cs="仿宋"/>
                <w:b/>
                <w:color w:val="auto"/>
                <w:kern w:val="0"/>
                <w:sz w:val="24"/>
                <w:highlight w:val="none"/>
                <w:lang w:val="zh-CN"/>
              </w:rPr>
              <w:t>费用，由</w:t>
            </w:r>
            <w:r>
              <w:rPr>
                <w:rFonts w:hint="eastAsia" w:ascii="仿宋" w:hAnsi="仿宋" w:eastAsia="仿宋" w:cs="仿宋"/>
                <w:b/>
                <w:color w:val="auto"/>
                <w:kern w:val="0"/>
                <w:sz w:val="24"/>
                <w:highlight w:val="none"/>
              </w:rPr>
              <w:t>供应商</w:t>
            </w:r>
            <w:r>
              <w:rPr>
                <w:rFonts w:hint="eastAsia" w:ascii="仿宋" w:hAnsi="仿宋" w:eastAsia="仿宋" w:cs="仿宋"/>
                <w:b/>
                <w:color w:val="auto"/>
                <w:kern w:val="0"/>
                <w:sz w:val="24"/>
                <w:highlight w:val="none"/>
                <w:lang w:val="zh-CN"/>
              </w:rPr>
              <w:t>承担。</w:t>
            </w:r>
            <w:r>
              <w:rPr>
                <w:rFonts w:hint="eastAsia" w:ascii="仿宋" w:hAnsi="仿宋" w:eastAsia="仿宋" w:cs="仿宋"/>
                <w:b/>
                <w:color w:val="auto"/>
                <w:kern w:val="0"/>
                <w:sz w:val="24"/>
                <w:highlight w:val="none"/>
                <w:lang w:val="zh-CN"/>
              </w:rPr>
              <w:sym w:font="Wingdings" w:char="00FE"/>
            </w:r>
            <w:r>
              <w:rPr>
                <w:rFonts w:hint="eastAsia" w:ascii="仿宋" w:hAnsi="仿宋" w:eastAsia="仿宋" w:cs="仿宋"/>
                <w:b/>
                <w:color w:val="auto"/>
                <w:kern w:val="0"/>
                <w:sz w:val="24"/>
                <w:highlight w:val="none"/>
                <w:lang w:val="zh-CN"/>
              </w:rPr>
              <w:t>本项目履约验收时不委托第三方检测</w:t>
            </w:r>
            <w:r>
              <w:rPr>
                <w:rFonts w:hint="eastAsia" w:ascii="仿宋" w:hAnsi="仿宋" w:eastAsia="仿宋" w:cs="仿宋"/>
                <w:b/>
                <w:color w:val="auto"/>
                <w:kern w:val="0"/>
                <w:sz w:val="24"/>
                <w:highlight w:val="none"/>
              </w:rPr>
              <w:t>/测量</w:t>
            </w:r>
            <w:r>
              <w:rPr>
                <w:rFonts w:hint="eastAsia" w:ascii="仿宋" w:hAnsi="仿宋" w:eastAsia="仿宋" w:cs="仿宋"/>
                <w:b/>
                <w:color w:val="auto"/>
                <w:kern w:val="0"/>
                <w:sz w:val="24"/>
                <w:highlight w:val="none"/>
                <w:lang w:val="zh-CN"/>
              </w:rPr>
              <w:t>。</w:t>
            </w:r>
          </w:p>
          <w:p w14:paraId="22B68072">
            <w:pPr>
              <w:keepNext w:val="0"/>
              <w:keepLines w:val="0"/>
              <w:suppressLineNumbers w:val="0"/>
              <w:wordWrap w:val="0"/>
              <w:snapToGrid w:val="0"/>
              <w:spacing w:before="0" w:beforeAutospacing="0" w:after="0" w:afterAutospacing="0" w:line="360" w:lineRule="exact"/>
              <w:ind w:left="0" w:right="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22B68073">
            <w:pPr>
              <w:keepNext w:val="0"/>
              <w:keepLines w:val="0"/>
              <w:suppressLineNumbers w:val="0"/>
              <w:wordWrap w:val="0"/>
              <w:snapToGrid w:val="0"/>
              <w:spacing w:before="0" w:beforeAutospacing="0" w:after="0" w:afterAutospacing="0" w:line="360" w:lineRule="exact"/>
              <w:ind w:left="0" w:right="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lang w:val="zh-CN"/>
              </w:rPr>
              <w:t>投标文件出现不是唯一的、有选择性投标报价的；</w:t>
            </w:r>
          </w:p>
          <w:p w14:paraId="22B68074">
            <w:pPr>
              <w:keepNext w:val="0"/>
              <w:keepLines w:val="0"/>
              <w:suppressLineNumbers w:val="0"/>
              <w:wordWrap w:val="0"/>
              <w:snapToGrid w:val="0"/>
              <w:spacing w:before="0" w:beforeAutospacing="0" w:after="0" w:afterAutospacing="0" w:line="360" w:lineRule="exact"/>
              <w:ind w:left="0" w:right="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投标报价超过招标文件中规定的预算金额或者最高限价的;</w:t>
            </w:r>
          </w:p>
          <w:p w14:paraId="22B68075">
            <w:pPr>
              <w:keepNext w:val="0"/>
              <w:keepLines w:val="0"/>
              <w:suppressLineNumbers w:val="0"/>
              <w:wordWrap w:val="0"/>
              <w:spacing w:before="0" w:beforeAutospacing="0" w:after="0" w:afterAutospacing="0" w:line="360" w:lineRule="exact"/>
              <w:ind w:left="0" w:right="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22B68076">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4.投标人对根据修正原则修正后的报价不确认的</w:t>
            </w:r>
            <w:r>
              <w:rPr>
                <w:rFonts w:hint="eastAsia" w:ascii="仿宋" w:hAnsi="仿宋" w:eastAsia="仿宋" w:cs="仿宋"/>
                <w:b/>
                <w:color w:val="auto"/>
                <w:sz w:val="24"/>
                <w:highlight w:val="none"/>
              </w:rPr>
              <w:t>。</w:t>
            </w:r>
          </w:p>
        </w:tc>
      </w:tr>
      <w:tr w14:paraId="22B6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22B68078">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Align w:val="center"/>
          </w:tcPr>
          <w:p w14:paraId="22B68079">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w:t>
            </w:r>
          </w:p>
          <w:p w14:paraId="22B6807A">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融资</w:t>
            </w:r>
          </w:p>
        </w:tc>
        <w:tc>
          <w:tcPr>
            <w:tcW w:w="6216" w:type="dxa"/>
            <w:vAlign w:val="center"/>
          </w:tcPr>
          <w:p w14:paraId="22B6807B">
            <w:pPr>
              <w:keepNext w:val="0"/>
              <w:keepLines w:val="0"/>
              <w:suppressLineNumbers w:val="0"/>
              <w:wordWrap w:val="0"/>
              <w:spacing w:before="0" w:beforeAutospacing="0" w:after="0" w:afterAutospacing="0" w:line="360" w:lineRule="exact"/>
              <w:ind w:left="0" w:right="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2B6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7" w:hRule="atLeast"/>
        </w:trPr>
        <w:tc>
          <w:tcPr>
            <w:tcW w:w="629" w:type="dxa"/>
            <w:vAlign w:val="center"/>
          </w:tcPr>
          <w:p w14:paraId="22B6807D">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vAlign w:val="center"/>
          </w:tcPr>
          <w:p w14:paraId="22B6807E">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w:t>
            </w:r>
          </w:p>
          <w:p w14:paraId="22B6807F">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人员 </w:t>
            </w:r>
          </w:p>
        </w:tc>
        <w:tc>
          <w:tcPr>
            <w:tcW w:w="6216" w:type="dxa"/>
            <w:vAlign w:val="center"/>
          </w:tcPr>
          <w:p w14:paraId="22B68080">
            <w:pPr>
              <w:pStyle w:val="2"/>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投标人如提交备份投标文件的，请送至</w:t>
            </w:r>
            <w:r>
              <w:rPr>
                <w:rFonts w:hint="eastAsia" w:ascii="仿宋" w:hAnsi="仿宋" w:eastAsia="仿宋" w:cs="仿宋"/>
                <w:color w:val="auto"/>
                <w:sz w:val="24"/>
                <w:szCs w:val="24"/>
                <w:highlight w:val="none"/>
                <w:u w:val="single"/>
              </w:rPr>
              <w:t xml:space="preserve">杭州市西湖区古墩路701号紫金广场A座12楼1208室   </w:t>
            </w:r>
            <w:r>
              <w:rPr>
                <w:rFonts w:hint="eastAsia" w:ascii="仿宋" w:hAnsi="仿宋" w:eastAsia="仿宋" w:cs="仿宋"/>
                <w:color w:val="auto"/>
                <w:kern w:val="28"/>
                <w:sz w:val="24"/>
                <w:szCs w:val="24"/>
                <w:highlight w:val="none"/>
              </w:rPr>
              <w:t>；备份投标文件签收人员：</w:t>
            </w:r>
            <w:r>
              <w:rPr>
                <w:rFonts w:hint="eastAsia" w:ascii="仿宋" w:hAnsi="仿宋" w:eastAsia="仿宋" w:cs="仿宋"/>
                <w:color w:val="auto"/>
                <w:sz w:val="24"/>
                <w:szCs w:val="24"/>
                <w:highlight w:val="none"/>
                <w:u w:val="single"/>
              </w:rPr>
              <w:t xml:space="preserve">杨钰沛   </w:t>
            </w:r>
            <w:r>
              <w:rPr>
                <w:rFonts w:hint="eastAsia" w:ascii="仿宋" w:hAnsi="仿宋" w:eastAsia="仿宋" w:cs="仿宋"/>
                <w:color w:val="auto"/>
                <w:sz w:val="24"/>
                <w:szCs w:val="24"/>
                <w:highlight w:val="non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u w:val="single"/>
              </w:rPr>
              <w:t>85152323</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采购人、采购代理机构不强制或变相强制投标人提交备份投标文件。</w:t>
            </w:r>
          </w:p>
        </w:tc>
      </w:tr>
      <w:tr w14:paraId="22B6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64" w:hRule="atLeast"/>
        </w:trPr>
        <w:tc>
          <w:tcPr>
            <w:tcW w:w="629" w:type="dxa"/>
            <w:vAlign w:val="center"/>
          </w:tcPr>
          <w:p w14:paraId="22B68082">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Align w:val="center"/>
          </w:tcPr>
          <w:p w14:paraId="22B68083">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216" w:type="dxa"/>
            <w:vAlign w:val="center"/>
          </w:tcPr>
          <w:p w14:paraId="22B68084">
            <w:pPr>
              <w:pStyle w:val="2"/>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按《关于杭州市招标代理服务收费管理有关问题的通知》（杭价费[2003]148号）文件服务类型收费标准的70%收取，收费基数为中标价÷3。采购代理服务费由中标供应商在领取中标通知书时支付。由于中标供应商原因导致重新采购的，应当承担支付代理费和专家评审费等费用在内的赔偿责任。</w:t>
            </w:r>
          </w:p>
          <w:p w14:paraId="22B68085">
            <w:pPr>
              <w:pStyle w:val="2"/>
              <w:keepNext w:val="0"/>
              <w:keepLines w:val="0"/>
              <w:suppressLineNumbers w:val="0"/>
              <w:wordWrap w:val="0"/>
              <w:spacing w:before="0" w:beforeAutospacing="0" w:after="0" w:afterAutospacing="0" w:line="36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2.投标文件存在下列情况之一的，视为撤回：</w:t>
            </w:r>
          </w:p>
          <w:p w14:paraId="22B68086">
            <w:pPr>
              <w:pStyle w:val="2"/>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（1）电子投标文件（含备份文件）无法解密的；</w:t>
            </w:r>
          </w:p>
          <w:p w14:paraId="22B68087">
            <w:pPr>
              <w:pStyle w:val="2"/>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（2）投标文件未按时解密或备份文件无法成功导入的；</w:t>
            </w:r>
          </w:p>
          <w:p w14:paraId="22B68088">
            <w:pPr>
              <w:pStyle w:val="2"/>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（3）投标截止时间前，投标人仅递交了“备份投标文件”而未将“电子加密投标文件”成功上传至“政府采购云平台”的。</w:t>
            </w:r>
          </w:p>
          <w:p w14:paraId="22B68089">
            <w:pPr>
              <w:pStyle w:val="2"/>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3.政采云平台如对电子化开标及评审程序有调整的，按调整后的程序操作。</w:t>
            </w:r>
          </w:p>
          <w:p w14:paraId="22B6808A">
            <w:pPr>
              <w:pStyle w:val="2"/>
              <w:keepNext w:val="0"/>
              <w:keepLines w:val="0"/>
              <w:suppressLineNumbers w:val="0"/>
              <w:wordWrap w:val="0"/>
              <w:spacing w:before="0" w:beforeAutospacing="0" w:after="0" w:afterAutospacing="0" w:line="360" w:lineRule="exact"/>
              <w:ind w:left="0" w:right="0"/>
              <w:rPr>
                <w:rFonts w:hint="eastAsia" w:ascii="仿宋" w:hAnsi="仿宋" w:eastAsia="仿宋" w:cs="仿宋"/>
                <w:b/>
                <w:color w:val="auto"/>
                <w:sz w:val="24"/>
                <w:szCs w:val="24"/>
                <w:highlight w:val="none"/>
              </w:rPr>
            </w:pPr>
            <w:bookmarkStart w:id="29" w:name="_Hlk96025558"/>
            <w:r>
              <w:rPr>
                <w:rFonts w:hint="eastAsia" w:ascii="仿宋" w:hAnsi="仿宋" w:eastAsia="仿宋" w:cs="仿宋"/>
                <w:color w:val="auto"/>
                <w:sz w:val="24"/>
                <w:szCs w:val="24"/>
                <w:highlight w:val="none"/>
              </w:rPr>
              <w:t>4.</w:t>
            </w:r>
            <w:bookmarkEnd w:id="29"/>
            <w:r>
              <w:rPr>
                <w:rFonts w:hint="eastAsia" w:ascii="仿宋" w:hAnsi="仿宋" w:eastAsia="仿宋" w:cs="仿宋"/>
                <w:color w:val="auto"/>
                <w:sz w:val="24"/>
                <w:highlight w:val="none"/>
                <w:lang w:bidi="ar"/>
              </w:rPr>
              <w:t>中标供应商在领取中标通知书时提供纸质投标文件三份（电子投标文件打印，装订成册，采用胶订或线订；封面再加盖单位公章（物理章）</w:t>
            </w:r>
            <w:r>
              <w:rPr>
                <w:rFonts w:hint="eastAsia" w:ascii="仿宋" w:hAnsi="仿宋" w:eastAsia="仿宋" w:cs="仿宋"/>
                <w:color w:val="auto"/>
                <w:sz w:val="24"/>
                <w:szCs w:val="24"/>
                <w:highlight w:val="none"/>
              </w:rPr>
              <w:t>。</w:t>
            </w:r>
          </w:p>
        </w:tc>
      </w:tr>
      <w:tr w14:paraId="22B6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64" w:hRule="atLeast"/>
        </w:trPr>
        <w:tc>
          <w:tcPr>
            <w:tcW w:w="629" w:type="dxa"/>
            <w:vAlign w:val="center"/>
          </w:tcPr>
          <w:p w14:paraId="22B6808C">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color w:val="auto"/>
                <w:sz w:val="24"/>
                <w:highlight w:val="none"/>
              </w:rPr>
            </w:pPr>
            <w:bookmarkStart w:id="30" w:name="第三部分"/>
            <w:bookmarkStart w:id="31" w:name="_Toc164416483"/>
            <w:r>
              <w:rPr>
                <w:rFonts w:hint="eastAsia" w:ascii="仿宋" w:hAnsi="仿宋" w:eastAsia="仿宋" w:cs="仿宋"/>
                <w:color w:val="auto"/>
                <w:sz w:val="24"/>
                <w:highlight w:val="none"/>
              </w:rPr>
              <w:t>14</w:t>
            </w:r>
          </w:p>
        </w:tc>
        <w:tc>
          <w:tcPr>
            <w:tcW w:w="1843" w:type="dxa"/>
            <w:vAlign w:val="center"/>
          </w:tcPr>
          <w:p w14:paraId="22B6808D">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特别提醒</w:t>
            </w:r>
          </w:p>
        </w:tc>
        <w:tc>
          <w:tcPr>
            <w:tcW w:w="6216" w:type="dxa"/>
            <w:vAlign w:val="center"/>
          </w:tcPr>
          <w:p w14:paraId="22B6808E">
            <w:pPr>
              <w:keepNext w:val="0"/>
              <w:keepLines w:val="0"/>
              <w:suppressLineNumbers w:val="0"/>
              <w:snapToGrid w:val="0"/>
              <w:spacing w:before="0" w:beforeAutospacing="0" w:after="0" w:afterAutospacing="0"/>
              <w:ind w:left="0" w:right="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（1）政采云平台项目采购系统目前获取并在开标（开启）阶段展示投标（响应）供应商投标客户端制作投标（响应）文件的 IP、MAC、设备硬件等信息，并对 IP、MAC 、投标手机号等信息重复的供应商进行标红。</w:t>
            </w:r>
          </w:p>
          <w:p w14:paraId="22B68090">
            <w:pPr>
              <w:keepNext w:val="0"/>
              <w:keepLines w:val="0"/>
              <w:suppressLineNumbers w:val="0"/>
              <w:snapToGrid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b/>
                <w:color w:val="auto"/>
                <w:sz w:val="24"/>
                <w:highlight w:val="none"/>
              </w:rPr>
              <w:t>（注：投标手机号是上传投标文件时的手机号信息。每次上传记录均获取）。</w:t>
            </w:r>
          </w:p>
        </w:tc>
      </w:tr>
      <w:bookmarkEnd w:id="16"/>
    </w:tbl>
    <w:p w14:paraId="22B68092">
      <w:pPr>
        <w:wordWrap w:val="0"/>
        <w:ind w:firstLine="643"/>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22B68093">
      <w:pPr>
        <w:wordWrap w:val="0"/>
        <w:adjustRightInd/>
        <w:spacing w:line="360" w:lineRule="auto"/>
        <w:ind w:firstLine="3845" w:firstLineChars="1197"/>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22B68094">
      <w:pPr>
        <w:wordWrap w:val="0"/>
        <w:snapToGrid w:val="0"/>
        <w:spacing w:line="360" w:lineRule="auto"/>
        <w:ind w:firstLine="482"/>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22B68095">
      <w:pPr>
        <w:wordWrap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22B68096">
      <w:pPr>
        <w:numPr>
          <w:ilvl w:val="0"/>
          <w:numId w:val="1"/>
        </w:numPr>
        <w:wordWrap w:val="0"/>
        <w:adjustRightInd/>
        <w:spacing w:line="360" w:lineRule="auto"/>
        <w:ind w:firstLine="482"/>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22B68097">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22B68098">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22B68099">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22B6809A">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22B6809B">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2B6809C">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22B6809D">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1474791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14:paraId="22B6809E">
      <w:pPr>
        <w:wordWrap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22B6809F">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本项目不适用）</w:t>
      </w:r>
    </w:p>
    <w:p w14:paraId="22B680A0">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2B680A1">
      <w:pPr>
        <w:wordWrap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仿宋"/>
          <w:color w:val="auto"/>
          <w:sz w:val="24"/>
          <w:highlight w:val="none"/>
        </w:rPr>
        <w:t>（本项目不适用）</w:t>
      </w:r>
    </w:p>
    <w:p w14:paraId="22B680A2">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3.2.2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本项目为修缮、装修类项目，采购的建材绿色建筑和绿色建材性能、指标等实质性条件详见采购需求和合同。</w:t>
      </w:r>
    </w:p>
    <w:p w14:paraId="22B680A3">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2B680A4">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2B680A5">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2B680A6">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2B680A7">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2B680A8">
      <w:pPr>
        <w:widowControl/>
        <w:wordWrap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B680A9">
      <w:pPr>
        <w:widowControl/>
        <w:wordWrap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22B680AA">
      <w:pPr>
        <w:widowControl/>
        <w:wordWrap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22B680AB">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10%-20%（本项目具体扣除比例详见“评审办法”）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本项目具体扣除比例详见“评审办法”）的扣除，用扣除后的价格参加评审。组成联合体或者接受分包的小微企业与联合体内其他企业、分包企业之间存在直接控股、管理关系的，不享受价格扣除优惠政策。</w:t>
      </w:r>
    </w:p>
    <w:p w14:paraId="22B680AC">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22B680AD">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2B680AE">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14:paraId="22B680AF">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22B680B0">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支持创新发展（本项目不适用）</w:t>
      </w:r>
    </w:p>
    <w:p w14:paraId="22B680B1">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22B680B2">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2B680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3.4.3 采购人应当贯彻落实知识产权保护相关法律法规，应当采购使用正版软件。</w:t>
      </w:r>
    </w:p>
    <w:p w14:paraId="22B680B4">
      <w:pPr>
        <w:wordWrap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3.5平等对待内外资企业和符合条件的破产重整企业，平等对待内外资企业和符合条件的破产重整企业，切实保障企业公平竞争，平等维护企业的合法利益。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22B680B5">
      <w:pPr>
        <w:wordWrap w:val="0"/>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B680B6">
      <w:pPr>
        <w:wordWrap w:val="0"/>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供应商询问</w:t>
      </w:r>
    </w:p>
    <w:p w14:paraId="22B680B7">
      <w:pPr>
        <w:wordWrap w:val="0"/>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2B680B8">
      <w:pPr>
        <w:wordWrap w:val="0"/>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供应商质疑</w:t>
      </w:r>
    </w:p>
    <w:p w14:paraId="22B680B9">
      <w:pPr>
        <w:pStyle w:val="2"/>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22B680BA">
      <w:pPr>
        <w:pStyle w:val="2"/>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2B680BB">
      <w:pPr>
        <w:pStyle w:val="17"/>
        <w:wordWrap w:val="0"/>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22B680BC">
      <w:pPr>
        <w:pStyle w:val="2"/>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14:paraId="22B680BD">
      <w:pPr>
        <w:pStyle w:val="2"/>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22B680BE">
      <w:pPr>
        <w:pStyle w:val="2"/>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14:paraId="22B680BF">
      <w:pPr>
        <w:pStyle w:val="2"/>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.3.1供应商的姓名或者名称、地址、邮编、联系人及联系电话；</w:t>
      </w:r>
    </w:p>
    <w:p w14:paraId="22B680C0">
      <w:pPr>
        <w:pStyle w:val="2"/>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.3.2质疑项目的名称、编号；</w:t>
      </w:r>
    </w:p>
    <w:p w14:paraId="22B680C1">
      <w:pPr>
        <w:pStyle w:val="2"/>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.3.3具体、明确的质疑事项和与质疑事项相关的请求；</w:t>
      </w:r>
    </w:p>
    <w:p w14:paraId="22B680C2">
      <w:pPr>
        <w:pStyle w:val="2"/>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.3.4事实依据；</w:t>
      </w:r>
    </w:p>
    <w:p w14:paraId="22B680C3">
      <w:pPr>
        <w:pStyle w:val="2"/>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.3.5必要的法律依据；</w:t>
      </w:r>
    </w:p>
    <w:p w14:paraId="22B680C4">
      <w:pPr>
        <w:pStyle w:val="2"/>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.3.6提出质疑的日期。</w:t>
      </w:r>
    </w:p>
    <w:p w14:paraId="22B680C5">
      <w:pPr>
        <w:pStyle w:val="888"/>
        <w:shd w:val="clear" w:color="auto" w:fill="FFFFFF"/>
        <w:wordWrap w:val="0"/>
        <w:snapToGrid w:val="0"/>
        <w:spacing w:before="0" w:beforeAutospacing="0" w:after="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2B680C6">
      <w:pPr>
        <w:pStyle w:val="888"/>
        <w:shd w:val="clear" w:color="auto" w:fill="FFFFFF"/>
        <w:wordWrap w:val="0"/>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22B680C7">
      <w:pPr>
        <w:pStyle w:val="888"/>
        <w:shd w:val="clear" w:color="auto" w:fill="FFFFFF"/>
        <w:wordWrap w:val="0"/>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3.4对同一采购程序环节的质疑，供应商须在法定质疑期内一次性提出。</w:t>
      </w:r>
    </w:p>
    <w:p w14:paraId="22B680C8">
      <w:pPr>
        <w:pStyle w:val="888"/>
        <w:shd w:val="clear" w:color="auto" w:fill="FFFFFF"/>
        <w:wordWrap w:val="0"/>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2B680C9">
      <w:pPr>
        <w:pStyle w:val="888"/>
        <w:shd w:val="clear" w:color="auto" w:fill="FFFFFF"/>
        <w:wordWrap w:val="0"/>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3.6询问或者质疑事项可能影响采购结果的，采购人应当暂停签订合同，已经签订合同的，应当中止履行合同。</w:t>
      </w:r>
    </w:p>
    <w:p w14:paraId="22B680CA">
      <w:pPr>
        <w:pStyle w:val="888"/>
        <w:shd w:val="clear" w:color="auto" w:fill="FFFFFF"/>
        <w:wordWrap w:val="0"/>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4</w:t>
      </w:r>
      <w:r>
        <w:rPr>
          <w:rFonts w:hint="eastAsia" w:ascii="仿宋" w:hAnsi="仿宋" w:eastAsia="仿宋" w:cs="仿宋"/>
          <w:color w:val="auto"/>
          <w:highlight w:val="none"/>
          <w:lang w:val="zh-CN"/>
        </w:rPr>
        <w:t>供应商投诉</w:t>
      </w:r>
    </w:p>
    <w:p w14:paraId="22B680CB">
      <w:pPr>
        <w:pStyle w:val="888"/>
        <w:shd w:val="clear" w:color="auto" w:fill="FFFFFF"/>
        <w:wordWrap w:val="0"/>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2B680CC">
      <w:pPr>
        <w:pStyle w:val="888"/>
        <w:shd w:val="clear" w:color="auto" w:fill="FFFFFF"/>
        <w:wordWrap w:val="0"/>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22B680CD">
      <w:pPr>
        <w:pStyle w:val="888"/>
        <w:shd w:val="clear" w:color="auto" w:fill="FFFFFF"/>
        <w:wordWrap w:val="0"/>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22B680CE">
      <w:pPr>
        <w:pStyle w:val="888"/>
        <w:shd w:val="clear" w:color="auto" w:fill="FFFFFF"/>
        <w:wordWrap w:val="0"/>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4.4.4 以联合体形式参加政府采购活动的，其投诉应当由组成联合体的所有供应商共同提出。</w:t>
      </w:r>
    </w:p>
    <w:p w14:paraId="22B680CF">
      <w:pPr>
        <w:pStyle w:val="888"/>
        <w:widowControl w:val="0"/>
        <w:shd w:val="clear" w:color="auto" w:fill="FFFFFF"/>
        <w:wordWrap w:val="0"/>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22B680D0">
      <w:pPr>
        <w:pStyle w:val="888"/>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22B680D1">
      <w:pPr>
        <w:pStyle w:val="888"/>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4.5 补偿救济</w:t>
      </w:r>
    </w:p>
    <w:p w14:paraId="22B680D2">
      <w:pPr>
        <w:pStyle w:val="888"/>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采购人（行政机关）因政策变化、规划调整而不履行政府采购合同的，供应商可依据《杭州市涉企补偿救济实施办法（试行）》向采购人（行政机关）提起补偿申请。</w:t>
      </w:r>
    </w:p>
    <w:p w14:paraId="22B680D3">
      <w:pPr>
        <w:pStyle w:val="130"/>
        <w:wordWrap w:val="0"/>
        <w:snapToGrid w:val="0"/>
        <w:spacing w:before="0"/>
        <w:ind w:firstLine="360"/>
        <w:rPr>
          <w:rFonts w:hint="eastAsia" w:ascii="仿宋" w:hAnsi="仿宋" w:eastAsia="仿宋" w:cs="仿宋"/>
          <w:color w:val="auto"/>
          <w:sz w:val="18"/>
          <w:szCs w:val="18"/>
          <w:highlight w:val="none"/>
        </w:rPr>
      </w:pPr>
    </w:p>
    <w:p w14:paraId="22B680D4">
      <w:pPr>
        <w:wordWrap w:val="0"/>
        <w:adjustRightInd/>
        <w:spacing w:line="360" w:lineRule="auto"/>
        <w:ind w:firstLine="643"/>
        <w:jc w:val="center"/>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22B680D5">
      <w:pPr>
        <w:pStyle w:val="2"/>
        <w:wordWrap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22B680D6">
      <w:pPr>
        <w:pStyle w:val="2"/>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22B680D7">
      <w:pPr>
        <w:pStyle w:val="2"/>
        <w:tabs>
          <w:tab w:val="left" w:pos="840"/>
        </w:tabs>
        <w:wordWrap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22B680D8">
      <w:pPr>
        <w:pStyle w:val="2"/>
        <w:tabs>
          <w:tab w:val="left" w:pos="840"/>
        </w:tabs>
        <w:wordWrap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22B680D9">
      <w:pPr>
        <w:pStyle w:val="2"/>
        <w:tabs>
          <w:tab w:val="left" w:pos="840"/>
        </w:tabs>
        <w:wordWrap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22B680DA">
      <w:pPr>
        <w:pStyle w:val="2"/>
        <w:tabs>
          <w:tab w:val="left" w:pos="840"/>
        </w:tabs>
        <w:wordWrap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22B680DB">
      <w:pPr>
        <w:pStyle w:val="2"/>
        <w:tabs>
          <w:tab w:val="left" w:pos="840"/>
        </w:tabs>
        <w:wordWrap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2B680DC">
      <w:pPr>
        <w:pStyle w:val="2"/>
        <w:tabs>
          <w:tab w:val="left" w:pos="840"/>
        </w:tabs>
        <w:wordWrap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22B680DD">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22B680DE">
      <w:pPr>
        <w:pStyle w:val="2"/>
        <w:wordWrap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22B680DF">
      <w:pPr>
        <w:pStyle w:val="130"/>
        <w:wordWrap w:val="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6.1已获取招标文件的潜在投标人，若有问题需要澄清，应于投标截止时间前，以书面形式或政采云线上询问方式向采购代理机构提出。</w:t>
      </w:r>
    </w:p>
    <w:p w14:paraId="22B680E0">
      <w:pPr>
        <w:pStyle w:val="130"/>
        <w:wordWrap w:val="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2B680E1">
      <w:pPr>
        <w:pStyle w:val="25"/>
        <w:wordWrap w:val="0"/>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22B680E2">
      <w:pPr>
        <w:wordWrap w:val="0"/>
        <w:adjustRightInd/>
        <w:spacing w:line="360" w:lineRule="auto"/>
        <w:ind w:firstLine="602"/>
        <w:jc w:val="center"/>
        <w:outlineLvl w:val="1"/>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22B680E3">
      <w:pPr>
        <w:pStyle w:val="2"/>
        <w:wordWrap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22B680E4">
      <w:pPr>
        <w:wordWrap w:val="0"/>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22B680E5">
      <w:pPr>
        <w:pStyle w:val="2"/>
        <w:numPr>
          <w:ilvl w:val="0"/>
          <w:numId w:val="2"/>
        </w:numPr>
        <w:wordWrap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22B680E6">
      <w:pPr>
        <w:pStyle w:val="2"/>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22B680E7">
      <w:pPr>
        <w:pStyle w:val="2"/>
        <w:numPr>
          <w:ilvl w:val="0"/>
          <w:numId w:val="2"/>
        </w:numPr>
        <w:wordWrap w:val="0"/>
        <w:spacing w:line="360" w:lineRule="auto"/>
        <w:ind w:firstLine="482"/>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投标保证金</w:t>
      </w:r>
    </w:p>
    <w:p w14:paraId="22B680E8">
      <w:pPr>
        <w:pStyle w:val="17"/>
        <w:wordWrap w:val="0"/>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22B680E9">
      <w:pPr>
        <w:pStyle w:val="2"/>
        <w:wordWrap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22B680EA">
      <w:pPr>
        <w:wordWrap w:val="0"/>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2B680EB">
      <w:pPr>
        <w:pStyle w:val="2"/>
        <w:wordWrap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22B680EC">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22B680ED">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11.1.1供应商（联合体参加的指联合体双方）的营业执照或者其他由国家相关部门出具的具有独立承担民事责任能力的证明文件；        </w:t>
      </w:r>
    </w:p>
    <w:p w14:paraId="22B680EE">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11.1.2符合参加政府采购活动应当具备的一般条件、特殊资格条件的承诺函；</w:t>
      </w:r>
    </w:p>
    <w:p w14:paraId="22B680EF">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11.1.3联合协议（联合体参加的提供）；</w:t>
      </w:r>
    </w:p>
    <w:p w14:paraId="22B680F0">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11.1.4满足政府采购政策的资格要求证明材料；</w:t>
      </w:r>
    </w:p>
    <w:p w14:paraId="22B680F1">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11.1.5满足本项目特定资格要求的证明材料。</w:t>
      </w:r>
    </w:p>
    <w:p w14:paraId="22B680F2">
      <w:pPr>
        <w:wordWrap w:val="0"/>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22B680F3">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22B680F4">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11.2.2授权委托书或法定代表人（单位负责人）身份证明；</w:t>
      </w:r>
    </w:p>
    <w:p w14:paraId="22B680F5">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11.2.3分包意向协议（拟分包的提供)；</w:t>
      </w:r>
    </w:p>
    <w:p w14:paraId="22B680F6">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22B680F7">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22B680F8">
      <w:pPr>
        <w:wordWrap w:val="0"/>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11.2.6</w:t>
      </w:r>
      <w:r>
        <w:rPr>
          <w:rFonts w:hint="eastAsia" w:ascii="仿宋" w:hAnsi="仿宋" w:eastAsia="仿宋" w:cs="仿宋"/>
          <w:color w:val="auto"/>
          <w:sz w:val="24"/>
          <w:highlight w:val="none"/>
          <w:lang w:val="zh-CN"/>
        </w:rPr>
        <w:t>政府采购供应商廉洁自律承诺书。</w:t>
      </w:r>
    </w:p>
    <w:p w14:paraId="22B680F9">
      <w:pPr>
        <w:wordWrap w:val="0"/>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22B680FA">
      <w:pPr>
        <w:wordWrap w:val="0"/>
        <w:adjustRightInd/>
        <w:snapToGrid w:val="0"/>
        <w:spacing w:line="360" w:lineRule="auto"/>
        <w:ind w:firstLine="960" w:firstLineChars="4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22B680FB">
      <w:pPr>
        <w:wordWrap w:val="0"/>
        <w:adjustRightInd/>
        <w:snapToGrid w:val="0"/>
        <w:spacing w:line="360" w:lineRule="auto"/>
        <w:ind w:firstLine="960" w:firstLineChars="4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对于未预留份额专门面向中小企业的政府采购服务项目，以及预留份额政府采购服务项目中的非预留部分标项，若供应商（含联合体中的中小企业、签订分包意向协议的中小企业）为小微企业，且提供了中小企业声明函的，则可享受价格扣除优惠政策）；</w:t>
      </w:r>
    </w:p>
    <w:p w14:paraId="22B680FC">
      <w:pPr>
        <w:wordWrap w:val="0"/>
        <w:adjustRightInd/>
        <w:snapToGrid w:val="0"/>
        <w:spacing w:line="360" w:lineRule="auto"/>
        <w:ind w:firstLine="960" w:firstLineChars="4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11.3.3报价情况说明（如供应商报价低于最高限价50%的，应当提交本文档，详细阐述不影响服务质量或者诚信履约的具体原因）；</w:t>
      </w:r>
    </w:p>
    <w:p w14:paraId="22B680FD">
      <w:pPr>
        <w:wordWrap w:val="0"/>
        <w:spacing w:line="360" w:lineRule="auto"/>
        <w:ind w:firstLine="960" w:firstLineChars="400"/>
        <w:rPr>
          <w:rFonts w:hint="eastAsia" w:ascii="仿宋" w:hAnsi="仿宋" w:eastAsia="仿宋" w:cs="仿宋"/>
          <w:b/>
          <w:color w:val="auto"/>
          <w:sz w:val="24"/>
          <w:highlight w:val="none"/>
        </w:rPr>
      </w:pPr>
      <w:r>
        <w:rPr>
          <w:rFonts w:hint="eastAsia" w:ascii="仿宋" w:hAnsi="仿宋" w:eastAsia="仿宋" w:cs="仿宋"/>
          <w:color w:val="auto"/>
          <w:sz w:val="24"/>
          <w:highlight w:val="none"/>
        </w:rPr>
        <w:t>11.3.4供应商针对报价需要说明的其他文件和说明（格式自拟）。</w:t>
      </w:r>
    </w:p>
    <w:p w14:paraId="22B680FE">
      <w:pPr>
        <w:wordWrap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22B680FF">
      <w:pPr>
        <w:wordWrap w:val="0"/>
        <w:spacing w:line="360" w:lineRule="auto"/>
        <w:ind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供应商应对响应文件中材料的真实性、合法性负责。投标人提供虚假材料投标的，投标无效。</w:t>
      </w:r>
    </w:p>
    <w:p w14:paraId="22B68100">
      <w:pPr>
        <w:pStyle w:val="130"/>
        <w:numPr>
          <w:ilvl w:val="0"/>
          <w:numId w:val="3"/>
        </w:numPr>
        <w:wordWrap w:val="0"/>
        <w:snapToGrid w:val="0"/>
        <w:spacing w:before="0"/>
        <w:ind w:firstLine="0" w:firstLineChars="0"/>
        <w:outlineLvl w:val="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投标文件的编制</w:t>
      </w:r>
    </w:p>
    <w:p w14:paraId="22B68101">
      <w:pPr>
        <w:wordWrap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2B68102">
      <w:pPr>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2B68103">
      <w:pPr>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2B68104">
      <w:pPr>
        <w:numPr>
          <w:ilvl w:val="0"/>
          <w:numId w:val="3"/>
        </w:numPr>
        <w:wordWrap w:val="0"/>
        <w:snapToGrid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22B68105">
      <w:pPr>
        <w:pStyle w:val="130"/>
        <w:wordWrap w:val="0"/>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22B68106">
      <w:pPr>
        <w:pStyle w:val="130"/>
        <w:wordWrap w:val="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2B68107">
      <w:pPr>
        <w:pStyle w:val="130"/>
        <w:wordWrap w:val="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22B68108">
      <w:pPr>
        <w:pStyle w:val="130"/>
        <w:wordWrap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22B68109">
      <w:pPr>
        <w:pStyle w:val="130"/>
        <w:wordWrap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2B6810A">
      <w:pPr>
        <w:pStyle w:val="130"/>
        <w:wordWrap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2B6810B">
      <w:pPr>
        <w:pStyle w:val="130"/>
        <w:wordWrap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2B6810C">
      <w:pPr>
        <w:pStyle w:val="2"/>
        <w:wordWrap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 备份投标文件</w:t>
      </w:r>
    </w:p>
    <w:p w14:paraId="22B6810D">
      <w:pPr>
        <w:pStyle w:val="2"/>
        <w:wordWrap w:val="0"/>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15.1投标人在电子交易平台传输递交投标文件后，可以在投标截止时间前直接提交或者以快递方式递交备份投标文件1份（</w:t>
      </w:r>
      <w:r>
        <w:rPr>
          <w:rFonts w:hint="eastAsia" w:ascii="仿宋" w:hAnsi="仿宋" w:eastAsia="仿宋" w:cs="仿宋"/>
          <w:b/>
          <w:color w:val="auto"/>
          <w:sz w:val="24"/>
          <w:szCs w:val="24"/>
          <w:highlight w:val="none"/>
        </w:rPr>
        <w:t>非强制要求，投标人自行考虑，快递到付或包裹破损拒绝接受）。</w:t>
      </w:r>
    </w:p>
    <w:p w14:paraId="22B6810E">
      <w:pPr>
        <w:pStyle w:val="2"/>
        <w:wordWrap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DVD光盘或U盘</w:t>
      </w:r>
      <w:r>
        <w:rPr>
          <w:rFonts w:hint="eastAsia" w:ascii="仿宋" w:hAnsi="仿宋" w:eastAsia="仿宋" w:cs="仿宋"/>
          <w:color w:val="auto"/>
          <w:sz w:val="24"/>
          <w:szCs w:val="24"/>
          <w:highlight w:val="none"/>
        </w:rPr>
        <w:t>中。备份投标文件应当密封包装并在包装上加盖公章并注明投标项目名称，投标人名称(</w:t>
      </w:r>
      <w:r>
        <w:rPr>
          <w:rFonts w:hint="eastAsia" w:ascii="仿宋" w:hAnsi="仿宋" w:eastAsia="仿宋" w:cs="仿宋"/>
          <w:b/>
          <w:bCs/>
          <w:color w:val="auto"/>
          <w:sz w:val="24"/>
          <w:szCs w:val="24"/>
          <w:highlight w:val="none"/>
        </w:rPr>
        <w:t>联合体投标的，包装物封面需注明联合体投标，并注明联合体成员各方的名称和联合协议中约定的牵头人的名称</w:t>
      </w:r>
      <w:r>
        <w:rPr>
          <w:rFonts w:hint="eastAsia" w:ascii="仿宋" w:hAnsi="仿宋" w:eastAsia="仿宋" w:cs="仿宋"/>
          <w:color w:val="auto"/>
          <w:sz w:val="24"/>
          <w:szCs w:val="24"/>
          <w:highlight w:val="none"/>
        </w:rPr>
        <w:t>)。</w:t>
      </w:r>
      <w:r>
        <w:rPr>
          <w:rFonts w:hint="eastAsia" w:ascii="仿宋" w:hAnsi="仿宋" w:eastAsia="仿宋" w:cs="仿宋"/>
          <w:b/>
          <w:bCs/>
          <w:color w:val="auto"/>
          <w:sz w:val="24"/>
          <w:highlight w:val="none"/>
        </w:rPr>
        <w:t>不符合上述制作、</w:t>
      </w:r>
      <w:r>
        <w:rPr>
          <w:rFonts w:hint="eastAsia" w:ascii="仿宋" w:hAnsi="仿宋" w:eastAsia="仿宋" w:cs="仿宋"/>
          <w:b/>
          <w:bCs/>
          <w:color w:val="auto"/>
          <w:sz w:val="24"/>
          <w:szCs w:val="24"/>
          <w:highlight w:val="none"/>
        </w:rPr>
        <w:t>存储、密封规定的备份投标文件将被视为无效或者被拒绝接收。</w:t>
      </w:r>
    </w:p>
    <w:p w14:paraId="22B6810F">
      <w:pPr>
        <w:pStyle w:val="2"/>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2B68110">
      <w:pPr>
        <w:pStyle w:val="2"/>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15.4以快递方式递交备份投标文件的，投标人应先将备份投标文件按要求密封和标记，再进行快递包装后邮寄。备份投标文件须在投标截止时间之前送达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2B68111">
      <w:pPr>
        <w:pStyle w:val="2"/>
        <w:wordWrap w:val="0"/>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22B68112">
      <w:pPr>
        <w:pStyle w:val="130"/>
        <w:numPr>
          <w:ilvl w:val="0"/>
          <w:numId w:val="4"/>
        </w:numPr>
        <w:wordWrap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22B68113">
      <w:pPr>
        <w:pStyle w:val="26"/>
        <w:wordWrap w:val="0"/>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有招标文件第四部分第</w:t>
      </w:r>
      <w:r>
        <w:rPr>
          <w:rFonts w:hint="eastAsia" w:ascii="仿宋" w:hAnsi="仿宋" w:eastAsia="仿宋" w:cs="仿宋"/>
          <w:color w:val="auto"/>
          <w:highlight w:val="none"/>
        </w:rPr>
        <w:t>4.2项规定</w:t>
      </w:r>
      <w:r>
        <w:rPr>
          <w:rFonts w:hint="eastAsia" w:ascii="仿宋" w:hAnsi="仿宋" w:eastAsia="仿宋" w:cs="仿宋"/>
          <w:color w:val="auto"/>
          <w:szCs w:val="21"/>
          <w:highlight w:val="none"/>
        </w:rPr>
        <w:t>的情形之一的，投标无效。</w:t>
      </w:r>
    </w:p>
    <w:p w14:paraId="22B68114">
      <w:pPr>
        <w:pStyle w:val="130"/>
        <w:numPr>
          <w:ilvl w:val="0"/>
          <w:numId w:val="4"/>
        </w:numPr>
        <w:wordWrap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22B68115">
      <w:pPr>
        <w:wordWrap w:val="0"/>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2B68116">
      <w:pPr>
        <w:pStyle w:val="130"/>
        <w:wordWrap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22B68117">
      <w:pPr>
        <w:pStyle w:val="130"/>
        <w:wordWrap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2B68118">
      <w:pPr>
        <w:pStyle w:val="130"/>
        <w:wordWrap w:val="0"/>
        <w:spacing w:before="0"/>
        <w:ind w:firstLine="643"/>
        <w:rPr>
          <w:rFonts w:hint="eastAsia" w:ascii="仿宋" w:hAnsi="仿宋" w:eastAsia="仿宋" w:cs="仿宋"/>
          <w:b/>
          <w:color w:val="auto"/>
          <w:sz w:val="32"/>
          <w:highlight w:val="none"/>
        </w:rPr>
      </w:pPr>
    </w:p>
    <w:p w14:paraId="22B68119">
      <w:pPr>
        <w:pStyle w:val="130"/>
        <w:wordWrap w:val="0"/>
        <w:spacing w:before="0"/>
        <w:ind w:firstLine="1928" w:firstLineChars="600"/>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22B6811A">
      <w:pPr>
        <w:pStyle w:val="557"/>
        <w:wordWrap w:val="0"/>
        <w:spacing w:before="0" w:line="360" w:lineRule="auto"/>
        <w:ind w:left="0" w:firstLine="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 开标</w:t>
      </w:r>
      <w:r>
        <w:rPr>
          <w:rFonts w:hint="eastAsia" w:ascii="仿宋" w:hAnsi="仿宋" w:eastAsia="仿宋" w:cs="仿宋"/>
          <w:color w:val="auto"/>
          <w:sz w:val="24"/>
          <w:highlight w:val="none"/>
        </w:rPr>
        <w:t xml:space="preserve"> </w:t>
      </w:r>
    </w:p>
    <w:p w14:paraId="22B6811B">
      <w:pPr>
        <w:pStyle w:val="557"/>
        <w:wordWrap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22B6811C">
      <w:pPr>
        <w:pStyle w:val="557"/>
        <w:wordWrap w:val="0"/>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2B6811D">
      <w:pPr>
        <w:pStyle w:val="557"/>
        <w:wordWrap w:val="0"/>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22B6811E">
      <w:pPr>
        <w:pStyle w:val="557"/>
        <w:wordWrap w:val="0"/>
        <w:spacing w:before="0" w:line="360" w:lineRule="auto"/>
        <w:ind w:left="0" w:firstLine="480" w:firstLineChars="200"/>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18.4本项目唱标顺序：</w:t>
      </w:r>
      <w:r>
        <w:rPr>
          <w:rFonts w:hint="eastAsia" w:ascii="仿宋" w:hAnsi="仿宋" w:eastAsia="仿宋" w:cs="仿宋"/>
          <w:color w:val="auto"/>
          <w:sz w:val="24"/>
          <w:highlight w:val="none"/>
          <w:u w:val="single"/>
        </w:rPr>
        <w:sym w:font="Wingdings" w:char="00FE"/>
      </w:r>
      <w:r>
        <w:rPr>
          <w:rFonts w:hint="eastAsia" w:ascii="仿宋" w:hAnsi="仿宋" w:eastAsia="仿宋" w:cs="仿宋"/>
          <w:color w:val="auto"/>
          <w:sz w:val="24"/>
          <w:highlight w:val="none"/>
          <w:u w:val="single"/>
        </w:rPr>
        <w:t>先技术商务后报价（后唱标），</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报价技术商务同时开（先唱标）。</w:t>
      </w:r>
    </w:p>
    <w:p w14:paraId="22B6811F">
      <w:pPr>
        <w:pStyle w:val="557"/>
        <w:wordWrap w:val="0"/>
        <w:spacing w:before="0" w:line="360" w:lineRule="auto"/>
        <w:ind w:left="0" w:firstLine="0"/>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 资格审查</w:t>
      </w:r>
    </w:p>
    <w:p w14:paraId="22B68120">
      <w:pPr>
        <w:pStyle w:val="130"/>
        <w:wordWrap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19.1开标后，采购人或采购代理机构将依法对投标人的资格进行审查。</w:t>
      </w:r>
    </w:p>
    <w:p w14:paraId="22B68121">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采购人或采购代理机构依据法律法规和招标文件的规定，对投标人的基本资格条件、特定资格条件进行审查。</w:t>
      </w:r>
    </w:p>
    <w:p w14:paraId="22B68122">
      <w:pPr>
        <w:pStyle w:val="130"/>
        <w:wordWrap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22B68123">
      <w:pPr>
        <w:pStyle w:val="130"/>
        <w:wordWrap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4对未通过资格审查的投标人，采购人或采购代理机构告知其未通过的原因。</w:t>
      </w:r>
    </w:p>
    <w:p w14:paraId="22B68124">
      <w:pPr>
        <w:pStyle w:val="130"/>
        <w:wordWrap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5合格投标人不足3家的，不再继续评标。</w:t>
      </w:r>
    </w:p>
    <w:p w14:paraId="22B68125">
      <w:pPr>
        <w:pStyle w:val="130"/>
        <w:wordWrap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2B68126">
      <w:pPr>
        <w:pStyle w:val="130"/>
        <w:numPr>
          <w:ilvl w:val="0"/>
          <w:numId w:val="5"/>
        </w:numPr>
        <w:wordWrap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22B68127">
      <w:pPr>
        <w:pStyle w:val="130"/>
        <w:wordWrap w:val="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22B68128">
      <w:pPr>
        <w:pStyle w:val="130"/>
        <w:wordWrap w:val="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22B68129">
      <w:pPr>
        <w:pStyle w:val="130"/>
        <w:wordWrap w:val="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2B6812A">
      <w:pPr>
        <w:pStyle w:val="130"/>
        <w:wordWrap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2B6812B">
      <w:pPr>
        <w:pStyle w:val="130"/>
        <w:wordWrap w:val="0"/>
        <w:spacing w:before="0"/>
        <w:ind w:firstLine="0" w:firstLineChars="0"/>
        <w:rPr>
          <w:rFonts w:hint="eastAsia" w:ascii="仿宋" w:hAnsi="仿宋" w:eastAsia="仿宋" w:cs="仿宋"/>
          <w:color w:val="auto"/>
          <w:kern w:val="0"/>
          <w:szCs w:val="24"/>
          <w:highlight w:val="none"/>
        </w:rPr>
      </w:pPr>
    </w:p>
    <w:p w14:paraId="22B6812C">
      <w:pPr>
        <w:wordWrap w:val="0"/>
        <w:snapToGrid w:val="0"/>
        <w:spacing w:line="360" w:lineRule="auto"/>
        <w:ind w:firstLine="723"/>
        <w:jc w:val="center"/>
        <w:outlineLvl w:val="1"/>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22B6812D">
      <w:pPr>
        <w:wordWrap w:val="0"/>
        <w:spacing w:line="360" w:lineRule="auto"/>
        <w:ind w:firstLine="241" w:firstLineChars="100"/>
        <w:rPr>
          <w:rFonts w:hint="eastAsia" w:ascii="仿宋" w:hAnsi="仿宋" w:eastAsia="仿宋" w:cs="仿宋"/>
          <w:b/>
          <w:color w:val="auto"/>
          <w:sz w:val="24"/>
          <w:highlight w:val="none"/>
        </w:rPr>
      </w:pPr>
      <w:bookmarkStart w:id="32"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22B6812E">
      <w:pPr>
        <w:wordWrap w:val="0"/>
        <w:spacing w:line="360" w:lineRule="auto"/>
        <w:ind w:firstLine="482"/>
        <w:rPr>
          <w:rFonts w:hint="eastAsia" w:ascii="仿宋" w:hAnsi="仿宋" w:eastAsia="仿宋" w:cs="仿宋"/>
          <w:b/>
          <w:color w:val="auto"/>
          <w:sz w:val="24"/>
          <w:highlight w:val="none"/>
        </w:rPr>
      </w:pPr>
    </w:p>
    <w:p w14:paraId="22B6812F">
      <w:pPr>
        <w:wordWrap w:val="0"/>
        <w:snapToGrid w:val="0"/>
        <w:spacing w:line="360" w:lineRule="auto"/>
        <w:ind w:firstLine="723"/>
        <w:jc w:val="center"/>
        <w:outlineLvl w:val="1"/>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22B68130">
      <w:pPr>
        <w:pStyle w:val="26"/>
        <w:wordWrap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22B68131">
      <w:pPr>
        <w:pStyle w:val="130"/>
        <w:wordWrap w:val="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为提高政府采购效率，一般在收到评审报告当天确定中标供应商。中标通知书和中标结果公告应当在规定时间内同时发出。</w:t>
      </w:r>
    </w:p>
    <w:p w14:paraId="22B68132">
      <w:pPr>
        <w:pStyle w:val="130"/>
        <w:wordWrap w:val="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22B68133">
      <w:pPr>
        <w:widowControl/>
        <w:shd w:val="clear" w:color="auto" w:fill="FFFFFF"/>
        <w:wordWrap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22B68134">
      <w:pPr>
        <w:widowControl/>
        <w:shd w:val="clear" w:color="auto" w:fill="FFFFFF"/>
        <w:wordWrap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2B68135">
      <w:pPr>
        <w:widowControl/>
        <w:shd w:val="clear" w:color="auto" w:fill="FFFFFF"/>
        <w:wordWrap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2B68136">
      <w:pPr>
        <w:widowControl/>
        <w:shd w:val="clear" w:color="auto" w:fill="FFFFFF"/>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24.由于中标供应商原因导致重新采购的，应当承担支付代理费和专家评审费等费用在内的赔偿责任。</w:t>
      </w:r>
    </w:p>
    <w:p w14:paraId="22B68137">
      <w:pPr>
        <w:wordWrap w:val="0"/>
        <w:snapToGrid w:val="0"/>
        <w:spacing w:line="360" w:lineRule="auto"/>
        <w:ind w:left="120" w:leftChars="57" w:firstLine="482" w:firstLineChars="150"/>
        <w:jc w:val="center"/>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22B68138">
      <w:pPr>
        <w:pStyle w:val="26"/>
        <w:wordWrap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25. </w:t>
      </w:r>
      <w:r>
        <w:rPr>
          <w:rFonts w:hint="eastAsia" w:ascii="仿宋" w:hAnsi="仿宋" w:eastAsia="仿宋" w:cs="仿宋"/>
          <w:color w:val="auto"/>
          <w:highlight w:val="none"/>
        </w:rPr>
        <w:t>合同主要条款详见第五部分拟签订的合同文本。</w:t>
      </w:r>
    </w:p>
    <w:p w14:paraId="22B68139">
      <w:pPr>
        <w:pStyle w:val="26"/>
        <w:wordWrap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合同的签订</w:t>
      </w:r>
    </w:p>
    <w:p w14:paraId="22B6813A">
      <w:pPr>
        <w:widowControl/>
        <w:shd w:val="clear" w:color="auto" w:fill="FFFFFF"/>
        <w:wordWrap w:val="0"/>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26.1</w:t>
      </w:r>
      <w:r>
        <w:rPr>
          <w:rFonts w:hint="eastAsia" w:ascii="仿宋" w:hAnsi="仿宋" w:eastAsia="仿宋" w:cs="仿宋"/>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2B6813B">
      <w:pPr>
        <w:pStyle w:val="130"/>
        <w:wordWrap w:val="0"/>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22B6813C">
      <w:pPr>
        <w:pStyle w:val="130"/>
        <w:wordWrap w:val="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26.3如签订合同并生效后，供应商无故拒绝或延期，除按照合同条款处理外，列入不良行为记录一次，并给予通报。</w:t>
      </w:r>
    </w:p>
    <w:p w14:paraId="22B6813D">
      <w:pPr>
        <w:pStyle w:val="130"/>
        <w:wordWrap w:val="0"/>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26.4中标供应商拒绝与采购人签订合同的，采购人可以按照评标报告推荐的中标候选人名单排序，确定下一候选人为中标供应商，也可以重新开展政府采购活动。</w:t>
      </w:r>
    </w:p>
    <w:p w14:paraId="22B6813E">
      <w:pPr>
        <w:pStyle w:val="130"/>
        <w:wordWrap w:val="0"/>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26.5采购合同由采购人与中标供应商根据招标文件、投标文件等内容通过政府采购电子交易平台在线签订，自动备案。</w:t>
      </w:r>
    </w:p>
    <w:p w14:paraId="22B6813F">
      <w:pPr>
        <w:pStyle w:val="26"/>
        <w:numPr>
          <w:ilvl w:val="0"/>
          <w:numId w:val="6"/>
        </w:numPr>
        <w:wordWrap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履约保证金</w:t>
      </w:r>
    </w:p>
    <w:p w14:paraId="22B68140">
      <w:pPr>
        <w:tabs>
          <w:tab w:val="left" w:pos="0"/>
        </w:tabs>
        <w:wordWrap w:val="0"/>
        <w:spacing w:line="360" w:lineRule="auto"/>
        <w:ind w:firstLine="48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2B68141">
      <w:pPr>
        <w:tabs>
          <w:tab w:val="left" w:pos="0"/>
        </w:tabs>
        <w:wordWrap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2B68142">
      <w:pPr>
        <w:numPr>
          <w:ilvl w:val="0"/>
          <w:numId w:val="6"/>
        </w:numPr>
        <w:tabs>
          <w:tab w:val="left" w:pos="0"/>
        </w:tabs>
        <w:wordWrap w:val="0"/>
        <w:spacing w:line="360" w:lineRule="auto"/>
        <w:ind w:left="479" w:hanging="479" w:hangingChars="19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预付款</w:t>
      </w:r>
    </w:p>
    <w:p w14:paraId="22B68143">
      <w:pPr>
        <w:tabs>
          <w:tab w:val="left" w:pos="0"/>
        </w:tabs>
        <w:wordWrap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2B68144">
      <w:pPr>
        <w:wordWrap w:val="0"/>
        <w:snapToGrid w:val="0"/>
        <w:spacing w:line="360" w:lineRule="auto"/>
        <w:ind w:firstLine="3357" w:firstLineChars="1045"/>
        <w:rPr>
          <w:rFonts w:hint="eastAsia" w:ascii="仿宋" w:hAnsi="仿宋" w:eastAsia="仿宋" w:cs="仿宋"/>
          <w:b/>
          <w:color w:val="auto"/>
          <w:sz w:val="32"/>
          <w:highlight w:val="none"/>
        </w:rPr>
      </w:pPr>
    </w:p>
    <w:p w14:paraId="22B68145">
      <w:pPr>
        <w:wordWrap w:val="0"/>
        <w:snapToGrid w:val="0"/>
        <w:spacing w:line="360" w:lineRule="auto"/>
        <w:ind w:firstLine="3357" w:firstLineChars="1045"/>
        <w:outlineLvl w:val="1"/>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2B68146">
      <w:pPr>
        <w:pStyle w:val="130"/>
        <w:wordWrap w:val="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 xml:space="preserve">9. </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22B68147">
      <w:pPr>
        <w:tabs>
          <w:tab w:val="left" w:pos="0"/>
        </w:tabs>
        <w:wordWrap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29.1电子交易平台发生故障而无法登录访问的； </w:t>
      </w:r>
    </w:p>
    <w:p w14:paraId="22B68148">
      <w:pPr>
        <w:tabs>
          <w:tab w:val="left" w:pos="0"/>
        </w:tabs>
        <w:wordWrap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29.2电子交易平台应用或数据库出现错误，不能进行正常操作的；</w:t>
      </w:r>
    </w:p>
    <w:p w14:paraId="22B68149">
      <w:pPr>
        <w:tabs>
          <w:tab w:val="left" w:pos="0"/>
        </w:tabs>
        <w:wordWrap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29.3电子交易平台发现严重安全漏洞，有潜在泄密危险的；</w:t>
      </w:r>
    </w:p>
    <w:p w14:paraId="22B6814A">
      <w:pPr>
        <w:tabs>
          <w:tab w:val="left" w:pos="0"/>
        </w:tabs>
        <w:wordWrap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29.4病毒发作导致不能进行正常操作的； </w:t>
      </w:r>
    </w:p>
    <w:p w14:paraId="22B6814B">
      <w:pPr>
        <w:tabs>
          <w:tab w:val="left" w:pos="0"/>
        </w:tabs>
        <w:wordWrap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29.5其他无法保证电子交易的公平、公正和安全的情况。</w:t>
      </w:r>
    </w:p>
    <w:p w14:paraId="22B6814C">
      <w:pPr>
        <w:tabs>
          <w:tab w:val="left" w:pos="0"/>
        </w:tabs>
        <w:wordWrap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14:paraId="22B6814D">
      <w:pPr>
        <w:wordWrap w:val="0"/>
        <w:snapToGrid w:val="0"/>
        <w:spacing w:line="360" w:lineRule="auto"/>
        <w:ind w:left="120" w:leftChars="57" w:firstLine="482" w:firstLineChars="150"/>
        <w:jc w:val="center"/>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22B6814E">
      <w:pPr>
        <w:pStyle w:val="26"/>
        <w:wordWrap w:val="0"/>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31. 验收</w:t>
      </w:r>
    </w:p>
    <w:p w14:paraId="22B6814F">
      <w:pPr>
        <w:tabs>
          <w:tab w:val="left" w:pos="0"/>
        </w:tabs>
        <w:wordWrap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B68150">
      <w:pPr>
        <w:tabs>
          <w:tab w:val="left" w:pos="0"/>
        </w:tabs>
        <w:wordWrap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31.2采购人可以邀请参加本项目的其他投标人或者第三方机构参与验收。参与验收的投标人或者第三方机构的意见作为验收书的参考资料一并存档。</w:t>
      </w:r>
    </w:p>
    <w:p w14:paraId="22B68151">
      <w:pPr>
        <w:tabs>
          <w:tab w:val="left" w:pos="0"/>
        </w:tabs>
        <w:wordWrap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B68152">
      <w:pPr>
        <w:tabs>
          <w:tab w:val="left" w:pos="0"/>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2B68153">
      <w:pPr>
        <w:tabs>
          <w:tab w:val="left" w:pos="0"/>
        </w:tabs>
        <w:spacing w:line="360" w:lineRule="auto"/>
        <w:ind w:firstLine="480" w:firstLineChars="20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32"/>
    <w:p w14:paraId="7D23C5ED">
      <w:pPr>
        <w:tabs>
          <w:tab w:val="left" w:pos="0"/>
        </w:tabs>
        <w:wordWrap w:val="0"/>
        <w:spacing w:line="360" w:lineRule="auto"/>
        <w:ind w:firstLine="480"/>
        <w:rPr>
          <w:rFonts w:hint="eastAsia" w:ascii="仿宋" w:hAnsi="仿宋" w:eastAsia="仿宋" w:cs="仿宋"/>
          <w:color w:val="auto"/>
          <w:kern w:val="0"/>
          <w:sz w:val="24"/>
          <w:highlight w:val="none"/>
        </w:rPr>
        <w:sectPr>
          <w:pgSz w:w="11905" w:h="16838"/>
          <w:pgMar w:top="652" w:right="1417" w:bottom="680" w:left="1417" w:header="539" w:footer="425" w:gutter="0"/>
          <w:cols w:space="0" w:num="1"/>
          <w:titlePg/>
          <w:docGrid w:linePitch="312" w:charSpace="0"/>
        </w:sectPr>
      </w:pPr>
      <w:bookmarkStart w:id="33" w:name="_Hlt68072990"/>
      <w:bookmarkEnd w:id="33"/>
      <w:bookmarkStart w:id="34" w:name="_Hlt74729768"/>
      <w:bookmarkEnd w:id="34"/>
      <w:bookmarkStart w:id="35" w:name="_Hlt68403820"/>
      <w:bookmarkEnd w:id="35"/>
      <w:bookmarkStart w:id="36" w:name="_Hlt75236101"/>
      <w:bookmarkEnd w:id="36"/>
      <w:bookmarkStart w:id="37" w:name="_Hlt74730295"/>
      <w:bookmarkEnd w:id="37"/>
      <w:bookmarkStart w:id="38" w:name="_Hlt68072998"/>
      <w:bookmarkEnd w:id="38"/>
      <w:bookmarkStart w:id="39" w:name="_Hlt74707468"/>
      <w:bookmarkEnd w:id="39"/>
      <w:bookmarkStart w:id="40" w:name="_Hlt74714665"/>
      <w:bookmarkEnd w:id="40"/>
      <w:bookmarkStart w:id="41" w:name="_Hlt75236011"/>
      <w:bookmarkEnd w:id="41"/>
      <w:bookmarkStart w:id="42" w:name="_Hlt68073093"/>
      <w:bookmarkEnd w:id="42"/>
      <w:bookmarkStart w:id="43" w:name="_Hlt68057669"/>
      <w:bookmarkEnd w:id="43"/>
      <w:bookmarkStart w:id="44" w:name="_Hlt75236290"/>
      <w:bookmarkEnd w:id="44"/>
    </w:p>
    <w:bookmarkEnd w:id="30"/>
    <w:bookmarkEnd w:id="31"/>
    <w:p w14:paraId="22B68155">
      <w:pPr>
        <w:wordWrap w:val="0"/>
        <w:spacing w:line="360" w:lineRule="auto"/>
        <w:ind w:firstLine="723"/>
        <w:jc w:val="center"/>
        <w:outlineLvl w:val="0"/>
        <w:rPr>
          <w:rFonts w:hint="eastAsia" w:ascii="仿宋" w:hAnsi="仿宋" w:eastAsia="仿宋" w:cs="仿宋"/>
          <w:b/>
          <w:color w:val="auto"/>
          <w:sz w:val="36"/>
          <w:szCs w:val="36"/>
          <w:highlight w:val="none"/>
        </w:rPr>
      </w:pPr>
      <w:bookmarkStart w:id="45" w:name="_Toc16672"/>
      <w:bookmarkStart w:id="46" w:name="_Toc15452"/>
      <w:bookmarkStart w:id="47" w:name="_Toc8370"/>
      <w:bookmarkStart w:id="48" w:name="_Toc135"/>
      <w:bookmarkStart w:id="49" w:name="_Toc377"/>
      <w:bookmarkStart w:id="50" w:name="_Toc10476"/>
      <w:bookmarkStart w:id="51" w:name="_Toc17637"/>
      <w:bookmarkStart w:id="52" w:name="_Toc23290"/>
      <w:bookmarkStart w:id="53" w:name="_Toc32166"/>
      <w:bookmarkStart w:id="54" w:name="第四部分"/>
      <w:r>
        <w:rPr>
          <w:rFonts w:hint="eastAsia" w:ascii="仿宋" w:hAnsi="仿宋" w:eastAsia="仿宋" w:cs="仿宋"/>
          <w:b/>
          <w:color w:val="auto"/>
          <w:sz w:val="36"/>
          <w:szCs w:val="36"/>
          <w:highlight w:val="none"/>
        </w:rPr>
        <w:t>第三部分 采购需求</w:t>
      </w:r>
      <w:bookmarkEnd w:id="45"/>
      <w:bookmarkEnd w:id="46"/>
      <w:bookmarkEnd w:id="47"/>
      <w:bookmarkEnd w:id="48"/>
      <w:bookmarkEnd w:id="49"/>
      <w:bookmarkEnd w:id="50"/>
      <w:bookmarkEnd w:id="51"/>
      <w:bookmarkEnd w:id="52"/>
      <w:bookmarkEnd w:id="53"/>
    </w:p>
    <w:p w14:paraId="22B68156">
      <w:pPr>
        <w:spacing w:line="360" w:lineRule="auto"/>
        <w:ind w:firstLine="480" w:firstLineChars="200"/>
        <w:rPr>
          <w:rFonts w:hint="eastAsia" w:ascii="仿宋" w:hAnsi="仿宋" w:eastAsia="仿宋" w:cs="仿宋"/>
          <w:color w:val="auto"/>
          <w:sz w:val="24"/>
          <w:highlight w:val="none"/>
        </w:rPr>
      </w:pPr>
      <w:bookmarkStart w:id="55" w:name="_Hlk87540067"/>
      <w:bookmarkStart w:id="56" w:name="_Toc17094"/>
      <w:bookmarkStart w:id="57" w:name="_Toc169952210"/>
      <w:bookmarkStart w:id="58" w:name="_Toc5794"/>
      <w:bookmarkStart w:id="59" w:name="_Toc23824"/>
      <w:bookmarkStart w:id="60" w:name="_Toc24799"/>
      <w:bookmarkStart w:id="61" w:name="_Toc12173"/>
      <w:bookmarkStart w:id="62" w:name="_Toc22598"/>
      <w:bookmarkStart w:id="63" w:name="_Toc28895"/>
      <w:bookmarkStart w:id="64" w:name="_Toc6657"/>
      <w:r>
        <w:rPr>
          <w:rFonts w:hint="eastAsia" w:ascii="仿宋" w:hAnsi="仿宋" w:eastAsia="仿宋" w:cs="仿宋"/>
          <w:color w:val="auto"/>
          <w:sz w:val="24"/>
          <w:highlight w:val="none"/>
        </w:rPr>
        <w:t>一、</w:t>
      </w:r>
      <w:r>
        <w:rPr>
          <w:rFonts w:hint="eastAsia" w:ascii="仿宋" w:hAnsi="仿宋" w:eastAsia="仿宋" w:cs="仿宋"/>
          <w:b/>
          <w:bCs/>
          <w:color w:val="auto"/>
          <w:sz w:val="24"/>
          <w:highlight w:val="none"/>
        </w:rPr>
        <w:t>采购范围及内容</w:t>
      </w:r>
    </w:p>
    <w:p w14:paraId="22B681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上塘九沙片</w:t>
      </w:r>
      <w:r>
        <w:rPr>
          <w:rFonts w:hint="eastAsia" w:ascii="仿宋" w:hAnsi="仿宋" w:eastAsia="仿宋" w:cs="仿宋"/>
          <w:color w:val="auto"/>
          <w:sz w:val="24"/>
          <w:highlight w:val="none"/>
        </w:rPr>
        <w:t>闸站（包括</w:t>
      </w:r>
      <w:r>
        <w:rPr>
          <w:rFonts w:hint="eastAsia" w:ascii="仿宋" w:hAnsi="仿宋" w:eastAsia="仿宋" w:cs="仿宋"/>
          <w:color w:val="auto"/>
          <w:sz w:val="24"/>
          <w:highlight w:val="none"/>
          <w:lang w:eastAsia="zh-CN"/>
        </w:rPr>
        <w:t>胜利河船闸、电厂热水河船闸、姚家坝泵站、施家桥闸站、九沙橡胶坝、九沙和睦闸、九沙东湖闸7个闸站</w:t>
      </w:r>
      <w:r>
        <w:rPr>
          <w:rFonts w:hint="eastAsia" w:ascii="仿宋" w:hAnsi="仿宋" w:eastAsia="仿宋" w:cs="仿宋"/>
          <w:color w:val="auto"/>
          <w:sz w:val="24"/>
          <w:highlight w:val="none"/>
        </w:rPr>
        <w:t>）养护服务，包括各闸站水泵、闸门、变压器等主要设备，格栅（机）、启闭机、阀门、高低配、仪器仪表、检测自控、网络通信等配套设备，进出管（渠、道）、泵池（闸室）、管理用房等附属构（建）筑物和闸站管理范围内水面、绿化、园路等设施的日常运行及值守、保洁及保护、维护及检修；相关水情、水位、水质、视频信息的采集及远传；泵池、闸室范围内清疏和栅前且50米范围内垃圾打捞、废弃物外运；违法违章侵占、设障情况的阻止及报告（执法）和审批许可涉障情况巡查及劝导；相关应急抢险及重大活动保障等工作；以及按照有关规定受采购人委托的</w:t>
      </w:r>
      <w:r>
        <w:rPr>
          <w:rFonts w:hint="eastAsia" w:ascii="仿宋" w:hAnsi="仿宋" w:eastAsia="仿宋" w:cs="仿宋"/>
          <w:color w:val="auto"/>
          <w:sz w:val="24"/>
          <w:highlight w:val="none"/>
          <w:lang w:eastAsia="zh-CN"/>
        </w:rPr>
        <w:t>其他工作</w:t>
      </w:r>
      <w:r>
        <w:rPr>
          <w:rFonts w:hint="eastAsia" w:ascii="仿宋" w:hAnsi="仿宋" w:eastAsia="仿宋" w:cs="仿宋"/>
          <w:color w:val="auto"/>
          <w:sz w:val="24"/>
          <w:highlight w:val="none"/>
        </w:rPr>
        <w:t>。</w:t>
      </w:r>
    </w:p>
    <w:p w14:paraId="22B681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养护设施基本情况，详见《杭州城市河道相关船闸/水闸、泵站及配套闸门基本情况表》（详见附件1）。</w:t>
      </w:r>
    </w:p>
    <w:p w14:paraId="22B68159">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二、</w:t>
      </w:r>
      <w:r>
        <w:rPr>
          <w:rFonts w:hint="eastAsia" w:ascii="仿宋" w:hAnsi="仿宋" w:eastAsia="仿宋" w:cs="仿宋"/>
          <w:b/>
          <w:bCs/>
          <w:color w:val="auto"/>
          <w:sz w:val="24"/>
          <w:highlight w:val="none"/>
        </w:rPr>
        <w:t>养护工作执行规范</w:t>
      </w:r>
    </w:p>
    <w:p w14:paraId="22B681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《城市河道闸站运行维护管理规范》（详见附件2）</w:t>
      </w:r>
    </w:p>
    <w:p w14:paraId="22B681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《杭州市城市河道养护人员作业行为规范（试行）》（详见附件3）</w:t>
      </w:r>
    </w:p>
    <w:p w14:paraId="22B6815C">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三、养护管理基本要求</w:t>
      </w:r>
    </w:p>
    <w:p w14:paraId="22B681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闸站养护服务范围包括日常运行、维护、岁修等。运行、维护、岁修等日常养护技术要求根据《城市河道闸站运行维护管理规范》（详见附件2）执行。做到“一闸一方案”，各个闸站应在投标文件中分别提供具有针对性的养护保障措施。</w:t>
      </w:r>
    </w:p>
    <w:p w14:paraId="22B681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2.明确认识闸站范围，严禁在闸站范围出现乱堆杂物、乱停车辆、停靠船只、种植非园林绿化植物等现象。</w:t>
      </w:r>
    </w:p>
    <w:p w14:paraId="22B681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3.本项目中所有闸站均为重要闸站，应执行24小时值守制度。按要求落实闸站范围巡查巡检，做好闸站巡查日常报送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有人值守的重要闸站白天（6点-20点）每2小时巡查并平台报送情况，晚上(20点-次日6点)至少2次平台报送情况（须包括：上下游水位及透明度（白天）、闸门开启度、水泵运行台数及流量，设备检查是否正常，现场照片及闸门出水、泵站出水小视频（白天）</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，及时发现运行过程中的异常情况、违章违规的侵占情况、许可相关的施工情况及其它可能的窃盗情况；关注水位变化，发现配水水位异常，应及时处置并上报。</w:t>
      </w:r>
    </w:p>
    <w:p w14:paraId="22B6816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设备发生故障时，应按照《城市河道闸站运行维护管理规范》（详见附件2）、《杭州市市管河道闸站长效管理考核实施细则》（详见附件4）规定的时间及时修复，做好维修记录并上报采购人确认备案。岁修和大修宜安排在冬季进行，应在每年4月15日前完成。</w:t>
      </w:r>
    </w:p>
    <w:p w14:paraId="22B6816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闸站大修、改造、改善、抢修期间，运行人员应做好现场安全监督和协调工作，负责保护非工程实施范围内设施设备免遭损坏，如有损坏应通知施工单位及时进行维修，并上报采购人。同时充分利用大修、抢修时机开展其它必要的维修维护工作。</w:t>
      </w:r>
    </w:p>
    <w:p w14:paraId="22B681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闸站运行及设施安全管理。运行时须有专人值守，健全值班制度，有效应对各类重要事件，针对防汛防台、抗雪防冻、工程抢险、突发事件应急处理及重大活动保障等能够及时响应、有效处理。若发生重要事件未第一时间到达现场妥善处理或有人员脱岗等失职情况的，予以警告，累计二次警告</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有权单方提前解除合同。</w:t>
      </w:r>
    </w:p>
    <w:p w14:paraId="22B681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7.人员用电安全管理。应规范设置、使用各类用电设备及线路，严禁私接乱拉电源、私自对外接电，应经审查后方可对外接电。</w:t>
      </w:r>
    </w:p>
    <w:p w14:paraId="22B681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闸站消防安全管理。闸站范围内不得存放易燃、易爆物品及其他杂物；消防设备应严格根据消防要求及灭火对象进行科学合理配置，并定期对灭火器材性能进行检查，超过使用年限的应及时予以更换；值班人员应熟悉消防器材的安放地点和使用方法。</w:t>
      </w:r>
    </w:p>
    <w:p w14:paraId="22B681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9.位于居民区附近的闸站，如因运行管理等问题遭到投诉，运行人员应及时向居民进行解释说明；如闸站需进行非常规运行并可能对居民造成一定影响时，应提前向居民告知说明。</w:t>
      </w:r>
    </w:p>
    <w:p w14:paraId="22B681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10.船只进出船闸期间，闸站运行人员应至少有1人在室外进行监督管理，并通过无线设备与指挥、操作人员保持沟通联系。</w:t>
      </w:r>
    </w:p>
    <w:p w14:paraId="22B681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11.加强档案资料管理。每座闸站的运行、保养和维修维护应有年度、月度及每日记录，例行、定期保养和维护维修等通过智慧平台规范填报，妥善保管、使用</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提供的竣工资料图纸；原则上原始竣工资料图纸应统一保管，复印一套用于闸站现场。合同期满后（未续签），原始竣工资料图纸必须交回</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，并承担缺损责任。及时跟新“一站一卡”即《杭州城市河道相关船闸/水闸、泵站及配套闸门基本情况表》（详见附件1），新中标单位应复核相关数据并补充完善。</w:t>
      </w:r>
    </w:p>
    <w:p w14:paraId="22B681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12.涉及</w:t>
      </w:r>
      <w:bookmarkStart w:id="65" w:name="_Hlk184288056"/>
      <w:r>
        <w:rPr>
          <w:rFonts w:hint="eastAsia" w:ascii="仿宋" w:hAnsi="仿宋" w:eastAsia="仿宋" w:cs="仿宋"/>
          <w:color w:val="auto"/>
          <w:sz w:val="24"/>
          <w:highlight w:val="none"/>
        </w:rPr>
        <w:t>闸站大修、改造、改善</w:t>
      </w:r>
      <w:bookmarkEnd w:id="65"/>
      <w:r>
        <w:rPr>
          <w:rFonts w:hint="eastAsia" w:ascii="仿宋" w:hAnsi="仿宋" w:eastAsia="仿宋" w:cs="仿宋"/>
          <w:color w:val="auto"/>
          <w:sz w:val="24"/>
          <w:highlight w:val="none"/>
        </w:rPr>
        <w:t>等项目，应及时记录变动内容，滚动修改《杭州市城市河道相关泵站及配套闸门、船闸/水闸基本情况表》（详见附件1），合同期满后（未续签）交回</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，并作为最终支付费用的凭证之一。</w:t>
      </w:r>
    </w:p>
    <w:p w14:paraId="22B6816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r>
        <w:rPr>
          <w:rFonts w:ascii="仿宋" w:hAnsi="仿宋" w:eastAsia="仿宋" w:cs="仿宋"/>
          <w:color w:val="auto"/>
          <w:sz w:val="24"/>
          <w:highlight w:val="none"/>
        </w:rPr>
        <w:t>.</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单位开展的数字化改造、设施设备新建、改建、抢修等项目，</w:t>
      </w:r>
      <w:r>
        <w:rPr>
          <w:rFonts w:hint="eastAsia" w:ascii="仿宋" w:hAnsi="仿宋" w:eastAsia="仿宋" w:cs="仿宋"/>
          <w:color w:val="auto"/>
          <w:sz w:val="24"/>
          <w:highlight w:val="none"/>
          <w:lang w:val="en-US" w:eastAsia="zh-CN"/>
        </w:rPr>
        <w:t>中标单位</w:t>
      </w:r>
      <w:r>
        <w:rPr>
          <w:rFonts w:hint="eastAsia" w:ascii="仿宋" w:hAnsi="仿宋" w:eastAsia="仿宋" w:cs="仿宋"/>
          <w:color w:val="auto"/>
          <w:sz w:val="24"/>
          <w:highlight w:val="none"/>
        </w:rPr>
        <w:t>应无条件配合，并按要求配置相关技术支撑队伍、专业运行操作人员，同时，按照</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管理要求参与对接、管理、验收等工作。</w:t>
      </w:r>
    </w:p>
    <w:p w14:paraId="22B681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14.根据</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要求，派专业技术人员参与各闸泵站新建、改建、抢修等项目的图纸会审、中间检查及竣工验收检查等相关技术工作。</w:t>
      </w:r>
    </w:p>
    <w:p w14:paraId="22B6816B">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15.按</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要求，协助</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组织开展闸站相关的各类宣传工作及技能比武、培训演练等活动。</w:t>
      </w:r>
    </w:p>
    <w:p w14:paraId="22B6816C">
      <w:pPr>
        <w:spacing w:line="360" w:lineRule="auto"/>
        <w:ind w:firstLine="482" w:firstLineChars="20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四</w:t>
      </w:r>
      <w:r>
        <w:rPr>
          <w:rFonts w:hint="eastAsia" w:ascii="仿宋" w:hAnsi="仿宋" w:eastAsia="仿宋" w:cs="仿宋"/>
          <w:b/>
          <w:bCs/>
          <w:color w:val="auto"/>
          <w:sz w:val="24"/>
          <w:highlight w:val="none"/>
        </w:rPr>
        <w:t>、养护人员配备要求</w:t>
      </w:r>
    </w:p>
    <w:p w14:paraId="7C55F0E7">
      <w:pPr>
        <w:pStyle w:val="57"/>
        <w:widowControl w:val="0"/>
        <w:autoSpaceDE w:val="0"/>
        <w:autoSpaceDN w:val="0"/>
        <w:spacing w:before="0" w:beforeAutospacing="0" w:after="0" w:afterAutospacing="0" w:line="360" w:lineRule="auto"/>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本项目配备的</w:t>
      </w:r>
      <w:r>
        <w:rPr>
          <w:rFonts w:hint="eastAsia" w:ascii="仿宋" w:hAnsi="仿宋" w:eastAsia="仿宋" w:cs="仿宋"/>
          <w:color w:val="auto"/>
          <w:highlight w:val="none"/>
          <w:lang w:bidi="ar"/>
        </w:rPr>
        <w:t>养护人员由</w:t>
      </w:r>
      <w:r>
        <w:rPr>
          <w:rFonts w:hint="eastAsia" w:ascii="仿宋" w:hAnsi="仿宋" w:eastAsia="仿宋" w:cs="仿宋"/>
          <w:color w:val="auto"/>
          <w:highlight w:val="none"/>
        </w:rPr>
        <w:t>项目管理班组</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现场运行班组、维保专业班组三部分组成。</w:t>
      </w:r>
    </w:p>
    <w:p w14:paraId="4DE10676">
      <w:pPr>
        <w:pStyle w:val="57"/>
        <w:autoSpaceDE/>
        <w:autoSpaceDN/>
        <w:spacing w:before="0" w:beforeAutospacing="0" w:after="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highlight w:val="none"/>
          <w:lang w:bidi="ar"/>
        </w:rPr>
        <w:t>（一）</w:t>
      </w:r>
      <w:r>
        <w:rPr>
          <w:rFonts w:hint="eastAsia" w:ascii="仿宋" w:hAnsi="仿宋" w:eastAsia="仿宋" w:cs="仿宋"/>
          <w:color w:val="auto"/>
          <w:sz w:val="24"/>
          <w:highlight w:val="none"/>
        </w:rPr>
        <w:t>项目管理班组人员要求</w:t>
      </w:r>
    </w:p>
    <w:p w14:paraId="4B33ED85">
      <w:pPr>
        <w:pStyle w:val="57"/>
        <w:autoSpaceDE/>
        <w:autoSpaceDN/>
        <w:spacing w:before="0" w:beforeAutospacing="0" w:after="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1.项目负责人：1名，应具有水利类或市政类工程师（中级）及以上职称。项目负责人可兼任</w:t>
      </w:r>
      <w:r>
        <w:rPr>
          <w:rFonts w:hint="eastAsia" w:ascii="仿宋" w:hAnsi="仿宋" w:eastAsia="仿宋" w:cs="仿宋"/>
          <w:color w:val="auto"/>
          <w:sz w:val="24"/>
          <w:highlight w:val="none"/>
          <w:lang w:eastAsia="zh-CN"/>
        </w:rPr>
        <w:t>其他</w:t>
      </w:r>
      <w:r>
        <w:rPr>
          <w:rFonts w:hint="eastAsia" w:ascii="仿宋" w:hAnsi="仿宋" w:eastAsia="仿宋" w:cs="仿宋"/>
          <w:color w:val="auto"/>
          <w:sz w:val="24"/>
          <w:highlight w:val="none"/>
        </w:rPr>
        <w:t>班组岗位。</w:t>
      </w:r>
    </w:p>
    <w:p w14:paraId="0956C725">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2.项目管理班组技术人员:不少于2人。其中具有机电类、信息化（计算机）类（中级）及以上工程师职称的专业技术人员各1名（一人持多证算一名）。项目管理班组技术人员可兼任</w:t>
      </w:r>
      <w:r>
        <w:rPr>
          <w:rFonts w:hint="eastAsia" w:ascii="仿宋" w:hAnsi="仿宋" w:eastAsia="仿宋" w:cs="仿宋"/>
          <w:color w:val="auto"/>
          <w:sz w:val="24"/>
          <w:highlight w:val="none"/>
          <w:lang w:eastAsia="zh-CN"/>
        </w:rPr>
        <w:t>其他</w:t>
      </w:r>
      <w:r>
        <w:rPr>
          <w:rFonts w:hint="eastAsia" w:ascii="仿宋" w:hAnsi="仿宋" w:eastAsia="仿宋" w:cs="仿宋"/>
          <w:color w:val="auto"/>
          <w:sz w:val="24"/>
          <w:highlight w:val="none"/>
        </w:rPr>
        <w:t>班组岗位。</w:t>
      </w:r>
    </w:p>
    <w:p w14:paraId="6D8B6160">
      <w:pPr>
        <w:pStyle w:val="57"/>
        <w:widowControl w:val="0"/>
        <w:autoSpaceDE w:val="0"/>
        <w:autoSpaceDN w:val="0"/>
        <w:spacing w:before="0" w:beforeAutospacing="0" w:after="0" w:afterAutospacing="0" w:line="360" w:lineRule="auto"/>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rPr>
        <w:t>现场运行班组人员</w:t>
      </w:r>
      <w:r>
        <w:rPr>
          <w:rFonts w:hint="eastAsia" w:ascii="仿宋" w:hAnsi="仿宋" w:eastAsia="仿宋" w:cs="仿宋"/>
          <w:color w:val="auto"/>
          <w:highlight w:val="none"/>
          <w:lang w:bidi="ar"/>
        </w:rPr>
        <w:t>要求</w:t>
      </w:r>
    </w:p>
    <w:p w14:paraId="2CAC426F">
      <w:pPr>
        <w:pStyle w:val="57"/>
        <w:widowControl w:val="0"/>
        <w:autoSpaceDE w:val="0"/>
        <w:autoSpaceDN w:val="0"/>
        <w:spacing w:before="0" w:beforeAutospacing="0" w:after="0" w:afterAutospacing="0" w:line="360" w:lineRule="auto"/>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lang w:bidi="ar"/>
        </w:rPr>
        <w:t>1.现场运行班组人员配置应按照《杭州市城市河道相关闸站运行维护费用（组成）》（详见附件7）中设定的各闸站人员配比标准执行</w:t>
      </w:r>
      <w:r>
        <w:rPr>
          <w:rFonts w:hint="eastAsia" w:ascii="仿宋" w:hAnsi="仿宋" w:eastAsia="仿宋" w:cs="仿宋"/>
          <w:color w:val="auto"/>
          <w:highlight w:val="none"/>
          <w:lang w:eastAsia="zh-CN" w:bidi="ar"/>
        </w:rPr>
        <w:t>。▲本项目要求人数不少于39人，投标文件中提供投标截止月上溯3个月（含投标截止日当月，共4个月中任意连续3个月）在投标人的社保缴纳证明（开标前20天内投标人所属社保机构出具的加盖印章的单位或个人专用社保证明）。</w:t>
      </w:r>
    </w:p>
    <w:tbl>
      <w:tblPr>
        <w:tblStyle w:val="62"/>
        <w:tblW w:w="851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22"/>
        <w:gridCol w:w="2043"/>
        <w:gridCol w:w="690"/>
        <w:gridCol w:w="765"/>
        <w:gridCol w:w="870"/>
        <w:gridCol w:w="660"/>
        <w:gridCol w:w="825"/>
        <w:gridCol w:w="675"/>
        <w:gridCol w:w="1005"/>
        <w:gridCol w:w="660"/>
      </w:tblGrid>
      <w:tr w14:paraId="554D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4" w:hRule="atLeast"/>
        </w:trPr>
        <w:tc>
          <w:tcPr>
            <w:tcW w:w="322" w:type="dxa"/>
            <w:shd w:val="clear" w:color="auto" w:fill="BFBFBF"/>
            <w:vAlign w:val="center"/>
          </w:tcPr>
          <w:p w14:paraId="554D5D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color w:val="auto"/>
                <w:kern w:val="0"/>
                <w:sz w:val="20"/>
                <w:szCs w:val="20"/>
                <w:highlight w:val="none"/>
                <w:lang w:bidi="ar"/>
              </w:rPr>
              <w:t>序号</w:t>
            </w:r>
          </w:p>
        </w:tc>
        <w:tc>
          <w:tcPr>
            <w:tcW w:w="2043" w:type="dxa"/>
            <w:shd w:val="clear" w:color="auto" w:fill="BFBFBF"/>
            <w:vAlign w:val="center"/>
          </w:tcPr>
          <w:p w14:paraId="554D5D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color w:val="auto"/>
                <w:kern w:val="0"/>
                <w:sz w:val="20"/>
                <w:szCs w:val="20"/>
                <w:highlight w:val="none"/>
                <w:lang w:bidi="ar"/>
              </w:rPr>
              <w:t>闸站名称</w:t>
            </w:r>
          </w:p>
        </w:tc>
        <w:tc>
          <w:tcPr>
            <w:tcW w:w="690" w:type="dxa"/>
            <w:shd w:val="clear" w:color="auto" w:fill="BFBFBF"/>
            <w:vAlign w:val="center"/>
          </w:tcPr>
          <w:p w14:paraId="554D5D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color w:val="auto"/>
                <w:kern w:val="0"/>
                <w:sz w:val="20"/>
                <w:szCs w:val="20"/>
                <w:highlight w:val="none"/>
                <w:lang w:bidi="ar"/>
              </w:rPr>
              <w:t>所在片区</w:t>
            </w:r>
          </w:p>
        </w:tc>
        <w:tc>
          <w:tcPr>
            <w:tcW w:w="765" w:type="dxa"/>
            <w:shd w:val="clear" w:color="auto" w:fill="BFBFBF"/>
            <w:vAlign w:val="center"/>
          </w:tcPr>
          <w:p w14:paraId="554D5D0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color w:val="auto"/>
                <w:kern w:val="0"/>
                <w:sz w:val="20"/>
                <w:szCs w:val="20"/>
                <w:highlight w:val="none"/>
                <w:lang w:bidi="ar"/>
              </w:rPr>
              <w:t>有无管养用房</w:t>
            </w:r>
          </w:p>
        </w:tc>
        <w:tc>
          <w:tcPr>
            <w:tcW w:w="870" w:type="dxa"/>
            <w:shd w:val="clear" w:color="auto" w:fill="BFBFBF"/>
            <w:vAlign w:val="center"/>
          </w:tcPr>
          <w:p w14:paraId="554D5D1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color w:val="auto"/>
                <w:kern w:val="0"/>
                <w:sz w:val="20"/>
                <w:szCs w:val="20"/>
                <w:highlight w:val="none"/>
                <w:lang w:bidi="ar"/>
              </w:rPr>
              <w:t>使用功能</w:t>
            </w:r>
          </w:p>
        </w:tc>
        <w:tc>
          <w:tcPr>
            <w:tcW w:w="660" w:type="dxa"/>
            <w:shd w:val="clear" w:color="auto" w:fill="BFBFBF"/>
            <w:vAlign w:val="center"/>
          </w:tcPr>
          <w:p w14:paraId="554D5D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color w:val="auto"/>
                <w:kern w:val="0"/>
                <w:sz w:val="20"/>
                <w:szCs w:val="20"/>
                <w:highlight w:val="none"/>
                <w:lang w:bidi="ar"/>
              </w:rPr>
              <w:t>等级</w:t>
            </w:r>
          </w:p>
        </w:tc>
        <w:tc>
          <w:tcPr>
            <w:tcW w:w="825" w:type="dxa"/>
            <w:shd w:val="clear" w:color="auto" w:fill="BFBFBF"/>
            <w:vAlign w:val="center"/>
          </w:tcPr>
          <w:p w14:paraId="554D5D1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color w:val="auto"/>
                <w:kern w:val="0"/>
                <w:sz w:val="20"/>
                <w:szCs w:val="20"/>
                <w:highlight w:val="none"/>
                <w:lang w:bidi="ar"/>
              </w:rPr>
              <w:t>运行模式</w:t>
            </w:r>
          </w:p>
        </w:tc>
        <w:tc>
          <w:tcPr>
            <w:tcW w:w="675" w:type="dxa"/>
            <w:shd w:val="clear" w:color="auto" w:fill="BFBFBF"/>
            <w:vAlign w:val="center"/>
          </w:tcPr>
          <w:p w14:paraId="554D5D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color w:val="auto"/>
                <w:kern w:val="0"/>
                <w:sz w:val="20"/>
                <w:szCs w:val="20"/>
                <w:highlight w:val="none"/>
                <w:lang w:bidi="ar"/>
              </w:rPr>
              <w:t>每班人数</w:t>
            </w:r>
          </w:p>
        </w:tc>
        <w:tc>
          <w:tcPr>
            <w:tcW w:w="1005" w:type="dxa"/>
            <w:shd w:val="clear" w:color="auto" w:fill="BFBFBF"/>
            <w:vAlign w:val="center"/>
          </w:tcPr>
          <w:p w14:paraId="554D5D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color w:val="auto"/>
                <w:kern w:val="0"/>
                <w:sz w:val="20"/>
                <w:szCs w:val="20"/>
                <w:highlight w:val="none"/>
                <w:lang w:bidi="ar"/>
              </w:rPr>
              <w:t>运行人员总数</w:t>
            </w:r>
          </w:p>
        </w:tc>
        <w:tc>
          <w:tcPr>
            <w:tcW w:w="660" w:type="dxa"/>
            <w:shd w:val="clear" w:color="auto" w:fill="BFBFBF"/>
            <w:vAlign w:val="center"/>
          </w:tcPr>
          <w:p w14:paraId="554D5D1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color w:val="auto"/>
                <w:kern w:val="0"/>
                <w:sz w:val="20"/>
                <w:szCs w:val="20"/>
                <w:highlight w:val="none"/>
                <w:lang w:bidi="ar"/>
              </w:rPr>
              <w:t>班组长</w:t>
            </w:r>
          </w:p>
        </w:tc>
      </w:tr>
      <w:tr w14:paraId="554D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trPr>
        <w:tc>
          <w:tcPr>
            <w:tcW w:w="322" w:type="dxa"/>
            <w:vMerge w:val="restart"/>
            <w:shd w:val="clear" w:color="auto" w:fill="auto"/>
            <w:vAlign w:val="center"/>
          </w:tcPr>
          <w:p w14:paraId="554D5D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c>
          <w:tcPr>
            <w:tcW w:w="2043" w:type="dxa"/>
            <w:shd w:val="clear" w:color="auto" w:fill="auto"/>
            <w:vAlign w:val="center"/>
          </w:tcPr>
          <w:p w14:paraId="554D5D1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胜利河船闸</w:t>
            </w:r>
          </w:p>
        </w:tc>
        <w:tc>
          <w:tcPr>
            <w:tcW w:w="690" w:type="dxa"/>
            <w:vMerge w:val="restart"/>
            <w:shd w:val="clear" w:color="auto" w:fill="auto"/>
            <w:vAlign w:val="center"/>
          </w:tcPr>
          <w:p w14:paraId="554D5D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东新石桥片</w:t>
            </w:r>
          </w:p>
        </w:tc>
        <w:tc>
          <w:tcPr>
            <w:tcW w:w="765" w:type="dxa"/>
            <w:vMerge w:val="restart"/>
            <w:shd w:val="clear" w:color="auto" w:fill="auto"/>
            <w:vAlign w:val="center"/>
          </w:tcPr>
          <w:p w14:paraId="554D5D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有</w:t>
            </w:r>
          </w:p>
        </w:tc>
        <w:tc>
          <w:tcPr>
            <w:tcW w:w="870" w:type="dxa"/>
            <w:vMerge w:val="restart"/>
            <w:shd w:val="clear" w:color="auto" w:fill="auto"/>
            <w:vAlign w:val="center"/>
          </w:tcPr>
          <w:p w14:paraId="554D5D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配水 排涝 通航</w:t>
            </w:r>
          </w:p>
        </w:tc>
        <w:tc>
          <w:tcPr>
            <w:tcW w:w="660" w:type="dxa"/>
            <w:shd w:val="clear" w:color="auto" w:fill="auto"/>
            <w:vAlign w:val="center"/>
          </w:tcPr>
          <w:p w14:paraId="554D5D1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一</w:t>
            </w:r>
          </w:p>
        </w:tc>
        <w:tc>
          <w:tcPr>
            <w:tcW w:w="825" w:type="dxa"/>
            <w:vMerge w:val="restart"/>
            <w:shd w:val="clear" w:color="auto" w:fill="auto"/>
            <w:vAlign w:val="center"/>
          </w:tcPr>
          <w:p w14:paraId="554D5D1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三班二运转</w:t>
            </w:r>
          </w:p>
        </w:tc>
        <w:tc>
          <w:tcPr>
            <w:tcW w:w="675" w:type="dxa"/>
            <w:vMerge w:val="restart"/>
            <w:shd w:val="clear" w:color="auto" w:fill="auto"/>
            <w:vAlign w:val="center"/>
          </w:tcPr>
          <w:p w14:paraId="554D5D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3</w:t>
            </w:r>
          </w:p>
        </w:tc>
        <w:tc>
          <w:tcPr>
            <w:tcW w:w="1005" w:type="dxa"/>
            <w:vMerge w:val="restart"/>
            <w:shd w:val="clear" w:color="auto" w:fill="auto"/>
            <w:vAlign w:val="center"/>
          </w:tcPr>
          <w:p w14:paraId="554D5D2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9</w:t>
            </w:r>
          </w:p>
        </w:tc>
        <w:tc>
          <w:tcPr>
            <w:tcW w:w="660" w:type="dxa"/>
            <w:vMerge w:val="restart"/>
            <w:shd w:val="clear" w:color="auto" w:fill="auto"/>
            <w:vAlign w:val="center"/>
          </w:tcPr>
          <w:p w14:paraId="554D5D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1</w:t>
            </w:r>
          </w:p>
        </w:tc>
      </w:tr>
      <w:tr w14:paraId="554D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trPr>
        <w:tc>
          <w:tcPr>
            <w:tcW w:w="322" w:type="dxa"/>
            <w:vMerge w:val="continue"/>
            <w:shd w:val="clear" w:color="auto" w:fill="auto"/>
            <w:vAlign w:val="center"/>
          </w:tcPr>
          <w:p w14:paraId="554D5D24">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2043" w:type="dxa"/>
            <w:shd w:val="clear" w:color="auto" w:fill="auto"/>
            <w:vAlign w:val="center"/>
          </w:tcPr>
          <w:p w14:paraId="554D5D2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配套的输水廊道进出水闸门</w:t>
            </w:r>
          </w:p>
        </w:tc>
        <w:tc>
          <w:tcPr>
            <w:tcW w:w="690" w:type="dxa"/>
            <w:vMerge w:val="continue"/>
            <w:shd w:val="clear" w:color="auto" w:fill="auto"/>
            <w:vAlign w:val="center"/>
          </w:tcPr>
          <w:p w14:paraId="554D5D26">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765" w:type="dxa"/>
            <w:vMerge w:val="continue"/>
            <w:shd w:val="clear" w:color="auto" w:fill="auto"/>
            <w:vAlign w:val="center"/>
          </w:tcPr>
          <w:p w14:paraId="554D5D27">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70" w:type="dxa"/>
            <w:vMerge w:val="continue"/>
            <w:shd w:val="clear" w:color="auto" w:fill="auto"/>
            <w:vAlign w:val="center"/>
          </w:tcPr>
          <w:p w14:paraId="554D5D28">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660" w:type="dxa"/>
            <w:shd w:val="clear" w:color="auto" w:fill="auto"/>
            <w:vAlign w:val="center"/>
          </w:tcPr>
          <w:p w14:paraId="554D5D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三</w:t>
            </w:r>
          </w:p>
        </w:tc>
        <w:tc>
          <w:tcPr>
            <w:tcW w:w="825" w:type="dxa"/>
            <w:vMerge w:val="continue"/>
            <w:shd w:val="clear" w:color="auto" w:fill="auto"/>
            <w:vAlign w:val="center"/>
          </w:tcPr>
          <w:p w14:paraId="554D5D2A">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675" w:type="dxa"/>
            <w:vMerge w:val="continue"/>
            <w:shd w:val="clear" w:color="auto" w:fill="auto"/>
            <w:vAlign w:val="center"/>
          </w:tcPr>
          <w:p w14:paraId="554D5D2B">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005" w:type="dxa"/>
            <w:vMerge w:val="continue"/>
            <w:shd w:val="clear" w:color="auto" w:fill="auto"/>
            <w:vAlign w:val="center"/>
          </w:tcPr>
          <w:p w14:paraId="554D5D2C">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660" w:type="dxa"/>
            <w:vMerge w:val="continue"/>
            <w:shd w:val="clear" w:color="auto" w:fill="auto"/>
            <w:vAlign w:val="center"/>
          </w:tcPr>
          <w:p w14:paraId="554D5D2D">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r>
      <w:tr w14:paraId="554D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trPr>
        <w:tc>
          <w:tcPr>
            <w:tcW w:w="322" w:type="dxa"/>
            <w:vMerge w:val="continue"/>
            <w:shd w:val="clear" w:color="auto" w:fill="auto"/>
            <w:vAlign w:val="center"/>
          </w:tcPr>
          <w:p w14:paraId="554D5D30">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2043" w:type="dxa"/>
            <w:shd w:val="clear" w:color="auto" w:fill="auto"/>
            <w:vAlign w:val="center"/>
          </w:tcPr>
          <w:p w14:paraId="554D5D3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配套的检修闸门（2个）</w:t>
            </w:r>
          </w:p>
        </w:tc>
        <w:tc>
          <w:tcPr>
            <w:tcW w:w="690" w:type="dxa"/>
            <w:vMerge w:val="continue"/>
            <w:shd w:val="clear" w:color="auto" w:fill="auto"/>
            <w:vAlign w:val="center"/>
          </w:tcPr>
          <w:p w14:paraId="554D5D32">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765" w:type="dxa"/>
            <w:vMerge w:val="continue"/>
            <w:shd w:val="clear" w:color="auto" w:fill="auto"/>
            <w:vAlign w:val="center"/>
          </w:tcPr>
          <w:p w14:paraId="554D5D33">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70" w:type="dxa"/>
            <w:vMerge w:val="continue"/>
            <w:shd w:val="clear" w:color="auto" w:fill="auto"/>
            <w:vAlign w:val="center"/>
          </w:tcPr>
          <w:p w14:paraId="554D5D34">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660" w:type="dxa"/>
            <w:shd w:val="clear" w:color="auto" w:fill="auto"/>
            <w:vAlign w:val="center"/>
          </w:tcPr>
          <w:p w14:paraId="554D5D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五</w:t>
            </w:r>
          </w:p>
        </w:tc>
        <w:tc>
          <w:tcPr>
            <w:tcW w:w="825" w:type="dxa"/>
            <w:vMerge w:val="continue"/>
            <w:shd w:val="clear" w:color="auto" w:fill="auto"/>
            <w:vAlign w:val="center"/>
          </w:tcPr>
          <w:p w14:paraId="554D5D36">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675" w:type="dxa"/>
            <w:vMerge w:val="continue"/>
            <w:shd w:val="clear" w:color="auto" w:fill="auto"/>
            <w:vAlign w:val="center"/>
          </w:tcPr>
          <w:p w14:paraId="554D5D37">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005" w:type="dxa"/>
            <w:vMerge w:val="continue"/>
            <w:shd w:val="clear" w:color="auto" w:fill="auto"/>
            <w:vAlign w:val="center"/>
          </w:tcPr>
          <w:p w14:paraId="554D5D38">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660" w:type="dxa"/>
            <w:vMerge w:val="continue"/>
            <w:shd w:val="clear" w:color="auto" w:fill="auto"/>
            <w:vAlign w:val="center"/>
          </w:tcPr>
          <w:p w14:paraId="554D5D39">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r>
      <w:tr w14:paraId="554D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trPr>
        <w:tc>
          <w:tcPr>
            <w:tcW w:w="322" w:type="dxa"/>
            <w:vMerge w:val="restart"/>
            <w:shd w:val="clear" w:color="auto" w:fill="auto"/>
            <w:vAlign w:val="center"/>
          </w:tcPr>
          <w:p w14:paraId="554D5D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2</w:t>
            </w:r>
          </w:p>
        </w:tc>
        <w:tc>
          <w:tcPr>
            <w:tcW w:w="2043" w:type="dxa"/>
            <w:shd w:val="clear" w:color="auto" w:fill="auto"/>
            <w:vAlign w:val="center"/>
          </w:tcPr>
          <w:p w14:paraId="554D5D3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电厂热水河船闸</w:t>
            </w:r>
          </w:p>
        </w:tc>
        <w:tc>
          <w:tcPr>
            <w:tcW w:w="690" w:type="dxa"/>
            <w:vMerge w:val="restart"/>
            <w:shd w:val="clear" w:color="auto" w:fill="auto"/>
            <w:vAlign w:val="center"/>
          </w:tcPr>
          <w:p w14:paraId="554D5D3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东新石桥片</w:t>
            </w:r>
          </w:p>
        </w:tc>
        <w:tc>
          <w:tcPr>
            <w:tcW w:w="765" w:type="dxa"/>
            <w:vMerge w:val="restart"/>
            <w:shd w:val="clear" w:color="auto" w:fill="auto"/>
            <w:vAlign w:val="center"/>
          </w:tcPr>
          <w:p w14:paraId="554D5D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有</w:t>
            </w:r>
          </w:p>
        </w:tc>
        <w:tc>
          <w:tcPr>
            <w:tcW w:w="870" w:type="dxa"/>
            <w:vMerge w:val="restart"/>
            <w:shd w:val="clear" w:color="auto" w:fill="auto"/>
            <w:vAlign w:val="center"/>
          </w:tcPr>
          <w:p w14:paraId="554D5D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配水 排涝 通航</w:t>
            </w:r>
          </w:p>
        </w:tc>
        <w:tc>
          <w:tcPr>
            <w:tcW w:w="660" w:type="dxa"/>
            <w:shd w:val="clear" w:color="auto" w:fill="auto"/>
            <w:vAlign w:val="center"/>
          </w:tcPr>
          <w:p w14:paraId="554D5D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三</w:t>
            </w:r>
          </w:p>
        </w:tc>
        <w:tc>
          <w:tcPr>
            <w:tcW w:w="825" w:type="dxa"/>
            <w:vMerge w:val="restart"/>
            <w:shd w:val="clear" w:color="auto" w:fill="auto"/>
            <w:vAlign w:val="center"/>
          </w:tcPr>
          <w:p w14:paraId="554D5D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三班二运转</w:t>
            </w:r>
          </w:p>
        </w:tc>
        <w:tc>
          <w:tcPr>
            <w:tcW w:w="675" w:type="dxa"/>
            <w:vMerge w:val="restart"/>
            <w:shd w:val="clear" w:color="auto" w:fill="auto"/>
            <w:vAlign w:val="center"/>
          </w:tcPr>
          <w:p w14:paraId="554D5D4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2</w:t>
            </w:r>
          </w:p>
        </w:tc>
        <w:tc>
          <w:tcPr>
            <w:tcW w:w="1005" w:type="dxa"/>
            <w:vMerge w:val="restart"/>
            <w:shd w:val="clear" w:color="auto" w:fill="auto"/>
            <w:vAlign w:val="center"/>
          </w:tcPr>
          <w:p w14:paraId="554D5D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6</w:t>
            </w:r>
          </w:p>
        </w:tc>
        <w:tc>
          <w:tcPr>
            <w:tcW w:w="660" w:type="dxa"/>
            <w:vMerge w:val="restart"/>
            <w:shd w:val="clear" w:color="auto" w:fill="auto"/>
            <w:vAlign w:val="center"/>
          </w:tcPr>
          <w:p w14:paraId="554D5D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0</w:t>
            </w:r>
          </w:p>
        </w:tc>
      </w:tr>
      <w:tr w14:paraId="554D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trPr>
        <w:tc>
          <w:tcPr>
            <w:tcW w:w="322" w:type="dxa"/>
            <w:vMerge w:val="continue"/>
            <w:shd w:val="clear" w:color="auto" w:fill="auto"/>
            <w:vAlign w:val="center"/>
          </w:tcPr>
          <w:p w14:paraId="554D5D48">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2043" w:type="dxa"/>
            <w:shd w:val="clear" w:color="auto" w:fill="auto"/>
            <w:vAlign w:val="center"/>
          </w:tcPr>
          <w:p w14:paraId="554D5D4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配套的输水廊道进出水闸门</w:t>
            </w:r>
          </w:p>
        </w:tc>
        <w:tc>
          <w:tcPr>
            <w:tcW w:w="690" w:type="dxa"/>
            <w:vMerge w:val="continue"/>
            <w:shd w:val="clear" w:color="auto" w:fill="auto"/>
            <w:vAlign w:val="center"/>
          </w:tcPr>
          <w:p w14:paraId="554D5D4A">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765" w:type="dxa"/>
            <w:vMerge w:val="continue"/>
            <w:shd w:val="clear" w:color="auto" w:fill="auto"/>
            <w:vAlign w:val="center"/>
          </w:tcPr>
          <w:p w14:paraId="554D5D4B">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70" w:type="dxa"/>
            <w:vMerge w:val="continue"/>
            <w:shd w:val="clear" w:color="auto" w:fill="auto"/>
            <w:vAlign w:val="center"/>
          </w:tcPr>
          <w:p w14:paraId="554D5D4C">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660" w:type="dxa"/>
            <w:shd w:val="clear" w:color="auto" w:fill="auto"/>
            <w:vAlign w:val="center"/>
          </w:tcPr>
          <w:p w14:paraId="554D5D4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四</w:t>
            </w:r>
          </w:p>
        </w:tc>
        <w:tc>
          <w:tcPr>
            <w:tcW w:w="825" w:type="dxa"/>
            <w:vMerge w:val="continue"/>
            <w:shd w:val="clear" w:color="auto" w:fill="auto"/>
            <w:vAlign w:val="center"/>
          </w:tcPr>
          <w:p w14:paraId="554D5D4E">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675" w:type="dxa"/>
            <w:vMerge w:val="continue"/>
            <w:shd w:val="clear" w:color="auto" w:fill="auto"/>
            <w:vAlign w:val="center"/>
          </w:tcPr>
          <w:p w14:paraId="554D5D4F">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005" w:type="dxa"/>
            <w:vMerge w:val="continue"/>
            <w:shd w:val="clear" w:color="auto" w:fill="auto"/>
            <w:vAlign w:val="center"/>
          </w:tcPr>
          <w:p w14:paraId="554D5D50">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660" w:type="dxa"/>
            <w:vMerge w:val="continue"/>
            <w:shd w:val="clear" w:color="auto" w:fill="auto"/>
            <w:vAlign w:val="center"/>
          </w:tcPr>
          <w:p w14:paraId="554D5D51">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r>
      <w:tr w14:paraId="554D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trPr>
        <w:tc>
          <w:tcPr>
            <w:tcW w:w="322" w:type="dxa"/>
            <w:vMerge w:val="restart"/>
            <w:shd w:val="clear" w:color="auto" w:fill="auto"/>
            <w:vAlign w:val="center"/>
          </w:tcPr>
          <w:p w14:paraId="554D5D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3</w:t>
            </w:r>
          </w:p>
        </w:tc>
        <w:tc>
          <w:tcPr>
            <w:tcW w:w="2043" w:type="dxa"/>
            <w:shd w:val="clear" w:color="auto" w:fill="auto"/>
            <w:vAlign w:val="center"/>
          </w:tcPr>
          <w:p w14:paraId="554D5D5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姚家坝泵站</w:t>
            </w:r>
          </w:p>
        </w:tc>
        <w:tc>
          <w:tcPr>
            <w:tcW w:w="690" w:type="dxa"/>
            <w:vMerge w:val="restart"/>
            <w:shd w:val="clear" w:color="auto" w:fill="auto"/>
            <w:vAlign w:val="center"/>
          </w:tcPr>
          <w:p w14:paraId="554D5D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东新石桥片</w:t>
            </w:r>
          </w:p>
        </w:tc>
        <w:tc>
          <w:tcPr>
            <w:tcW w:w="765" w:type="dxa"/>
            <w:vMerge w:val="restart"/>
            <w:shd w:val="clear" w:color="auto" w:fill="auto"/>
            <w:vAlign w:val="center"/>
          </w:tcPr>
          <w:p w14:paraId="554D5D5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有</w:t>
            </w:r>
          </w:p>
        </w:tc>
        <w:tc>
          <w:tcPr>
            <w:tcW w:w="870" w:type="dxa"/>
            <w:vMerge w:val="restart"/>
            <w:shd w:val="clear" w:color="auto" w:fill="auto"/>
            <w:vAlign w:val="center"/>
          </w:tcPr>
          <w:p w14:paraId="554D5D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配水  排涝</w:t>
            </w:r>
          </w:p>
        </w:tc>
        <w:tc>
          <w:tcPr>
            <w:tcW w:w="660" w:type="dxa"/>
            <w:shd w:val="clear" w:color="auto" w:fill="auto"/>
            <w:vAlign w:val="center"/>
          </w:tcPr>
          <w:p w14:paraId="554D5D5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二</w:t>
            </w:r>
          </w:p>
        </w:tc>
        <w:tc>
          <w:tcPr>
            <w:tcW w:w="825" w:type="dxa"/>
            <w:vMerge w:val="restart"/>
            <w:shd w:val="clear" w:color="auto" w:fill="auto"/>
            <w:vAlign w:val="center"/>
          </w:tcPr>
          <w:p w14:paraId="554D5D5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三班二运转</w:t>
            </w:r>
          </w:p>
        </w:tc>
        <w:tc>
          <w:tcPr>
            <w:tcW w:w="675" w:type="dxa"/>
            <w:vMerge w:val="restart"/>
            <w:shd w:val="clear" w:color="auto" w:fill="auto"/>
            <w:vAlign w:val="center"/>
          </w:tcPr>
          <w:p w14:paraId="554D5D5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2</w:t>
            </w:r>
          </w:p>
        </w:tc>
        <w:tc>
          <w:tcPr>
            <w:tcW w:w="1005" w:type="dxa"/>
            <w:vMerge w:val="restart"/>
            <w:shd w:val="clear" w:color="auto" w:fill="auto"/>
            <w:vAlign w:val="center"/>
          </w:tcPr>
          <w:p w14:paraId="554D5D5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6</w:t>
            </w:r>
          </w:p>
        </w:tc>
        <w:tc>
          <w:tcPr>
            <w:tcW w:w="660" w:type="dxa"/>
            <w:vMerge w:val="restart"/>
            <w:shd w:val="clear" w:color="auto" w:fill="auto"/>
            <w:vAlign w:val="center"/>
          </w:tcPr>
          <w:p w14:paraId="554D5D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1</w:t>
            </w:r>
          </w:p>
        </w:tc>
      </w:tr>
      <w:tr w14:paraId="554D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trPr>
        <w:tc>
          <w:tcPr>
            <w:tcW w:w="322" w:type="dxa"/>
            <w:vMerge w:val="continue"/>
            <w:shd w:val="clear" w:color="auto" w:fill="auto"/>
            <w:vAlign w:val="center"/>
          </w:tcPr>
          <w:p w14:paraId="554D5D60">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2043" w:type="dxa"/>
            <w:shd w:val="clear" w:color="auto" w:fill="auto"/>
            <w:vAlign w:val="center"/>
          </w:tcPr>
          <w:p w14:paraId="554D5D6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配套的泵池进出水检修闸（6个）</w:t>
            </w:r>
          </w:p>
        </w:tc>
        <w:tc>
          <w:tcPr>
            <w:tcW w:w="690" w:type="dxa"/>
            <w:vMerge w:val="continue"/>
            <w:shd w:val="clear" w:color="auto" w:fill="auto"/>
            <w:vAlign w:val="center"/>
          </w:tcPr>
          <w:p w14:paraId="554D5D62">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765" w:type="dxa"/>
            <w:vMerge w:val="continue"/>
            <w:shd w:val="clear" w:color="auto" w:fill="auto"/>
            <w:vAlign w:val="center"/>
          </w:tcPr>
          <w:p w14:paraId="554D5D63">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70" w:type="dxa"/>
            <w:vMerge w:val="continue"/>
            <w:shd w:val="clear" w:color="auto" w:fill="auto"/>
            <w:vAlign w:val="center"/>
          </w:tcPr>
          <w:p w14:paraId="554D5D64">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660" w:type="dxa"/>
            <w:shd w:val="clear" w:color="auto" w:fill="auto"/>
            <w:vAlign w:val="center"/>
          </w:tcPr>
          <w:p w14:paraId="554D5D6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五</w:t>
            </w:r>
          </w:p>
        </w:tc>
        <w:tc>
          <w:tcPr>
            <w:tcW w:w="825" w:type="dxa"/>
            <w:vMerge w:val="continue"/>
            <w:shd w:val="clear" w:color="auto" w:fill="auto"/>
            <w:vAlign w:val="center"/>
          </w:tcPr>
          <w:p w14:paraId="554D5D66">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675" w:type="dxa"/>
            <w:vMerge w:val="continue"/>
            <w:shd w:val="clear" w:color="auto" w:fill="auto"/>
            <w:vAlign w:val="center"/>
          </w:tcPr>
          <w:p w14:paraId="554D5D67">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005" w:type="dxa"/>
            <w:vMerge w:val="continue"/>
            <w:shd w:val="clear" w:color="auto" w:fill="auto"/>
            <w:vAlign w:val="center"/>
          </w:tcPr>
          <w:p w14:paraId="554D5D68">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660" w:type="dxa"/>
            <w:vMerge w:val="continue"/>
            <w:shd w:val="clear" w:color="auto" w:fill="auto"/>
            <w:vAlign w:val="center"/>
          </w:tcPr>
          <w:p w14:paraId="554D5D69">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r>
      <w:tr w14:paraId="554D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trPr>
        <w:tc>
          <w:tcPr>
            <w:tcW w:w="322" w:type="dxa"/>
            <w:vMerge w:val="continue"/>
            <w:shd w:val="clear" w:color="auto" w:fill="auto"/>
            <w:vAlign w:val="center"/>
          </w:tcPr>
          <w:p w14:paraId="554D5D6C">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2043" w:type="dxa"/>
            <w:shd w:val="clear" w:color="auto" w:fill="auto"/>
            <w:vAlign w:val="center"/>
          </w:tcPr>
          <w:p w14:paraId="554D5D6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配套的节制闸</w:t>
            </w:r>
          </w:p>
        </w:tc>
        <w:tc>
          <w:tcPr>
            <w:tcW w:w="690" w:type="dxa"/>
            <w:vMerge w:val="continue"/>
            <w:shd w:val="clear" w:color="auto" w:fill="auto"/>
            <w:vAlign w:val="center"/>
          </w:tcPr>
          <w:p w14:paraId="554D5D6E">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765" w:type="dxa"/>
            <w:vMerge w:val="continue"/>
            <w:shd w:val="clear" w:color="auto" w:fill="auto"/>
            <w:vAlign w:val="center"/>
          </w:tcPr>
          <w:p w14:paraId="554D5D6F">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70" w:type="dxa"/>
            <w:vMerge w:val="continue"/>
            <w:shd w:val="clear" w:color="auto" w:fill="auto"/>
            <w:vAlign w:val="center"/>
          </w:tcPr>
          <w:p w14:paraId="554D5D70">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660" w:type="dxa"/>
            <w:shd w:val="clear" w:color="auto" w:fill="auto"/>
            <w:vAlign w:val="center"/>
          </w:tcPr>
          <w:p w14:paraId="554D5D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一</w:t>
            </w:r>
          </w:p>
        </w:tc>
        <w:tc>
          <w:tcPr>
            <w:tcW w:w="825" w:type="dxa"/>
            <w:vMerge w:val="continue"/>
            <w:shd w:val="clear" w:color="auto" w:fill="auto"/>
            <w:vAlign w:val="center"/>
          </w:tcPr>
          <w:p w14:paraId="554D5D72">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675" w:type="dxa"/>
            <w:vMerge w:val="continue"/>
            <w:shd w:val="clear" w:color="auto" w:fill="auto"/>
            <w:vAlign w:val="center"/>
          </w:tcPr>
          <w:p w14:paraId="554D5D73">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005" w:type="dxa"/>
            <w:vMerge w:val="continue"/>
            <w:shd w:val="clear" w:color="auto" w:fill="auto"/>
            <w:vAlign w:val="center"/>
          </w:tcPr>
          <w:p w14:paraId="554D5D74">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660" w:type="dxa"/>
            <w:vMerge w:val="continue"/>
            <w:shd w:val="clear" w:color="auto" w:fill="auto"/>
            <w:vAlign w:val="center"/>
          </w:tcPr>
          <w:p w14:paraId="554D5D75">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r>
      <w:tr w14:paraId="554D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trPr>
        <w:tc>
          <w:tcPr>
            <w:tcW w:w="322" w:type="dxa"/>
            <w:vMerge w:val="restart"/>
            <w:shd w:val="clear" w:color="auto" w:fill="auto"/>
            <w:vAlign w:val="center"/>
          </w:tcPr>
          <w:p w14:paraId="554D5D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4</w:t>
            </w:r>
          </w:p>
        </w:tc>
        <w:tc>
          <w:tcPr>
            <w:tcW w:w="2043" w:type="dxa"/>
            <w:shd w:val="clear" w:color="auto" w:fill="auto"/>
            <w:vAlign w:val="center"/>
          </w:tcPr>
          <w:p w14:paraId="554D5D7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施家桥闸站</w:t>
            </w:r>
          </w:p>
        </w:tc>
        <w:tc>
          <w:tcPr>
            <w:tcW w:w="690" w:type="dxa"/>
            <w:vMerge w:val="restart"/>
            <w:shd w:val="clear" w:color="auto" w:fill="auto"/>
            <w:vAlign w:val="center"/>
          </w:tcPr>
          <w:p w14:paraId="554D5D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765" w:type="dxa"/>
            <w:vMerge w:val="restart"/>
            <w:shd w:val="clear" w:color="auto" w:fill="auto"/>
            <w:vAlign w:val="center"/>
          </w:tcPr>
          <w:p w14:paraId="554D5D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有</w:t>
            </w:r>
          </w:p>
        </w:tc>
        <w:tc>
          <w:tcPr>
            <w:tcW w:w="870" w:type="dxa"/>
            <w:vMerge w:val="restart"/>
            <w:shd w:val="clear" w:color="auto" w:fill="auto"/>
            <w:vAlign w:val="center"/>
          </w:tcPr>
          <w:p w14:paraId="554D5D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配水  排涝</w:t>
            </w:r>
          </w:p>
        </w:tc>
        <w:tc>
          <w:tcPr>
            <w:tcW w:w="660" w:type="dxa"/>
            <w:shd w:val="clear" w:color="auto" w:fill="auto"/>
            <w:vAlign w:val="center"/>
          </w:tcPr>
          <w:p w14:paraId="554D5D7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二</w:t>
            </w:r>
          </w:p>
        </w:tc>
        <w:tc>
          <w:tcPr>
            <w:tcW w:w="825" w:type="dxa"/>
            <w:vMerge w:val="restart"/>
            <w:shd w:val="clear" w:color="auto" w:fill="auto"/>
            <w:vAlign w:val="center"/>
          </w:tcPr>
          <w:p w14:paraId="554D5D7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三班二运转</w:t>
            </w:r>
          </w:p>
        </w:tc>
        <w:tc>
          <w:tcPr>
            <w:tcW w:w="675" w:type="dxa"/>
            <w:vMerge w:val="restart"/>
            <w:shd w:val="clear" w:color="auto" w:fill="auto"/>
            <w:vAlign w:val="center"/>
          </w:tcPr>
          <w:p w14:paraId="554D5D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2</w:t>
            </w:r>
          </w:p>
        </w:tc>
        <w:tc>
          <w:tcPr>
            <w:tcW w:w="1005" w:type="dxa"/>
            <w:vMerge w:val="restart"/>
            <w:shd w:val="clear" w:color="auto" w:fill="auto"/>
            <w:vAlign w:val="center"/>
          </w:tcPr>
          <w:p w14:paraId="554D5D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6</w:t>
            </w:r>
          </w:p>
        </w:tc>
        <w:tc>
          <w:tcPr>
            <w:tcW w:w="660" w:type="dxa"/>
            <w:vMerge w:val="restart"/>
            <w:shd w:val="clear" w:color="auto" w:fill="auto"/>
            <w:vAlign w:val="center"/>
          </w:tcPr>
          <w:p w14:paraId="554D5D8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1</w:t>
            </w:r>
          </w:p>
        </w:tc>
      </w:tr>
      <w:tr w14:paraId="554D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trPr>
        <w:tc>
          <w:tcPr>
            <w:tcW w:w="322" w:type="dxa"/>
            <w:vMerge w:val="continue"/>
            <w:shd w:val="clear" w:color="auto" w:fill="auto"/>
            <w:vAlign w:val="center"/>
          </w:tcPr>
          <w:p w14:paraId="554D5D84">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2043" w:type="dxa"/>
            <w:shd w:val="clear" w:color="auto" w:fill="auto"/>
            <w:vAlign w:val="center"/>
          </w:tcPr>
          <w:p w14:paraId="554D5D8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配套的泵池进出水检修闸（3个）</w:t>
            </w:r>
          </w:p>
        </w:tc>
        <w:tc>
          <w:tcPr>
            <w:tcW w:w="690" w:type="dxa"/>
            <w:vMerge w:val="continue"/>
            <w:shd w:val="clear" w:color="auto" w:fill="auto"/>
            <w:vAlign w:val="center"/>
          </w:tcPr>
          <w:p w14:paraId="554D5D86">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765" w:type="dxa"/>
            <w:vMerge w:val="continue"/>
            <w:shd w:val="clear" w:color="auto" w:fill="auto"/>
            <w:vAlign w:val="center"/>
          </w:tcPr>
          <w:p w14:paraId="554D5D87">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70" w:type="dxa"/>
            <w:vMerge w:val="continue"/>
            <w:shd w:val="clear" w:color="auto" w:fill="auto"/>
            <w:vAlign w:val="center"/>
          </w:tcPr>
          <w:p w14:paraId="554D5D88">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660" w:type="dxa"/>
            <w:shd w:val="clear" w:color="auto" w:fill="auto"/>
            <w:vAlign w:val="center"/>
          </w:tcPr>
          <w:p w14:paraId="554D5D8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五</w:t>
            </w:r>
          </w:p>
        </w:tc>
        <w:tc>
          <w:tcPr>
            <w:tcW w:w="825" w:type="dxa"/>
            <w:vMerge w:val="continue"/>
            <w:shd w:val="clear" w:color="auto" w:fill="auto"/>
            <w:vAlign w:val="center"/>
          </w:tcPr>
          <w:p w14:paraId="554D5D8A">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675" w:type="dxa"/>
            <w:vMerge w:val="continue"/>
            <w:shd w:val="clear" w:color="auto" w:fill="auto"/>
            <w:vAlign w:val="center"/>
          </w:tcPr>
          <w:p w14:paraId="554D5D8B">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005" w:type="dxa"/>
            <w:vMerge w:val="continue"/>
            <w:shd w:val="clear" w:color="auto" w:fill="auto"/>
            <w:vAlign w:val="center"/>
          </w:tcPr>
          <w:p w14:paraId="554D5D8C">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660" w:type="dxa"/>
            <w:vMerge w:val="continue"/>
            <w:shd w:val="clear" w:color="auto" w:fill="auto"/>
            <w:vAlign w:val="center"/>
          </w:tcPr>
          <w:p w14:paraId="554D5D8D">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r>
      <w:tr w14:paraId="554D5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trPr>
        <w:tc>
          <w:tcPr>
            <w:tcW w:w="322" w:type="dxa"/>
            <w:vMerge w:val="continue"/>
            <w:shd w:val="clear" w:color="auto" w:fill="auto"/>
            <w:vAlign w:val="center"/>
          </w:tcPr>
          <w:p w14:paraId="554D5D90">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2043" w:type="dxa"/>
            <w:shd w:val="clear" w:color="auto" w:fill="auto"/>
            <w:vAlign w:val="center"/>
          </w:tcPr>
          <w:p w14:paraId="554D5D9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配套的节制闸</w:t>
            </w:r>
          </w:p>
        </w:tc>
        <w:tc>
          <w:tcPr>
            <w:tcW w:w="690" w:type="dxa"/>
            <w:vMerge w:val="continue"/>
            <w:shd w:val="clear" w:color="auto" w:fill="auto"/>
            <w:vAlign w:val="center"/>
          </w:tcPr>
          <w:p w14:paraId="554D5D92">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765" w:type="dxa"/>
            <w:vMerge w:val="continue"/>
            <w:shd w:val="clear" w:color="auto" w:fill="auto"/>
            <w:vAlign w:val="center"/>
          </w:tcPr>
          <w:p w14:paraId="554D5D93">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70" w:type="dxa"/>
            <w:vMerge w:val="continue"/>
            <w:shd w:val="clear" w:color="auto" w:fill="auto"/>
            <w:vAlign w:val="center"/>
          </w:tcPr>
          <w:p w14:paraId="554D5D94">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660" w:type="dxa"/>
            <w:shd w:val="clear" w:color="auto" w:fill="auto"/>
            <w:vAlign w:val="center"/>
          </w:tcPr>
          <w:p w14:paraId="554D5D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二</w:t>
            </w:r>
          </w:p>
        </w:tc>
        <w:tc>
          <w:tcPr>
            <w:tcW w:w="825" w:type="dxa"/>
            <w:vMerge w:val="continue"/>
            <w:shd w:val="clear" w:color="auto" w:fill="auto"/>
            <w:vAlign w:val="center"/>
          </w:tcPr>
          <w:p w14:paraId="554D5D96">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675" w:type="dxa"/>
            <w:vMerge w:val="continue"/>
            <w:shd w:val="clear" w:color="auto" w:fill="auto"/>
            <w:vAlign w:val="center"/>
          </w:tcPr>
          <w:p w14:paraId="554D5D97">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005" w:type="dxa"/>
            <w:vMerge w:val="continue"/>
            <w:shd w:val="clear" w:color="auto" w:fill="auto"/>
            <w:vAlign w:val="center"/>
          </w:tcPr>
          <w:p w14:paraId="554D5D98">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660" w:type="dxa"/>
            <w:vMerge w:val="continue"/>
            <w:shd w:val="clear" w:color="auto" w:fill="auto"/>
            <w:vAlign w:val="center"/>
          </w:tcPr>
          <w:p w14:paraId="554D5D99">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r>
      <w:tr w14:paraId="554D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trPr>
        <w:tc>
          <w:tcPr>
            <w:tcW w:w="322" w:type="dxa"/>
            <w:shd w:val="clear" w:color="auto" w:fill="auto"/>
            <w:vAlign w:val="center"/>
          </w:tcPr>
          <w:p w14:paraId="554D5D9C">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sz w:val="20"/>
                <w:szCs w:val="20"/>
                <w:highlight w:val="none"/>
                <w:lang w:bidi="ar"/>
              </w:rPr>
              <w:t>5</w:t>
            </w:r>
          </w:p>
        </w:tc>
        <w:tc>
          <w:tcPr>
            <w:tcW w:w="2043" w:type="dxa"/>
            <w:shd w:val="clear" w:color="auto" w:fill="auto"/>
            <w:vAlign w:val="center"/>
          </w:tcPr>
          <w:p w14:paraId="554D5D9D">
            <w:pPr>
              <w:keepNext w:val="0"/>
              <w:keepLines w:val="0"/>
              <w:suppressLineNumbers w:val="0"/>
              <w:spacing w:before="0" w:beforeAutospacing="0" w:after="0" w:afterAutospacing="0" w:line="260" w:lineRule="atLeast"/>
              <w:ind w:left="0" w:right="0"/>
              <w:jc w:val="left"/>
              <w:rPr>
                <w:rFonts w:hint="eastAsia" w:ascii="仿宋" w:hAnsi="仿宋" w:eastAsia="仿宋" w:cs="仿宋"/>
                <w:color w:val="auto"/>
                <w:kern w:val="0"/>
                <w:sz w:val="20"/>
                <w:szCs w:val="20"/>
                <w:highlight w:val="none"/>
              </w:rPr>
            </w:pPr>
            <w:r>
              <w:rPr>
                <w:rFonts w:hint="eastAsia" w:ascii="仿宋" w:hAnsi="仿宋" w:eastAsia="仿宋" w:cs="仿宋"/>
                <w:color w:val="auto"/>
                <w:sz w:val="20"/>
                <w:szCs w:val="20"/>
                <w:highlight w:val="none"/>
                <w:lang w:bidi="ar"/>
              </w:rPr>
              <w:t>九沙橡胶坝</w:t>
            </w:r>
          </w:p>
        </w:tc>
        <w:tc>
          <w:tcPr>
            <w:tcW w:w="690" w:type="dxa"/>
            <w:shd w:val="clear" w:color="auto" w:fill="auto"/>
            <w:vAlign w:val="center"/>
          </w:tcPr>
          <w:p w14:paraId="554D5D9E">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三堡彭埠片</w:t>
            </w:r>
          </w:p>
        </w:tc>
        <w:tc>
          <w:tcPr>
            <w:tcW w:w="765" w:type="dxa"/>
            <w:shd w:val="clear" w:color="auto" w:fill="auto"/>
            <w:vAlign w:val="center"/>
          </w:tcPr>
          <w:p w14:paraId="554D5D9F">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有</w:t>
            </w:r>
          </w:p>
        </w:tc>
        <w:tc>
          <w:tcPr>
            <w:tcW w:w="870" w:type="dxa"/>
            <w:shd w:val="clear" w:color="auto" w:fill="auto"/>
            <w:vAlign w:val="center"/>
          </w:tcPr>
          <w:p w14:paraId="554D5DA0">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排涝、配水</w:t>
            </w:r>
          </w:p>
        </w:tc>
        <w:tc>
          <w:tcPr>
            <w:tcW w:w="660" w:type="dxa"/>
            <w:shd w:val="clear" w:color="auto" w:fill="auto"/>
            <w:vAlign w:val="center"/>
          </w:tcPr>
          <w:p w14:paraId="554D5DA1">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sz w:val="20"/>
                <w:szCs w:val="20"/>
                <w:highlight w:val="none"/>
                <w:lang w:bidi="ar"/>
              </w:rPr>
              <w:t>一</w:t>
            </w:r>
          </w:p>
        </w:tc>
        <w:tc>
          <w:tcPr>
            <w:tcW w:w="825" w:type="dxa"/>
            <w:shd w:val="clear" w:color="auto" w:fill="auto"/>
            <w:vAlign w:val="center"/>
          </w:tcPr>
          <w:p w14:paraId="554D5DA2">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三班二运转</w:t>
            </w:r>
          </w:p>
        </w:tc>
        <w:tc>
          <w:tcPr>
            <w:tcW w:w="675" w:type="dxa"/>
            <w:shd w:val="clear" w:color="auto" w:fill="auto"/>
            <w:vAlign w:val="center"/>
          </w:tcPr>
          <w:p w14:paraId="554D5DA3">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1</w:t>
            </w:r>
          </w:p>
        </w:tc>
        <w:tc>
          <w:tcPr>
            <w:tcW w:w="1005" w:type="dxa"/>
            <w:shd w:val="clear" w:color="auto" w:fill="auto"/>
            <w:vAlign w:val="center"/>
          </w:tcPr>
          <w:p w14:paraId="554D5DA4">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3</w:t>
            </w:r>
          </w:p>
        </w:tc>
        <w:tc>
          <w:tcPr>
            <w:tcW w:w="660" w:type="dxa"/>
            <w:shd w:val="clear" w:color="auto" w:fill="auto"/>
            <w:vAlign w:val="center"/>
          </w:tcPr>
          <w:p w14:paraId="554D5DA5">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0</w:t>
            </w:r>
          </w:p>
        </w:tc>
      </w:tr>
      <w:tr w14:paraId="554D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trPr>
        <w:tc>
          <w:tcPr>
            <w:tcW w:w="322" w:type="dxa"/>
            <w:shd w:val="clear" w:color="auto" w:fill="auto"/>
            <w:vAlign w:val="center"/>
          </w:tcPr>
          <w:p w14:paraId="554D5DA8">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sz w:val="20"/>
                <w:szCs w:val="20"/>
                <w:highlight w:val="none"/>
                <w:lang w:bidi="ar"/>
              </w:rPr>
              <w:t>6</w:t>
            </w:r>
          </w:p>
        </w:tc>
        <w:tc>
          <w:tcPr>
            <w:tcW w:w="2043" w:type="dxa"/>
            <w:shd w:val="clear" w:color="auto" w:fill="auto"/>
            <w:vAlign w:val="center"/>
          </w:tcPr>
          <w:p w14:paraId="554D5DA9">
            <w:pPr>
              <w:keepNext w:val="0"/>
              <w:keepLines w:val="0"/>
              <w:suppressLineNumbers w:val="0"/>
              <w:spacing w:before="0" w:beforeAutospacing="0" w:after="0" w:afterAutospacing="0" w:line="260" w:lineRule="atLeast"/>
              <w:ind w:left="0" w:right="0"/>
              <w:jc w:val="left"/>
              <w:rPr>
                <w:rFonts w:hint="eastAsia" w:ascii="仿宋" w:hAnsi="仿宋" w:eastAsia="仿宋" w:cs="仿宋"/>
                <w:color w:val="auto"/>
                <w:kern w:val="0"/>
                <w:sz w:val="20"/>
                <w:szCs w:val="20"/>
                <w:highlight w:val="none"/>
              </w:rPr>
            </w:pPr>
            <w:r>
              <w:rPr>
                <w:rFonts w:hint="eastAsia" w:ascii="仿宋" w:hAnsi="仿宋" w:eastAsia="仿宋" w:cs="仿宋"/>
                <w:color w:val="auto"/>
                <w:sz w:val="20"/>
                <w:szCs w:val="20"/>
                <w:highlight w:val="none"/>
                <w:lang w:bidi="ar"/>
              </w:rPr>
              <w:t>九沙和睦闸</w:t>
            </w:r>
          </w:p>
        </w:tc>
        <w:tc>
          <w:tcPr>
            <w:tcW w:w="690" w:type="dxa"/>
            <w:shd w:val="clear" w:color="auto" w:fill="auto"/>
            <w:vAlign w:val="center"/>
          </w:tcPr>
          <w:p w14:paraId="554D5DAA">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丁桥新城片</w:t>
            </w:r>
          </w:p>
        </w:tc>
        <w:tc>
          <w:tcPr>
            <w:tcW w:w="765" w:type="dxa"/>
            <w:shd w:val="clear" w:color="auto" w:fill="auto"/>
            <w:vAlign w:val="center"/>
          </w:tcPr>
          <w:p w14:paraId="554D5DAB">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有</w:t>
            </w:r>
          </w:p>
        </w:tc>
        <w:tc>
          <w:tcPr>
            <w:tcW w:w="870" w:type="dxa"/>
            <w:shd w:val="clear" w:color="auto" w:fill="auto"/>
            <w:vAlign w:val="center"/>
          </w:tcPr>
          <w:p w14:paraId="554D5DAC">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排涝、配水</w:t>
            </w:r>
          </w:p>
        </w:tc>
        <w:tc>
          <w:tcPr>
            <w:tcW w:w="660" w:type="dxa"/>
            <w:shd w:val="clear" w:color="auto" w:fill="auto"/>
            <w:vAlign w:val="center"/>
          </w:tcPr>
          <w:p w14:paraId="554D5DAD">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sz w:val="20"/>
                <w:szCs w:val="20"/>
                <w:highlight w:val="none"/>
                <w:lang w:bidi="ar"/>
              </w:rPr>
              <w:t>一</w:t>
            </w:r>
          </w:p>
        </w:tc>
        <w:tc>
          <w:tcPr>
            <w:tcW w:w="825" w:type="dxa"/>
            <w:shd w:val="clear" w:color="auto" w:fill="auto"/>
            <w:vAlign w:val="center"/>
          </w:tcPr>
          <w:p w14:paraId="554D5DAE">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三班二运转</w:t>
            </w:r>
          </w:p>
        </w:tc>
        <w:tc>
          <w:tcPr>
            <w:tcW w:w="675" w:type="dxa"/>
            <w:shd w:val="clear" w:color="auto" w:fill="auto"/>
            <w:vAlign w:val="center"/>
          </w:tcPr>
          <w:p w14:paraId="554D5DAF">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1</w:t>
            </w:r>
          </w:p>
        </w:tc>
        <w:tc>
          <w:tcPr>
            <w:tcW w:w="1005" w:type="dxa"/>
            <w:shd w:val="clear" w:color="auto" w:fill="auto"/>
            <w:vAlign w:val="center"/>
          </w:tcPr>
          <w:p w14:paraId="554D5DB0">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3</w:t>
            </w:r>
          </w:p>
        </w:tc>
        <w:tc>
          <w:tcPr>
            <w:tcW w:w="660" w:type="dxa"/>
            <w:shd w:val="clear" w:color="auto" w:fill="auto"/>
            <w:vAlign w:val="center"/>
          </w:tcPr>
          <w:p w14:paraId="554D5DB1">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0</w:t>
            </w:r>
          </w:p>
        </w:tc>
      </w:tr>
      <w:tr w14:paraId="554D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trPr>
        <w:tc>
          <w:tcPr>
            <w:tcW w:w="322" w:type="dxa"/>
            <w:shd w:val="clear" w:color="auto" w:fill="auto"/>
            <w:vAlign w:val="center"/>
          </w:tcPr>
          <w:p w14:paraId="554D5DB4">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sz w:val="20"/>
                <w:szCs w:val="20"/>
                <w:highlight w:val="none"/>
                <w:lang w:bidi="ar"/>
              </w:rPr>
              <w:t>7</w:t>
            </w:r>
          </w:p>
        </w:tc>
        <w:tc>
          <w:tcPr>
            <w:tcW w:w="2043" w:type="dxa"/>
            <w:shd w:val="clear" w:color="auto" w:fill="auto"/>
            <w:vAlign w:val="center"/>
          </w:tcPr>
          <w:p w14:paraId="554D5DB5">
            <w:pPr>
              <w:keepNext w:val="0"/>
              <w:keepLines w:val="0"/>
              <w:suppressLineNumbers w:val="0"/>
              <w:spacing w:before="0" w:beforeAutospacing="0" w:after="0" w:afterAutospacing="0" w:line="260" w:lineRule="atLeast"/>
              <w:ind w:left="0" w:right="0"/>
              <w:jc w:val="left"/>
              <w:rPr>
                <w:rFonts w:hint="eastAsia" w:ascii="仿宋" w:hAnsi="仿宋" w:eastAsia="仿宋" w:cs="仿宋"/>
                <w:color w:val="auto"/>
                <w:kern w:val="0"/>
                <w:sz w:val="20"/>
                <w:szCs w:val="20"/>
                <w:highlight w:val="none"/>
              </w:rPr>
            </w:pPr>
            <w:r>
              <w:rPr>
                <w:rFonts w:hint="eastAsia" w:ascii="仿宋" w:hAnsi="仿宋" w:eastAsia="仿宋" w:cs="仿宋"/>
                <w:color w:val="auto"/>
                <w:sz w:val="20"/>
                <w:szCs w:val="20"/>
                <w:highlight w:val="none"/>
                <w:lang w:bidi="ar"/>
              </w:rPr>
              <w:t>九沙东湖闸</w:t>
            </w:r>
          </w:p>
        </w:tc>
        <w:tc>
          <w:tcPr>
            <w:tcW w:w="690" w:type="dxa"/>
            <w:shd w:val="clear" w:color="auto" w:fill="auto"/>
            <w:vAlign w:val="center"/>
          </w:tcPr>
          <w:p w14:paraId="554D5DB6">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丁桥新城片</w:t>
            </w:r>
          </w:p>
        </w:tc>
        <w:tc>
          <w:tcPr>
            <w:tcW w:w="765" w:type="dxa"/>
            <w:shd w:val="clear" w:color="auto" w:fill="auto"/>
            <w:vAlign w:val="center"/>
          </w:tcPr>
          <w:p w14:paraId="554D5DB7">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有</w:t>
            </w:r>
          </w:p>
        </w:tc>
        <w:tc>
          <w:tcPr>
            <w:tcW w:w="870" w:type="dxa"/>
            <w:shd w:val="clear" w:color="auto" w:fill="auto"/>
            <w:vAlign w:val="center"/>
          </w:tcPr>
          <w:p w14:paraId="554D5DB8">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排涝、配水</w:t>
            </w:r>
          </w:p>
        </w:tc>
        <w:tc>
          <w:tcPr>
            <w:tcW w:w="660" w:type="dxa"/>
            <w:shd w:val="clear" w:color="auto" w:fill="auto"/>
            <w:vAlign w:val="center"/>
          </w:tcPr>
          <w:p w14:paraId="554D5DB9">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sz w:val="20"/>
                <w:szCs w:val="20"/>
                <w:highlight w:val="none"/>
                <w:lang w:bidi="ar"/>
              </w:rPr>
              <w:t>一</w:t>
            </w:r>
          </w:p>
        </w:tc>
        <w:tc>
          <w:tcPr>
            <w:tcW w:w="825" w:type="dxa"/>
            <w:shd w:val="clear" w:color="auto" w:fill="auto"/>
            <w:vAlign w:val="center"/>
          </w:tcPr>
          <w:p w14:paraId="554D5DBA">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三班二运转</w:t>
            </w:r>
          </w:p>
        </w:tc>
        <w:tc>
          <w:tcPr>
            <w:tcW w:w="675" w:type="dxa"/>
            <w:shd w:val="clear" w:color="auto" w:fill="auto"/>
            <w:vAlign w:val="center"/>
          </w:tcPr>
          <w:p w14:paraId="554D5DBB">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1</w:t>
            </w:r>
          </w:p>
        </w:tc>
        <w:tc>
          <w:tcPr>
            <w:tcW w:w="1005" w:type="dxa"/>
            <w:shd w:val="clear" w:color="auto" w:fill="auto"/>
            <w:vAlign w:val="center"/>
          </w:tcPr>
          <w:p w14:paraId="554D5DBC">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3</w:t>
            </w:r>
          </w:p>
        </w:tc>
        <w:tc>
          <w:tcPr>
            <w:tcW w:w="660" w:type="dxa"/>
            <w:shd w:val="clear" w:color="auto" w:fill="auto"/>
            <w:vAlign w:val="center"/>
          </w:tcPr>
          <w:p w14:paraId="554D5DBD">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0</w:t>
            </w:r>
          </w:p>
        </w:tc>
      </w:tr>
      <w:tr w14:paraId="554D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trPr>
        <w:tc>
          <w:tcPr>
            <w:tcW w:w="6850" w:type="dxa"/>
            <w:gridSpan w:val="8"/>
            <w:shd w:val="clear" w:color="auto" w:fill="auto"/>
            <w:vAlign w:val="center"/>
          </w:tcPr>
          <w:p w14:paraId="554D5DC0">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lang w:bidi="ar"/>
              </w:rPr>
            </w:pPr>
            <w:r>
              <w:rPr>
                <w:rFonts w:hint="eastAsia" w:ascii="仿宋" w:hAnsi="仿宋" w:eastAsia="仿宋" w:cs="仿宋"/>
                <w:color w:val="auto"/>
                <w:sz w:val="20"/>
                <w:szCs w:val="20"/>
                <w:highlight w:val="none"/>
                <w:lang w:bidi="ar"/>
              </w:rPr>
              <w:t>合计</w:t>
            </w:r>
          </w:p>
        </w:tc>
        <w:tc>
          <w:tcPr>
            <w:tcW w:w="1005" w:type="dxa"/>
            <w:shd w:val="clear" w:color="auto" w:fill="auto"/>
            <w:vAlign w:val="center"/>
          </w:tcPr>
          <w:p w14:paraId="554D5DC1">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lang w:bidi="ar"/>
              </w:rPr>
            </w:pPr>
            <w:r>
              <w:rPr>
                <w:rFonts w:hint="eastAsia" w:ascii="仿宋" w:hAnsi="仿宋" w:eastAsia="仿宋" w:cs="仿宋"/>
                <w:color w:val="auto"/>
                <w:sz w:val="20"/>
                <w:szCs w:val="20"/>
                <w:highlight w:val="none"/>
                <w:lang w:bidi="ar"/>
              </w:rPr>
              <w:t>36</w:t>
            </w:r>
          </w:p>
        </w:tc>
        <w:tc>
          <w:tcPr>
            <w:tcW w:w="660" w:type="dxa"/>
            <w:shd w:val="clear" w:color="auto" w:fill="auto"/>
            <w:vAlign w:val="center"/>
          </w:tcPr>
          <w:p w14:paraId="554D5DC2">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lang w:bidi="ar"/>
              </w:rPr>
            </w:pPr>
            <w:r>
              <w:rPr>
                <w:rFonts w:hint="eastAsia" w:ascii="仿宋" w:hAnsi="仿宋" w:eastAsia="仿宋" w:cs="仿宋"/>
                <w:color w:val="auto"/>
                <w:sz w:val="20"/>
                <w:szCs w:val="20"/>
                <w:highlight w:val="none"/>
                <w:lang w:bidi="ar"/>
              </w:rPr>
              <w:t>3</w:t>
            </w:r>
          </w:p>
        </w:tc>
      </w:tr>
    </w:tbl>
    <w:p w14:paraId="762C9AED">
      <w:pPr>
        <w:pStyle w:val="57"/>
        <w:autoSpaceDE w:val="0"/>
        <w:autoSpaceDN w:val="0"/>
        <w:snapToGrid w:val="0"/>
        <w:spacing w:before="0" w:beforeAutospacing="0" w:after="0" w:afterAutospacing="0" w:line="360" w:lineRule="auto"/>
        <w:rPr>
          <w:rFonts w:hint="eastAsia" w:ascii="仿宋" w:hAnsi="仿宋" w:eastAsia="仿宋" w:cs="仿宋"/>
          <w:color w:val="auto"/>
          <w:kern w:val="2"/>
          <w:highlight w:val="none"/>
        </w:rPr>
      </w:pPr>
    </w:p>
    <w:p w14:paraId="228E6DAC">
      <w:pPr>
        <w:pStyle w:val="57"/>
        <w:autoSpaceDE w:val="0"/>
        <w:autoSpaceDN w:val="0"/>
        <w:snapToGrid w:val="0"/>
        <w:spacing w:before="0" w:beforeAutospacing="0" w:after="0" w:afterAutospacing="0" w:line="360" w:lineRule="auto"/>
        <w:ind w:firstLine="480" w:firstLineChars="200"/>
        <w:rPr>
          <w:rFonts w:hint="eastAsia" w:ascii="仿宋" w:hAnsi="仿宋" w:eastAsia="仿宋" w:cs="仿宋"/>
          <w:color w:val="auto"/>
          <w:kern w:val="2"/>
          <w:highlight w:val="none"/>
          <w:lang w:eastAsia="zh-CN"/>
        </w:rPr>
      </w:pPr>
      <w:r>
        <w:rPr>
          <w:rFonts w:hint="eastAsia" w:ascii="仿宋" w:hAnsi="仿宋" w:eastAsia="仿宋" w:cs="仿宋"/>
          <w:color w:val="auto"/>
          <w:kern w:val="2"/>
          <w:highlight w:val="none"/>
        </w:rPr>
        <w:t>2.</w:t>
      </w:r>
      <w:r>
        <w:rPr>
          <w:rFonts w:hint="eastAsia" w:ascii="仿宋" w:hAnsi="仿宋" w:eastAsia="仿宋" w:cs="仿宋"/>
          <w:color w:val="auto"/>
          <w:highlight w:val="none"/>
          <w:lang w:bidi="ar"/>
        </w:rPr>
        <w:t>现场运行班组人员具有国家、地方职业技能鉴定指导中心或具有国家职业技能标准评价能力的社会培训评价组织出具的泵站专业（泵站运行工、灌区管理工（灌排泵站运行工））、水闸专业（水闸运行工、水工闸门运行工）、船闸专业（船闸运行工、船闸及升船机运管员）的职业技能五级/初级工及以上证书。</w:t>
      </w:r>
    </w:p>
    <w:p w14:paraId="3C106457">
      <w:pPr>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三</w:t>
      </w:r>
      <w:r>
        <w:rPr>
          <w:rFonts w:hint="eastAsia" w:ascii="仿宋" w:hAnsi="仿宋" w:eastAsia="仿宋" w:cs="仿宋"/>
          <w:b w:val="0"/>
          <w:bCs w:val="0"/>
          <w:color w:val="auto"/>
          <w:sz w:val="24"/>
          <w:highlight w:val="none"/>
        </w:rPr>
        <w:t>）维保专业班组人员要求</w:t>
      </w:r>
    </w:p>
    <w:p w14:paraId="22B6822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维保专业班组人员应配备</w:t>
      </w:r>
      <w:r>
        <w:rPr>
          <w:rFonts w:hint="eastAsia" w:ascii="仿宋" w:hAnsi="仿宋" w:eastAsia="仿宋" w:cs="仿宋"/>
          <w:color w:val="auto"/>
          <w:sz w:val="24"/>
          <w:highlight w:val="none"/>
        </w:rPr>
        <w:t>电工、钳工、仪表工</w:t>
      </w:r>
      <w:r>
        <w:rPr>
          <w:rFonts w:hint="eastAsia" w:ascii="仿宋" w:hAnsi="仿宋" w:eastAsia="仿宋" w:cs="仿宋"/>
          <w:color w:val="auto"/>
          <w:sz w:val="24"/>
          <w:highlight w:val="none"/>
          <w:lang w:val="en-US" w:eastAsia="zh-CN"/>
        </w:rPr>
        <w:t>各不少于1名</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具体</w:t>
      </w:r>
      <w:r>
        <w:rPr>
          <w:rFonts w:hint="eastAsia" w:ascii="仿宋" w:hAnsi="仿宋" w:eastAsia="仿宋" w:cs="仿宋"/>
          <w:color w:val="auto"/>
          <w:sz w:val="24"/>
          <w:highlight w:val="none"/>
        </w:rPr>
        <w:t>要求如下：</w:t>
      </w:r>
    </w:p>
    <w:p w14:paraId="22B682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1.电工：（1）▲高压电工和低压电工特种作业操作证（可1人同时具备或2人分别具备。投标文件中提供投标截止月上溯3个月（含投标截止日当月，共4个月中任意连续3个月）在</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的社保缴纳证明（开标前20天内投标人所属社保机构出具的加盖印章的单位或个人专用社保证明）和特种作业操作证书)。（2）具有电工专业的职业技能四级/中级工及以上证书。</w:t>
      </w:r>
    </w:p>
    <w:p w14:paraId="22B6822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2.钳工：</w:t>
      </w:r>
      <w:r>
        <w:rPr>
          <w:rFonts w:hint="eastAsia" w:ascii="仿宋" w:hAnsi="仿宋" w:eastAsia="仿宋" w:cs="仿宋"/>
          <w:color w:val="auto"/>
          <w:sz w:val="24"/>
          <w:highlight w:val="none"/>
          <w:lang w:val="en-US" w:eastAsia="zh-CN"/>
        </w:rPr>
        <w:t>具有</w:t>
      </w:r>
      <w:r>
        <w:rPr>
          <w:rFonts w:hint="eastAsia" w:ascii="仿宋" w:hAnsi="仿宋" w:eastAsia="仿宋" w:cs="仿宋"/>
          <w:color w:val="auto"/>
          <w:sz w:val="24"/>
          <w:highlight w:val="none"/>
        </w:rPr>
        <w:t>钳工专业的职业技能四级/中级工及以上证书。</w:t>
      </w:r>
    </w:p>
    <w:p w14:paraId="22B682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3.仪表工：</w:t>
      </w:r>
      <w:r>
        <w:rPr>
          <w:rFonts w:hint="eastAsia" w:ascii="仿宋" w:hAnsi="仿宋" w:eastAsia="仿宋" w:cs="仿宋"/>
          <w:color w:val="auto"/>
          <w:sz w:val="24"/>
          <w:highlight w:val="none"/>
          <w:lang w:val="en-US" w:eastAsia="zh-CN"/>
        </w:rPr>
        <w:t>具有</w:t>
      </w:r>
      <w:r>
        <w:rPr>
          <w:rFonts w:hint="eastAsia" w:ascii="仿宋" w:hAnsi="仿宋" w:eastAsia="仿宋" w:cs="仿宋"/>
          <w:color w:val="auto"/>
          <w:sz w:val="24"/>
          <w:highlight w:val="none"/>
        </w:rPr>
        <w:t>仪表工（仪器仪表维修工）专业的职业技能四级/中级工及以上证书。</w:t>
      </w:r>
    </w:p>
    <w:p w14:paraId="09D0228C">
      <w:pPr>
        <w:wordWrap/>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4.维保专业班组人员可兼任其他班组岗位人员。</w:t>
      </w:r>
    </w:p>
    <w:p w14:paraId="3AADF73F">
      <w:pPr>
        <w:pStyle w:val="57"/>
        <w:widowControl w:val="0"/>
        <w:autoSpaceDE w:val="0"/>
        <w:autoSpaceDN w:val="0"/>
        <w:spacing w:before="0" w:beforeAutospacing="0" w:after="0" w:afterAutospacing="0" w:line="360" w:lineRule="auto"/>
        <w:ind w:firstLine="480" w:firstLineChars="200"/>
        <w:jc w:val="both"/>
        <w:outlineLvl w:val="2"/>
        <w:rPr>
          <w:rFonts w:hint="eastAsia" w:ascii="仿宋" w:hAnsi="仿宋" w:eastAsia="仿宋" w:cs="仿宋"/>
          <w:color w:val="auto"/>
          <w:highlight w:val="none"/>
        </w:rPr>
      </w:pPr>
      <w:r>
        <w:rPr>
          <w:rFonts w:hint="eastAsia" w:ascii="仿宋" w:hAnsi="仿宋" w:eastAsia="仿宋" w:cs="仿宋"/>
          <w:color w:val="auto"/>
          <w:highlight w:val="none"/>
        </w:rPr>
        <w:t>(四）养护人员</w:t>
      </w:r>
      <w:r>
        <w:rPr>
          <w:rFonts w:hint="eastAsia" w:ascii="仿宋" w:hAnsi="仿宋" w:eastAsia="仿宋" w:cs="仿宋"/>
          <w:color w:val="auto"/>
          <w:highlight w:val="none"/>
          <w:lang w:val="en-US" w:eastAsia="zh-CN"/>
        </w:rPr>
        <w:t>其他</w:t>
      </w:r>
      <w:r>
        <w:rPr>
          <w:rFonts w:hint="eastAsia" w:ascii="仿宋" w:hAnsi="仿宋" w:eastAsia="仿宋" w:cs="仿宋"/>
          <w:color w:val="auto"/>
          <w:highlight w:val="none"/>
        </w:rPr>
        <w:t>要求</w:t>
      </w:r>
    </w:p>
    <w:p w14:paraId="3DA423FC">
      <w:pPr>
        <w:pStyle w:val="57"/>
        <w:widowControl w:val="0"/>
        <w:autoSpaceDE w:val="0"/>
        <w:autoSpaceDN w:val="0"/>
        <w:spacing w:before="0" w:beforeAutospacing="0" w:after="0" w:afterAutospacing="0" w:line="360" w:lineRule="auto"/>
        <w:ind w:firstLine="480" w:firstLineChars="200"/>
        <w:jc w:val="both"/>
        <w:rPr>
          <w:rFonts w:hint="eastAsia" w:ascii="仿宋" w:hAnsi="仿宋" w:eastAsia="仿宋" w:cs="仿宋"/>
          <w:color w:val="auto"/>
          <w:highlight w:val="none"/>
          <w:lang w:bidi="ar"/>
        </w:rPr>
      </w:pPr>
      <w:r>
        <w:rPr>
          <w:rFonts w:hint="eastAsia" w:ascii="仿宋" w:hAnsi="仿宋" w:eastAsia="仿宋" w:cs="仿宋"/>
          <w:color w:val="auto"/>
          <w:highlight w:val="none"/>
        </w:rPr>
        <w:t>1.养护服务期内未经</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同意，养护人员不得随意更换。经</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同意的，</w:t>
      </w:r>
      <w:r>
        <w:rPr>
          <w:rFonts w:ascii="仿宋" w:hAnsi="仿宋" w:eastAsia="仿宋" w:cs="仿宋"/>
          <w:color w:val="auto"/>
          <w:highlight w:val="none"/>
        </w:rPr>
        <w:t>变更替换人员应为中标单位在职人员且不低于被替换人员的技术职称、职业资格、从业经验等要求。</w:t>
      </w:r>
    </w:p>
    <w:p w14:paraId="16407B3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ascii="仿宋" w:hAnsi="仿宋" w:eastAsia="仿宋" w:cs="仿宋"/>
          <w:color w:val="auto"/>
          <w:sz w:val="24"/>
          <w:highlight w:val="none"/>
        </w:rPr>
        <w:t>联合体投标的，人员需根据联合体协议书中相应承担的工作内容、合同份额进行各自配备。</w:t>
      </w:r>
    </w:p>
    <w:p w14:paraId="22B6822F">
      <w:pPr>
        <w:spacing w:line="360" w:lineRule="auto"/>
        <w:ind w:firstLine="482" w:firstLineChars="20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五</w:t>
      </w:r>
      <w:r>
        <w:rPr>
          <w:rFonts w:hint="eastAsia" w:ascii="仿宋" w:hAnsi="仿宋" w:eastAsia="仿宋" w:cs="仿宋"/>
          <w:b/>
          <w:bCs/>
          <w:color w:val="auto"/>
          <w:sz w:val="24"/>
          <w:highlight w:val="none"/>
        </w:rPr>
        <w:t>、养护作业专业设备配备要求</w:t>
      </w:r>
    </w:p>
    <w:p w14:paraId="22B6823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应针对本项目配备足量专业设备，不低于以下具体要求：</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4163"/>
        <w:gridCol w:w="3443"/>
      </w:tblGrid>
      <w:tr w14:paraId="22B6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22B68231">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163" w:type="dxa"/>
          </w:tcPr>
          <w:p w14:paraId="22B6823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设备名称</w:t>
            </w:r>
          </w:p>
        </w:tc>
        <w:tc>
          <w:tcPr>
            <w:tcW w:w="3443" w:type="dxa"/>
          </w:tcPr>
          <w:p w14:paraId="22B68233">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r>
      <w:tr w14:paraId="22B6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22B68235">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163" w:type="dxa"/>
          </w:tcPr>
          <w:p w14:paraId="22B68236">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船只</w:t>
            </w:r>
          </w:p>
        </w:tc>
        <w:tc>
          <w:tcPr>
            <w:tcW w:w="3443" w:type="dxa"/>
          </w:tcPr>
          <w:p w14:paraId="22B68237">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1艘</w:t>
            </w:r>
          </w:p>
        </w:tc>
      </w:tr>
      <w:tr w14:paraId="22B6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22B68239">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163" w:type="dxa"/>
          </w:tcPr>
          <w:p w14:paraId="22B6823A">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检修</w:t>
            </w:r>
            <w:r>
              <w:rPr>
                <w:rFonts w:hint="eastAsia" w:ascii="仿宋" w:hAnsi="仿宋" w:eastAsia="仿宋" w:cs="仿宋"/>
                <w:color w:val="auto"/>
                <w:sz w:val="24"/>
                <w:highlight w:val="none"/>
              </w:rPr>
              <w:t>用车</w:t>
            </w:r>
          </w:p>
        </w:tc>
        <w:tc>
          <w:tcPr>
            <w:tcW w:w="3443" w:type="dxa"/>
          </w:tcPr>
          <w:p w14:paraId="22B6823B">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辆</w:t>
            </w:r>
          </w:p>
        </w:tc>
      </w:tr>
      <w:tr w14:paraId="22B6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22B6823D">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163" w:type="dxa"/>
          </w:tcPr>
          <w:p w14:paraId="22B6823E">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应急电源</w:t>
            </w:r>
          </w:p>
        </w:tc>
        <w:tc>
          <w:tcPr>
            <w:tcW w:w="3443" w:type="dxa"/>
          </w:tcPr>
          <w:p w14:paraId="22B6823F">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总功率不小于125kw</w:t>
            </w:r>
          </w:p>
        </w:tc>
      </w:tr>
      <w:tr w14:paraId="22B6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22B68241">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163" w:type="dxa"/>
          </w:tcPr>
          <w:p w14:paraId="22B6824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应急水泵</w:t>
            </w:r>
          </w:p>
        </w:tc>
        <w:tc>
          <w:tcPr>
            <w:tcW w:w="3443" w:type="dxa"/>
          </w:tcPr>
          <w:p w14:paraId="22B68243">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总流量不小于2000m³/h</w:t>
            </w:r>
          </w:p>
        </w:tc>
      </w:tr>
      <w:tr w14:paraId="22B6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22B68245">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4163" w:type="dxa"/>
          </w:tcPr>
          <w:p w14:paraId="22B68246">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吊车</w:t>
            </w:r>
          </w:p>
        </w:tc>
        <w:tc>
          <w:tcPr>
            <w:tcW w:w="3443" w:type="dxa"/>
          </w:tcPr>
          <w:p w14:paraId="22B68247">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1台</w:t>
            </w:r>
          </w:p>
        </w:tc>
      </w:tr>
      <w:tr w14:paraId="22B6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22B68249">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4163" w:type="dxa"/>
          </w:tcPr>
          <w:p w14:paraId="22B6824A">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水下检测仪（视频或声波雷达等）</w:t>
            </w:r>
          </w:p>
        </w:tc>
        <w:tc>
          <w:tcPr>
            <w:tcW w:w="3443" w:type="dxa"/>
          </w:tcPr>
          <w:p w14:paraId="22B6824B">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1套</w:t>
            </w:r>
          </w:p>
        </w:tc>
      </w:tr>
    </w:tbl>
    <w:p w14:paraId="22B682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人提供的闸站管理用房若无法满足专业设备存放条件，中标单位应自行考虑存放场所以保证日常养护工作的开展，同时应保证在接到采购人通知后2个小时内派遣人员携带所需设施设备、工具材料、物资等到达现场开展检修、维修、应急抢修等养护工作。</w:t>
      </w:r>
    </w:p>
    <w:p w14:paraId="22B682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.联合体投标的，作业专业设备需根据联合体协议书中相应承担的工作内容、合同份额进行各自配备。</w:t>
      </w:r>
    </w:p>
    <w:p w14:paraId="22B68251">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、设施设备具体养护要求</w:t>
      </w:r>
    </w:p>
    <w:p w14:paraId="22B6825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（一）机具设备</w:t>
      </w:r>
    </w:p>
    <w:p w14:paraId="22B682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1．检修门叶，应按规定摆放整齐，及时清除摆放处的垃圾、积水等；并做好必要的覆盖和定期油漆防护等工作。</w:t>
      </w:r>
    </w:p>
    <w:p w14:paraId="22B682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2．皮带输送机、压榨机等，应按照国家、省、市有关规定进行维修维护。</w:t>
      </w:r>
    </w:p>
    <w:p w14:paraId="22B682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（二）机电设备及附属设施设备</w:t>
      </w:r>
    </w:p>
    <w:p w14:paraId="22B682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高低供配电设备，可每3年安排一次检测。</w:t>
      </w:r>
    </w:p>
    <w:p w14:paraId="22B682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（三）水工构（建）筑物及附属设施设备</w:t>
      </w:r>
    </w:p>
    <w:p w14:paraId="22B682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构（建）筑物外墙，每三年至少进行一次涂层再粉刷。</w:t>
      </w:r>
    </w:p>
    <w:p w14:paraId="22B6825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（四）信息系统及自控设备</w:t>
      </w:r>
    </w:p>
    <w:p w14:paraId="22B682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 PCL自动控制系统。对于具备PLC自控设备的闸站，应确保计算机及其网络系统应运行正常，PLC控制系统运行正常，各类仪表、监视器、传感器、报警器、UPS等应工作正常。其中PLC的供电电压，应在额定范围的85%～110％之间，电压波动不应频繁，否则应更换PLC的电池，交流电源工作电压的范围一般为85～264V，直流电源电压应为24V。PLC控制柜内的温度应在0～60℃范围内，相对湿度应在35%～85%范围内，要求无粉尘、铁屑等积尘。控制柜内各PLC单元固定应牢固，各种I/O模块端子不应松动，PLC通信电缆的子母连接器应完全插入并旋紧，外部连接线无损伤；I/O端电压均应在工作要求的电压范围内。PLC/RTU、通信设施、通信接口，并做性能校验;量校就地（现场）控制系统各检测点的模拟量及数字;检查设备的手动、自动与遥控的控制功能以及控制级的优先权;测试自控系统的故障、声光报警点、保护、自启动及通信等功能。UPS不间断电源在使用时，应首先给UPS供电，使其处于旁路工作状态，然后再逐个打开负载；关机则是逐个关闭负载，再将UPS关闭;UPS不应过度轻载或满载；UPS的电池组需要定期进行充放电。要保证 UPS的有效屏蔽和接地保护，防雷击。自控系统的接地（接零）、防雷、防静电与过电压保护设施应符合相关要求;自控系统设备维护，必须按照用户手册的说明要求进行，技术文档应妥善保管。</w:t>
      </w:r>
    </w:p>
    <w:p w14:paraId="22B682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视频监控系统。各监控与视频服务器、硬盘录像机和所有前端设备每日检查不少于2次，重点检查视频显示装置的显示清晰度、流畅度是否完好，以及摄像机旋转、变焦、夜视功能是否正常;摄像机防护罩人工清洗每月检查不少于1次，电缆进线密封应符合防护等级要求。发现有脏物时应及时清洁摄像头上的氧化物及灰尘;供电系统每月检查不少于1次，电缆进线密封应符合防护等级要求;存储装置的视频保存周期应根据运行管理要求确定，并应每月检查1次;摄像系统的接地、接零、防雷等安全措施每年检查不少于1次，并视情况对监控杆、野外箱等重新油漆。</w:t>
      </w:r>
    </w:p>
    <w:p w14:paraId="22B682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水位监测系统。各水位自动监测站和水位服务器和所有前端设备每日检查不少于2次，重点检查设备的运行况状、水位数据是否准确、有效;水位自动监测站人工清洗每月检查不少于1次，发现数据异常时应及时清洗传感器以及周边影响观测精度的障碍物;供电系统每月检查不少于1次，电缆进线密封应符合防护等级要求，检查市电接电情况及太阳能电池板的充电、蓄电池容量及密封情况;数据库服务器上的水位数据应定期备份，每年不少于1次;水位测报系统的接地、接零、防雷等安全措施每年检查不少于1次，并视情况对监控杆、野外箱等重新油漆;水位测报系统的水位站点高程原则上每二年应进行高程复测1次，并同步复核校准水尺和水准仪。</w:t>
      </w:r>
    </w:p>
    <w:p w14:paraId="22B682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4.闸站养护单位应采取有效的技术手段和管理措施，防范计算机病毒对系统的侵害和黑客的非法入侵。任何设备、软件接(装)入系统前应进行病毒检测；不应在系统中进行与系统无关的作业。</w:t>
      </w:r>
    </w:p>
    <w:p w14:paraId="22B682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5.对于履行不同岗位职责的系统运维人员，应分别规定其安全等级操作权限。系统的运行和维护应进行授权管理，每月应检查1次系统的运行情况。</w:t>
      </w:r>
    </w:p>
    <w:p w14:paraId="22B682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6.对于具备信息接入条件的闸站，应</w:t>
      </w:r>
      <w:r>
        <w:rPr>
          <w:rFonts w:hint="eastAsia" w:ascii="仿宋" w:hAnsi="仿宋" w:eastAsia="仿宋" w:cs="仿宋"/>
          <w:color w:val="auto"/>
          <w:sz w:val="24"/>
          <w:highlight w:val="none"/>
          <w:lang w:val="en-US" w:eastAsia="zh-CN"/>
        </w:rPr>
        <w:t>配合采购人</w:t>
      </w:r>
      <w:r>
        <w:rPr>
          <w:rFonts w:hint="eastAsia" w:ascii="仿宋" w:hAnsi="仿宋" w:eastAsia="仿宋" w:cs="仿宋"/>
          <w:color w:val="auto"/>
          <w:sz w:val="24"/>
          <w:highlight w:val="none"/>
        </w:rPr>
        <w:t>将闸站数据信息（如闸门开启度、水泵启停状态、电流电压、水位、视频等）</w:t>
      </w:r>
      <w:r>
        <w:rPr>
          <w:rFonts w:hint="default" w:ascii="仿宋" w:hAnsi="仿宋" w:eastAsia="仿宋" w:cs="仿宋"/>
          <w:color w:val="auto"/>
          <w:sz w:val="24"/>
          <w:highlight w:val="none"/>
          <w:lang w:val="en-US"/>
        </w:rPr>
        <w:t>接</w:t>
      </w:r>
      <w:r>
        <w:rPr>
          <w:rFonts w:hint="eastAsia" w:ascii="仿宋" w:hAnsi="仿宋" w:eastAsia="仿宋" w:cs="仿宋"/>
          <w:color w:val="auto"/>
          <w:sz w:val="24"/>
          <w:highlight w:val="none"/>
        </w:rPr>
        <w:t>入城市河道智慧平台，网络费用由</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承担。</w:t>
      </w:r>
    </w:p>
    <w:p w14:paraId="22B68260">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、其它要求</w:t>
      </w:r>
    </w:p>
    <w:p w14:paraId="22B6826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1.投标人应针对本项目制定专项的运维管理制度，包括不限于项目人员管理（考核奖惩、业务培训制度）、安全生产（检查排查制度）、防汛应急（预案制定、演练实操制度）等方面，做到规范化、流程化管理。</w:t>
      </w:r>
    </w:p>
    <w:p w14:paraId="22B682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2.各类船闸应严格按照有关规定启闭闸门，放行并管理运行船只。</w:t>
      </w:r>
    </w:p>
    <w:p w14:paraId="22B682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3.应积极配合</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开展相关综保工程协调、设施改善工程实施及其他工作。</w:t>
      </w:r>
    </w:p>
    <w:p w14:paraId="22B682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4.按养护要求、标准规范，每年对养护运行情况进行一次全面自评，年终提交一份年度自评报告。</w:t>
      </w:r>
    </w:p>
    <w:bookmarkEnd w:id="55"/>
    <w:p w14:paraId="22B68269">
      <w:pPr>
        <w:autoSpaceDE w:val="0"/>
        <w:autoSpaceDN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、商务要求</w:t>
      </w:r>
    </w:p>
    <w:p w14:paraId="22B6826A">
      <w:pPr>
        <w:autoSpaceDE w:val="0"/>
        <w:autoSpaceDN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（一）报价要求</w:t>
      </w:r>
    </w:p>
    <w:p w14:paraId="22B6826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按招标文件规定的质量要求，结合作业地段实际和企业自身实力自主报价，并将涉及到的费用按单项列出清单。</w:t>
      </w:r>
    </w:p>
    <w:p w14:paraId="22B682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投标报价包括工资总额、维护费用、个案费用（绿化保维、硬化保维、航标保维）。其中运行能耗费用不计入投标报价，合同履约中按实结算；高配检测由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负责，不计入本次招标范围。</w:t>
      </w:r>
    </w:p>
    <w:p w14:paraId="22B682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综合考虑作业成本经费（含人员工资、材料、养护工具、设备配置、车辆、船只运行成本等），防汛防台、抗雪防冻、违法违章事件的劝阻和跟踪、突发事件应急处理及重大活动保障等涉及应急抢险和管理的相关费用，闸站管养范围内的警示牌、告示牌、水尺、消防器材、救生等设施维护、维修、零配件更换及缺补的相关费用（现场设施、设备情况由投标人自行现场踏勘），合理利润及法规要求涉及的保障费用。</w:t>
      </w:r>
    </w:p>
    <w:p w14:paraId="22B682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人员工资不得低于杭州市劳动保障部门规定的最低工资标准，必须落实职工劳保福利待遇，为职工缴纳社会保险费（养老保险、医疗保险、失业保险、工伤保险和生育保险）与住房公积金，保障职工休息休假权利，否则评标委员可以认为低于成本价恶性竞争而判定为无效标。</w:t>
      </w:r>
    </w:p>
    <w:p w14:paraId="22B682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其它费用处理：招标文件未列明，而投标人认为必需的费用也需列入报价，并在报价明细中的备注栏内进行合理性说明。</w:t>
      </w:r>
    </w:p>
    <w:p w14:paraId="22B682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投标货币：投标文件中价格全部采用人民币报价。报价应是唯一的,采购人将不接受有选择的报价。</w:t>
      </w:r>
    </w:p>
    <w:p w14:paraId="22B68271">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（二）签订合同</w:t>
      </w:r>
    </w:p>
    <w:p w14:paraId="22B68272">
      <w:pPr>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本项目合同</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为杭州市城市水设施和河道保护管理中心，</w:t>
      </w:r>
      <w:r>
        <w:rPr>
          <w:rFonts w:hint="eastAsia" w:ascii="仿宋" w:hAnsi="仿宋" w:eastAsia="仿宋" w:cs="仿宋"/>
          <w:color w:val="auto"/>
          <w:kern w:val="0"/>
          <w:sz w:val="24"/>
          <w:highlight w:val="none"/>
        </w:rPr>
        <w:t>合同款由</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支付给</w:t>
      </w:r>
      <w:r>
        <w:rPr>
          <w:rFonts w:hint="eastAsia" w:ascii="仿宋" w:hAnsi="仿宋" w:eastAsia="仿宋" w:cs="仿宋"/>
          <w:color w:val="auto"/>
          <w:kern w:val="0"/>
          <w:sz w:val="24"/>
          <w:highlight w:val="none"/>
          <w:lang w:eastAsia="zh-CN"/>
        </w:rPr>
        <w:t>中标单位</w:t>
      </w:r>
      <w:r>
        <w:rPr>
          <w:rFonts w:hint="eastAsia" w:ascii="仿宋" w:hAnsi="仿宋" w:eastAsia="仿宋" w:cs="仿宋"/>
          <w:color w:val="auto"/>
          <w:kern w:val="0"/>
          <w:sz w:val="24"/>
          <w:highlight w:val="none"/>
        </w:rPr>
        <w:t>。</w:t>
      </w:r>
    </w:p>
    <w:p w14:paraId="22B68273">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（三）履约保证金交纳</w:t>
      </w:r>
    </w:p>
    <w:p w14:paraId="22B68274">
      <w:pPr>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按《第五部分 拟签订的合同文本》规定。</w:t>
      </w:r>
    </w:p>
    <w:p w14:paraId="22B68275">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（四）付款条件</w:t>
      </w:r>
    </w:p>
    <w:p w14:paraId="22B68276">
      <w:pPr>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按《第五部分 拟签订的合同文本》规定。</w:t>
      </w:r>
    </w:p>
    <w:p w14:paraId="22B68277">
      <w:pPr>
        <w:autoSpaceDE w:val="0"/>
        <w:autoSpaceDN w:val="0"/>
        <w:spacing w:line="360" w:lineRule="auto"/>
        <w:ind w:firstLine="482" w:firstLineChars="200"/>
        <w:jc w:val="left"/>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val="en-US" w:eastAsia="zh-CN" w:bidi="ar"/>
        </w:rPr>
        <w:t>九</w:t>
      </w:r>
      <w:r>
        <w:rPr>
          <w:rFonts w:hint="eastAsia" w:ascii="仿宋" w:hAnsi="仿宋" w:eastAsia="仿宋" w:cs="仿宋"/>
          <w:b/>
          <w:bCs/>
          <w:color w:val="auto"/>
          <w:kern w:val="0"/>
          <w:sz w:val="24"/>
          <w:highlight w:val="none"/>
          <w:lang w:val="zh-CN" w:bidi="ar"/>
        </w:rPr>
        <w:t>、联合体投标要求</w:t>
      </w:r>
    </w:p>
    <w:p w14:paraId="22B68278">
      <w:pPr>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若联合体投标的，联合体成员应根据联合协议中相应承担的工作内容、合同份额进行各自配备相应的作业人员、工具及设施设备。牵头人合同份额不得少于50%，项目负责人由牵头人派遣。</w:t>
      </w:r>
    </w:p>
    <w:p w14:paraId="22B68279">
      <w:pPr>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合体各成员的分工、费用收取、发票开具等事项：联合体各成员分工承担的工作内容以联合协议书为准，若联合协议书分工存在不明确事项的，则签订本项目合同前予以明确。合同款项采购人直接支付给联合体牵头人，即发票由牵头人开具。</w:t>
      </w:r>
    </w:p>
    <w:p w14:paraId="22B6827A">
      <w:pPr>
        <w:autoSpaceDE w:val="0"/>
        <w:autoSpaceDN w:val="0"/>
        <w:spacing w:line="360" w:lineRule="auto"/>
        <w:ind w:firstLine="482" w:firstLineChars="200"/>
        <w:jc w:val="left"/>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val="en-US" w:eastAsia="zh-CN" w:bidi="ar"/>
        </w:rPr>
        <w:t>十</w:t>
      </w:r>
      <w:r>
        <w:rPr>
          <w:rFonts w:hint="eastAsia" w:ascii="仿宋" w:hAnsi="仿宋" w:eastAsia="仿宋" w:cs="仿宋"/>
          <w:b/>
          <w:bCs/>
          <w:color w:val="auto"/>
          <w:kern w:val="0"/>
          <w:sz w:val="24"/>
          <w:highlight w:val="none"/>
          <w:lang w:bidi="ar"/>
        </w:rPr>
        <w:t>、分包要求</w:t>
      </w:r>
    </w:p>
    <w:p w14:paraId="22B6827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根据招标文件的规定和采购项目的实际情况，拟将项目的非主体、非关键性的检测工作分包的，应当在投标文件中载明分包承担主体，分包承担主体应当具备相应能力且不得再次分包（若非主体、非关键性工作已由联合体成员承担的，则不允许分包）。</w:t>
      </w:r>
    </w:p>
    <w:p w14:paraId="22B6827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分包单位根据分包工作协议内容相应承担的工作内容、合同份额进行各自配备相应人员和设施设备，分包份额累计额不得超过总包单位。▲投标人须在投标文件中提供分包意向协议，分包单位为中小企业的应在中小企业声明函中声明。(</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本项目专门面向中小企业采购，分包单位必须为中小企业。)</w:t>
      </w:r>
    </w:p>
    <w:p w14:paraId="22B6827D">
      <w:pP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检测工作应由具有相应检测资质单位承担，投标人无相应检测资质的，则必须分包与具有相应检测资质单位，并在投标文件中提供分包意向协议。合同签订后，中标人需将分包单位相应信息报</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确认。若分包单位有变更的，分包单位必须为中小企业且具备相应服务能力。</w:t>
      </w:r>
      <w:bookmarkEnd w:id="56"/>
      <w:bookmarkEnd w:id="57"/>
      <w:bookmarkEnd w:id="58"/>
      <w:bookmarkEnd w:id="59"/>
      <w:bookmarkStart w:id="66" w:name="_Toc14411"/>
      <w:bookmarkStart w:id="67" w:name="_Toc27989"/>
      <w:r>
        <w:rPr>
          <w:rFonts w:hint="eastAsia" w:ascii="仿宋" w:hAnsi="仿宋" w:eastAsia="仿宋" w:cs="仿宋"/>
          <w:color w:val="auto"/>
          <w:kern w:val="0"/>
          <w:sz w:val="24"/>
          <w:highlight w:val="none"/>
        </w:rPr>
        <w:br w:type="page"/>
      </w:r>
    </w:p>
    <w:p w14:paraId="22B6827E">
      <w:pPr>
        <w:wordWrap w:val="0"/>
        <w:snapToGrid w:val="0"/>
        <w:spacing w:line="360" w:lineRule="auto"/>
        <w:ind w:firstLine="723"/>
        <w:jc w:val="center"/>
        <w:outlineLvl w:val="0"/>
        <w:rPr>
          <w:rFonts w:hint="eastAsia" w:ascii="仿宋" w:hAnsi="仿宋" w:eastAsia="仿宋" w:cs="仿宋"/>
          <w:b/>
          <w:color w:val="auto"/>
          <w:sz w:val="36"/>
          <w:szCs w:val="36"/>
          <w:highlight w:val="none"/>
        </w:rPr>
      </w:pPr>
      <w:bookmarkStart w:id="68" w:name="_Toc13545"/>
      <w:bookmarkStart w:id="69" w:name="_Toc13908"/>
      <w:r>
        <w:rPr>
          <w:rFonts w:hint="eastAsia" w:ascii="仿宋" w:hAnsi="仿宋" w:eastAsia="仿宋" w:cs="仿宋"/>
          <w:b/>
          <w:color w:val="auto"/>
          <w:sz w:val="36"/>
          <w:szCs w:val="36"/>
          <w:highlight w:val="none"/>
        </w:rPr>
        <w:t xml:space="preserve">第四部分 </w:t>
      </w:r>
      <w:bookmarkStart w:id="70" w:name="_Toc184313240"/>
      <w:bookmarkEnd w:id="70"/>
      <w:bookmarkStart w:id="71" w:name="_Toc184308090"/>
      <w:bookmarkEnd w:id="71"/>
      <w:bookmarkStart w:id="72" w:name="_Toc184308038"/>
      <w:bookmarkEnd w:id="72"/>
      <w:bookmarkStart w:id="73" w:name="_Toc184313275"/>
      <w:bookmarkEnd w:id="73"/>
      <w:bookmarkStart w:id="74" w:name="_Toc184310313"/>
      <w:bookmarkEnd w:id="74"/>
      <w:bookmarkStart w:id="75" w:name="_Toc184314424"/>
      <w:bookmarkEnd w:id="75"/>
      <w:bookmarkStart w:id="76" w:name="_Toc184308096"/>
      <w:bookmarkEnd w:id="76"/>
      <w:bookmarkStart w:id="77" w:name="_Toc184310339"/>
      <w:bookmarkEnd w:id="77"/>
      <w:bookmarkStart w:id="78" w:name="_Toc184313274"/>
      <w:bookmarkEnd w:id="78"/>
      <w:bookmarkStart w:id="79" w:name="_Toc184314448"/>
      <w:bookmarkEnd w:id="79"/>
      <w:bookmarkStart w:id="80" w:name="_Toc184313266"/>
      <w:bookmarkEnd w:id="80"/>
      <w:bookmarkStart w:id="81" w:name="_Toc184308040"/>
      <w:bookmarkEnd w:id="81"/>
      <w:bookmarkStart w:id="82" w:name="_Toc184310328"/>
      <w:bookmarkEnd w:id="82"/>
      <w:bookmarkStart w:id="83" w:name="_Toc184314479"/>
      <w:bookmarkEnd w:id="83"/>
      <w:bookmarkStart w:id="84" w:name="_Toc184314442"/>
      <w:bookmarkEnd w:id="84"/>
      <w:bookmarkStart w:id="85" w:name="_Toc184308037"/>
      <w:bookmarkEnd w:id="85"/>
      <w:bookmarkStart w:id="86" w:name="_Toc184314455"/>
      <w:bookmarkEnd w:id="86"/>
      <w:bookmarkStart w:id="87" w:name="_Toc184312120"/>
      <w:bookmarkEnd w:id="87"/>
      <w:bookmarkStart w:id="88" w:name="_Toc184310340"/>
      <w:bookmarkEnd w:id="88"/>
      <w:bookmarkStart w:id="89" w:name="_Toc184314454"/>
      <w:bookmarkEnd w:id="89"/>
      <w:bookmarkStart w:id="90" w:name="_Toc184308043"/>
      <w:bookmarkEnd w:id="90"/>
      <w:bookmarkStart w:id="91" w:name="_Toc184308046"/>
      <w:bookmarkEnd w:id="91"/>
      <w:bookmarkStart w:id="92" w:name="_Toc184310281"/>
      <w:bookmarkEnd w:id="92"/>
      <w:bookmarkStart w:id="93" w:name="_Toc184312131"/>
      <w:bookmarkEnd w:id="93"/>
      <w:bookmarkStart w:id="94" w:name="_Toc184308039"/>
      <w:bookmarkEnd w:id="94"/>
      <w:bookmarkStart w:id="95" w:name="_Toc184314452"/>
      <w:bookmarkEnd w:id="95"/>
      <w:bookmarkStart w:id="96" w:name="_Toc184313296"/>
      <w:bookmarkEnd w:id="96"/>
      <w:bookmarkStart w:id="97" w:name="_Toc184310280"/>
      <w:bookmarkEnd w:id="97"/>
      <w:bookmarkStart w:id="98" w:name="_Toc184312083"/>
      <w:bookmarkEnd w:id="98"/>
      <w:bookmarkStart w:id="99" w:name="_Toc184312076"/>
      <w:bookmarkEnd w:id="99"/>
      <w:bookmarkStart w:id="100" w:name="_Toc184308105"/>
      <w:bookmarkEnd w:id="100"/>
      <w:bookmarkStart w:id="101" w:name="_Toc184313267"/>
      <w:bookmarkEnd w:id="101"/>
      <w:bookmarkStart w:id="102" w:name="_Toc184308063"/>
      <w:bookmarkEnd w:id="102"/>
      <w:bookmarkStart w:id="103" w:name="_Toc184313283"/>
      <w:bookmarkEnd w:id="103"/>
      <w:bookmarkStart w:id="104" w:name="_Toc184310323"/>
      <w:bookmarkEnd w:id="104"/>
      <w:bookmarkStart w:id="105" w:name="_Toc184310306"/>
      <w:bookmarkEnd w:id="105"/>
      <w:bookmarkStart w:id="106" w:name="_Toc184314415"/>
      <w:bookmarkEnd w:id="106"/>
      <w:bookmarkStart w:id="107" w:name="_Toc184314476"/>
      <w:bookmarkEnd w:id="107"/>
      <w:bookmarkStart w:id="108" w:name="_Toc184310336"/>
      <w:bookmarkEnd w:id="108"/>
      <w:bookmarkStart w:id="109" w:name="_Toc184314457"/>
      <w:bookmarkEnd w:id="109"/>
      <w:bookmarkStart w:id="110" w:name="_Toc184313302"/>
      <w:bookmarkEnd w:id="110"/>
      <w:bookmarkStart w:id="111" w:name="_Toc184314472"/>
      <w:bookmarkEnd w:id="111"/>
      <w:bookmarkStart w:id="112" w:name="_Toc184310342"/>
      <w:bookmarkEnd w:id="112"/>
      <w:bookmarkStart w:id="113" w:name="_Toc184310274"/>
      <w:bookmarkEnd w:id="113"/>
      <w:bookmarkStart w:id="114" w:name="_Toc184310294"/>
      <w:bookmarkEnd w:id="114"/>
      <w:bookmarkStart w:id="115" w:name="_Toc184313245"/>
      <w:bookmarkEnd w:id="115"/>
      <w:bookmarkStart w:id="116" w:name="_Toc184310312"/>
      <w:bookmarkEnd w:id="116"/>
      <w:bookmarkStart w:id="117" w:name="_Toc184314426"/>
      <w:bookmarkEnd w:id="117"/>
      <w:bookmarkStart w:id="118" w:name="_Toc184312106"/>
      <w:bookmarkEnd w:id="118"/>
      <w:bookmarkStart w:id="119" w:name="_Toc184312088"/>
      <w:bookmarkEnd w:id="119"/>
      <w:bookmarkStart w:id="120" w:name="_Toc184308065"/>
      <w:bookmarkEnd w:id="120"/>
      <w:bookmarkStart w:id="121" w:name="_Toc184312075"/>
      <w:bookmarkEnd w:id="121"/>
      <w:bookmarkStart w:id="122" w:name="_Toc184313256"/>
      <w:bookmarkEnd w:id="122"/>
      <w:bookmarkStart w:id="123" w:name="_Toc184310282"/>
      <w:bookmarkEnd w:id="123"/>
      <w:bookmarkStart w:id="124" w:name="_Toc184314463"/>
      <w:bookmarkEnd w:id="124"/>
      <w:bookmarkStart w:id="125" w:name="_Toc184308104"/>
      <w:bookmarkEnd w:id="125"/>
      <w:bookmarkStart w:id="126" w:name="_Toc184308102"/>
      <w:bookmarkEnd w:id="126"/>
      <w:bookmarkStart w:id="127" w:name="_Toc184312081"/>
      <w:bookmarkEnd w:id="127"/>
      <w:bookmarkStart w:id="128" w:name="_Toc184312133"/>
      <w:bookmarkEnd w:id="128"/>
      <w:bookmarkStart w:id="129" w:name="_Toc184313244"/>
      <w:bookmarkEnd w:id="129"/>
      <w:bookmarkStart w:id="130" w:name="_Toc184314440"/>
      <w:bookmarkEnd w:id="130"/>
      <w:bookmarkStart w:id="131" w:name="_Toc184314482"/>
      <w:bookmarkEnd w:id="131"/>
      <w:bookmarkStart w:id="132" w:name="_Toc184313305"/>
      <w:bookmarkEnd w:id="132"/>
      <w:bookmarkStart w:id="133" w:name="_Toc184313254"/>
      <w:bookmarkEnd w:id="133"/>
      <w:bookmarkStart w:id="134" w:name="_Toc184312102"/>
      <w:bookmarkEnd w:id="134"/>
      <w:bookmarkStart w:id="135" w:name="_Toc184312080"/>
      <w:bookmarkEnd w:id="135"/>
      <w:bookmarkStart w:id="136" w:name="_Toc184314439"/>
      <w:bookmarkEnd w:id="136"/>
      <w:bookmarkStart w:id="137" w:name="_Toc184312086"/>
      <w:bookmarkEnd w:id="137"/>
      <w:bookmarkStart w:id="138" w:name="_Toc184308045"/>
      <w:bookmarkEnd w:id="138"/>
      <w:bookmarkStart w:id="139" w:name="_Toc184310275"/>
      <w:bookmarkEnd w:id="139"/>
      <w:bookmarkStart w:id="140" w:name="_Toc184310293"/>
      <w:bookmarkEnd w:id="140"/>
      <w:bookmarkStart w:id="141" w:name="_Toc184312074"/>
      <w:bookmarkEnd w:id="141"/>
      <w:bookmarkStart w:id="142" w:name="_Toc184308070"/>
      <w:bookmarkEnd w:id="142"/>
      <w:bookmarkStart w:id="143" w:name="_Toc184314444"/>
      <w:bookmarkEnd w:id="143"/>
      <w:bookmarkStart w:id="144" w:name="_Toc184312069"/>
      <w:bookmarkEnd w:id="144"/>
      <w:bookmarkStart w:id="145" w:name="_Toc184313238"/>
      <w:bookmarkEnd w:id="145"/>
      <w:bookmarkStart w:id="146" w:name="_Toc184313304"/>
      <w:bookmarkEnd w:id="146"/>
      <w:bookmarkStart w:id="147" w:name="_Toc184313309"/>
      <w:bookmarkEnd w:id="147"/>
      <w:bookmarkStart w:id="148" w:name="_Toc184313308"/>
      <w:bookmarkEnd w:id="148"/>
      <w:bookmarkStart w:id="149" w:name="_Toc184312105"/>
      <w:bookmarkEnd w:id="149"/>
      <w:bookmarkStart w:id="150" w:name="_Toc184312084"/>
      <w:bookmarkEnd w:id="150"/>
      <w:bookmarkStart w:id="151" w:name="_Toc184312135"/>
      <w:bookmarkEnd w:id="151"/>
      <w:bookmarkStart w:id="152" w:name="_Toc184314437"/>
      <w:bookmarkEnd w:id="152"/>
      <w:bookmarkStart w:id="153" w:name="_Toc184314432"/>
      <w:bookmarkEnd w:id="153"/>
      <w:bookmarkStart w:id="154" w:name="_Toc184312136"/>
      <w:bookmarkEnd w:id="154"/>
      <w:bookmarkStart w:id="155" w:name="_Toc184313243"/>
      <w:bookmarkEnd w:id="155"/>
      <w:bookmarkStart w:id="156" w:name="_Toc184308082"/>
      <w:bookmarkEnd w:id="156"/>
      <w:bookmarkStart w:id="157" w:name="_Toc184312107"/>
      <w:bookmarkEnd w:id="157"/>
      <w:bookmarkStart w:id="158" w:name="_Toc184314433"/>
      <w:bookmarkEnd w:id="158"/>
      <w:bookmarkStart w:id="159" w:name="_Toc184313247"/>
      <w:bookmarkEnd w:id="159"/>
      <w:bookmarkStart w:id="160" w:name="_Toc184308099"/>
      <w:bookmarkEnd w:id="160"/>
      <w:bookmarkStart w:id="161" w:name="_Toc184313290"/>
      <w:bookmarkEnd w:id="161"/>
      <w:bookmarkStart w:id="162" w:name="_Toc184308108"/>
      <w:bookmarkEnd w:id="162"/>
      <w:bookmarkStart w:id="163" w:name="_Toc184312109"/>
      <w:bookmarkEnd w:id="163"/>
      <w:bookmarkStart w:id="164" w:name="_Toc184308089"/>
      <w:bookmarkEnd w:id="164"/>
      <w:bookmarkStart w:id="165" w:name="_Toc184312128"/>
      <w:bookmarkEnd w:id="165"/>
      <w:bookmarkStart w:id="166" w:name="_Toc184310296"/>
      <w:bookmarkEnd w:id="166"/>
      <w:bookmarkStart w:id="167" w:name="_Toc184313261"/>
      <w:bookmarkEnd w:id="167"/>
      <w:bookmarkStart w:id="168" w:name="_Toc184313251"/>
      <w:bookmarkEnd w:id="168"/>
      <w:bookmarkStart w:id="169" w:name="_Toc184312104"/>
      <w:bookmarkEnd w:id="169"/>
      <w:bookmarkStart w:id="170" w:name="_Toc184314450"/>
      <w:bookmarkEnd w:id="170"/>
      <w:bookmarkStart w:id="171" w:name="_Toc184308051"/>
      <w:bookmarkEnd w:id="171"/>
      <w:bookmarkStart w:id="172" w:name="_Toc184312115"/>
      <w:bookmarkEnd w:id="172"/>
      <w:bookmarkStart w:id="173" w:name="_Toc184310272"/>
      <w:bookmarkEnd w:id="173"/>
      <w:bookmarkStart w:id="174" w:name="_Toc184310300"/>
      <w:bookmarkEnd w:id="174"/>
      <w:bookmarkStart w:id="175" w:name="_Toc184314438"/>
      <w:bookmarkEnd w:id="175"/>
      <w:bookmarkStart w:id="176" w:name="_Toc184312139"/>
      <w:bookmarkEnd w:id="176"/>
      <w:bookmarkStart w:id="177" w:name="_Toc184308072"/>
      <w:bookmarkEnd w:id="177"/>
      <w:bookmarkStart w:id="178" w:name="_Toc184308075"/>
      <w:bookmarkEnd w:id="178"/>
      <w:bookmarkStart w:id="179" w:name="_Toc184308093"/>
      <w:bookmarkEnd w:id="179"/>
      <w:bookmarkStart w:id="180" w:name="_Toc184313297"/>
      <w:bookmarkEnd w:id="180"/>
      <w:bookmarkStart w:id="181" w:name="_Toc184308071"/>
      <w:bookmarkEnd w:id="181"/>
      <w:bookmarkStart w:id="182" w:name="_Toc184313277"/>
      <w:bookmarkEnd w:id="182"/>
      <w:bookmarkStart w:id="183" w:name="_Toc184313293"/>
      <w:bookmarkEnd w:id="183"/>
      <w:bookmarkStart w:id="184" w:name="_Toc184313298"/>
      <w:bookmarkEnd w:id="184"/>
      <w:bookmarkStart w:id="185" w:name="_Toc184310299"/>
      <w:bookmarkEnd w:id="185"/>
      <w:bookmarkStart w:id="186" w:name="_Toc184312137"/>
      <w:bookmarkEnd w:id="186"/>
      <w:bookmarkStart w:id="187" w:name="_Toc184308066"/>
      <w:bookmarkEnd w:id="187"/>
      <w:bookmarkStart w:id="188" w:name="_Toc184312092"/>
      <w:bookmarkEnd w:id="188"/>
      <w:bookmarkStart w:id="189" w:name="_Toc184314462"/>
      <w:bookmarkEnd w:id="189"/>
      <w:bookmarkStart w:id="190" w:name="_Toc184310285"/>
      <w:bookmarkEnd w:id="190"/>
      <w:bookmarkStart w:id="191" w:name="_Toc184312093"/>
      <w:bookmarkEnd w:id="191"/>
      <w:bookmarkStart w:id="192" w:name="_Toc184314480"/>
      <w:bookmarkEnd w:id="192"/>
      <w:bookmarkStart w:id="193" w:name="_Toc184310286"/>
      <w:bookmarkEnd w:id="193"/>
      <w:bookmarkStart w:id="194" w:name="_Toc184310335"/>
      <w:bookmarkEnd w:id="194"/>
      <w:bookmarkStart w:id="195" w:name="_Toc184314423"/>
      <w:bookmarkEnd w:id="195"/>
      <w:bookmarkStart w:id="196" w:name="_Toc184310309"/>
      <w:bookmarkEnd w:id="196"/>
      <w:bookmarkStart w:id="197" w:name="_Toc184310283"/>
      <w:bookmarkEnd w:id="197"/>
      <w:bookmarkStart w:id="198" w:name="_Toc184312122"/>
      <w:bookmarkEnd w:id="198"/>
      <w:bookmarkStart w:id="199" w:name="_Toc184314466"/>
      <w:bookmarkEnd w:id="199"/>
      <w:bookmarkStart w:id="200" w:name="_Toc184308088"/>
      <w:bookmarkEnd w:id="200"/>
      <w:bookmarkStart w:id="201" w:name="_Toc184314429"/>
      <w:bookmarkEnd w:id="201"/>
      <w:bookmarkStart w:id="202" w:name="_Toc184312087"/>
      <w:bookmarkEnd w:id="202"/>
      <w:bookmarkStart w:id="203" w:name="_Toc184308054"/>
      <w:bookmarkEnd w:id="203"/>
      <w:bookmarkStart w:id="204" w:name="_Toc184312077"/>
      <w:bookmarkEnd w:id="204"/>
      <w:bookmarkStart w:id="205" w:name="_Toc184310302"/>
      <w:bookmarkEnd w:id="205"/>
      <w:bookmarkStart w:id="206" w:name="_Toc184312082"/>
      <w:bookmarkEnd w:id="206"/>
      <w:bookmarkStart w:id="207" w:name="_Toc184308041"/>
      <w:bookmarkEnd w:id="207"/>
      <w:bookmarkStart w:id="208" w:name="_Toc184308073"/>
      <w:bookmarkEnd w:id="208"/>
      <w:bookmarkStart w:id="209" w:name="_Toc184313295"/>
      <w:bookmarkEnd w:id="209"/>
      <w:bookmarkStart w:id="210" w:name="_Toc184310307"/>
      <w:bookmarkEnd w:id="210"/>
      <w:bookmarkStart w:id="211" w:name="_Toc184313300"/>
      <w:bookmarkEnd w:id="211"/>
      <w:bookmarkStart w:id="212" w:name="_Toc184312070"/>
      <w:bookmarkEnd w:id="212"/>
      <w:bookmarkStart w:id="213" w:name="_Toc184314422"/>
      <w:bookmarkEnd w:id="213"/>
      <w:bookmarkStart w:id="214" w:name="_Toc184314434"/>
      <w:bookmarkEnd w:id="214"/>
      <w:bookmarkStart w:id="215" w:name="_Toc184314411"/>
      <w:bookmarkEnd w:id="215"/>
      <w:bookmarkStart w:id="216" w:name="_Toc184314430"/>
      <w:bookmarkEnd w:id="216"/>
      <w:bookmarkStart w:id="217" w:name="_Toc184310310"/>
      <w:bookmarkEnd w:id="217"/>
      <w:bookmarkStart w:id="218" w:name="_Toc184310284"/>
      <w:bookmarkEnd w:id="218"/>
      <w:bookmarkStart w:id="219" w:name="_Toc184313262"/>
      <w:bookmarkEnd w:id="219"/>
      <w:bookmarkStart w:id="220" w:name="_Toc184312097"/>
      <w:bookmarkEnd w:id="220"/>
      <w:bookmarkStart w:id="221" w:name="_Toc184310325"/>
      <w:bookmarkEnd w:id="221"/>
      <w:bookmarkStart w:id="222" w:name="_Toc184313246"/>
      <w:bookmarkEnd w:id="222"/>
      <w:bookmarkStart w:id="223" w:name="_Toc184308081"/>
      <w:bookmarkEnd w:id="223"/>
      <w:bookmarkStart w:id="224" w:name="_Toc184308080"/>
      <w:bookmarkEnd w:id="224"/>
      <w:bookmarkStart w:id="225" w:name="_Toc184313287"/>
      <w:bookmarkEnd w:id="225"/>
      <w:bookmarkStart w:id="226" w:name="_Toc184313282"/>
      <w:bookmarkEnd w:id="226"/>
      <w:bookmarkStart w:id="227" w:name="_Toc184310324"/>
      <w:bookmarkEnd w:id="227"/>
      <w:bookmarkStart w:id="228" w:name="_Toc184308062"/>
      <w:bookmarkEnd w:id="228"/>
      <w:bookmarkStart w:id="229" w:name="_Toc184312100"/>
      <w:bookmarkEnd w:id="229"/>
      <w:bookmarkStart w:id="230" w:name="_Toc184308101"/>
      <w:bookmarkEnd w:id="230"/>
      <w:bookmarkStart w:id="231" w:name="_Toc184312117"/>
      <w:bookmarkEnd w:id="231"/>
      <w:bookmarkStart w:id="232" w:name="_Toc184310289"/>
      <w:bookmarkEnd w:id="232"/>
      <w:bookmarkStart w:id="233" w:name="_Toc184313280"/>
      <w:bookmarkEnd w:id="233"/>
      <w:bookmarkStart w:id="234" w:name="_Toc184313299"/>
      <w:bookmarkEnd w:id="234"/>
      <w:bookmarkStart w:id="235" w:name="_Toc184308074"/>
      <w:bookmarkEnd w:id="235"/>
      <w:bookmarkStart w:id="236" w:name="_Toc184313285"/>
      <w:bookmarkEnd w:id="236"/>
      <w:bookmarkStart w:id="237" w:name="_Toc184314474"/>
      <w:bookmarkEnd w:id="237"/>
      <w:bookmarkStart w:id="238" w:name="_Toc184313272"/>
      <w:bookmarkEnd w:id="238"/>
      <w:bookmarkStart w:id="239" w:name="_Toc184314449"/>
      <w:bookmarkEnd w:id="239"/>
      <w:bookmarkStart w:id="240" w:name="_Toc184314470"/>
      <w:bookmarkEnd w:id="240"/>
      <w:bookmarkStart w:id="241" w:name="_Toc184312099"/>
      <w:bookmarkEnd w:id="241"/>
      <w:bookmarkStart w:id="242" w:name="_Toc184310273"/>
      <w:bookmarkEnd w:id="242"/>
      <w:bookmarkStart w:id="243" w:name="_Toc184314421"/>
      <w:bookmarkEnd w:id="243"/>
      <w:bookmarkStart w:id="244" w:name="_Toc184314417"/>
      <w:bookmarkEnd w:id="244"/>
      <w:bookmarkStart w:id="245" w:name="_Toc184313255"/>
      <w:bookmarkEnd w:id="245"/>
      <w:bookmarkStart w:id="246" w:name="_Toc184310315"/>
      <w:bookmarkEnd w:id="246"/>
      <w:bookmarkStart w:id="247" w:name="_Toc184313257"/>
      <w:bookmarkEnd w:id="247"/>
      <w:bookmarkStart w:id="248" w:name="_Toc184308048"/>
      <w:bookmarkEnd w:id="248"/>
      <w:bookmarkStart w:id="249" w:name="_Toc184308078"/>
      <w:bookmarkEnd w:id="249"/>
      <w:bookmarkStart w:id="250" w:name="_Toc184310319"/>
      <w:bookmarkEnd w:id="250"/>
      <w:bookmarkStart w:id="251" w:name="_Toc184310337"/>
      <w:bookmarkEnd w:id="251"/>
      <w:bookmarkStart w:id="252" w:name="_Toc184313289"/>
      <w:bookmarkEnd w:id="252"/>
      <w:bookmarkStart w:id="253" w:name="_Toc184310314"/>
      <w:bookmarkEnd w:id="253"/>
      <w:bookmarkStart w:id="254" w:name="_Toc184313252"/>
      <w:bookmarkEnd w:id="254"/>
      <w:bookmarkStart w:id="255" w:name="_Toc184313286"/>
      <w:bookmarkEnd w:id="255"/>
      <w:bookmarkStart w:id="256" w:name="_Toc184310301"/>
      <w:bookmarkEnd w:id="256"/>
      <w:bookmarkStart w:id="257" w:name="_Toc184308052"/>
      <w:bookmarkEnd w:id="257"/>
      <w:bookmarkStart w:id="258" w:name="_Toc184310303"/>
      <w:bookmarkEnd w:id="258"/>
      <w:bookmarkStart w:id="259" w:name="_Toc184314478"/>
      <w:bookmarkEnd w:id="259"/>
      <w:bookmarkStart w:id="260" w:name="_Toc184314468"/>
      <w:bookmarkEnd w:id="260"/>
      <w:bookmarkStart w:id="261" w:name="_Toc184314412"/>
      <w:bookmarkEnd w:id="261"/>
      <w:bookmarkStart w:id="262" w:name="_Toc184314464"/>
      <w:bookmarkEnd w:id="262"/>
      <w:bookmarkStart w:id="263" w:name="_Toc184314469"/>
      <w:bookmarkEnd w:id="263"/>
      <w:bookmarkStart w:id="264" w:name="_Toc184308083"/>
      <w:bookmarkEnd w:id="264"/>
      <w:bookmarkStart w:id="265" w:name="_Toc184312095"/>
      <w:bookmarkEnd w:id="265"/>
      <w:bookmarkStart w:id="266" w:name="_Toc184308077"/>
      <w:bookmarkEnd w:id="266"/>
      <w:bookmarkStart w:id="267" w:name="_Toc184308044"/>
      <w:bookmarkEnd w:id="267"/>
      <w:bookmarkStart w:id="268" w:name="_Toc184308069"/>
      <w:bookmarkEnd w:id="268"/>
      <w:bookmarkStart w:id="269" w:name="_Toc184308068"/>
      <w:bookmarkEnd w:id="269"/>
      <w:bookmarkStart w:id="270" w:name="_Toc184308056"/>
      <w:bookmarkEnd w:id="270"/>
      <w:bookmarkStart w:id="271" w:name="_Toc184310326"/>
      <w:bookmarkEnd w:id="271"/>
      <w:bookmarkStart w:id="272" w:name="_Toc184310316"/>
      <w:bookmarkEnd w:id="272"/>
      <w:bookmarkStart w:id="273" w:name="_Toc184308042"/>
      <w:bookmarkEnd w:id="273"/>
      <w:bookmarkStart w:id="274" w:name="_Toc184313303"/>
      <w:bookmarkEnd w:id="274"/>
      <w:bookmarkStart w:id="275" w:name="_Toc184313278"/>
      <w:bookmarkEnd w:id="275"/>
      <w:bookmarkStart w:id="276" w:name="_Toc184310327"/>
      <w:bookmarkEnd w:id="276"/>
      <w:bookmarkStart w:id="277" w:name="_Toc184312098"/>
      <w:bookmarkEnd w:id="277"/>
      <w:bookmarkStart w:id="278" w:name="_Toc184312111"/>
      <w:bookmarkEnd w:id="278"/>
      <w:bookmarkStart w:id="279" w:name="_Toc184308094"/>
      <w:bookmarkEnd w:id="279"/>
      <w:bookmarkStart w:id="280" w:name="_Toc184313265"/>
      <w:bookmarkEnd w:id="280"/>
      <w:bookmarkStart w:id="281" w:name="_Toc184314410"/>
      <w:bookmarkEnd w:id="281"/>
      <w:bookmarkStart w:id="282" w:name="_Toc184310330"/>
      <w:bookmarkEnd w:id="282"/>
      <w:bookmarkStart w:id="283" w:name="_Toc184313239"/>
      <w:bookmarkEnd w:id="283"/>
      <w:bookmarkStart w:id="284" w:name="_Toc184308047"/>
      <w:bookmarkEnd w:id="284"/>
      <w:bookmarkStart w:id="285" w:name="_Toc184313273"/>
      <w:bookmarkEnd w:id="285"/>
      <w:bookmarkStart w:id="286" w:name="_Toc184310334"/>
      <w:bookmarkEnd w:id="286"/>
      <w:bookmarkStart w:id="287" w:name="_Toc184314428"/>
      <w:bookmarkEnd w:id="287"/>
      <w:bookmarkStart w:id="288" w:name="_Toc184313253"/>
      <w:bookmarkEnd w:id="288"/>
      <w:bookmarkStart w:id="289" w:name="_Toc184312123"/>
      <w:bookmarkEnd w:id="289"/>
      <w:bookmarkStart w:id="290" w:name="_Toc184314425"/>
      <w:bookmarkEnd w:id="290"/>
      <w:bookmarkStart w:id="291" w:name="_Toc184308058"/>
      <w:bookmarkEnd w:id="291"/>
      <w:bookmarkStart w:id="292" w:name="_Toc184313263"/>
      <w:bookmarkEnd w:id="292"/>
      <w:bookmarkStart w:id="293" w:name="_Toc184308057"/>
      <w:bookmarkEnd w:id="293"/>
      <w:bookmarkStart w:id="294" w:name="_Toc184310321"/>
      <w:bookmarkEnd w:id="294"/>
      <w:bookmarkStart w:id="295" w:name="_Toc184312091"/>
      <w:bookmarkEnd w:id="295"/>
      <w:bookmarkStart w:id="296" w:name="_Toc184308087"/>
      <w:bookmarkEnd w:id="296"/>
      <w:bookmarkStart w:id="297" w:name="_Toc184314453"/>
      <w:bookmarkEnd w:id="297"/>
      <w:bookmarkStart w:id="298" w:name="_Toc184314413"/>
      <w:bookmarkEnd w:id="298"/>
      <w:bookmarkStart w:id="299" w:name="_Toc184308084"/>
      <w:bookmarkEnd w:id="299"/>
      <w:bookmarkStart w:id="300" w:name="_Toc184310343"/>
      <w:bookmarkEnd w:id="300"/>
      <w:bookmarkStart w:id="301" w:name="_Toc184310288"/>
      <w:bookmarkEnd w:id="301"/>
      <w:bookmarkStart w:id="302" w:name="_Toc184308079"/>
      <w:bookmarkEnd w:id="302"/>
      <w:bookmarkStart w:id="303" w:name="_Toc184312078"/>
      <w:bookmarkEnd w:id="303"/>
      <w:bookmarkStart w:id="304" w:name="_Toc184314446"/>
      <w:bookmarkEnd w:id="304"/>
      <w:bookmarkStart w:id="305" w:name="_Toc184308100"/>
      <w:bookmarkEnd w:id="305"/>
      <w:bookmarkStart w:id="306" w:name="_Toc184312126"/>
      <w:bookmarkEnd w:id="306"/>
      <w:bookmarkStart w:id="307" w:name="_Toc184314414"/>
      <w:bookmarkEnd w:id="307"/>
      <w:bookmarkStart w:id="308" w:name="_Toc184313292"/>
      <w:bookmarkEnd w:id="308"/>
      <w:bookmarkStart w:id="309" w:name="_Toc184310329"/>
      <w:bookmarkEnd w:id="309"/>
      <w:bookmarkStart w:id="310" w:name="_Toc184310298"/>
      <w:bookmarkEnd w:id="310"/>
      <w:bookmarkStart w:id="311" w:name="_Toc184313258"/>
      <w:bookmarkEnd w:id="311"/>
      <w:bookmarkStart w:id="312" w:name="_Toc184312110"/>
      <w:bookmarkEnd w:id="312"/>
      <w:bookmarkStart w:id="313" w:name="_Toc184312072"/>
      <w:bookmarkEnd w:id="313"/>
      <w:bookmarkStart w:id="314" w:name="_Toc184310279"/>
      <w:bookmarkEnd w:id="314"/>
      <w:bookmarkStart w:id="315" w:name="_Toc184312138"/>
      <w:bookmarkEnd w:id="315"/>
      <w:bookmarkStart w:id="316" w:name="_Toc184313259"/>
      <w:bookmarkEnd w:id="316"/>
      <w:bookmarkStart w:id="317" w:name="_Toc184314458"/>
      <w:bookmarkEnd w:id="317"/>
      <w:bookmarkStart w:id="318" w:name="_Toc184310295"/>
      <w:bookmarkEnd w:id="318"/>
      <w:bookmarkStart w:id="319" w:name="_Toc184314477"/>
      <w:bookmarkEnd w:id="319"/>
      <w:bookmarkStart w:id="320" w:name="_Toc184310291"/>
      <w:bookmarkEnd w:id="320"/>
      <w:bookmarkStart w:id="321" w:name="_Toc184308092"/>
      <w:bookmarkEnd w:id="321"/>
      <w:bookmarkStart w:id="322" w:name="_Toc184314467"/>
      <w:bookmarkEnd w:id="322"/>
      <w:bookmarkStart w:id="323" w:name="_Toc184312121"/>
      <w:bookmarkEnd w:id="323"/>
      <w:bookmarkStart w:id="324" w:name="_Toc184313279"/>
      <w:bookmarkEnd w:id="324"/>
      <w:bookmarkStart w:id="325" w:name="_Toc184314465"/>
      <w:bookmarkEnd w:id="325"/>
      <w:bookmarkStart w:id="326" w:name="_Toc184308086"/>
      <w:bookmarkEnd w:id="326"/>
      <w:bookmarkStart w:id="327" w:name="_Toc184313294"/>
      <w:bookmarkEnd w:id="327"/>
      <w:bookmarkStart w:id="328" w:name="_Toc184312103"/>
      <w:bookmarkEnd w:id="328"/>
      <w:bookmarkStart w:id="329" w:name="_Toc184308053"/>
      <w:bookmarkEnd w:id="329"/>
      <w:bookmarkStart w:id="330" w:name="_Toc184314435"/>
      <w:bookmarkEnd w:id="330"/>
      <w:bookmarkStart w:id="331" w:name="_Toc184314451"/>
      <w:bookmarkEnd w:id="331"/>
      <w:bookmarkStart w:id="332" w:name="_Toc184314441"/>
      <w:bookmarkEnd w:id="332"/>
      <w:bookmarkStart w:id="333" w:name="_Toc184314459"/>
      <w:bookmarkEnd w:id="333"/>
      <w:bookmarkStart w:id="334" w:name="_Toc184314456"/>
      <w:bookmarkEnd w:id="334"/>
      <w:bookmarkStart w:id="335" w:name="_Toc184313248"/>
      <w:bookmarkEnd w:id="335"/>
      <w:bookmarkStart w:id="336" w:name="_Toc184314443"/>
      <w:bookmarkEnd w:id="336"/>
      <w:bookmarkStart w:id="337" w:name="_Toc184308067"/>
      <w:bookmarkEnd w:id="337"/>
      <w:bookmarkStart w:id="338" w:name="_Toc184308055"/>
      <w:bookmarkEnd w:id="338"/>
      <w:bookmarkStart w:id="339" w:name="_Toc184314427"/>
      <w:bookmarkEnd w:id="339"/>
      <w:bookmarkStart w:id="340" w:name="_Toc184313264"/>
      <w:bookmarkEnd w:id="340"/>
      <w:bookmarkStart w:id="341" w:name="_Toc184313284"/>
      <w:bookmarkEnd w:id="341"/>
      <w:bookmarkStart w:id="342" w:name="_Toc184308103"/>
      <w:bookmarkEnd w:id="342"/>
      <w:bookmarkStart w:id="343" w:name="_Toc184313268"/>
      <w:bookmarkEnd w:id="343"/>
      <w:bookmarkStart w:id="344" w:name="_Toc184308050"/>
      <w:bookmarkEnd w:id="344"/>
      <w:bookmarkStart w:id="345" w:name="_Toc184314447"/>
      <w:bookmarkEnd w:id="345"/>
      <w:bookmarkStart w:id="346" w:name="_Toc184312068"/>
      <w:bookmarkEnd w:id="346"/>
      <w:bookmarkStart w:id="347" w:name="_Toc184310292"/>
      <w:bookmarkEnd w:id="347"/>
      <w:bookmarkStart w:id="348" w:name="_Toc184314420"/>
      <w:bookmarkEnd w:id="348"/>
      <w:bookmarkStart w:id="349" w:name="_Toc184313271"/>
      <w:bookmarkEnd w:id="349"/>
      <w:bookmarkStart w:id="350" w:name="_Toc184314471"/>
      <w:bookmarkEnd w:id="350"/>
      <w:bookmarkStart w:id="351" w:name="_Toc184312124"/>
      <w:bookmarkEnd w:id="351"/>
      <w:bookmarkStart w:id="352" w:name="_Toc184312114"/>
      <w:bookmarkEnd w:id="352"/>
      <w:bookmarkStart w:id="353" w:name="_Toc184313250"/>
      <w:bookmarkEnd w:id="353"/>
      <w:bookmarkStart w:id="354" w:name="_Toc184312085"/>
      <w:bookmarkEnd w:id="354"/>
      <w:bookmarkStart w:id="355" w:name="_Toc184312118"/>
      <w:bookmarkEnd w:id="355"/>
      <w:bookmarkStart w:id="356" w:name="_Toc184310287"/>
      <w:bookmarkEnd w:id="356"/>
      <w:bookmarkStart w:id="357" w:name="_Toc184312096"/>
      <w:bookmarkEnd w:id="357"/>
      <w:bookmarkStart w:id="358" w:name="_Toc184310318"/>
      <w:bookmarkEnd w:id="358"/>
      <w:bookmarkStart w:id="359" w:name="_Toc184308107"/>
      <w:bookmarkEnd w:id="359"/>
      <w:bookmarkStart w:id="360" w:name="_Toc184310341"/>
      <w:bookmarkEnd w:id="360"/>
      <w:bookmarkStart w:id="361" w:name="_Toc184310290"/>
      <w:bookmarkEnd w:id="361"/>
      <w:bookmarkStart w:id="362" w:name="_Toc184314436"/>
      <w:bookmarkEnd w:id="362"/>
      <w:bookmarkStart w:id="363" w:name="_Toc184310304"/>
      <w:bookmarkEnd w:id="363"/>
      <w:bookmarkStart w:id="364" w:name="_Toc184310344"/>
      <w:bookmarkEnd w:id="364"/>
      <w:bookmarkStart w:id="365" w:name="_Toc184308097"/>
      <w:bookmarkEnd w:id="365"/>
      <w:bookmarkStart w:id="366" w:name="_Toc184313249"/>
      <w:bookmarkEnd w:id="366"/>
      <w:bookmarkStart w:id="367" w:name="_Toc184314418"/>
      <w:bookmarkEnd w:id="367"/>
      <w:bookmarkStart w:id="368" w:name="_Toc184308085"/>
      <w:bookmarkEnd w:id="368"/>
      <w:bookmarkStart w:id="369" w:name="_Toc184310297"/>
      <w:bookmarkEnd w:id="369"/>
      <w:bookmarkStart w:id="370" w:name="_Toc184310317"/>
      <w:bookmarkEnd w:id="370"/>
      <w:bookmarkStart w:id="371" w:name="_Toc184312094"/>
      <w:bookmarkEnd w:id="371"/>
      <w:bookmarkStart w:id="372" w:name="_Toc184314475"/>
      <w:bookmarkEnd w:id="372"/>
      <w:bookmarkStart w:id="373" w:name="_Toc184308095"/>
      <w:bookmarkEnd w:id="373"/>
      <w:bookmarkStart w:id="374" w:name="_Toc184310311"/>
      <w:bookmarkEnd w:id="374"/>
      <w:bookmarkStart w:id="375" w:name="_Toc184310333"/>
      <w:bookmarkEnd w:id="375"/>
      <w:bookmarkStart w:id="376" w:name="_Toc184313288"/>
      <w:bookmarkEnd w:id="376"/>
      <w:bookmarkStart w:id="377" w:name="_Toc184312125"/>
      <w:bookmarkEnd w:id="377"/>
      <w:bookmarkStart w:id="378" w:name="_Toc184314481"/>
      <w:bookmarkEnd w:id="378"/>
      <w:bookmarkStart w:id="379" w:name="_Toc184312116"/>
      <w:bookmarkEnd w:id="379"/>
      <w:bookmarkStart w:id="380" w:name="_Toc184313301"/>
      <w:bookmarkEnd w:id="380"/>
      <w:bookmarkStart w:id="381" w:name="_Toc184313270"/>
      <w:bookmarkEnd w:id="381"/>
      <w:bookmarkStart w:id="382" w:name="_Toc184314419"/>
      <w:bookmarkEnd w:id="382"/>
      <w:bookmarkStart w:id="383" w:name="_Toc184312134"/>
      <w:bookmarkEnd w:id="383"/>
      <w:bookmarkStart w:id="384" w:name="_Toc184312067"/>
      <w:bookmarkEnd w:id="384"/>
      <w:bookmarkStart w:id="385" w:name="_Toc184308091"/>
      <w:bookmarkEnd w:id="385"/>
      <w:bookmarkStart w:id="386" w:name="_Toc184310320"/>
      <w:bookmarkEnd w:id="386"/>
      <w:bookmarkStart w:id="387" w:name="_Toc184308059"/>
      <w:bookmarkEnd w:id="387"/>
      <w:bookmarkStart w:id="388" w:name="_Toc184313291"/>
      <w:bookmarkEnd w:id="388"/>
      <w:bookmarkStart w:id="389" w:name="_Toc184310278"/>
      <w:bookmarkEnd w:id="389"/>
      <w:bookmarkStart w:id="390" w:name="_Toc184312112"/>
      <w:bookmarkEnd w:id="390"/>
      <w:bookmarkStart w:id="391" w:name="_Toc184310308"/>
      <w:bookmarkEnd w:id="391"/>
      <w:bookmarkStart w:id="392" w:name="_Toc184314445"/>
      <w:bookmarkEnd w:id="392"/>
      <w:bookmarkStart w:id="393" w:name="_Toc184312101"/>
      <w:bookmarkEnd w:id="393"/>
      <w:bookmarkStart w:id="394" w:name="_Toc184308060"/>
      <w:bookmarkEnd w:id="394"/>
      <w:bookmarkStart w:id="395" w:name="_Toc184308061"/>
      <w:bookmarkEnd w:id="395"/>
      <w:bookmarkStart w:id="396" w:name="_Toc184308049"/>
      <w:bookmarkEnd w:id="396"/>
      <w:bookmarkStart w:id="397" w:name="_Toc184313241"/>
      <w:bookmarkEnd w:id="397"/>
      <w:bookmarkStart w:id="398" w:name="_Toc184313306"/>
      <w:bookmarkEnd w:id="398"/>
      <w:bookmarkStart w:id="399" w:name="_Toc184312071"/>
      <w:bookmarkEnd w:id="399"/>
      <w:bookmarkStart w:id="400" w:name="_Toc184312113"/>
      <w:bookmarkEnd w:id="400"/>
      <w:bookmarkStart w:id="401" w:name="_Toc184312090"/>
      <w:bookmarkEnd w:id="401"/>
      <w:bookmarkStart w:id="402" w:name="_Toc184314431"/>
      <w:bookmarkEnd w:id="402"/>
      <w:bookmarkStart w:id="403" w:name="_Toc184313276"/>
      <w:bookmarkEnd w:id="403"/>
      <w:bookmarkStart w:id="404" w:name="_Toc184313310"/>
      <w:bookmarkEnd w:id="404"/>
      <w:bookmarkStart w:id="405" w:name="_Toc184310305"/>
      <w:bookmarkEnd w:id="405"/>
      <w:bookmarkStart w:id="406" w:name="_Toc184312129"/>
      <w:bookmarkEnd w:id="406"/>
      <w:bookmarkStart w:id="407" w:name="_Toc184308076"/>
      <w:bookmarkEnd w:id="407"/>
      <w:bookmarkStart w:id="408" w:name="_Toc184313307"/>
      <w:bookmarkEnd w:id="408"/>
      <w:bookmarkStart w:id="409" w:name="_Toc184308064"/>
      <w:bookmarkEnd w:id="409"/>
      <w:bookmarkStart w:id="410" w:name="_Toc184314460"/>
      <w:bookmarkEnd w:id="410"/>
      <w:bookmarkStart w:id="411" w:name="_Toc184308106"/>
      <w:bookmarkEnd w:id="411"/>
      <w:bookmarkStart w:id="412" w:name="_Toc184308098"/>
      <w:bookmarkEnd w:id="412"/>
      <w:bookmarkStart w:id="413" w:name="_Toc184310276"/>
      <w:bookmarkEnd w:id="413"/>
      <w:bookmarkStart w:id="414" w:name="_Toc184313242"/>
      <w:bookmarkEnd w:id="414"/>
      <w:bookmarkStart w:id="415" w:name="_Toc184313281"/>
      <w:bookmarkEnd w:id="415"/>
      <w:bookmarkStart w:id="416" w:name="_Toc184310332"/>
      <w:bookmarkEnd w:id="416"/>
      <w:bookmarkStart w:id="417" w:name="_Toc184310331"/>
      <w:bookmarkEnd w:id="417"/>
      <w:bookmarkStart w:id="418" w:name="_Toc184312127"/>
      <w:bookmarkEnd w:id="418"/>
      <w:bookmarkStart w:id="419" w:name="_Toc184310322"/>
      <w:bookmarkEnd w:id="419"/>
      <w:bookmarkStart w:id="420" w:name="_Toc184314416"/>
      <w:bookmarkEnd w:id="420"/>
      <w:bookmarkStart w:id="421" w:name="_Toc184313260"/>
      <w:bookmarkEnd w:id="421"/>
      <w:bookmarkStart w:id="422" w:name="_Toc184312108"/>
      <w:bookmarkEnd w:id="422"/>
      <w:bookmarkStart w:id="423" w:name="_Toc184314473"/>
      <w:bookmarkEnd w:id="423"/>
      <w:bookmarkStart w:id="424" w:name="_Toc184310277"/>
      <w:bookmarkEnd w:id="424"/>
      <w:bookmarkStart w:id="425" w:name="_Toc184312079"/>
      <w:bookmarkEnd w:id="425"/>
      <w:bookmarkStart w:id="426" w:name="_Toc184312132"/>
      <w:bookmarkEnd w:id="426"/>
      <w:bookmarkStart w:id="427" w:name="_Toc184312089"/>
      <w:bookmarkEnd w:id="427"/>
      <w:bookmarkStart w:id="428" w:name="_Toc184313269"/>
      <w:bookmarkEnd w:id="428"/>
      <w:bookmarkStart w:id="429" w:name="_Toc184310338"/>
      <w:bookmarkEnd w:id="429"/>
      <w:bookmarkStart w:id="430" w:name="_Toc184314461"/>
      <w:bookmarkEnd w:id="430"/>
      <w:bookmarkStart w:id="431" w:name="_Toc184312073"/>
      <w:bookmarkEnd w:id="431"/>
      <w:bookmarkStart w:id="432" w:name="_Toc184312130"/>
      <w:bookmarkEnd w:id="432"/>
      <w:bookmarkStart w:id="433" w:name="_Toc184312119"/>
      <w:bookmarkEnd w:id="433"/>
      <w:bookmarkStart w:id="434" w:name="_Toc184308036"/>
      <w:bookmarkEnd w:id="434"/>
      <w:r>
        <w:rPr>
          <w:rFonts w:hint="eastAsia" w:ascii="仿宋" w:hAnsi="仿宋" w:eastAsia="仿宋" w:cs="仿宋"/>
          <w:b/>
          <w:color w:val="auto"/>
          <w:sz w:val="36"/>
          <w:szCs w:val="36"/>
          <w:highlight w:val="none"/>
        </w:rPr>
        <w:t>评标办法</w:t>
      </w:r>
      <w:bookmarkEnd w:id="60"/>
      <w:bookmarkEnd w:id="61"/>
      <w:bookmarkEnd w:id="62"/>
      <w:bookmarkEnd w:id="63"/>
      <w:bookmarkEnd w:id="64"/>
      <w:bookmarkEnd w:id="66"/>
      <w:bookmarkEnd w:id="67"/>
      <w:bookmarkEnd w:id="68"/>
      <w:bookmarkEnd w:id="69"/>
    </w:p>
    <w:p w14:paraId="22B6827F">
      <w:pPr>
        <w:wordWrap w:val="0"/>
        <w:snapToGrid w:val="0"/>
        <w:spacing w:line="360" w:lineRule="auto"/>
        <w:ind w:firstLine="643"/>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2"/>
        <w:tblW w:w="50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757"/>
        <w:gridCol w:w="755"/>
        <w:gridCol w:w="5075"/>
        <w:gridCol w:w="1087"/>
        <w:gridCol w:w="1199"/>
      </w:tblGrid>
      <w:tr w14:paraId="7CEF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2E9FABFC">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bookmarkStart w:id="435" w:name="_Hlk184288908"/>
            <w:r>
              <w:rPr>
                <w:rFonts w:hint="eastAsia" w:ascii="仿宋" w:hAnsi="仿宋" w:eastAsia="仿宋" w:cs="仿宋"/>
                <w:color w:val="auto"/>
                <w:sz w:val="24"/>
                <w:highlight w:val="none"/>
              </w:rPr>
              <w:t>序号</w:t>
            </w:r>
          </w:p>
        </w:tc>
        <w:tc>
          <w:tcPr>
            <w:tcW w:w="403" w:type="pct"/>
            <w:vAlign w:val="center"/>
          </w:tcPr>
          <w:p w14:paraId="3E95AADB">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402" w:type="pct"/>
            <w:shd w:val="clear" w:color="auto" w:fill="auto"/>
            <w:vAlign w:val="center"/>
          </w:tcPr>
          <w:p w14:paraId="0EC85D67">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分值</w:t>
            </w:r>
          </w:p>
        </w:tc>
        <w:tc>
          <w:tcPr>
            <w:tcW w:w="2707" w:type="pct"/>
            <w:vAlign w:val="center"/>
          </w:tcPr>
          <w:p w14:paraId="37B3FF4D">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评审因素</w:t>
            </w:r>
          </w:p>
        </w:tc>
        <w:tc>
          <w:tcPr>
            <w:tcW w:w="579" w:type="pct"/>
            <w:vAlign w:val="center"/>
          </w:tcPr>
          <w:p w14:paraId="0F56005F">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639" w:type="pct"/>
            <w:vAlign w:val="center"/>
          </w:tcPr>
          <w:p w14:paraId="7158F65B">
            <w:pPr>
              <w:keepNext w:val="0"/>
              <w:keepLines w:val="0"/>
              <w:suppressLineNumbers w:val="0"/>
              <w:tabs>
                <w:tab w:val="left" w:pos="0"/>
              </w:tabs>
              <w:adjustRightInd/>
              <w:spacing w:before="0" w:beforeAutospacing="0" w:after="0" w:afterAutospacing="0"/>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投标文件中评标标准相应的商务技术资料目录</w:t>
            </w:r>
          </w:p>
        </w:tc>
      </w:tr>
      <w:tr w14:paraId="2DBF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19FAEC4D">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Align w:val="center"/>
          </w:tcPr>
          <w:p w14:paraId="4A4814B9">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人员</w:t>
            </w:r>
            <w:r>
              <w:rPr>
                <w:rFonts w:hint="default" w:ascii="仿宋" w:hAnsi="仿宋" w:eastAsia="仿宋" w:cs="仿宋"/>
                <w:color w:val="auto"/>
                <w:sz w:val="24"/>
                <w:highlight w:val="none"/>
              </w:rPr>
              <w:t>管理制度</w:t>
            </w:r>
          </w:p>
        </w:tc>
        <w:tc>
          <w:tcPr>
            <w:tcW w:w="402" w:type="pct"/>
            <w:shd w:val="clear" w:color="auto" w:fill="auto"/>
            <w:vAlign w:val="center"/>
          </w:tcPr>
          <w:p w14:paraId="4A4FD360">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707" w:type="pct"/>
          </w:tcPr>
          <w:p w14:paraId="736CDF5E">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投标人针对本项目制定了专项的人员管理制度（考核奖惩、业务培训制度等），</w:t>
            </w:r>
            <w:r>
              <w:rPr>
                <w:rFonts w:hint="default" w:ascii="仿宋" w:hAnsi="仿宋" w:eastAsia="仿宋" w:cs="仿宋"/>
                <w:color w:val="auto"/>
                <w:sz w:val="24"/>
                <w:highlight w:val="none"/>
              </w:rPr>
              <w:t>管理制度健全</w:t>
            </w:r>
            <w:r>
              <w:rPr>
                <w:rFonts w:hint="eastAsia" w:ascii="仿宋" w:hAnsi="仿宋" w:eastAsia="仿宋" w:cs="仿宋"/>
                <w:color w:val="auto"/>
                <w:sz w:val="24"/>
                <w:highlight w:val="none"/>
              </w:rPr>
              <w:t>规范、</w:t>
            </w:r>
            <w:r>
              <w:rPr>
                <w:rFonts w:hint="default" w:ascii="仿宋" w:hAnsi="仿宋" w:eastAsia="仿宋" w:cs="仿宋"/>
                <w:color w:val="auto"/>
                <w:sz w:val="24"/>
                <w:highlight w:val="none"/>
              </w:rPr>
              <w:t>用工符合国家有关政策</w:t>
            </w:r>
            <w:r>
              <w:rPr>
                <w:rFonts w:hint="eastAsia" w:ascii="仿宋" w:hAnsi="仿宋" w:eastAsia="仿宋" w:cs="仿宋"/>
                <w:color w:val="auto"/>
                <w:sz w:val="24"/>
                <w:highlight w:val="none"/>
              </w:rPr>
              <w:t>的得2分</w:t>
            </w:r>
            <w:r>
              <w:rPr>
                <w:rFonts w:hint="default" w:ascii="仿宋" w:hAnsi="仿宋" w:eastAsia="仿宋" w:cs="仿宋"/>
                <w:color w:val="auto"/>
                <w:sz w:val="24"/>
                <w:highlight w:val="none"/>
              </w:rPr>
              <w:t>，</w:t>
            </w:r>
            <w:r>
              <w:rPr>
                <w:rFonts w:hint="eastAsia" w:ascii="仿宋" w:hAnsi="仿宋" w:eastAsia="仿宋" w:cs="仿宋"/>
                <w:color w:val="auto"/>
                <w:sz w:val="24"/>
                <w:highlight w:val="none"/>
              </w:rPr>
              <w:t>管理制度基本合理</w:t>
            </w:r>
            <w:r>
              <w:rPr>
                <w:rFonts w:hint="default" w:ascii="仿宋" w:hAnsi="仿宋" w:eastAsia="仿宋" w:cs="仿宋"/>
                <w:color w:val="auto"/>
                <w:sz w:val="24"/>
                <w:highlight w:val="none"/>
              </w:rPr>
              <w:t>的得</w:t>
            </w:r>
            <w:r>
              <w:rPr>
                <w:rFonts w:hint="eastAsia" w:ascii="仿宋" w:hAnsi="仿宋" w:eastAsia="仿宋" w:cs="仿宋"/>
                <w:color w:val="auto"/>
                <w:sz w:val="24"/>
                <w:highlight w:val="none"/>
              </w:rPr>
              <w:t>1</w:t>
            </w:r>
            <w:r>
              <w:rPr>
                <w:rFonts w:hint="default" w:ascii="仿宋" w:hAnsi="仿宋" w:eastAsia="仿宋" w:cs="仿宋"/>
                <w:color w:val="auto"/>
                <w:sz w:val="24"/>
                <w:highlight w:val="none"/>
              </w:rPr>
              <w:t>分，</w:t>
            </w:r>
            <w:r>
              <w:rPr>
                <w:rFonts w:hint="eastAsia" w:ascii="仿宋" w:hAnsi="仿宋" w:eastAsia="仿宋" w:cs="仿宋"/>
                <w:color w:val="auto"/>
                <w:sz w:val="24"/>
                <w:highlight w:val="none"/>
              </w:rPr>
              <w:t>管理制度不完善的得0.5分，</w:t>
            </w:r>
            <w:r>
              <w:rPr>
                <w:rFonts w:hint="default" w:ascii="仿宋" w:hAnsi="仿宋" w:eastAsia="仿宋" w:cs="仿宋"/>
                <w:color w:val="auto"/>
                <w:sz w:val="24"/>
                <w:highlight w:val="none"/>
              </w:rPr>
              <w:t>未制定的得0分。</w:t>
            </w:r>
          </w:p>
        </w:tc>
        <w:tc>
          <w:tcPr>
            <w:tcW w:w="579" w:type="pct"/>
            <w:vAlign w:val="center"/>
          </w:tcPr>
          <w:p w14:paraId="32C1FCA8">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570674E6">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3479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25C80CB3">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restart"/>
            <w:vAlign w:val="center"/>
          </w:tcPr>
          <w:p w14:paraId="069C00DA">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安全生产制度</w:t>
            </w:r>
          </w:p>
        </w:tc>
        <w:tc>
          <w:tcPr>
            <w:tcW w:w="402" w:type="pct"/>
            <w:shd w:val="clear" w:color="auto" w:fill="auto"/>
            <w:vAlign w:val="center"/>
          </w:tcPr>
          <w:p w14:paraId="29D96C29">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707" w:type="pct"/>
          </w:tcPr>
          <w:p w14:paraId="151726E1">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a.</w:t>
            </w:r>
            <w:r>
              <w:rPr>
                <w:rFonts w:hint="eastAsia" w:ascii="仿宋" w:hAnsi="仿宋" w:eastAsia="仿宋" w:cs="仿宋"/>
                <w:color w:val="auto"/>
                <w:sz w:val="24"/>
                <w:highlight w:val="none"/>
              </w:rPr>
              <w:t>投标人针对本项目制定了专项的</w:t>
            </w:r>
            <w:r>
              <w:rPr>
                <w:rFonts w:hint="default" w:ascii="仿宋" w:hAnsi="仿宋" w:eastAsia="仿宋" w:cs="仿宋"/>
                <w:color w:val="auto"/>
                <w:sz w:val="24"/>
                <w:highlight w:val="none"/>
              </w:rPr>
              <w:t>安全生产</w:t>
            </w:r>
            <w:r>
              <w:rPr>
                <w:rFonts w:hint="eastAsia" w:ascii="仿宋" w:hAnsi="仿宋" w:eastAsia="仿宋" w:cs="仿宋"/>
                <w:color w:val="auto"/>
                <w:sz w:val="24"/>
                <w:highlight w:val="none"/>
              </w:rPr>
              <w:t>管理</w:t>
            </w:r>
            <w:r>
              <w:rPr>
                <w:rFonts w:hint="default" w:ascii="仿宋" w:hAnsi="仿宋" w:eastAsia="仿宋" w:cs="仿宋"/>
                <w:color w:val="auto"/>
                <w:sz w:val="24"/>
                <w:highlight w:val="none"/>
              </w:rPr>
              <w:t>制度</w:t>
            </w:r>
            <w:r>
              <w:rPr>
                <w:rFonts w:hint="eastAsia" w:ascii="仿宋" w:hAnsi="仿宋" w:eastAsia="仿宋" w:cs="仿宋"/>
                <w:color w:val="auto"/>
                <w:sz w:val="24"/>
                <w:highlight w:val="none"/>
              </w:rPr>
              <w:t>，管理制度健全规范</w:t>
            </w:r>
            <w:r>
              <w:rPr>
                <w:rFonts w:hint="default" w:ascii="仿宋" w:hAnsi="仿宋" w:eastAsia="仿宋" w:cs="仿宋"/>
                <w:color w:val="auto"/>
                <w:sz w:val="24"/>
                <w:highlight w:val="none"/>
              </w:rPr>
              <w:t>的得2分，</w:t>
            </w:r>
            <w:r>
              <w:rPr>
                <w:rFonts w:hint="eastAsia" w:ascii="仿宋" w:hAnsi="仿宋" w:eastAsia="仿宋" w:cs="仿宋"/>
                <w:color w:val="auto"/>
                <w:sz w:val="24"/>
                <w:highlight w:val="none"/>
              </w:rPr>
              <w:t>管理制度基本合理的得1分，管理制度不完善的得0.5分，</w:t>
            </w:r>
            <w:r>
              <w:rPr>
                <w:rFonts w:hint="default" w:ascii="仿宋" w:hAnsi="仿宋" w:eastAsia="仿宋" w:cs="仿宋"/>
                <w:color w:val="auto"/>
                <w:sz w:val="24"/>
                <w:highlight w:val="none"/>
              </w:rPr>
              <w:t>未制订的得0分。</w:t>
            </w:r>
          </w:p>
        </w:tc>
        <w:tc>
          <w:tcPr>
            <w:tcW w:w="579" w:type="pct"/>
            <w:vAlign w:val="center"/>
          </w:tcPr>
          <w:p w14:paraId="343B523E">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62CED975">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3F63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29EDF566">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28EC22D9">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06019BAD">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2</w:t>
            </w:r>
          </w:p>
        </w:tc>
        <w:tc>
          <w:tcPr>
            <w:tcW w:w="2707" w:type="pct"/>
            <w:vAlign w:val="center"/>
          </w:tcPr>
          <w:p w14:paraId="06BE0236">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b.</w:t>
            </w:r>
            <w:r>
              <w:rPr>
                <w:rFonts w:hint="eastAsia" w:ascii="仿宋" w:hAnsi="仿宋" w:eastAsia="仿宋" w:cs="仿宋"/>
                <w:color w:val="auto"/>
                <w:sz w:val="24"/>
                <w:highlight w:val="none"/>
              </w:rPr>
              <w:t>投标人针对本项目制定了专项的</w:t>
            </w:r>
            <w:r>
              <w:rPr>
                <w:rFonts w:hint="default" w:ascii="仿宋" w:hAnsi="仿宋" w:eastAsia="仿宋" w:cs="仿宋"/>
                <w:color w:val="auto"/>
                <w:sz w:val="24"/>
                <w:highlight w:val="none"/>
              </w:rPr>
              <w:t>安全生产培训</w:t>
            </w:r>
            <w:r>
              <w:rPr>
                <w:rFonts w:hint="eastAsia" w:ascii="仿宋" w:hAnsi="仿宋" w:eastAsia="仿宋" w:cs="仿宋"/>
                <w:color w:val="auto"/>
                <w:sz w:val="24"/>
                <w:highlight w:val="none"/>
              </w:rPr>
              <w:t>计划</w:t>
            </w:r>
            <w:r>
              <w:rPr>
                <w:rFonts w:hint="default" w:ascii="仿宋" w:hAnsi="仿宋" w:eastAsia="仿宋" w:cs="仿宋"/>
                <w:color w:val="auto"/>
                <w:sz w:val="24"/>
                <w:highlight w:val="none"/>
              </w:rPr>
              <w:t>，</w:t>
            </w:r>
            <w:r>
              <w:rPr>
                <w:rFonts w:hint="eastAsia" w:ascii="仿宋" w:hAnsi="仿宋" w:eastAsia="仿宋" w:cs="仿宋"/>
                <w:color w:val="auto"/>
                <w:sz w:val="24"/>
                <w:highlight w:val="none"/>
              </w:rPr>
              <w:t>培训内容全面、计划安排合理</w:t>
            </w:r>
            <w:r>
              <w:rPr>
                <w:rFonts w:hint="default" w:ascii="仿宋" w:hAnsi="仿宋" w:eastAsia="仿宋" w:cs="仿宋"/>
                <w:color w:val="auto"/>
                <w:sz w:val="24"/>
                <w:highlight w:val="none"/>
              </w:rPr>
              <w:t>的得2分，</w:t>
            </w:r>
            <w:r>
              <w:rPr>
                <w:rFonts w:hint="eastAsia" w:ascii="仿宋" w:hAnsi="仿宋" w:eastAsia="仿宋" w:cs="仿宋"/>
                <w:color w:val="auto"/>
                <w:sz w:val="24"/>
                <w:highlight w:val="none"/>
              </w:rPr>
              <w:t>培训内容、计划基本合理</w:t>
            </w:r>
            <w:r>
              <w:rPr>
                <w:rFonts w:hint="default" w:ascii="仿宋" w:hAnsi="仿宋" w:eastAsia="仿宋" w:cs="仿宋"/>
                <w:color w:val="auto"/>
                <w:sz w:val="24"/>
                <w:highlight w:val="none"/>
              </w:rPr>
              <w:t>的得1，</w:t>
            </w:r>
            <w:r>
              <w:rPr>
                <w:rFonts w:hint="eastAsia" w:ascii="仿宋" w:hAnsi="仿宋" w:eastAsia="仿宋" w:cs="仿宋"/>
                <w:color w:val="auto"/>
                <w:sz w:val="24"/>
                <w:highlight w:val="none"/>
              </w:rPr>
              <w:t>培训内容、计划不完善的得0.5分，</w:t>
            </w:r>
            <w:r>
              <w:rPr>
                <w:rFonts w:hint="default" w:ascii="仿宋" w:hAnsi="仿宋" w:eastAsia="仿宋" w:cs="仿宋"/>
                <w:color w:val="auto"/>
                <w:sz w:val="24"/>
                <w:highlight w:val="none"/>
              </w:rPr>
              <w:t>未</w:t>
            </w:r>
            <w:r>
              <w:rPr>
                <w:rFonts w:hint="eastAsia" w:ascii="仿宋" w:hAnsi="仿宋" w:eastAsia="仿宋" w:cs="仿宋"/>
                <w:color w:val="auto"/>
                <w:sz w:val="24"/>
                <w:highlight w:val="none"/>
              </w:rPr>
              <w:t>无培训计划</w:t>
            </w:r>
            <w:r>
              <w:rPr>
                <w:rFonts w:hint="default" w:ascii="仿宋" w:hAnsi="仿宋" w:eastAsia="仿宋" w:cs="仿宋"/>
                <w:color w:val="auto"/>
                <w:sz w:val="24"/>
                <w:highlight w:val="none"/>
              </w:rPr>
              <w:t>的得0分。</w:t>
            </w:r>
          </w:p>
        </w:tc>
        <w:tc>
          <w:tcPr>
            <w:tcW w:w="579" w:type="pct"/>
            <w:vAlign w:val="center"/>
          </w:tcPr>
          <w:p w14:paraId="4267743C">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vAlign w:val="center"/>
          </w:tcPr>
          <w:p w14:paraId="15E2F87E">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7CCB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65" w:type="pct"/>
            <w:vAlign w:val="center"/>
          </w:tcPr>
          <w:p w14:paraId="6EE31772">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19075545">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495EFE6D">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2</w:t>
            </w:r>
          </w:p>
        </w:tc>
        <w:tc>
          <w:tcPr>
            <w:tcW w:w="2707" w:type="pct"/>
            <w:vAlign w:val="center"/>
          </w:tcPr>
          <w:p w14:paraId="5C536494">
            <w:pPr>
              <w:keepNext w:val="0"/>
              <w:keepLines w:val="0"/>
              <w:suppressLineNumbers w:val="0"/>
              <w:tabs>
                <w:tab w:val="left" w:pos="0"/>
              </w:tabs>
              <w:adjustRightInd/>
              <w:spacing w:before="0" w:beforeAutospacing="0" w:after="0" w:afterAutospacing="0" w:line="300" w:lineRule="auto"/>
              <w:ind w:left="0" w:right="0"/>
              <w:outlineLvl w:val="0"/>
              <w:rPr>
                <w:rFonts w:hint="default" w:ascii="仿宋" w:hAnsi="仿宋" w:eastAsia="仿宋" w:cs="仿宋"/>
                <w:strike w:val="0"/>
                <w:color w:val="auto"/>
                <w:sz w:val="24"/>
                <w:highlight w:val="none"/>
              </w:rPr>
            </w:pPr>
            <w:r>
              <w:rPr>
                <w:rFonts w:hint="eastAsia" w:ascii="仿宋" w:hAnsi="仿宋" w:eastAsia="仿宋" w:cs="仿宋"/>
                <w:strike w:val="0"/>
                <w:color w:val="auto"/>
                <w:sz w:val="24"/>
                <w:highlight w:val="none"/>
              </w:rPr>
              <w:t>c.配备具有注册安全工程师证书或拥有专职安全生产管理人员安全生产考核C证的专职安全员得 2分，未配备的得0分。【证明材料提供（1）</w:t>
            </w:r>
            <w:r>
              <w:rPr>
                <w:rFonts w:hint="eastAsia" w:ascii="仿宋" w:hAnsi="仿宋" w:eastAsia="仿宋" w:cs="仿宋"/>
                <w:color w:val="auto"/>
                <w:sz w:val="24"/>
                <w:highlight w:val="none"/>
              </w:rPr>
              <w:t>投标截止月上溯3个月（含投标截止日当月，共4个月中任意连续3个月）在投标单位的社保缴纳证明（开标前20天内投标人所属社保机构出具的加盖印章的单位或个人专用社保证明）</w:t>
            </w:r>
            <w:r>
              <w:rPr>
                <w:rFonts w:hint="eastAsia" w:ascii="仿宋" w:hAnsi="仿宋" w:eastAsia="仿宋" w:cs="仿宋"/>
                <w:strike w:val="0"/>
                <w:color w:val="auto"/>
                <w:sz w:val="24"/>
                <w:highlight w:val="none"/>
                <w:lang w:val="en-US" w:eastAsia="zh-CN"/>
              </w:rPr>
              <w:t>;</w:t>
            </w:r>
            <w:r>
              <w:rPr>
                <w:rFonts w:hint="eastAsia" w:ascii="仿宋" w:hAnsi="仿宋" w:eastAsia="仿宋" w:cs="仿宋"/>
                <w:strike w:val="0"/>
                <w:color w:val="auto"/>
                <w:sz w:val="24"/>
                <w:highlight w:val="none"/>
              </w:rPr>
              <w:t>（2）相应的注册证书或考核证书。】</w:t>
            </w:r>
          </w:p>
        </w:tc>
        <w:tc>
          <w:tcPr>
            <w:tcW w:w="579" w:type="pct"/>
            <w:vAlign w:val="center"/>
          </w:tcPr>
          <w:p w14:paraId="06465876">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639" w:type="pct"/>
            <w:vAlign w:val="center"/>
          </w:tcPr>
          <w:p w14:paraId="53BC6069">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5A83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2759F51D">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411D1FE5">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155D5D2D">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2</w:t>
            </w:r>
          </w:p>
        </w:tc>
        <w:tc>
          <w:tcPr>
            <w:tcW w:w="2707" w:type="pct"/>
            <w:vAlign w:val="center"/>
          </w:tcPr>
          <w:p w14:paraId="39CC37AD">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d.近三年内（20</w:t>
            </w:r>
            <w:r>
              <w:rPr>
                <w:rFonts w:hint="eastAsia" w:ascii="仿宋" w:hAnsi="仿宋" w:eastAsia="仿宋" w:cs="仿宋"/>
                <w:color w:val="auto"/>
                <w:sz w:val="24"/>
                <w:highlight w:val="none"/>
              </w:rPr>
              <w:t>22</w:t>
            </w:r>
            <w:r>
              <w:rPr>
                <w:rFonts w:hint="default" w:ascii="仿宋" w:hAnsi="仿宋" w:eastAsia="仿宋" w:cs="仿宋"/>
                <w:color w:val="auto"/>
                <w:sz w:val="24"/>
                <w:highlight w:val="none"/>
              </w:rPr>
              <w:t>年1月1日起）发生安全事故，造成人员受伤，受伤程度达到《道路交通事故受伤人员伤残评定》或《职工工伤与职业病致残程度鉴定标准》规定的最低标准，每发生一起扣1分，造成人员死亡的，每发生一起扣2分，直至扣完2分为止。未发生过的，得满分2分。</w:t>
            </w:r>
            <w:r>
              <w:rPr>
                <w:rFonts w:hint="eastAsia" w:ascii="仿宋" w:hAnsi="仿宋" w:eastAsia="仿宋" w:cs="仿宋"/>
                <w:color w:val="auto"/>
                <w:sz w:val="24"/>
                <w:highlight w:val="none"/>
              </w:rPr>
              <w:t>【</w:t>
            </w:r>
            <w:r>
              <w:rPr>
                <w:rFonts w:hint="default" w:ascii="仿宋" w:hAnsi="仿宋" w:eastAsia="仿宋" w:cs="仿宋"/>
                <w:color w:val="auto"/>
                <w:sz w:val="24"/>
                <w:highlight w:val="none"/>
              </w:rPr>
              <w:t>证明材料提供承诺书（承诺书须体现的主要内容为近三年没有发生过评标办法中体现的安全事故及人员受伤，承诺书加盖公章。）</w:t>
            </w:r>
            <w:r>
              <w:rPr>
                <w:rFonts w:hint="eastAsia" w:ascii="仿宋" w:hAnsi="仿宋" w:eastAsia="仿宋" w:cs="仿宋"/>
                <w:color w:val="auto"/>
                <w:sz w:val="24"/>
                <w:highlight w:val="none"/>
              </w:rPr>
              <w:t>】</w:t>
            </w:r>
          </w:p>
        </w:tc>
        <w:tc>
          <w:tcPr>
            <w:tcW w:w="579" w:type="pct"/>
            <w:vAlign w:val="center"/>
          </w:tcPr>
          <w:p w14:paraId="6A80C7C1">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639" w:type="pct"/>
            <w:vAlign w:val="center"/>
          </w:tcPr>
          <w:p w14:paraId="697C2422">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7E7E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7137E476">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restart"/>
            <w:vAlign w:val="center"/>
          </w:tcPr>
          <w:p w14:paraId="08446447">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闸站养护管理方案</w:t>
            </w:r>
          </w:p>
        </w:tc>
        <w:tc>
          <w:tcPr>
            <w:tcW w:w="402" w:type="pct"/>
            <w:shd w:val="clear" w:color="auto" w:fill="auto"/>
            <w:vAlign w:val="center"/>
          </w:tcPr>
          <w:p w14:paraId="42C7B05D">
            <w:pPr>
              <w:keepNext w:val="0"/>
              <w:keepLines w:val="0"/>
              <w:suppressLineNumbers w:val="0"/>
              <w:tabs>
                <w:tab w:val="left" w:pos="0"/>
              </w:tabs>
              <w:adjustRightInd/>
              <w:spacing w:before="0" w:beforeAutospacing="0" w:after="0" w:afterAutospacing="0" w:line="300" w:lineRule="auto"/>
              <w:ind w:left="0" w:right="0"/>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w:t>
            </w:r>
          </w:p>
        </w:tc>
        <w:tc>
          <w:tcPr>
            <w:tcW w:w="2707" w:type="pct"/>
          </w:tcPr>
          <w:p w14:paraId="1A3B179E">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a.</w:t>
            </w:r>
            <w:r>
              <w:rPr>
                <w:rFonts w:hint="eastAsia" w:ascii="仿宋" w:hAnsi="仿宋" w:eastAsia="仿宋" w:cs="仿宋"/>
                <w:color w:val="auto"/>
                <w:sz w:val="24"/>
                <w:highlight w:val="none"/>
              </w:rPr>
              <w:t>分析</w:t>
            </w:r>
            <w:r>
              <w:rPr>
                <w:rFonts w:hint="eastAsia" w:ascii="仿宋" w:hAnsi="仿宋" w:eastAsia="仿宋" w:cs="仿宋"/>
                <w:color w:val="auto"/>
                <w:sz w:val="24"/>
                <w:highlight w:val="none"/>
                <w:lang w:eastAsia="zh-CN"/>
              </w:rPr>
              <w:t>7个闸站</w:t>
            </w:r>
            <w:r>
              <w:rPr>
                <w:rFonts w:hint="eastAsia" w:ascii="仿宋" w:hAnsi="仿宋" w:eastAsia="仿宋" w:cs="仿宋"/>
                <w:color w:val="auto"/>
                <w:sz w:val="24"/>
                <w:highlight w:val="none"/>
              </w:rPr>
              <w:t>的特点并提出针对性的养护保障措施、组织管理体系（人员管理、组织分工等）。“一闸一方案”，每个闸站养护方案各0-</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闸站（单个）养护方案符合闸站特点，养护保障措施、组织管理体系完全满足采购文件要求的得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分；养护方案基本符合闸站特点、养护保障措施、组织管理体系基本满足采购文件要求的得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分，养护方案不具有针对性、养护保障措施、组织管理体系不完善的得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分，未提供方案的得0分。最高得</w:t>
            </w: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tc>
        <w:tc>
          <w:tcPr>
            <w:tcW w:w="579" w:type="pct"/>
            <w:vAlign w:val="center"/>
          </w:tcPr>
          <w:p w14:paraId="6805C9BC">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41193120">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5C1D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7A0481CC">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19F45B4F">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4E5FA444">
            <w:pPr>
              <w:keepNext w:val="0"/>
              <w:keepLines w:val="0"/>
              <w:suppressLineNumbers w:val="0"/>
              <w:tabs>
                <w:tab w:val="left" w:pos="0"/>
              </w:tabs>
              <w:adjustRightInd/>
              <w:spacing w:before="0" w:beforeAutospacing="0" w:after="0" w:afterAutospacing="0" w:line="300" w:lineRule="auto"/>
              <w:ind w:left="0" w:right="0"/>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2707" w:type="pct"/>
          </w:tcPr>
          <w:p w14:paraId="462D91E1">
            <w:pPr>
              <w:keepNext w:val="0"/>
              <w:keepLines w:val="0"/>
              <w:suppressLineNumbers w:val="0"/>
              <w:tabs>
                <w:tab w:val="left" w:pos="0"/>
              </w:tabs>
              <w:adjustRightInd/>
              <w:spacing w:before="0" w:beforeAutospacing="0" w:after="0" w:afterAutospacing="0" w:line="300" w:lineRule="auto"/>
              <w:ind w:left="0" w:right="0"/>
              <w:outlineLvl w:val="0"/>
              <w:rPr>
                <w:rFonts w:hint="default" w:ascii="仿宋" w:hAnsi="仿宋" w:eastAsia="仿宋" w:cs="仿宋"/>
                <w:color w:val="auto"/>
                <w:sz w:val="24"/>
                <w:highlight w:val="none"/>
              </w:rPr>
            </w:pPr>
            <w:r>
              <w:rPr>
                <w:rFonts w:hint="eastAsia" w:ascii="仿宋" w:hAnsi="仿宋" w:eastAsia="仿宋" w:cs="仿宋"/>
                <w:color w:val="auto"/>
                <w:sz w:val="24"/>
                <w:highlight w:val="none"/>
                <w:lang w:eastAsia="zh-CN"/>
              </w:rPr>
              <w:t>b</w:t>
            </w:r>
            <w:r>
              <w:rPr>
                <w:rFonts w:hint="default" w:ascii="仿宋" w:hAnsi="仿宋" w:eastAsia="仿宋" w:cs="仿宋"/>
                <w:color w:val="auto"/>
                <w:sz w:val="24"/>
                <w:highlight w:val="none"/>
              </w:rPr>
              <w:t>.</w:t>
            </w:r>
            <w:r>
              <w:rPr>
                <w:rFonts w:hint="eastAsia" w:ascii="仿宋" w:hAnsi="仿宋" w:eastAsia="仿宋" w:cs="仿宋"/>
                <w:color w:val="auto"/>
                <w:sz w:val="24"/>
                <w:highlight w:val="none"/>
              </w:rPr>
              <w:t>针对本项目制订具体质量管理制度，质量管理体系完善，有专门的部门或机构负责对本项目进行质量监管的得</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分，基本完善得1分，不完善的得0.5分，未提供方案或方案与采购需求无关的得0分。</w:t>
            </w:r>
          </w:p>
        </w:tc>
        <w:tc>
          <w:tcPr>
            <w:tcW w:w="579" w:type="pct"/>
            <w:vAlign w:val="center"/>
          </w:tcPr>
          <w:p w14:paraId="5D424206">
            <w:pPr>
              <w:keepNext w:val="0"/>
              <w:keepLines w:val="0"/>
              <w:suppressLineNumbers w:val="0"/>
              <w:tabs>
                <w:tab w:val="left" w:pos="0"/>
              </w:tabs>
              <w:adjustRightInd/>
              <w:spacing w:before="0" w:beforeAutospacing="0" w:after="0" w:afterAutospacing="0" w:line="300" w:lineRule="auto"/>
              <w:ind w:left="0" w:right="0"/>
              <w:jc w:val="center"/>
              <w:outlineLvl w:val="0"/>
              <w:rPr>
                <w:rFonts w:hint="default"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51EBBF7D">
            <w:pPr>
              <w:keepNext w:val="0"/>
              <w:keepLines w:val="0"/>
              <w:suppressLineNumbers w:val="0"/>
              <w:tabs>
                <w:tab w:val="left" w:pos="0"/>
              </w:tabs>
              <w:adjustRightInd/>
              <w:spacing w:before="0" w:beforeAutospacing="0" w:after="0" w:afterAutospacing="0" w:line="300" w:lineRule="auto"/>
              <w:ind w:left="0" w:right="0"/>
              <w:rPr>
                <w:rFonts w:hint="default" w:ascii="仿宋" w:hAnsi="仿宋" w:eastAsia="仿宋" w:cs="仿宋"/>
                <w:color w:val="auto"/>
                <w:sz w:val="24"/>
                <w:highlight w:val="none"/>
              </w:rPr>
            </w:pPr>
          </w:p>
        </w:tc>
      </w:tr>
      <w:tr w14:paraId="7FBF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050E7DD2">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17FDA481">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789C99B7">
            <w:pPr>
              <w:keepNext w:val="0"/>
              <w:keepLines w:val="0"/>
              <w:suppressLineNumbers w:val="0"/>
              <w:tabs>
                <w:tab w:val="left" w:pos="0"/>
              </w:tabs>
              <w:adjustRightInd/>
              <w:spacing w:before="0" w:beforeAutospacing="0" w:after="0" w:afterAutospacing="0" w:line="300" w:lineRule="auto"/>
              <w:ind w:left="0" w:right="0"/>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2707" w:type="pct"/>
          </w:tcPr>
          <w:p w14:paraId="2AC1EBCE">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c</w:t>
            </w:r>
            <w:r>
              <w:rPr>
                <w:rFonts w:hint="default" w:ascii="仿宋" w:hAnsi="仿宋" w:eastAsia="仿宋" w:cs="仿宋"/>
                <w:color w:val="auto"/>
                <w:sz w:val="24"/>
                <w:highlight w:val="none"/>
              </w:rPr>
              <w:t>.日常巡检制度健全满足采购文件需求的得</w:t>
            </w:r>
            <w:r>
              <w:rPr>
                <w:rFonts w:hint="eastAsia" w:ascii="仿宋" w:hAnsi="仿宋" w:eastAsia="仿宋" w:cs="仿宋"/>
                <w:color w:val="auto"/>
                <w:sz w:val="24"/>
                <w:highlight w:val="none"/>
                <w:lang w:val="en-US" w:eastAsia="zh-CN"/>
              </w:rPr>
              <w:t>1.5</w:t>
            </w:r>
            <w:r>
              <w:rPr>
                <w:rFonts w:hint="default" w:ascii="仿宋" w:hAnsi="仿宋" w:eastAsia="仿宋" w:cs="仿宋"/>
                <w:color w:val="auto"/>
                <w:sz w:val="24"/>
                <w:highlight w:val="none"/>
              </w:rPr>
              <w:t>分，基本健全的得</w:t>
            </w:r>
            <w:r>
              <w:rPr>
                <w:rFonts w:hint="eastAsia" w:ascii="仿宋" w:hAnsi="仿宋" w:eastAsia="仿宋" w:cs="仿宋"/>
                <w:color w:val="auto"/>
                <w:sz w:val="24"/>
                <w:highlight w:val="none"/>
              </w:rPr>
              <w:t>1</w:t>
            </w:r>
            <w:r>
              <w:rPr>
                <w:rFonts w:hint="default" w:ascii="仿宋" w:hAnsi="仿宋" w:eastAsia="仿宋" w:cs="仿宋"/>
                <w:color w:val="auto"/>
                <w:sz w:val="24"/>
                <w:highlight w:val="none"/>
              </w:rPr>
              <w:t>分，</w:t>
            </w:r>
            <w:r>
              <w:rPr>
                <w:rFonts w:hint="eastAsia" w:ascii="仿宋" w:hAnsi="仿宋" w:eastAsia="仿宋" w:cs="仿宋"/>
                <w:color w:val="auto"/>
                <w:sz w:val="24"/>
                <w:highlight w:val="none"/>
              </w:rPr>
              <w:t>不完善的得0.5分，</w:t>
            </w:r>
            <w:r>
              <w:rPr>
                <w:rFonts w:hint="default" w:ascii="仿宋" w:hAnsi="仿宋" w:eastAsia="仿宋" w:cs="仿宋"/>
                <w:color w:val="auto"/>
                <w:sz w:val="24"/>
                <w:highlight w:val="none"/>
              </w:rPr>
              <w:t>未制订的得0分。</w:t>
            </w:r>
          </w:p>
        </w:tc>
        <w:tc>
          <w:tcPr>
            <w:tcW w:w="579" w:type="pct"/>
            <w:vAlign w:val="center"/>
          </w:tcPr>
          <w:p w14:paraId="6C800E15">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07A92A14">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3389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00A17FC5">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4EAF62A3">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3967D84A">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707" w:type="pct"/>
          </w:tcPr>
          <w:p w14:paraId="5FE1625A">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d</w:t>
            </w:r>
            <w:r>
              <w:rPr>
                <w:rFonts w:hint="eastAsia" w:ascii="仿宋" w:hAnsi="仿宋" w:eastAsia="仿宋" w:cs="仿宋"/>
                <w:color w:val="auto"/>
                <w:sz w:val="24"/>
                <w:highlight w:val="none"/>
              </w:rPr>
              <w:t>.</w:t>
            </w:r>
            <w:r>
              <w:rPr>
                <w:rFonts w:hint="default" w:ascii="仿宋" w:hAnsi="仿宋" w:eastAsia="仿宋" w:cs="仿宋"/>
                <w:color w:val="auto"/>
                <w:sz w:val="24"/>
                <w:highlight w:val="none"/>
              </w:rPr>
              <w:t>违法违章</w:t>
            </w:r>
            <w:r>
              <w:rPr>
                <w:rFonts w:hint="eastAsia" w:ascii="仿宋" w:hAnsi="仿宋" w:eastAsia="仿宋" w:cs="仿宋"/>
                <w:color w:val="auto"/>
                <w:sz w:val="24"/>
                <w:highlight w:val="none"/>
                <w:lang w:val="en-US" w:eastAsia="zh-CN"/>
              </w:rPr>
              <w:t>行为（如非法垂钓等）劝导</w:t>
            </w:r>
            <w:r>
              <w:rPr>
                <w:rFonts w:hint="default" w:ascii="仿宋" w:hAnsi="仿宋" w:eastAsia="仿宋" w:cs="仿宋"/>
                <w:color w:val="auto"/>
                <w:sz w:val="24"/>
                <w:highlight w:val="none"/>
              </w:rPr>
              <w:t>处理方案</w:t>
            </w:r>
            <w:r>
              <w:rPr>
                <w:rFonts w:hint="eastAsia" w:ascii="仿宋" w:hAnsi="仿宋" w:eastAsia="仿宋" w:cs="仿宋"/>
                <w:color w:val="auto"/>
                <w:sz w:val="24"/>
                <w:highlight w:val="none"/>
              </w:rPr>
              <w:t>合理，</w:t>
            </w:r>
            <w:r>
              <w:rPr>
                <w:rFonts w:hint="default" w:ascii="仿宋" w:hAnsi="仿宋" w:eastAsia="仿宋" w:cs="仿宋"/>
                <w:color w:val="auto"/>
                <w:sz w:val="24"/>
                <w:highlight w:val="none"/>
              </w:rPr>
              <w:t>满足采购文件需求的得</w:t>
            </w:r>
            <w:r>
              <w:rPr>
                <w:rFonts w:hint="eastAsia" w:ascii="仿宋" w:hAnsi="仿宋" w:eastAsia="仿宋" w:cs="仿宋"/>
                <w:color w:val="auto"/>
                <w:sz w:val="24"/>
                <w:highlight w:val="none"/>
              </w:rPr>
              <w:t>2</w:t>
            </w:r>
            <w:r>
              <w:rPr>
                <w:rFonts w:hint="default" w:ascii="仿宋" w:hAnsi="仿宋" w:eastAsia="仿宋" w:cs="仿宋"/>
                <w:color w:val="auto"/>
                <w:sz w:val="24"/>
                <w:highlight w:val="none"/>
              </w:rPr>
              <w:t>分，基本有效的得</w:t>
            </w:r>
            <w:r>
              <w:rPr>
                <w:rFonts w:hint="eastAsia" w:ascii="仿宋" w:hAnsi="仿宋" w:eastAsia="仿宋" w:cs="仿宋"/>
                <w:color w:val="auto"/>
                <w:sz w:val="24"/>
                <w:highlight w:val="none"/>
              </w:rPr>
              <w:t>1</w:t>
            </w:r>
            <w:r>
              <w:rPr>
                <w:rFonts w:hint="default" w:ascii="仿宋" w:hAnsi="仿宋" w:eastAsia="仿宋" w:cs="仿宋"/>
                <w:color w:val="auto"/>
                <w:sz w:val="24"/>
                <w:highlight w:val="none"/>
              </w:rPr>
              <w:t>分，</w:t>
            </w:r>
            <w:r>
              <w:rPr>
                <w:rFonts w:hint="eastAsia" w:ascii="仿宋" w:hAnsi="仿宋" w:eastAsia="仿宋" w:cs="仿宋"/>
                <w:color w:val="auto"/>
                <w:sz w:val="24"/>
                <w:highlight w:val="none"/>
              </w:rPr>
              <w:t>不完善的得0.5分，</w:t>
            </w:r>
            <w:r>
              <w:rPr>
                <w:rFonts w:hint="default" w:ascii="仿宋" w:hAnsi="仿宋" w:eastAsia="仿宋" w:cs="仿宋"/>
                <w:color w:val="auto"/>
                <w:sz w:val="24"/>
                <w:highlight w:val="none"/>
              </w:rPr>
              <w:t>未提供方案的得0分。</w:t>
            </w:r>
          </w:p>
        </w:tc>
        <w:tc>
          <w:tcPr>
            <w:tcW w:w="579" w:type="pct"/>
            <w:vAlign w:val="center"/>
          </w:tcPr>
          <w:p w14:paraId="6486FDDF">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29C6326C">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2A08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Merge w:val="restart"/>
            <w:vAlign w:val="center"/>
          </w:tcPr>
          <w:p w14:paraId="3A3FB04B">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restart"/>
            <w:vAlign w:val="center"/>
          </w:tcPr>
          <w:p w14:paraId="01CA6E7A">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养护工作响应保障情况</w:t>
            </w:r>
          </w:p>
        </w:tc>
        <w:tc>
          <w:tcPr>
            <w:tcW w:w="402" w:type="pct"/>
            <w:shd w:val="clear" w:color="auto" w:fill="auto"/>
            <w:vAlign w:val="center"/>
          </w:tcPr>
          <w:p w14:paraId="49914DBA">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2707" w:type="pct"/>
          </w:tcPr>
          <w:p w14:paraId="22795690">
            <w:pPr>
              <w:keepNext w:val="0"/>
              <w:keepLines w:val="0"/>
              <w:suppressLineNumbers w:val="0"/>
              <w:tabs>
                <w:tab w:val="left" w:pos="0"/>
              </w:tabs>
              <w:adjustRightInd/>
              <w:spacing w:before="0" w:beforeAutospacing="0" w:after="0" w:afterAutospacing="0" w:line="300" w:lineRule="auto"/>
              <w:ind w:left="0" w:right="0"/>
              <w:outlineLvl w:val="0"/>
              <w:rPr>
                <w:rFonts w:hint="default" w:ascii="仿宋" w:hAnsi="仿宋" w:eastAsia="仿宋" w:cs="仿宋"/>
                <w:color w:val="auto"/>
                <w:sz w:val="24"/>
                <w:highlight w:val="none"/>
                <w:lang w:val="en-US"/>
              </w:rPr>
            </w:pPr>
            <w:r>
              <w:rPr>
                <w:rFonts w:hint="default" w:ascii="仿宋" w:hAnsi="仿宋" w:eastAsia="仿宋" w:cs="仿宋"/>
                <w:color w:val="auto"/>
                <w:sz w:val="24"/>
                <w:highlight w:val="none"/>
                <w:lang w:val="en-US"/>
              </w:rPr>
              <w:t>(1)养护作业工具（设施设备、工具材料、物资等）存放、备用保障措施切实可行的得2分，保障措施基本可行的得1分，保障措施不可行或无具体保障措施的得0分。</w:t>
            </w:r>
          </w:p>
        </w:tc>
        <w:tc>
          <w:tcPr>
            <w:tcW w:w="579" w:type="pct"/>
            <w:vAlign w:val="center"/>
          </w:tcPr>
          <w:p w14:paraId="279B59DF">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44CB3F88">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6682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Merge w:val="continue"/>
            <w:vAlign w:val="center"/>
          </w:tcPr>
          <w:p w14:paraId="6EF7916A">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p>
        </w:tc>
        <w:tc>
          <w:tcPr>
            <w:tcW w:w="403" w:type="pct"/>
            <w:vMerge w:val="continue"/>
            <w:vAlign w:val="center"/>
          </w:tcPr>
          <w:p w14:paraId="3F50E3D7">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78E5FC90">
            <w:pPr>
              <w:keepNext w:val="0"/>
              <w:keepLines w:val="0"/>
              <w:suppressLineNumbers w:val="0"/>
              <w:tabs>
                <w:tab w:val="left" w:pos="0"/>
              </w:tabs>
              <w:adjustRightInd/>
              <w:spacing w:before="0" w:beforeAutospacing="0" w:after="0" w:afterAutospacing="0" w:line="300" w:lineRule="auto"/>
              <w:ind w:left="0" w:right="0"/>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2707" w:type="pct"/>
          </w:tcPr>
          <w:p w14:paraId="28675E88">
            <w:pPr>
              <w:keepNext w:val="0"/>
              <w:keepLines w:val="0"/>
              <w:suppressLineNumbers w:val="0"/>
              <w:tabs>
                <w:tab w:val="left" w:pos="0"/>
              </w:tabs>
              <w:adjustRightInd/>
              <w:spacing w:before="0" w:beforeAutospacing="0" w:after="0" w:afterAutospacing="0" w:line="300" w:lineRule="auto"/>
              <w:ind w:left="0" w:right="0"/>
              <w:outlineLvl w:val="0"/>
              <w:rPr>
                <w:rFonts w:hint="default" w:ascii="仿宋" w:hAnsi="仿宋" w:eastAsia="仿宋" w:cs="仿宋"/>
                <w:color w:val="auto"/>
                <w:sz w:val="24"/>
                <w:highlight w:val="none"/>
                <w:lang w:val="en-US"/>
              </w:rPr>
            </w:pPr>
            <w:r>
              <w:rPr>
                <w:rFonts w:hint="default" w:ascii="仿宋" w:hAnsi="仿宋" w:eastAsia="仿宋" w:cs="仿宋"/>
                <w:color w:val="auto"/>
                <w:sz w:val="24"/>
                <w:highlight w:val="none"/>
                <w:lang w:val="en-US"/>
              </w:rPr>
              <w:t>(2)投标人承诺在接到采购人通知后派遣人员携带所需设施设备、工具材料、物资等到达现场开展检修、维修、应急抢修等养护工作。≤2小时内到达的得2分；≤1小时内到达的得3分。证明材料提供承诺书（承诺书格式详见招标文件）。</w:t>
            </w:r>
          </w:p>
        </w:tc>
        <w:tc>
          <w:tcPr>
            <w:tcW w:w="579" w:type="pct"/>
            <w:vAlign w:val="center"/>
          </w:tcPr>
          <w:p w14:paraId="0BDF0E5D">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639" w:type="pct"/>
          </w:tcPr>
          <w:p w14:paraId="7F57CFDC">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0F4A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16767F34">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restart"/>
            <w:vAlign w:val="center"/>
          </w:tcPr>
          <w:p w14:paraId="46BB8D3A">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应急响应方案</w:t>
            </w:r>
          </w:p>
        </w:tc>
        <w:tc>
          <w:tcPr>
            <w:tcW w:w="402" w:type="pct"/>
            <w:shd w:val="clear" w:color="auto" w:fill="auto"/>
            <w:vAlign w:val="center"/>
          </w:tcPr>
          <w:p w14:paraId="2425C52F">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707" w:type="pct"/>
          </w:tcPr>
          <w:p w14:paraId="580A711E">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a.针对防汛防台提供详细有效的应急响应方案得</w:t>
            </w:r>
            <w:r>
              <w:rPr>
                <w:rFonts w:hint="eastAsia" w:ascii="仿宋" w:hAnsi="仿宋" w:eastAsia="仿宋" w:cs="仿宋"/>
                <w:color w:val="auto"/>
                <w:sz w:val="24"/>
                <w:highlight w:val="none"/>
              </w:rPr>
              <w:t>3</w:t>
            </w:r>
            <w:r>
              <w:rPr>
                <w:rFonts w:hint="default" w:ascii="仿宋" w:hAnsi="仿宋" w:eastAsia="仿宋" w:cs="仿宋"/>
                <w:color w:val="auto"/>
                <w:sz w:val="24"/>
                <w:highlight w:val="none"/>
              </w:rPr>
              <w:t>分，基本</w:t>
            </w:r>
            <w:r>
              <w:rPr>
                <w:rFonts w:hint="eastAsia" w:ascii="仿宋" w:hAnsi="仿宋" w:eastAsia="仿宋" w:cs="仿宋"/>
                <w:color w:val="auto"/>
                <w:sz w:val="24"/>
                <w:highlight w:val="none"/>
              </w:rPr>
              <w:t>合理</w:t>
            </w:r>
            <w:r>
              <w:rPr>
                <w:rFonts w:hint="default" w:ascii="仿宋" w:hAnsi="仿宋" w:eastAsia="仿宋" w:cs="仿宋"/>
                <w:color w:val="auto"/>
                <w:sz w:val="24"/>
                <w:highlight w:val="none"/>
              </w:rPr>
              <w:t>的得</w:t>
            </w:r>
            <w:r>
              <w:rPr>
                <w:rFonts w:hint="eastAsia" w:ascii="仿宋" w:hAnsi="仿宋" w:eastAsia="仿宋" w:cs="仿宋"/>
                <w:color w:val="auto"/>
                <w:sz w:val="24"/>
                <w:highlight w:val="none"/>
              </w:rPr>
              <w:t>2</w:t>
            </w:r>
            <w:r>
              <w:rPr>
                <w:rFonts w:hint="default" w:ascii="仿宋" w:hAnsi="仿宋" w:eastAsia="仿宋" w:cs="仿宋"/>
                <w:color w:val="auto"/>
                <w:sz w:val="24"/>
                <w:highlight w:val="none"/>
              </w:rPr>
              <w:t>分，</w:t>
            </w:r>
            <w:r>
              <w:rPr>
                <w:rFonts w:hint="eastAsia" w:ascii="仿宋" w:hAnsi="仿宋" w:eastAsia="仿宋" w:cs="仿宋"/>
                <w:color w:val="auto"/>
                <w:sz w:val="24"/>
                <w:highlight w:val="none"/>
              </w:rPr>
              <w:t>不完善的得1分，</w:t>
            </w:r>
            <w:r>
              <w:rPr>
                <w:rFonts w:hint="default" w:ascii="仿宋" w:hAnsi="仿宋" w:eastAsia="仿宋" w:cs="仿宋"/>
                <w:color w:val="auto"/>
                <w:sz w:val="24"/>
                <w:highlight w:val="none"/>
              </w:rPr>
              <w:t>未提供方案或方案与采购需求无关的得0分。</w:t>
            </w:r>
          </w:p>
        </w:tc>
        <w:tc>
          <w:tcPr>
            <w:tcW w:w="579" w:type="pct"/>
            <w:vAlign w:val="center"/>
          </w:tcPr>
          <w:p w14:paraId="23A26BF5">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29146A9A">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216B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3059E11F">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031E3CA1">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3A08A236">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2</w:t>
            </w:r>
          </w:p>
        </w:tc>
        <w:tc>
          <w:tcPr>
            <w:tcW w:w="2707" w:type="pct"/>
          </w:tcPr>
          <w:p w14:paraId="7843D486">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b.针对抗雪防冻提供详细有效的应急响应方案得2分，基本</w:t>
            </w:r>
            <w:r>
              <w:rPr>
                <w:rFonts w:hint="eastAsia" w:ascii="仿宋" w:hAnsi="仿宋" w:eastAsia="仿宋" w:cs="仿宋"/>
                <w:color w:val="auto"/>
                <w:sz w:val="24"/>
                <w:highlight w:val="none"/>
              </w:rPr>
              <w:t>合理</w:t>
            </w:r>
            <w:r>
              <w:rPr>
                <w:rFonts w:hint="default" w:ascii="仿宋" w:hAnsi="仿宋" w:eastAsia="仿宋" w:cs="仿宋"/>
                <w:color w:val="auto"/>
                <w:sz w:val="24"/>
                <w:highlight w:val="none"/>
              </w:rPr>
              <w:t>的得1分，</w:t>
            </w:r>
            <w:r>
              <w:rPr>
                <w:rFonts w:hint="eastAsia" w:ascii="仿宋" w:hAnsi="仿宋" w:eastAsia="仿宋" w:cs="仿宋"/>
                <w:color w:val="auto"/>
                <w:sz w:val="24"/>
                <w:highlight w:val="none"/>
              </w:rPr>
              <w:t>不完善的得0.5分，</w:t>
            </w:r>
            <w:r>
              <w:rPr>
                <w:rFonts w:hint="default" w:ascii="仿宋" w:hAnsi="仿宋" w:eastAsia="仿宋" w:cs="仿宋"/>
                <w:color w:val="auto"/>
                <w:sz w:val="24"/>
                <w:highlight w:val="none"/>
              </w:rPr>
              <w:t>未提供方案或方案与采购需求无关的得0分。</w:t>
            </w:r>
          </w:p>
        </w:tc>
        <w:tc>
          <w:tcPr>
            <w:tcW w:w="579" w:type="pct"/>
            <w:vAlign w:val="center"/>
          </w:tcPr>
          <w:p w14:paraId="5D3D0087">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084A31F5">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102B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2AC049E6">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2DDFC2B0">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7C3CB45F">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707" w:type="pct"/>
          </w:tcPr>
          <w:p w14:paraId="3FE0A9EE">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c.针对</w:t>
            </w:r>
            <w:r>
              <w:rPr>
                <w:rFonts w:hint="eastAsia" w:ascii="仿宋" w:hAnsi="仿宋" w:eastAsia="仿宋" w:cs="仿宋"/>
                <w:color w:val="auto"/>
                <w:sz w:val="24"/>
                <w:highlight w:val="none"/>
              </w:rPr>
              <w:t>工程</w:t>
            </w:r>
            <w:r>
              <w:rPr>
                <w:rFonts w:hint="default" w:ascii="仿宋" w:hAnsi="仿宋" w:eastAsia="仿宋" w:cs="仿宋"/>
                <w:color w:val="auto"/>
                <w:sz w:val="24"/>
                <w:highlight w:val="none"/>
              </w:rPr>
              <w:t>抢险工作提供详细有效的应急响应方案得</w:t>
            </w:r>
            <w:r>
              <w:rPr>
                <w:rFonts w:hint="eastAsia" w:ascii="仿宋" w:hAnsi="仿宋" w:eastAsia="仿宋" w:cs="仿宋"/>
                <w:color w:val="auto"/>
                <w:sz w:val="24"/>
                <w:highlight w:val="none"/>
              </w:rPr>
              <w:t>3</w:t>
            </w:r>
            <w:r>
              <w:rPr>
                <w:rFonts w:hint="default" w:ascii="仿宋" w:hAnsi="仿宋" w:eastAsia="仿宋" w:cs="仿宋"/>
                <w:color w:val="auto"/>
                <w:sz w:val="24"/>
                <w:highlight w:val="none"/>
              </w:rPr>
              <w:t>分，基本</w:t>
            </w:r>
            <w:r>
              <w:rPr>
                <w:rFonts w:hint="eastAsia" w:ascii="仿宋" w:hAnsi="仿宋" w:eastAsia="仿宋" w:cs="仿宋"/>
                <w:color w:val="auto"/>
                <w:sz w:val="24"/>
                <w:highlight w:val="none"/>
              </w:rPr>
              <w:t>合理</w:t>
            </w:r>
            <w:r>
              <w:rPr>
                <w:rFonts w:hint="default" w:ascii="仿宋" w:hAnsi="仿宋" w:eastAsia="仿宋" w:cs="仿宋"/>
                <w:color w:val="auto"/>
                <w:sz w:val="24"/>
                <w:highlight w:val="none"/>
              </w:rPr>
              <w:t>的得</w:t>
            </w:r>
            <w:r>
              <w:rPr>
                <w:rFonts w:hint="eastAsia" w:ascii="仿宋" w:hAnsi="仿宋" w:eastAsia="仿宋" w:cs="仿宋"/>
                <w:color w:val="auto"/>
                <w:sz w:val="24"/>
                <w:highlight w:val="none"/>
              </w:rPr>
              <w:t>2</w:t>
            </w:r>
            <w:r>
              <w:rPr>
                <w:rFonts w:hint="default" w:ascii="仿宋" w:hAnsi="仿宋" w:eastAsia="仿宋" w:cs="仿宋"/>
                <w:color w:val="auto"/>
                <w:sz w:val="24"/>
                <w:highlight w:val="none"/>
              </w:rPr>
              <w:t>分，</w:t>
            </w:r>
            <w:r>
              <w:rPr>
                <w:rFonts w:hint="eastAsia" w:ascii="仿宋" w:hAnsi="仿宋" w:eastAsia="仿宋" w:cs="仿宋"/>
                <w:color w:val="auto"/>
                <w:sz w:val="24"/>
                <w:highlight w:val="none"/>
              </w:rPr>
              <w:t>不完善的得1分，</w:t>
            </w:r>
            <w:r>
              <w:rPr>
                <w:rFonts w:hint="default" w:ascii="仿宋" w:hAnsi="仿宋" w:eastAsia="仿宋" w:cs="仿宋"/>
                <w:color w:val="auto"/>
                <w:sz w:val="24"/>
                <w:highlight w:val="none"/>
              </w:rPr>
              <w:t>未提供方案或方案与采购需求无关的得0分。</w:t>
            </w:r>
          </w:p>
        </w:tc>
        <w:tc>
          <w:tcPr>
            <w:tcW w:w="579" w:type="pct"/>
            <w:vAlign w:val="center"/>
          </w:tcPr>
          <w:p w14:paraId="28E3EE66">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4B3D77DA">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5ECE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77A13FE4">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001CF6A8">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722F4300">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707" w:type="pct"/>
          </w:tcPr>
          <w:p w14:paraId="1A2A4B25">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d. 针对突发事件应急处理及重大活动保障的应急处置提供详细有效的应急响应方案得</w:t>
            </w:r>
            <w:r>
              <w:rPr>
                <w:rFonts w:hint="eastAsia" w:ascii="仿宋" w:hAnsi="仿宋" w:eastAsia="仿宋" w:cs="仿宋"/>
                <w:color w:val="auto"/>
                <w:sz w:val="24"/>
                <w:highlight w:val="none"/>
              </w:rPr>
              <w:t>3</w:t>
            </w:r>
            <w:r>
              <w:rPr>
                <w:rFonts w:hint="default" w:ascii="仿宋" w:hAnsi="仿宋" w:eastAsia="仿宋" w:cs="仿宋"/>
                <w:color w:val="auto"/>
                <w:sz w:val="24"/>
                <w:highlight w:val="none"/>
              </w:rPr>
              <w:t>分，基本</w:t>
            </w:r>
            <w:r>
              <w:rPr>
                <w:rFonts w:hint="eastAsia" w:ascii="仿宋" w:hAnsi="仿宋" w:eastAsia="仿宋" w:cs="仿宋"/>
                <w:color w:val="auto"/>
                <w:sz w:val="24"/>
                <w:highlight w:val="none"/>
              </w:rPr>
              <w:t>合理</w:t>
            </w:r>
            <w:r>
              <w:rPr>
                <w:rFonts w:hint="default" w:ascii="仿宋" w:hAnsi="仿宋" w:eastAsia="仿宋" w:cs="仿宋"/>
                <w:color w:val="auto"/>
                <w:sz w:val="24"/>
                <w:highlight w:val="none"/>
              </w:rPr>
              <w:t>的得</w:t>
            </w:r>
            <w:r>
              <w:rPr>
                <w:rFonts w:hint="eastAsia" w:ascii="仿宋" w:hAnsi="仿宋" w:eastAsia="仿宋" w:cs="仿宋"/>
                <w:color w:val="auto"/>
                <w:sz w:val="24"/>
                <w:highlight w:val="none"/>
              </w:rPr>
              <w:t>2</w:t>
            </w:r>
            <w:r>
              <w:rPr>
                <w:rFonts w:hint="default" w:ascii="仿宋" w:hAnsi="仿宋" w:eastAsia="仿宋" w:cs="仿宋"/>
                <w:color w:val="auto"/>
                <w:sz w:val="24"/>
                <w:highlight w:val="none"/>
              </w:rPr>
              <w:t>分，</w:t>
            </w:r>
            <w:r>
              <w:rPr>
                <w:rFonts w:hint="eastAsia" w:ascii="仿宋" w:hAnsi="仿宋" w:eastAsia="仿宋" w:cs="仿宋"/>
                <w:color w:val="auto"/>
                <w:sz w:val="24"/>
                <w:highlight w:val="none"/>
              </w:rPr>
              <w:t>不完善的得1分，</w:t>
            </w:r>
            <w:r>
              <w:rPr>
                <w:rFonts w:hint="default" w:ascii="仿宋" w:hAnsi="仿宋" w:eastAsia="仿宋" w:cs="仿宋"/>
                <w:color w:val="auto"/>
                <w:sz w:val="24"/>
                <w:highlight w:val="none"/>
              </w:rPr>
              <w:t>未提供方案或方案与采购需求无关的得0分。</w:t>
            </w:r>
          </w:p>
        </w:tc>
        <w:tc>
          <w:tcPr>
            <w:tcW w:w="579" w:type="pct"/>
            <w:vAlign w:val="center"/>
          </w:tcPr>
          <w:p w14:paraId="63917AC5">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5F1FB779">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7935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349020AD">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1842530F">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4379217E">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2</w:t>
            </w:r>
          </w:p>
        </w:tc>
        <w:tc>
          <w:tcPr>
            <w:tcW w:w="2707" w:type="pct"/>
          </w:tcPr>
          <w:p w14:paraId="1906BDB6">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e.防汛抢险设备及物资储备提供详细有效的应急响应方案得2分，基本</w:t>
            </w:r>
            <w:r>
              <w:rPr>
                <w:rFonts w:hint="eastAsia" w:ascii="仿宋" w:hAnsi="仿宋" w:eastAsia="仿宋" w:cs="仿宋"/>
                <w:color w:val="auto"/>
                <w:sz w:val="24"/>
                <w:highlight w:val="none"/>
              </w:rPr>
              <w:t>合理</w:t>
            </w:r>
            <w:r>
              <w:rPr>
                <w:rFonts w:hint="default" w:ascii="仿宋" w:hAnsi="仿宋" w:eastAsia="仿宋" w:cs="仿宋"/>
                <w:color w:val="auto"/>
                <w:sz w:val="24"/>
                <w:highlight w:val="none"/>
              </w:rPr>
              <w:t>的得1分，</w:t>
            </w:r>
            <w:r>
              <w:rPr>
                <w:rFonts w:hint="eastAsia" w:ascii="仿宋" w:hAnsi="仿宋" w:eastAsia="仿宋" w:cs="仿宋"/>
                <w:color w:val="auto"/>
                <w:sz w:val="24"/>
                <w:highlight w:val="none"/>
              </w:rPr>
              <w:t>不完善的得0.5分，</w:t>
            </w:r>
            <w:r>
              <w:rPr>
                <w:rFonts w:hint="default" w:ascii="仿宋" w:hAnsi="仿宋" w:eastAsia="仿宋" w:cs="仿宋"/>
                <w:color w:val="auto"/>
                <w:sz w:val="24"/>
                <w:highlight w:val="none"/>
              </w:rPr>
              <w:t>未提供方案或方案与采购需求无关的得0分。</w:t>
            </w:r>
          </w:p>
        </w:tc>
        <w:tc>
          <w:tcPr>
            <w:tcW w:w="579" w:type="pct"/>
            <w:vAlign w:val="center"/>
          </w:tcPr>
          <w:p w14:paraId="32A8A7EA">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0B3E89B6">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0BE3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1FF166F8">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restart"/>
            <w:vAlign w:val="center"/>
          </w:tcPr>
          <w:p w14:paraId="0B07F012">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归档整理方案</w:t>
            </w:r>
          </w:p>
        </w:tc>
        <w:tc>
          <w:tcPr>
            <w:tcW w:w="402" w:type="pct"/>
            <w:shd w:val="clear" w:color="auto" w:fill="auto"/>
            <w:vAlign w:val="center"/>
          </w:tcPr>
          <w:p w14:paraId="4A9189F3">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707" w:type="pct"/>
          </w:tcPr>
          <w:p w14:paraId="4C661DF2">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a.针对每座闸站的</w:t>
            </w:r>
            <w:r>
              <w:rPr>
                <w:rFonts w:hint="eastAsia" w:ascii="仿宋" w:hAnsi="仿宋" w:eastAsia="仿宋" w:cs="仿宋"/>
                <w:color w:val="auto"/>
                <w:sz w:val="24"/>
                <w:highlight w:val="none"/>
              </w:rPr>
              <w:t>运行、保养和维修维护</w:t>
            </w:r>
            <w:r>
              <w:rPr>
                <w:rFonts w:hint="default" w:ascii="仿宋" w:hAnsi="仿宋" w:eastAsia="仿宋" w:cs="仿宋"/>
                <w:color w:val="auto"/>
                <w:sz w:val="24"/>
                <w:highlight w:val="none"/>
              </w:rPr>
              <w:t>的年度、月度及每日记录提供样表和具体实施方案合理符合采购需求的得</w:t>
            </w:r>
            <w:r>
              <w:rPr>
                <w:rFonts w:hint="eastAsia" w:ascii="仿宋" w:hAnsi="仿宋" w:eastAsia="仿宋" w:cs="仿宋"/>
                <w:color w:val="auto"/>
                <w:sz w:val="24"/>
                <w:highlight w:val="none"/>
              </w:rPr>
              <w:t>4</w:t>
            </w:r>
            <w:r>
              <w:rPr>
                <w:rFonts w:hint="default" w:ascii="仿宋" w:hAnsi="仿宋" w:eastAsia="仿宋" w:cs="仿宋"/>
                <w:color w:val="auto"/>
                <w:sz w:val="24"/>
                <w:highlight w:val="none"/>
              </w:rPr>
              <w:t>分，基本合理的得</w:t>
            </w:r>
            <w:r>
              <w:rPr>
                <w:rFonts w:hint="eastAsia" w:ascii="仿宋" w:hAnsi="仿宋" w:eastAsia="仿宋" w:cs="仿宋"/>
                <w:color w:val="auto"/>
                <w:sz w:val="24"/>
                <w:highlight w:val="none"/>
              </w:rPr>
              <w:t>2</w:t>
            </w:r>
            <w:r>
              <w:rPr>
                <w:rFonts w:hint="default" w:ascii="仿宋" w:hAnsi="仿宋" w:eastAsia="仿宋" w:cs="仿宋"/>
                <w:color w:val="auto"/>
                <w:sz w:val="24"/>
                <w:highlight w:val="none"/>
              </w:rPr>
              <w:t>分，</w:t>
            </w:r>
            <w:r>
              <w:rPr>
                <w:rFonts w:hint="eastAsia" w:ascii="仿宋" w:hAnsi="仿宋" w:eastAsia="仿宋" w:cs="仿宋"/>
                <w:color w:val="auto"/>
                <w:sz w:val="24"/>
                <w:highlight w:val="none"/>
              </w:rPr>
              <w:t>不完善的得1分，</w:t>
            </w:r>
            <w:r>
              <w:rPr>
                <w:rFonts w:hint="default" w:ascii="仿宋" w:hAnsi="仿宋" w:eastAsia="仿宋" w:cs="仿宋"/>
                <w:color w:val="auto"/>
                <w:sz w:val="24"/>
                <w:highlight w:val="none"/>
              </w:rPr>
              <w:t>未提供样表和方案或方案与采购需求无关的得0分。</w:t>
            </w:r>
          </w:p>
        </w:tc>
        <w:tc>
          <w:tcPr>
            <w:tcW w:w="579" w:type="pct"/>
            <w:vAlign w:val="center"/>
          </w:tcPr>
          <w:p w14:paraId="0497B19F">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4A85D908">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7E09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42B6B2C5">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75F515C4">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5650F71D">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2</w:t>
            </w:r>
          </w:p>
        </w:tc>
        <w:tc>
          <w:tcPr>
            <w:tcW w:w="2707" w:type="pct"/>
          </w:tcPr>
          <w:p w14:paraId="7B24F790">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b.每座闸站大中修登记记录提供样</w:t>
            </w:r>
            <w:r>
              <w:rPr>
                <w:rFonts w:hint="eastAsia" w:ascii="仿宋" w:hAnsi="仿宋" w:eastAsia="仿宋" w:cs="仿宋"/>
                <w:color w:val="auto"/>
                <w:sz w:val="24"/>
                <w:highlight w:val="none"/>
              </w:rPr>
              <w:t>稿</w:t>
            </w:r>
            <w:r>
              <w:rPr>
                <w:rFonts w:hint="default" w:ascii="仿宋" w:hAnsi="仿宋" w:eastAsia="仿宋" w:cs="仿宋"/>
                <w:color w:val="auto"/>
                <w:sz w:val="24"/>
                <w:highlight w:val="none"/>
              </w:rPr>
              <w:t>和具体的实施方案合理符合采购需求的得2分，基本合理的得1分，</w:t>
            </w:r>
            <w:r>
              <w:rPr>
                <w:rFonts w:hint="eastAsia" w:ascii="仿宋" w:hAnsi="仿宋" w:eastAsia="仿宋" w:cs="仿宋"/>
                <w:color w:val="auto"/>
                <w:sz w:val="24"/>
                <w:highlight w:val="none"/>
              </w:rPr>
              <w:t>不完善的得0.5分，</w:t>
            </w:r>
            <w:r>
              <w:rPr>
                <w:rFonts w:hint="default" w:ascii="仿宋" w:hAnsi="仿宋" w:eastAsia="仿宋" w:cs="仿宋"/>
                <w:color w:val="auto"/>
                <w:sz w:val="24"/>
                <w:highlight w:val="none"/>
              </w:rPr>
              <w:t>未提供样表和方案或方案与采购需求无关的得0分。</w:t>
            </w:r>
          </w:p>
        </w:tc>
        <w:tc>
          <w:tcPr>
            <w:tcW w:w="579" w:type="pct"/>
            <w:vAlign w:val="center"/>
          </w:tcPr>
          <w:p w14:paraId="543A3BF5">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591B0E87">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37C8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42FAF80A">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310A62A3">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7676DA3B">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2</w:t>
            </w:r>
          </w:p>
        </w:tc>
        <w:tc>
          <w:tcPr>
            <w:tcW w:w="2707" w:type="pct"/>
          </w:tcPr>
          <w:p w14:paraId="489F1387">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c.</w:t>
            </w:r>
            <w:r>
              <w:rPr>
                <w:rFonts w:hint="eastAsia" w:ascii="仿宋" w:hAnsi="仿宋" w:eastAsia="仿宋" w:cs="仿宋"/>
                <w:color w:val="auto"/>
                <w:sz w:val="24"/>
                <w:highlight w:val="none"/>
              </w:rPr>
              <w:t>年度履约自评报告</w:t>
            </w:r>
            <w:r>
              <w:rPr>
                <w:rFonts w:hint="default" w:ascii="仿宋" w:hAnsi="仿宋" w:eastAsia="仿宋" w:cs="仿宋"/>
                <w:color w:val="auto"/>
                <w:sz w:val="24"/>
                <w:highlight w:val="none"/>
              </w:rPr>
              <w:t>提供样表和具体实施方案合理符合采购需求的得2分，基本合理的得1分，</w:t>
            </w:r>
            <w:r>
              <w:rPr>
                <w:rFonts w:hint="eastAsia" w:ascii="仿宋" w:hAnsi="仿宋" w:eastAsia="仿宋" w:cs="仿宋"/>
                <w:color w:val="auto"/>
                <w:sz w:val="24"/>
                <w:highlight w:val="none"/>
              </w:rPr>
              <w:t>不完善的得0.5分，</w:t>
            </w:r>
            <w:r>
              <w:rPr>
                <w:rFonts w:hint="default" w:ascii="仿宋" w:hAnsi="仿宋" w:eastAsia="仿宋" w:cs="仿宋"/>
                <w:color w:val="auto"/>
                <w:sz w:val="24"/>
                <w:highlight w:val="none"/>
              </w:rPr>
              <w:t>未提供样表和方案或方案与采购需求无关的得0分。</w:t>
            </w:r>
          </w:p>
        </w:tc>
        <w:tc>
          <w:tcPr>
            <w:tcW w:w="579" w:type="pct"/>
            <w:vAlign w:val="center"/>
          </w:tcPr>
          <w:p w14:paraId="19BCF2E5">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639" w:type="pct"/>
          </w:tcPr>
          <w:p w14:paraId="00BEEE4C">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2BFC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23271EAF">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Align w:val="center"/>
          </w:tcPr>
          <w:p w14:paraId="2ED0F764">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拟投入机械设备情况</w:t>
            </w:r>
          </w:p>
        </w:tc>
        <w:tc>
          <w:tcPr>
            <w:tcW w:w="402" w:type="pct"/>
            <w:shd w:val="clear" w:color="auto" w:fill="auto"/>
            <w:vAlign w:val="center"/>
          </w:tcPr>
          <w:p w14:paraId="21AF8CAC">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2707" w:type="pct"/>
            <w:vAlign w:val="center"/>
          </w:tcPr>
          <w:p w14:paraId="282ED393">
            <w:pPr>
              <w:keepNext w:val="0"/>
              <w:keepLines w:val="0"/>
              <w:suppressLineNumbers w:val="0"/>
              <w:tabs>
                <w:tab w:val="left" w:pos="0"/>
              </w:tabs>
              <w:adjustRightInd/>
              <w:spacing w:before="0" w:beforeAutospacing="0" w:after="0" w:afterAutospacing="0" w:line="300" w:lineRule="auto"/>
              <w:ind w:left="0" w:right="0"/>
              <w:outlineLvl w:val="0"/>
              <w:rPr>
                <w:rFonts w:hint="default" w:ascii="仿宋" w:hAnsi="仿宋" w:eastAsia="仿宋" w:cs="仿宋"/>
                <w:color w:val="auto"/>
                <w:sz w:val="24"/>
                <w:highlight w:val="none"/>
              </w:rPr>
            </w:pPr>
            <w:r>
              <w:rPr>
                <w:rFonts w:hint="eastAsia" w:ascii="仿宋" w:hAnsi="仿宋" w:eastAsia="仿宋" w:cs="仿宋"/>
                <w:color w:val="auto"/>
                <w:sz w:val="24"/>
                <w:highlight w:val="none"/>
              </w:rPr>
              <w:t>船只≥1艘、巡检用车≥1辆、应急电源总功率≥125kw、应急水泵总流量≥2000m³/h、吊车≥1台、水下检测仪（视频或声波雷达等）≥1套。以上每符合1项，得1分，最高6分。</w:t>
            </w:r>
          </w:p>
          <w:p w14:paraId="793FA5A9">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截至日前已具备的，证明材料提供：（1）发票（或购销合同）或租赁协议（租赁期至少涵盖3年养护期）。资产合并、划拨、调拨或划转的视同自有，提供政府部门相关文件和原采购单位购置发票；若以上证明材料未体现应急电源和应急水泵参数的，则应急电源和应急水泵另提供参数证明材料（产品铭牌或合格证或厂家官网网页截图或设备技术资料彩页）。（2）巡查用车、吊车提供车辆行驶证。2.投标截至日前暂不具备的，证明材料提供：承诺书（承诺书格式按招标文件要求提供）】</w:t>
            </w:r>
          </w:p>
        </w:tc>
        <w:tc>
          <w:tcPr>
            <w:tcW w:w="579" w:type="pct"/>
            <w:vAlign w:val="center"/>
          </w:tcPr>
          <w:p w14:paraId="19C33F6E">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639" w:type="pct"/>
            <w:vAlign w:val="center"/>
          </w:tcPr>
          <w:p w14:paraId="72651C53">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5324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13AB5088">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restart"/>
            <w:vAlign w:val="center"/>
          </w:tcPr>
          <w:p w14:paraId="2E3D324C">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养护人员配备</w:t>
            </w:r>
            <w:r>
              <w:rPr>
                <w:rFonts w:hint="default" w:ascii="仿宋" w:hAnsi="仿宋" w:eastAsia="仿宋" w:cs="仿宋"/>
                <w:color w:val="auto"/>
                <w:sz w:val="24"/>
                <w:highlight w:val="none"/>
              </w:rPr>
              <w:t>情况</w:t>
            </w:r>
          </w:p>
        </w:tc>
        <w:tc>
          <w:tcPr>
            <w:tcW w:w="402" w:type="pct"/>
            <w:shd w:val="clear" w:color="auto" w:fill="auto"/>
            <w:vAlign w:val="center"/>
          </w:tcPr>
          <w:p w14:paraId="7CBF4C9F">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2707" w:type="pct"/>
            <w:vAlign w:val="center"/>
          </w:tcPr>
          <w:p w14:paraId="7F89CDAD">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项目管理班组人员配备情况：</w:t>
            </w:r>
          </w:p>
          <w:p w14:paraId="5F10AC06">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（1）项目负责人拥有市政类或水利类专业中级工程师职称的得1分，高级工程师及以上职称的得2分。</w:t>
            </w:r>
          </w:p>
          <w:p w14:paraId="683BCB9E">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（2）项目管理班组技术人员：具有机电类中级及以上工程师职称的得1分，最高得1分；具有信息化（计算机）类中级及以上工程师职称的得1分，最高得1分。一人持多证的不累计得分。</w:t>
            </w:r>
          </w:p>
          <w:p w14:paraId="2629DA7C">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证明材料提供（1）投标截止月上溯3个月（含投标截止日当月，共4个月中任意连续3个月）在投标单位的社保缴纳证明（开标前20天内投标人所属社保机构出具的加盖印章的单位或个人专用社保证明）。（2）职称证书。】</w:t>
            </w:r>
          </w:p>
        </w:tc>
        <w:tc>
          <w:tcPr>
            <w:tcW w:w="579" w:type="pct"/>
            <w:vAlign w:val="center"/>
          </w:tcPr>
          <w:p w14:paraId="2EAF9DF7">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639" w:type="pct"/>
            <w:vAlign w:val="center"/>
          </w:tcPr>
          <w:p w14:paraId="224BDB2F">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743A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33C58020">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3AD12DA2">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05D069CF">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707" w:type="pct"/>
            <w:vAlign w:val="center"/>
          </w:tcPr>
          <w:p w14:paraId="2777E864">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维保专业班组人员配备情况</w:t>
            </w:r>
            <w:r>
              <w:rPr>
                <w:rFonts w:hint="default" w:ascii="仿宋" w:hAnsi="仿宋" w:eastAsia="仿宋" w:cs="仿宋"/>
                <w:color w:val="auto"/>
                <w:sz w:val="24"/>
                <w:highlight w:val="none"/>
              </w:rPr>
              <w:t>：</w:t>
            </w:r>
          </w:p>
          <w:p w14:paraId="3E1B1507">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在满足采购需求最低要求的基础上：</w:t>
            </w:r>
          </w:p>
          <w:p w14:paraId="30027912">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（1）每增加一名具备电工特种作业操作证且具备电工专业职业技能证书的电工，技能四级/中级的得0.5分，技能三级/高级工及以上证书的电工得1分。最高得1.5分。</w:t>
            </w:r>
          </w:p>
          <w:p w14:paraId="69EB84F9">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（2）每增加一名具备钳工专业职业技能证书的钳工，技能四级/中级的得0.5分，技能三级/高级工及以上证书的电工得1分。最高得1.5分。</w:t>
            </w:r>
          </w:p>
          <w:p w14:paraId="0B5931B5">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（3）每增加一名具备仪表工（仪器仪表维修工）专业职业技能的仪表工，技能四级/中级的得0.5分，技能三级/高级工及以上证书的电工得1分。最高得2分。</w:t>
            </w:r>
          </w:p>
          <w:p w14:paraId="77D499C8">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本项最高得5分。一人持多证的不累计得分。</w:t>
            </w:r>
          </w:p>
          <w:p w14:paraId="321C943B">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【证明材料提供（1）</w:t>
            </w:r>
            <w:r>
              <w:rPr>
                <w:rFonts w:hint="eastAsia" w:ascii="仿宋" w:hAnsi="仿宋" w:eastAsia="仿宋" w:cs="仿宋"/>
                <w:color w:val="auto"/>
                <w:sz w:val="24"/>
                <w:highlight w:val="none"/>
              </w:rPr>
              <w:t>投标截止月上溯3个月（含投标截止日当月，共4个月中任意连续3个月）在投标单位的社保缴纳证明（开标前20天内投标人所属社保机构出具的加盖印章的单位或个人专用社保证明）</w:t>
            </w:r>
            <w:r>
              <w:rPr>
                <w:rFonts w:hint="default" w:ascii="仿宋" w:hAnsi="仿宋" w:eastAsia="仿宋" w:cs="仿宋"/>
                <w:color w:val="auto"/>
                <w:sz w:val="24"/>
                <w:highlight w:val="none"/>
              </w:rPr>
              <w:t>。（2）相应的职业资格证书。】</w:t>
            </w:r>
          </w:p>
        </w:tc>
        <w:tc>
          <w:tcPr>
            <w:tcW w:w="579" w:type="pct"/>
            <w:vAlign w:val="center"/>
          </w:tcPr>
          <w:p w14:paraId="0D6F579B">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639" w:type="pct"/>
            <w:vAlign w:val="center"/>
          </w:tcPr>
          <w:p w14:paraId="03808352">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07ADD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039F25AD">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Merge w:val="continue"/>
            <w:vAlign w:val="center"/>
          </w:tcPr>
          <w:p w14:paraId="0B7510BA">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402" w:type="pct"/>
            <w:shd w:val="clear" w:color="auto" w:fill="auto"/>
            <w:vAlign w:val="center"/>
          </w:tcPr>
          <w:p w14:paraId="250F6FDC">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707" w:type="pct"/>
            <w:vAlign w:val="center"/>
          </w:tcPr>
          <w:p w14:paraId="5382F32B">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现场运行班组人员配备</w:t>
            </w:r>
            <w:r>
              <w:rPr>
                <w:rFonts w:hint="default" w:ascii="仿宋" w:hAnsi="仿宋" w:eastAsia="仿宋" w:cs="仿宋"/>
                <w:color w:val="auto"/>
                <w:sz w:val="24"/>
                <w:highlight w:val="none"/>
              </w:rPr>
              <w:t>情况：</w:t>
            </w:r>
            <w:r>
              <w:rPr>
                <w:rFonts w:hint="eastAsia" w:ascii="仿宋" w:hAnsi="仿宋" w:eastAsia="仿宋" w:cs="仿宋"/>
                <w:color w:val="auto"/>
                <w:sz w:val="24"/>
                <w:highlight w:val="none"/>
              </w:rPr>
              <w:t>具有国家、地方职业技能鉴定指导中心或具有国家职业技能标准评价能力的社会培训评价组织出具的泵站专业（泵站运行工、灌区管理工（灌排泵站运行工））、水闸专业（水闸运行工、水工闸门运行工）、船闸专业（船闸运行工、船闸及升船机运管员）的职业技能五级/初级工及以上证书”</w:t>
            </w:r>
            <w:r>
              <w:rPr>
                <w:rFonts w:hint="eastAsia" w:ascii="仿宋" w:hAnsi="仿宋" w:eastAsia="仿宋" w:cs="仿宋"/>
                <w:color w:val="auto"/>
                <w:sz w:val="24"/>
                <w:highlight w:val="none"/>
                <w:lang w:val="en-US" w:eastAsia="zh-CN"/>
              </w:rPr>
              <w:t>1（含）-5（含）</w:t>
            </w:r>
            <w:r>
              <w:rPr>
                <w:rFonts w:hint="eastAsia" w:ascii="仿宋" w:hAnsi="仿宋" w:eastAsia="仿宋" w:cs="仿宋"/>
                <w:color w:val="auto"/>
                <w:sz w:val="24"/>
                <w:highlight w:val="none"/>
              </w:rPr>
              <w:t>人的得1分，</w:t>
            </w:r>
            <w:r>
              <w:rPr>
                <w:rFonts w:hint="eastAsia" w:ascii="仿宋" w:hAnsi="仿宋" w:eastAsia="仿宋" w:cs="仿宋"/>
                <w:color w:val="auto"/>
                <w:sz w:val="24"/>
                <w:highlight w:val="none"/>
                <w:lang w:val="en-US" w:eastAsia="zh-CN"/>
              </w:rPr>
              <w:t>5（不含）-10（含）人的得2分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10（不含）-15（含）人的得3分，15（不含）-21（含）人的得4分，21人（不含）以上的得5分</w:t>
            </w:r>
            <w:r>
              <w:rPr>
                <w:rFonts w:hint="default" w:ascii="仿宋" w:hAnsi="仿宋" w:eastAsia="仿宋" w:cs="仿宋"/>
                <w:color w:val="auto"/>
                <w:sz w:val="24"/>
                <w:highlight w:val="none"/>
              </w:rPr>
              <w:t>。【</w:t>
            </w:r>
            <w:r>
              <w:rPr>
                <w:rFonts w:hint="eastAsia" w:ascii="仿宋" w:hAnsi="仿宋" w:eastAsia="仿宋" w:cs="仿宋"/>
                <w:color w:val="auto"/>
                <w:sz w:val="24"/>
                <w:highlight w:val="none"/>
              </w:rPr>
              <w:t>证明材料提供：（1）投标截止月上溯3个月（含投标截止日当月，共4个月中任意连续3个月）在投标单位的社保缴纳证明（开标前20天内投标人所属社保机构出具的加盖印章的单位或个人专用社保证明）。</w:t>
            </w:r>
          </w:p>
          <w:p w14:paraId="5C431EEA">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（2）技能人才评价证书全国联网查询系统（http://zscx.osta.org.cn/）上的职业技能等级证书查询截图。但人社鉴发〔2013〕2号发布日（ 2013年6月26日）之前取得的职业技能证书可仅提供技能等级证书扫描件。</w:t>
            </w:r>
            <w:r>
              <w:rPr>
                <w:rFonts w:hint="default" w:ascii="仿宋" w:hAnsi="仿宋" w:eastAsia="仿宋" w:cs="仿宋"/>
                <w:color w:val="auto"/>
                <w:sz w:val="24"/>
                <w:highlight w:val="none"/>
              </w:rPr>
              <w:t>】</w:t>
            </w:r>
          </w:p>
        </w:tc>
        <w:tc>
          <w:tcPr>
            <w:tcW w:w="579" w:type="pct"/>
            <w:vAlign w:val="center"/>
          </w:tcPr>
          <w:p w14:paraId="1605E89A">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639" w:type="pct"/>
            <w:vAlign w:val="center"/>
          </w:tcPr>
          <w:p w14:paraId="7BB91D81">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2AD0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33CE2844">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Align w:val="center"/>
          </w:tcPr>
          <w:p w14:paraId="06EB8E93">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认证证书</w:t>
            </w:r>
          </w:p>
        </w:tc>
        <w:tc>
          <w:tcPr>
            <w:tcW w:w="402" w:type="pct"/>
            <w:shd w:val="clear" w:color="auto" w:fill="auto"/>
            <w:vAlign w:val="center"/>
          </w:tcPr>
          <w:p w14:paraId="15C95706">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2707" w:type="pct"/>
          </w:tcPr>
          <w:p w14:paraId="681C4ECE">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投标人具有有效期内的ISO质量管理体系认证、环境管理体系认证、职业健康安全管理体系认证的，每个得0.5分，最高得1.5分。</w:t>
            </w:r>
          </w:p>
          <w:p w14:paraId="21081592">
            <w:pPr>
              <w:keepNext w:val="0"/>
              <w:keepLines w:val="0"/>
              <w:suppressLineNumbers w:val="0"/>
              <w:tabs>
                <w:tab w:val="left" w:pos="0"/>
              </w:tabs>
              <w:wordWrap w:val="0"/>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【证明材料提供认证证书和全国认证认可信息公共服务平台官网（http://cx.cnca.cn/CertECloud/result/skipResultList）上的认证查询截图。】（</w:t>
            </w:r>
            <w:r>
              <w:rPr>
                <w:rFonts w:hint="eastAsia" w:ascii="仿宋" w:hAnsi="仿宋" w:eastAsia="仿宋" w:cs="仿宋"/>
                <w:color w:val="auto"/>
                <w:sz w:val="24"/>
                <w:highlight w:val="none"/>
                <w:lang w:val="en-US" w:eastAsia="zh-CN"/>
              </w:rPr>
              <w:t>注：</w:t>
            </w:r>
            <w:r>
              <w:rPr>
                <w:rFonts w:hint="eastAsia" w:ascii="仿宋" w:hAnsi="仿宋" w:eastAsia="仿宋" w:cs="仿宋"/>
                <w:color w:val="auto"/>
                <w:sz w:val="24"/>
                <w:highlight w:val="none"/>
              </w:rPr>
              <w:t>若联合体投标的，联合体所有成员</w:t>
            </w:r>
            <w:r>
              <w:rPr>
                <w:rFonts w:hint="eastAsia" w:ascii="仿宋" w:hAnsi="仿宋" w:eastAsia="仿宋" w:cs="仿宋"/>
                <w:color w:val="auto"/>
                <w:sz w:val="24"/>
                <w:highlight w:val="none"/>
                <w:lang w:val="en-US" w:eastAsia="zh-CN"/>
              </w:rPr>
              <w:t>同时具有方可得分</w:t>
            </w:r>
            <w:r>
              <w:rPr>
                <w:rFonts w:hint="eastAsia" w:ascii="仿宋" w:hAnsi="仿宋" w:eastAsia="仿宋" w:cs="仿宋"/>
                <w:color w:val="auto"/>
                <w:sz w:val="24"/>
                <w:highlight w:val="none"/>
              </w:rPr>
              <w:t>）</w:t>
            </w:r>
          </w:p>
        </w:tc>
        <w:tc>
          <w:tcPr>
            <w:tcW w:w="579" w:type="pct"/>
            <w:vAlign w:val="center"/>
          </w:tcPr>
          <w:p w14:paraId="4E30489F">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639" w:type="pct"/>
          </w:tcPr>
          <w:p w14:paraId="2D5ED9A6">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070B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1BBD4AE3">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Align w:val="center"/>
          </w:tcPr>
          <w:p w14:paraId="47EEA28F">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类似业绩</w:t>
            </w:r>
          </w:p>
        </w:tc>
        <w:tc>
          <w:tcPr>
            <w:tcW w:w="402" w:type="pct"/>
            <w:shd w:val="clear" w:color="auto" w:fill="auto"/>
            <w:vAlign w:val="center"/>
          </w:tcPr>
          <w:p w14:paraId="28DF155A">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2707" w:type="pct"/>
          </w:tcPr>
          <w:p w14:paraId="1142E987">
            <w:pPr>
              <w:keepNext w:val="0"/>
              <w:keepLines w:val="0"/>
              <w:suppressLineNumbers w:val="0"/>
              <w:tabs>
                <w:tab w:val="left" w:pos="0"/>
                <w:tab w:val="left" w:pos="1039"/>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default" w:ascii="仿宋" w:hAnsi="仿宋" w:eastAsia="仿宋" w:cs="仿宋"/>
                <w:color w:val="auto"/>
                <w:sz w:val="24"/>
                <w:highlight w:val="none"/>
              </w:rPr>
              <w:t>近</w:t>
            </w:r>
            <w:r>
              <w:rPr>
                <w:rFonts w:hint="eastAsia" w:ascii="仿宋" w:hAnsi="仿宋" w:eastAsia="仿宋" w:cs="仿宋"/>
                <w:color w:val="auto"/>
                <w:sz w:val="24"/>
                <w:highlight w:val="none"/>
                <w:lang w:val="en-US" w:eastAsia="zh-CN"/>
              </w:rPr>
              <w:t>三</w:t>
            </w:r>
            <w:r>
              <w:rPr>
                <w:rFonts w:hint="default" w:ascii="仿宋" w:hAnsi="仿宋" w:eastAsia="仿宋" w:cs="仿宋"/>
                <w:color w:val="auto"/>
                <w:sz w:val="24"/>
                <w:highlight w:val="none"/>
              </w:rPr>
              <w:t>年（20</w:t>
            </w:r>
            <w:r>
              <w:rPr>
                <w:rFonts w:hint="eastAsia" w:ascii="仿宋" w:hAnsi="仿宋" w:eastAsia="仿宋" w:cs="仿宋"/>
                <w:color w:val="auto"/>
                <w:sz w:val="24"/>
                <w:highlight w:val="none"/>
                <w:lang w:val="en-US" w:eastAsia="zh-CN"/>
              </w:rPr>
              <w:t>22</w:t>
            </w:r>
            <w:r>
              <w:rPr>
                <w:rFonts w:hint="default" w:ascii="仿宋" w:hAnsi="仿宋" w:eastAsia="仿宋" w:cs="仿宋"/>
                <w:color w:val="auto"/>
                <w:sz w:val="24"/>
                <w:highlight w:val="none"/>
              </w:rPr>
              <w:t>年1月1日起</w:t>
            </w:r>
            <w:r>
              <w:rPr>
                <w:rFonts w:hint="eastAsia" w:ascii="仿宋" w:hAnsi="仿宋" w:eastAsia="仿宋" w:cs="仿宋"/>
                <w:color w:val="auto"/>
                <w:sz w:val="24"/>
                <w:highlight w:val="none"/>
              </w:rPr>
              <w:t>，以合同签订时间为准</w:t>
            </w:r>
            <w:r>
              <w:rPr>
                <w:rFonts w:hint="default" w:ascii="仿宋" w:hAnsi="仿宋" w:eastAsia="仿宋" w:cs="仿宋"/>
                <w:color w:val="auto"/>
                <w:sz w:val="24"/>
                <w:highlight w:val="none"/>
              </w:rPr>
              <w:t>）</w:t>
            </w:r>
            <w:r>
              <w:rPr>
                <w:rFonts w:hint="eastAsia" w:ascii="仿宋" w:hAnsi="仿宋" w:eastAsia="仿宋" w:cs="仿宋"/>
                <w:color w:val="auto"/>
                <w:sz w:val="24"/>
                <w:highlight w:val="none"/>
              </w:rPr>
              <w:t>以来，投标人</w:t>
            </w:r>
            <w:r>
              <w:rPr>
                <w:rFonts w:hint="default" w:ascii="仿宋" w:hAnsi="仿宋" w:eastAsia="仿宋" w:cs="仿宋"/>
                <w:color w:val="auto"/>
                <w:sz w:val="24"/>
                <w:highlight w:val="none"/>
              </w:rPr>
              <w:t>具有类似的闸站养护服务项目业绩的，每具有1个得</w:t>
            </w:r>
            <w:r>
              <w:rPr>
                <w:rFonts w:hint="eastAsia" w:ascii="仿宋" w:hAnsi="仿宋" w:eastAsia="仿宋" w:cs="仿宋"/>
                <w:color w:val="auto"/>
                <w:sz w:val="24"/>
                <w:highlight w:val="none"/>
              </w:rPr>
              <w:t>0.5</w:t>
            </w:r>
            <w:r>
              <w:rPr>
                <w:rFonts w:hint="default" w:ascii="仿宋" w:hAnsi="仿宋" w:eastAsia="仿宋" w:cs="仿宋"/>
                <w:color w:val="auto"/>
                <w:sz w:val="24"/>
                <w:highlight w:val="none"/>
              </w:rPr>
              <w:t>分，最高得</w:t>
            </w:r>
            <w:r>
              <w:rPr>
                <w:rFonts w:hint="eastAsia" w:ascii="仿宋" w:hAnsi="仿宋" w:eastAsia="仿宋" w:cs="仿宋"/>
                <w:color w:val="auto"/>
                <w:sz w:val="24"/>
                <w:highlight w:val="none"/>
              </w:rPr>
              <w:t>1.5</w:t>
            </w:r>
            <w:r>
              <w:rPr>
                <w:rFonts w:hint="default" w:ascii="仿宋" w:hAnsi="仿宋" w:eastAsia="仿宋" w:cs="仿宋"/>
                <w:color w:val="auto"/>
                <w:sz w:val="24"/>
                <w:highlight w:val="none"/>
              </w:rPr>
              <w:t>分。</w:t>
            </w:r>
            <w:r>
              <w:rPr>
                <w:rFonts w:hint="eastAsia" w:ascii="仿宋" w:hAnsi="仿宋" w:eastAsia="仿宋" w:cs="仿宋"/>
                <w:color w:val="auto"/>
                <w:sz w:val="24"/>
                <w:highlight w:val="none"/>
              </w:rPr>
              <w:t>【</w:t>
            </w:r>
            <w:r>
              <w:rPr>
                <w:rFonts w:hint="default" w:ascii="仿宋" w:hAnsi="仿宋" w:eastAsia="仿宋" w:cs="仿宋"/>
                <w:color w:val="auto"/>
                <w:sz w:val="24"/>
                <w:highlight w:val="none"/>
              </w:rPr>
              <w:t>证明材料提供合同。</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注：</w:t>
            </w:r>
            <w:r>
              <w:rPr>
                <w:rFonts w:hint="eastAsia" w:ascii="仿宋" w:hAnsi="仿宋" w:eastAsia="仿宋" w:cs="仿宋"/>
                <w:color w:val="auto"/>
                <w:sz w:val="24"/>
                <w:highlight w:val="none"/>
              </w:rPr>
              <w:t>若联合体投标的，联合体牵头人</w:t>
            </w:r>
            <w:r>
              <w:rPr>
                <w:rFonts w:hint="eastAsia" w:ascii="仿宋" w:hAnsi="仿宋" w:eastAsia="仿宋" w:cs="仿宋"/>
                <w:color w:val="auto"/>
                <w:sz w:val="24"/>
                <w:highlight w:val="none"/>
                <w:lang w:val="en-US" w:eastAsia="zh-CN"/>
              </w:rPr>
              <w:t>具有可得分</w:t>
            </w:r>
            <w:r>
              <w:rPr>
                <w:rFonts w:hint="eastAsia" w:ascii="仿宋" w:hAnsi="仿宋" w:eastAsia="仿宋" w:cs="仿宋"/>
                <w:color w:val="auto"/>
                <w:sz w:val="24"/>
                <w:highlight w:val="none"/>
              </w:rPr>
              <w:t>）</w:t>
            </w:r>
          </w:p>
        </w:tc>
        <w:tc>
          <w:tcPr>
            <w:tcW w:w="579" w:type="pct"/>
            <w:vAlign w:val="center"/>
          </w:tcPr>
          <w:p w14:paraId="4F058CA0">
            <w:pPr>
              <w:keepNext w:val="0"/>
              <w:keepLines w:val="0"/>
              <w:suppressLineNumbers w:val="0"/>
              <w:tabs>
                <w:tab w:val="left" w:pos="0"/>
                <w:tab w:val="left" w:pos="1039"/>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639" w:type="pct"/>
          </w:tcPr>
          <w:p w14:paraId="22F0B2E3">
            <w:pPr>
              <w:keepNext w:val="0"/>
              <w:keepLines w:val="0"/>
              <w:suppressLineNumbers w:val="0"/>
              <w:tabs>
                <w:tab w:val="left" w:pos="0"/>
                <w:tab w:val="left" w:pos="1039"/>
              </w:tabs>
              <w:adjustRightInd/>
              <w:spacing w:before="0" w:beforeAutospacing="0" w:after="0" w:afterAutospacing="0" w:line="300" w:lineRule="auto"/>
              <w:ind w:left="0" w:right="0"/>
              <w:rPr>
                <w:rFonts w:hint="eastAsia" w:ascii="仿宋" w:hAnsi="仿宋" w:eastAsia="仿宋" w:cs="仿宋"/>
                <w:color w:val="auto"/>
                <w:sz w:val="24"/>
                <w:highlight w:val="none"/>
              </w:rPr>
            </w:pPr>
          </w:p>
        </w:tc>
      </w:tr>
      <w:tr w14:paraId="2CE3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 w:type="pct"/>
            <w:vAlign w:val="center"/>
          </w:tcPr>
          <w:p w14:paraId="5FBB328B">
            <w:pPr>
              <w:keepNext w:val="0"/>
              <w:keepLines w:val="0"/>
              <w:numPr>
                <w:ilvl w:val="0"/>
                <w:numId w:val="7"/>
              </w:numPr>
              <w:suppressLineNumbers w:val="0"/>
              <w:tabs>
                <w:tab w:val="left" w:pos="0"/>
              </w:tabs>
              <w:adjustRightInd/>
              <w:spacing w:before="0" w:beforeAutospacing="0" w:after="0" w:afterAutospacing="0" w:line="300" w:lineRule="auto"/>
              <w:ind w:right="0"/>
              <w:jc w:val="center"/>
              <w:outlineLvl w:val="0"/>
              <w:rPr>
                <w:rFonts w:hint="eastAsia" w:ascii="仿宋" w:hAnsi="仿宋" w:eastAsia="仿宋" w:cs="仿宋"/>
                <w:color w:val="auto"/>
                <w:sz w:val="24"/>
                <w:highlight w:val="none"/>
              </w:rPr>
            </w:pPr>
          </w:p>
        </w:tc>
        <w:tc>
          <w:tcPr>
            <w:tcW w:w="403" w:type="pct"/>
            <w:vAlign w:val="center"/>
          </w:tcPr>
          <w:p w14:paraId="2B8EDB55">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价格分</w:t>
            </w:r>
          </w:p>
        </w:tc>
        <w:tc>
          <w:tcPr>
            <w:tcW w:w="402" w:type="pct"/>
            <w:shd w:val="clear" w:color="auto" w:fill="auto"/>
            <w:vAlign w:val="center"/>
          </w:tcPr>
          <w:p w14:paraId="228127BE">
            <w:pPr>
              <w:keepNext w:val="0"/>
              <w:keepLines w:val="0"/>
              <w:suppressLineNumbers w:val="0"/>
              <w:tabs>
                <w:tab w:val="left" w:pos="0"/>
              </w:tabs>
              <w:adjustRightInd/>
              <w:spacing w:before="0" w:beforeAutospacing="0" w:after="0" w:afterAutospacing="0" w:line="30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2707" w:type="pct"/>
          </w:tcPr>
          <w:p w14:paraId="4FDE7206">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有效投标报价的最低价作为评标基准价，其最低报价为满分；按［投标报价得分=（评标基准价/投标报价）*15］的计算公式计算。</w:t>
            </w:r>
          </w:p>
          <w:p w14:paraId="23C92D64">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14:paraId="77DF2DAA">
            <w:pPr>
              <w:keepNext w:val="0"/>
              <w:keepLines w:val="0"/>
              <w:suppressLineNumbers w:val="0"/>
              <w:tabs>
                <w:tab w:val="left" w:pos="0"/>
              </w:tabs>
              <w:adjustRightInd/>
              <w:spacing w:before="0" w:beforeAutospacing="0" w:after="0" w:afterAutospacing="0" w:line="300" w:lineRule="auto"/>
              <w:ind w:left="0" w:right="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579" w:type="pct"/>
            <w:vAlign w:val="center"/>
          </w:tcPr>
          <w:p w14:paraId="47E7D8E1">
            <w:pPr>
              <w:keepNext w:val="0"/>
              <w:keepLines w:val="0"/>
              <w:suppressLineNumbers w:val="0"/>
              <w:tabs>
                <w:tab w:val="left" w:pos="0"/>
              </w:tabs>
              <w:adjustRightInd/>
              <w:spacing w:before="0" w:beforeAutospacing="0" w:after="0" w:afterAutospacing="0" w:line="300" w:lineRule="auto"/>
              <w:ind w:left="0" w:right="0"/>
              <w:jc w:val="center"/>
              <w:rPr>
                <w:rFonts w:hint="eastAsia" w:ascii="仿宋" w:hAnsi="仿宋" w:eastAsia="仿宋" w:cs="仿宋"/>
                <w:color w:val="auto"/>
                <w:sz w:val="24"/>
                <w:highlight w:val="none"/>
              </w:rPr>
            </w:pPr>
          </w:p>
        </w:tc>
        <w:tc>
          <w:tcPr>
            <w:tcW w:w="639" w:type="pct"/>
          </w:tcPr>
          <w:p w14:paraId="24780EF9">
            <w:pPr>
              <w:keepNext w:val="0"/>
              <w:keepLines w:val="0"/>
              <w:suppressLineNumbers w:val="0"/>
              <w:tabs>
                <w:tab w:val="left" w:pos="0"/>
              </w:tabs>
              <w:adjustRightInd/>
              <w:spacing w:before="0" w:beforeAutospacing="0" w:after="0" w:afterAutospacing="0" w:line="300" w:lineRule="auto"/>
              <w:ind w:left="0" w:right="0"/>
              <w:rPr>
                <w:rFonts w:hint="eastAsia" w:ascii="仿宋" w:hAnsi="仿宋" w:eastAsia="仿宋" w:cs="仿宋"/>
                <w:color w:val="auto"/>
                <w:sz w:val="24"/>
                <w:highlight w:val="none"/>
              </w:rPr>
            </w:pPr>
          </w:p>
        </w:tc>
      </w:tr>
      <w:bookmarkEnd w:id="435"/>
    </w:tbl>
    <w:p w14:paraId="22B6834D">
      <w:pPr>
        <w:wordWrap w:val="0"/>
        <w:snapToGrid w:val="0"/>
        <w:spacing w:line="360" w:lineRule="auto"/>
        <w:rPr>
          <w:rFonts w:hint="eastAsia" w:ascii="仿宋" w:hAnsi="仿宋" w:eastAsia="仿宋" w:cs="仿宋"/>
          <w:color w:val="auto"/>
          <w:szCs w:val="21"/>
          <w:highlight w:val="none"/>
          <w:shd w:val="clear" w:color="auto" w:fill="FFFFFF"/>
        </w:rPr>
      </w:pPr>
    </w:p>
    <w:p w14:paraId="22B6834E">
      <w:pPr>
        <w:wordWrap w:val="0"/>
        <w:snapToGrid w:val="0"/>
        <w:spacing w:line="360" w:lineRule="auto"/>
        <w:rPr>
          <w:rFonts w:hint="eastAsia" w:ascii="仿宋" w:hAnsi="仿宋" w:eastAsia="仿宋" w:cs="仿宋"/>
          <w:b/>
          <w:color w:val="auto"/>
          <w:szCs w:val="21"/>
          <w:highlight w:val="none"/>
        </w:rPr>
      </w:pPr>
      <w:r>
        <w:rPr>
          <w:rFonts w:hint="eastAsia" w:ascii="仿宋" w:hAnsi="仿宋" w:eastAsia="仿宋" w:cs="仿宋"/>
          <w:color w:val="auto"/>
          <w:szCs w:val="21"/>
          <w:highlight w:val="none"/>
          <w:shd w:val="clear" w:color="auto" w:fill="FFFFFF"/>
        </w:rPr>
        <w:t xml:space="preserve">   </w:t>
      </w:r>
      <w:r>
        <w:rPr>
          <w:rFonts w:hint="eastAsia" w:ascii="仿宋" w:hAnsi="仿宋" w:eastAsia="仿宋" w:cs="仿宋"/>
          <w:b/>
          <w:color w:val="auto"/>
          <w:szCs w:val="21"/>
          <w:highlight w:val="none"/>
        </w:rPr>
        <w:t>备注：1.</w:t>
      </w:r>
      <w:r>
        <w:rPr>
          <w:rFonts w:hint="eastAsia" w:ascii="仿宋" w:hAnsi="仿宋" w:eastAsia="仿宋" w:cs="仿宋"/>
          <w:color w:val="auto"/>
          <w:szCs w:val="21"/>
          <w:highlight w:val="none"/>
        </w:rPr>
        <w:t>投标人编制投标文件（商务技术文件部分）时，建议按此目录（序号和内容）提供评标标准相应的商务技术资料。 </w:t>
      </w:r>
    </w:p>
    <w:p w14:paraId="22B6834F">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2.证明材料提供扫描件或复制件，未提供或提供不全的不得分。以上包含本数，以下不含本数。</w:t>
      </w:r>
    </w:p>
    <w:p w14:paraId="22B68350">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评标委员会将对实质上响应招标文件的投标人，各自独立记名打分，小数点后最多保留两位。投标人商务技术分=评标委员会所有成员评分合计数/评标委员会组成人员数（小数点后保留两位，第三位四舍五入）。投标人价格得分小数点后保留两位小数。</w:t>
      </w:r>
    </w:p>
    <w:p w14:paraId="22B68351">
      <w:pPr>
        <w:wordWrap w:val="0"/>
        <w:spacing w:line="360" w:lineRule="auto"/>
        <w:ind w:firstLine="422" w:firstLineChars="200"/>
        <w:rPr>
          <w:rFonts w:hint="eastAsia" w:ascii="仿宋" w:hAnsi="仿宋" w:eastAsia="仿宋" w:cs="仿宋"/>
          <w:color w:val="auto"/>
          <w:szCs w:val="21"/>
          <w:highlight w:val="none"/>
          <w:u w:val="single"/>
        </w:rPr>
      </w:pPr>
      <w:r>
        <w:rPr>
          <w:rFonts w:hint="eastAsia" w:ascii="仿宋" w:hAnsi="仿宋" w:eastAsia="仿宋" w:cs="仿宋"/>
          <w:b/>
          <w:bCs/>
          <w:color w:val="auto"/>
          <w:szCs w:val="21"/>
          <w:highlight w:val="none"/>
          <w:u w:val="single"/>
        </w:rPr>
        <w:t>□4.</w:t>
      </w:r>
      <w:r>
        <w:rPr>
          <w:rFonts w:hint="eastAsia" w:ascii="仿宋" w:hAnsi="仿宋" w:eastAsia="仿宋" w:cs="仿宋"/>
          <w:color w:val="auto"/>
          <w:szCs w:val="21"/>
          <w:highlight w:val="none"/>
          <w:u w:val="single"/>
        </w:rPr>
        <w:t>项目负责人“有在建合同工程、有在服务合同 ”规定：</w:t>
      </w:r>
    </w:p>
    <w:p w14:paraId="22B68352">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4.1对项目负责人“有在建合同工程、有在服务合同 ”的认定标准：</w:t>
      </w:r>
    </w:p>
    <w:p w14:paraId="22B68353">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（1）拟派项目负责人在投标截止时间尚有在其他在建合同工程、在服务合同中担任项目负责人的情形为“有在建合同工程、有在服务合同”。</w:t>
      </w:r>
    </w:p>
    <w:p w14:paraId="22B68354">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（2）其他工程、服务项目，包括在中华人民共和国境内所有建设工程、所有服务项目，不受地域、行业和投资性质的限制。</w:t>
      </w:r>
    </w:p>
    <w:p w14:paraId="22B68355">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在建合同工程、在建服务的时间界定：在建合同工程、在建服务的开始时间为合同工程、合同服务中标/成交通知书发出日期，或者不通过招标、采购方式的则以合同签订日期为开始时间，结束时间为该合同工程、服务验收合格或合同解除日期）。</w:t>
      </w:r>
    </w:p>
    <w:p w14:paraId="22B68356">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4.2以下情形视为“有在建合同工程、在建合同服务 ”：</w:t>
      </w:r>
      <w:r>
        <w:rPr>
          <w:rFonts w:hint="eastAsia" w:ascii="仿宋" w:hAnsi="仿宋" w:eastAsia="仿宋" w:cs="仿宋"/>
          <w:color w:val="auto"/>
          <w:szCs w:val="21"/>
          <w:highlight w:val="none"/>
          <w:u w:val="single"/>
        </w:rPr>
        <w:tab/>
      </w:r>
    </w:p>
    <w:p w14:paraId="22B68357">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（1）合同协议书尚未签订的，中标/成交通知书中载明的项目负责人；</w:t>
      </w:r>
    </w:p>
    <w:p w14:paraId="22B68358">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（2）合同协议书已经签订，合同协议书中明确的项目负责人；</w:t>
      </w:r>
    </w:p>
    <w:p w14:paraId="22B68359">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（3）项目负责人发生更换的，以现任项目负责人视为有 “在建合同工程、在服务合同”。</w:t>
      </w:r>
    </w:p>
    <w:p w14:paraId="22B6835A">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4.3在建、在服务项目的项目负责人办理更换后，投标时需提供的资料：</w:t>
      </w:r>
    </w:p>
    <w:p w14:paraId="22B6835B">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（1）项目业主同意更换的证明；</w:t>
      </w:r>
    </w:p>
    <w:p w14:paraId="22B6835C">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（2）原项目负责人在建项目信息有备案在建设主管部门 的，应提供建设主管部门同意更换的证明或网上变更信息复制件；</w:t>
      </w:r>
    </w:p>
    <w:p w14:paraId="22B6835D">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注：投标文件递交时未提供以上情形有效证明材料的，开标后补充的证明材料均不予认可</w:t>
      </w:r>
    </w:p>
    <w:p w14:paraId="22B6835E">
      <w:pPr>
        <w:wordWrap w:val="0"/>
        <w:spacing w:line="360" w:lineRule="auto"/>
        <w:ind w:firstLine="420" w:firstLineChars="200"/>
        <w:rPr>
          <w:rFonts w:hint="eastAsia" w:ascii="仿宋" w:hAnsi="仿宋" w:eastAsia="仿宋" w:cs="仿宋"/>
          <w:color w:val="auto"/>
          <w:szCs w:val="21"/>
          <w:highlight w:val="none"/>
          <w:u w:val="single"/>
        </w:rPr>
      </w:pPr>
    </w:p>
    <w:p w14:paraId="22B6835F">
      <w:pPr>
        <w:wordWrap w:val="0"/>
        <w:snapToGrid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br w:type="page"/>
      </w:r>
    </w:p>
    <w:p w14:paraId="22B68360">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1.评标方法</w:t>
      </w:r>
    </w:p>
    <w:p w14:paraId="22B68361">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1.1本项目采用综合评分法。综合评分法，是指投标文件满足招标文件全部实质性要求，且按照评审因素的量化指标评审得分最高的投标人为中标候选人的评标方法。</w:t>
      </w:r>
    </w:p>
    <w:p w14:paraId="22B68362">
      <w:pPr>
        <w:adjustRightInd/>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2.评标标准</w:t>
      </w:r>
    </w:p>
    <w:p w14:paraId="22B683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见评标办法前附表。</w:t>
      </w:r>
    </w:p>
    <w:p w14:paraId="22B68364">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3.评标程序</w:t>
      </w:r>
    </w:p>
    <w:p w14:paraId="22B683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3.1符合性审查。评标委员会应当对符合资格的投标人的投标文件进行符合性审查，以确定其是否满足招标文件的实质性要求。不满足招标文件的实质性要求的，投标无效。</w:t>
      </w:r>
    </w:p>
    <w:p w14:paraId="22B683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3.2比较与评价。评标委员会应当按照招标文件中规定的评标方法和标准，对符合性审查合格的投标文件进行商务和技术评估，综合比较与评价。</w:t>
      </w:r>
    </w:p>
    <w:p w14:paraId="22B683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3.3汇总商务技术得分。评标委员会各成员应当独立对每个投标人的商务和技术文件进行评价，并汇总商务技术得分情况。</w:t>
      </w:r>
    </w:p>
    <w:p w14:paraId="22B683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3.4报价评审。</w:t>
      </w:r>
    </w:p>
    <w:p w14:paraId="22B6836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3.4.1 报价文件开启后，如发现开标结果与报价文件不一致者，以报价文件为准。由评标委员会根据报价文件内容进行修正。</w:t>
      </w:r>
    </w:p>
    <w:p w14:paraId="22B6836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3.4.2投标文件报价出现前后不一致的，按照下列规定修正：</w:t>
      </w:r>
    </w:p>
    <w:p w14:paraId="22B6836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3.4.2.1投标文件中开标一览表(报价表)内容与投标文件中相应内容不一致的，以开标一览表(报价表)为准;但开标一览表(报价表)存在明显单位、文字错误的，则澄清、说明、补正；</w:t>
      </w:r>
    </w:p>
    <w:p w14:paraId="22B683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3.4.2.2大写金额和小写金额不一致的，以大写金额为准;但大写有明显单位、文字错误的除外;</w:t>
      </w:r>
    </w:p>
    <w:p w14:paraId="22B683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3.4.2.3单价金额小数点或者百分比有明显错位的，以开标一览表的总价为准，并修改单价;</w:t>
      </w:r>
    </w:p>
    <w:p w14:paraId="22B683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3.4.2.4总价金额与按单价汇总金额不一致的，以单价金额计算结果为准。</w:t>
      </w:r>
    </w:p>
    <w:p w14:paraId="22B683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同时出现两种以上不一致的，按照3.4.2规定的顺序修正。修正后的报价按照财政部第87号令 《政府采购货物和服务招标投标管理办法》第五十一条第二款的规定经投标人确认后产生约束力。</w:t>
      </w:r>
    </w:p>
    <w:p w14:paraId="22B683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3.4.3投标文件出现不是唯一的、有选择性投标报价的，投标无效。</w:t>
      </w:r>
    </w:p>
    <w:p w14:paraId="22B683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3.4.4投标报价超过招标文件中规定的预算金额或者最高限价的，投标无效。</w:t>
      </w:r>
    </w:p>
    <w:p w14:paraId="22B683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3.4.5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14:paraId="22B6837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3.4.6对于未预留份额专门面向中小企业的政府采购货物或服务项目，以及预留份额政府采购货物或服务项目中的非预留部分标项，对小型和微型企业的投标报价给予10% 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w:t>
      </w:r>
    </w:p>
    <w:p w14:paraId="22B683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组成联合体或者接受分包的小微企业与联合体内其他企业、分包企业之间存在直接控股、管理关系的，不享受价格扣除优惠政策。</w:t>
      </w:r>
    </w:p>
    <w:p w14:paraId="22B68375">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
          <w:bCs/>
          <w:color w:val="auto"/>
          <w:sz w:val="24"/>
          <w:highlight w:val="none"/>
        </w:rPr>
        <w:t>本项目推荐3名中标候选人。</w:t>
      </w:r>
    </w:p>
    <w:p w14:paraId="22B68376">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hint="eastAsia" w:ascii="仿宋" w:hAnsi="仿宋" w:eastAsia="仿宋" w:cs="仿宋"/>
          <w:b/>
          <w:bCs/>
          <w:color w:val="auto"/>
          <w:sz w:val="24"/>
          <w:highlight w:val="none"/>
        </w:rPr>
        <w:t>（本项目不适用）</w:t>
      </w:r>
    </w:p>
    <w:p w14:paraId="22B6837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2B68378">
      <w:pPr>
        <w:widowControl/>
        <w:adjustRightInd/>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4.评标中的其他事项</w:t>
      </w:r>
    </w:p>
    <w:p w14:paraId="22B6837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2B6837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4.2投标无效</w:t>
      </w:r>
    </w:p>
    <w:p w14:paraId="22B6837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有下列情况之一的，投标无效：</w:t>
      </w:r>
    </w:p>
    <w:p w14:paraId="22B683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4.2.1投标人不具备招标文件中规定的资格要求的（投标人未提供有效的资格文件的，视为投标人不具备招标文件中规定的资格要求）；</w:t>
      </w:r>
    </w:p>
    <w:p w14:paraId="22B683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4.2.2投标文件未按照招标文件要求签署、盖章的；</w:t>
      </w:r>
    </w:p>
    <w:p w14:paraId="22B683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4.2.3采购人拟采购的产品属于政府强制采购的节能产品品目清单范围的，投标人未按招标文件要求提供国家确定的认证机构出具的、处于有效期之内的节能产品认证证书的；（服务项目不适用）</w:t>
      </w:r>
    </w:p>
    <w:p w14:paraId="22B683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4.2.4投标文件含有采购人不能接受的附加条件的；</w:t>
      </w:r>
    </w:p>
    <w:p w14:paraId="22B683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4.2.5投标文件中承诺的投标有效期少于招标文件中载明的投标有效期的；</w:t>
      </w:r>
    </w:p>
    <w:p w14:paraId="22B683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4.2.6投标文件出现不是唯一的、有选择性投标报价的;</w:t>
      </w:r>
    </w:p>
    <w:p w14:paraId="22B6838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4.2.7投标报价超过招标文件中规定的预算金额或者最高限价的;</w:t>
      </w:r>
    </w:p>
    <w:p w14:paraId="22B6838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4.2.8报价明显低于其他通过符合性审查投标人的报价，有可能影响产品质量或者不能诚信履约的，未能按要求提供书面说明或者提交相关证明材料，不能证明其报价合理性的;</w:t>
      </w:r>
    </w:p>
    <w:p w14:paraId="22B6838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4.2.9投标人对根据修正原则修正后的报价不确认的；</w:t>
      </w:r>
    </w:p>
    <w:p w14:paraId="22B6838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4.2.10投标人提供虚假材料投标的；</w:t>
      </w:r>
    </w:p>
    <w:p w14:paraId="22B6838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4.2.11投标人有恶意串通、妨碍其他投标人的竞争行为、损害采购人或者其他投标人的合法权益情形的；</w:t>
      </w:r>
    </w:p>
    <w:p w14:paraId="22B6838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4.2.12投标人仅提交备份投标文件，没有在电子交易平台传输递交投标文件的，投标无效；</w:t>
      </w:r>
    </w:p>
    <w:p w14:paraId="22B6838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4.2.13 投标文件不满足招标文件的其它实质性要求的；</w:t>
      </w:r>
    </w:p>
    <w:p w14:paraId="22B6838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4.2.14 不同供应商的电子投标（响应）文件上传计算机的网卡MAC地址、CPU序列号和硬盘序列号等硬件信息相同的；不同供应商电子子投标（响应）文件上传的IP地址相同，且无法合理解释的；</w:t>
      </w:r>
    </w:p>
    <w:p w14:paraId="22B6838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4.2.15 上传的电子投标（响应）文件若出现使用本项目其他投标（响应）人的数字证书加密的，或者加盖本项目其他投标（响应）人的电子印章的；</w:t>
      </w:r>
    </w:p>
    <w:p w14:paraId="22B6838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4.2.16 不同供应商的投标（响应）文件的内容存在两处以上细节错误一致，且无法合理解释的；</w:t>
      </w:r>
    </w:p>
    <w:p w14:paraId="22B6838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4.2.17不同供应商联系人为同一人或不同联系人的联系电话一致，且无法合理解释的。</w:t>
      </w:r>
    </w:p>
    <w:p w14:paraId="22B6838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4.2.18法律、法规、规章（适用本市的）及省级以上规范性文件（适用本市的）规定的其他无效情形。</w:t>
      </w:r>
    </w:p>
    <w:p w14:paraId="22B6838E">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5.废标</w:t>
      </w:r>
    </w:p>
    <w:p w14:paraId="22B6838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根据《中华人民共和国政府采购法》第三十六条之规定，在采购中，出现下列情形之一的，应予废标：</w:t>
      </w:r>
    </w:p>
    <w:p w14:paraId="22B6839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5.1符合专业条件的供应商或者对招标文件做实质响应的供应商不足3家的；</w:t>
      </w:r>
    </w:p>
    <w:p w14:paraId="22B6839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5.2出现影响采购公正的违法、违规行为的；</w:t>
      </w:r>
    </w:p>
    <w:p w14:paraId="22B6839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5.3投标人的报价均超过了采购预算，采购人不能支付的；</w:t>
      </w:r>
    </w:p>
    <w:p w14:paraId="22B6839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5.4因重大变故，采购任务取消的。</w:t>
      </w:r>
    </w:p>
    <w:p w14:paraId="22B6839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废标后，采购代理机构应当将废标理由通知所有投标人。</w:t>
      </w:r>
    </w:p>
    <w:p w14:paraId="22B68395">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6.修改招标文件，重新组织采购活动</w:t>
      </w:r>
    </w:p>
    <w:p w14:paraId="22B6839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2B68397">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7.重新开展采购</w:t>
      </w:r>
    </w:p>
    <w:p w14:paraId="22B6839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有政府采购法第七十一条、第七十二条规定的违法行为之一，影响或者可能影响中标结果的，依照下列规定处理：</w:t>
      </w:r>
    </w:p>
    <w:p w14:paraId="22B6839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7.1未确定中标或者中标人的，终止本次政府采购活动，重新开展政府采购活动。</w:t>
      </w:r>
    </w:p>
    <w:p w14:paraId="22B6839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7.2已确定中标或者中标人但尚未签订政府采购合同的，中标结果无效，从合格的中标候选人中另行确定中标或者中标人；没有合格的中标候选人的，重新开展政府采购活动。</w:t>
      </w:r>
    </w:p>
    <w:p w14:paraId="22B6839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7.3政府采购合同已签订但尚未履行的，撤销合同，从合格的中标候选人中另行确定中标或者中标人；没有合格的中标候选人的，重新开展政府采购活动。</w:t>
      </w:r>
    </w:p>
    <w:p w14:paraId="22B6839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7.4政府采购合同已经履行，给采购人、供应商造成损失的，由责任人承担赔偿责任。</w:t>
      </w:r>
    </w:p>
    <w:p w14:paraId="22B6839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2B6839E">
      <w:pPr>
        <w:pStyle w:val="26"/>
        <w:wordWrap w:val="0"/>
        <w:snapToGrid w:val="0"/>
        <w:spacing w:line="360" w:lineRule="auto"/>
        <w:rPr>
          <w:rFonts w:hint="eastAsia" w:ascii="仿宋" w:hAnsi="仿宋" w:eastAsia="仿宋" w:cs="仿宋"/>
          <w:color w:val="auto"/>
          <w:highlight w:val="none"/>
        </w:rPr>
      </w:pPr>
    </w:p>
    <w:bookmarkEnd w:id="54"/>
    <w:p w14:paraId="22B6839F">
      <w:pPr>
        <w:wordWrap w:val="0"/>
        <w:spacing w:line="360" w:lineRule="auto"/>
        <w:ind w:left="720" w:leftChars="343" w:firstLine="1084" w:firstLineChars="300"/>
        <w:rPr>
          <w:rFonts w:hint="eastAsia" w:ascii="仿宋" w:hAnsi="仿宋" w:eastAsia="仿宋" w:cs="仿宋"/>
          <w:b/>
          <w:color w:val="auto"/>
          <w:sz w:val="36"/>
          <w:szCs w:val="36"/>
          <w:highlight w:val="none"/>
        </w:rPr>
      </w:pPr>
      <w:bookmarkStart w:id="436" w:name="第五部分"/>
      <w:bookmarkStart w:id="437" w:name="_Toc86217003"/>
    </w:p>
    <w:p w14:paraId="22B683A0">
      <w:pPr>
        <w:wordWrap w:val="0"/>
        <w:spacing w:line="360" w:lineRule="auto"/>
        <w:ind w:left="720" w:leftChars="343" w:firstLine="1084" w:firstLineChars="300"/>
        <w:rPr>
          <w:rFonts w:hint="eastAsia" w:ascii="仿宋" w:hAnsi="仿宋" w:eastAsia="仿宋" w:cs="仿宋"/>
          <w:b/>
          <w:color w:val="auto"/>
          <w:sz w:val="36"/>
          <w:szCs w:val="36"/>
          <w:highlight w:val="none"/>
        </w:rPr>
      </w:pPr>
    </w:p>
    <w:p w14:paraId="22B683A1">
      <w:pPr>
        <w:wordWrap w:val="0"/>
        <w:spacing w:line="360" w:lineRule="auto"/>
        <w:ind w:left="720" w:leftChars="343" w:firstLine="1084" w:firstLineChars="300"/>
        <w:rPr>
          <w:rFonts w:hint="eastAsia" w:ascii="仿宋" w:hAnsi="仿宋" w:eastAsia="仿宋" w:cs="仿宋"/>
          <w:b/>
          <w:color w:val="auto"/>
          <w:sz w:val="36"/>
          <w:szCs w:val="36"/>
          <w:highlight w:val="none"/>
        </w:rPr>
      </w:pPr>
    </w:p>
    <w:p w14:paraId="22B683A2">
      <w:pPr>
        <w:wordWrap w:val="0"/>
        <w:spacing w:line="360" w:lineRule="auto"/>
        <w:ind w:left="720" w:leftChars="343" w:firstLine="1084" w:firstLineChars="300"/>
        <w:rPr>
          <w:rFonts w:hint="eastAsia" w:ascii="仿宋" w:hAnsi="仿宋" w:eastAsia="仿宋" w:cs="仿宋"/>
          <w:b/>
          <w:color w:val="auto"/>
          <w:sz w:val="36"/>
          <w:szCs w:val="36"/>
          <w:highlight w:val="none"/>
        </w:rPr>
      </w:pPr>
    </w:p>
    <w:p w14:paraId="22B683A3">
      <w:pPr>
        <w:tabs>
          <w:tab w:val="left" w:pos="1792"/>
        </w:tabs>
        <w:wordWrap w:val="0"/>
        <w:spacing w:line="360" w:lineRule="auto"/>
        <w:ind w:left="720" w:leftChars="343" w:firstLine="1084" w:firstLineChars="30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ab/>
      </w:r>
    </w:p>
    <w:p w14:paraId="757A1197">
      <w:pPr>
        <w:wordWrap w:val="0"/>
        <w:ind w:firstLine="1807" w:firstLineChars="500"/>
        <w:rPr>
          <w:rFonts w:hint="eastAsia" w:ascii="仿宋" w:hAnsi="仿宋" w:eastAsia="仿宋" w:cs="仿宋"/>
          <w:b/>
          <w:color w:val="auto"/>
          <w:sz w:val="36"/>
          <w:szCs w:val="36"/>
          <w:highlight w:val="none"/>
        </w:rPr>
        <w:sectPr>
          <w:footerReference r:id="rId11" w:type="first"/>
          <w:headerReference r:id="rId9" w:type="default"/>
          <w:footerReference r:id="rId10" w:type="default"/>
          <w:pgSz w:w="11905" w:h="16838"/>
          <w:pgMar w:top="652" w:right="1417" w:bottom="680" w:left="1417" w:header="539" w:footer="425" w:gutter="0"/>
          <w:cols w:space="0" w:num="1"/>
          <w:titlePg/>
        </w:sectPr>
      </w:pPr>
      <w:bookmarkStart w:id="438" w:name="_Toc22290"/>
      <w:bookmarkStart w:id="439" w:name="_Toc28629"/>
      <w:bookmarkStart w:id="440" w:name="_Toc12903"/>
    </w:p>
    <w:p w14:paraId="22B683A5">
      <w:pPr>
        <w:wordWrap w:val="0"/>
        <w:ind w:firstLine="1807" w:firstLineChars="500"/>
        <w:outlineLvl w:val="0"/>
        <w:rPr>
          <w:rFonts w:hint="eastAsia" w:ascii="仿宋" w:hAnsi="仿宋" w:eastAsia="仿宋" w:cs="仿宋"/>
          <w:b/>
          <w:color w:val="auto"/>
          <w:sz w:val="36"/>
          <w:szCs w:val="36"/>
          <w:highlight w:val="none"/>
        </w:rPr>
      </w:pPr>
      <w:bookmarkStart w:id="441" w:name="_Toc12722"/>
      <w:bookmarkStart w:id="442" w:name="_Toc8068"/>
      <w:bookmarkStart w:id="443" w:name="_Toc30437"/>
      <w:bookmarkStart w:id="444" w:name="_Toc4079"/>
      <w:bookmarkStart w:id="445" w:name="_Toc15911"/>
      <w:bookmarkStart w:id="446" w:name="_Toc3651"/>
      <w:r>
        <w:rPr>
          <w:rFonts w:hint="eastAsia" w:ascii="仿宋" w:hAnsi="仿宋" w:eastAsia="仿宋" w:cs="仿宋"/>
          <w:b/>
          <w:color w:val="auto"/>
          <w:sz w:val="36"/>
          <w:szCs w:val="36"/>
          <w:highlight w:val="none"/>
        </w:rPr>
        <w:t>第五部分 拟签订的合同文本</w:t>
      </w:r>
      <w:bookmarkEnd w:id="438"/>
      <w:bookmarkEnd w:id="439"/>
      <w:bookmarkEnd w:id="440"/>
      <w:bookmarkEnd w:id="441"/>
      <w:bookmarkEnd w:id="442"/>
      <w:bookmarkEnd w:id="443"/>
      <w:bookmarkEnd w:id="444"/>
      <w:bookmarkEnd w:id="445"/>
      <w:bookmarkEnd w:id="446"/>
    </w:p>
    <w:p w14:paraId="22B683A6">
      <w:pPr>
        <w:adjustRightInd/>
        <w:spacing w:line="360" w:lineRule="auto"/>
        <w:rPr>
          <w:rFonts w:hint="eastAsia" w:ascii="仿宋" w:hAnsi="仿宋" w:eastAsia="仿宋" w:cs="仿宋"/>
          <w:color w:val="auto"/>
          <w:sz w:val="24"/>
          <w:highlight w:val="none"/>
          <w:u w:val="single"/>
        </w:rPr>
      </w:pPr>
      <w:bookmarkStart w:id="447" w:name="_Toc14743_WPSOffice_Level2"/>
      <w:bookmarkStart w:id="448" w:name="_Toc2144"/>
      <w:bookmarkStart w:id="449" w:name="_Toc9348"/>
      <w:bookmarkStart w:id="450" w:name="_Toc25525"/>
      <w:bookmarkStart w:id="451" w:name="_Toc3441"/>
      <w:bookmarkStart w:id="452" w:name="_Toc17376"/>
      <w:bookmarkStart w:id="453" w:name="_Toc23526"/>
      <w:bookmarkStart w:id="454" w:name="_Toc22489"/>
      <w:r>
        <w:rPr>
          <w:rFonts w:hint="eastAsia" w:ascii="仿宋" w:hAnsi="仿宋" w:eastAsia="仿宋" w:cs="仿宋"/>
          <w:color w:val="auto"/>
          <w:sz w:val="24"/>
          <w:highlight w:val="none"/>
        </w:rPr>
        <w:t>合同编号：</w:t>
      </w:r>
    </w:p>
    <w:p w14:paraId="22B683A7">
      <w:pPr>
        <w:adjustRightInd/>
        <w:spacing w:line="360" w:lineRule="auto"/>
        <w:jc w:val="center"/>
        <w:rPr>
          <w:rFonts w:hint="eastAsia" w:ascii="仿宋" w:hAnsi="仿宋" w:eastAsia="仿宋" w:cs="仿宋"/>
          <w:bCs/>
          <w:color w:val="auto"/>
          <w:sz w:val="24"/>
          <w:highlight w:val="none"/>
        </w:rPr>
      </w:pPr>
    </w:p>
    <w:p w14:paraId="22B683A8">
      <w:pPr>
        <w:adjustRightInd/>
        <w:spacing w:line="360" w:lineRule="auto"/>
        <w:jc w:val="center"/>
        <w:rPr>
          <w:rFonts w:hint="eastAsia" w:ascii="仿宋" w:hAnsi="仿宋" w:eastAsia="仿宋" w:cs="仿宋"/>
          <w:bCs/>
          <w:color w:val="auto"/>
          <w:sz w:val="24"/>
          <w:highlight w:val="none"/>
        </w:rPr>
      </w:pPr>
    </w:p>
    <w:p w14:paraId="22B683A9">
      <w:pPr>
        <w:adjustRightInd/>
        <w:spacing w:line="360" w:lineRule="auto"/>
        <w:ind w:firstLine="643"/>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val="en-US" w:eastAsia="zh-CN"/>
        </w:rPr>
        <w:t>城市河道</w:t>
      </w:r>
      <w:r>
        <w:rPr>
          <w:rFonts w:hint="eastAsia" w:ascii="仿宋" w:hAnsi="仿宋" w:eastAsia="仿宋" w:cs="仿宋"/>
          <w:b/>
          <w:bCs/>
          <w:color w:val="auto"/>
          <w:sz w:val="36"/>
          <w:szCs w:val="36"/>
          <w:highlight w:val="none"/>
        </w:rPr>
        <w:t>闸站养护服务合同</w:t>
      </w:r>
      <w:bookmarkEnd w:id="447"/>
    </w:p>
    <w:p w14:paraId="22B683AA">
      <w:pPr>
        <w:adjustRightInd/>
        <w:spacing w:line="360" w:lineRule="auto"/>
        <w:jc w:val="center"/>
        <w:rPr>
          <w:rFonts w:hint="eastAsia" w:ascii="仿宋" w:hAnsi="仿宋" w:eastAsia="仿宋" w:cs="仿宋"/>
          <w:bCs/>
          <w:color w:val="auto"/>
          <w:sz w:val="24"/>
          <w:highlight w:val="none"/>
        </w:rPr>
      </w:pPr>
    </w:p>
    <w:p w14:paraId="22B683AB">
      <w:pPr>
        <w:adjustRightInd/>
        <w:spacing w:line="360" w:lineRule="auto"/>
        <w:rPr>
          <w:rFonts w:hint="eastAsia" w:ascii="仿宋" w:hAnsi="仿宋" w:eastAsia="仿宋" w:cs="仿宋"/>
          <w:color w:val="auto"/>
          <w:sz w:val="24"/>
          <w:highlight w:val="none"/>
        </w:rPr>
      </w:pPr>
    </w:p>
    <w:p w14:paraId="22B683AC">
      <w:pPr>
        <w:adjustRightInd/>
        <w:spacing w:line="360" w:lineRule="auto"/>
        <w:ind w:firstLine="480" w:firstLineChars="200"/>
        <w:rPr>
          <w:rFonts w:hint="eastAsia" w:ascii="仿宋" w:hAnsi="仿宋" w:eastAsia="仿宋" w:cs="仿宋"/>
          <w:color w:val="auto"/>
          <w:sz w:val="24"/>
          <w:highlight w:val="none"/>
          <w:u w:val="single"/>
          <w:lang w:val="zh-TW"/>
        </w:rPr>
      </w:pPr>
      <w:r>
        <w:rPr>
          <w:rFonts w:hint="eastAsia" w:ascii="仿宋" w:hAnsi="仿宋" w:eastAsia="仿宋" w:cs="仿宋"/>
          <w:color w:val="auto"/>
          <w:sz w:val="24"/>
          <w:highlight w:val="none"/>
        </w:rPr>
        <w:t xml:space="preserve">         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TW"/>
        </w:rPr>
        <w:t>杭州市城市水设施和河道保护管理中心</w:t>
      </w:r>
    </w:p>
    <w:p w14:paraId="22B683AD">
      <w:pPr>
        <w:adjustRightInd/>
        <w:spacing w:line="360" w:lineRule="auto"/>
        <w:rPr>
          <w:rFonts w:hint="eastAsia" w:ascii="仿宋" w:hAnsi="仿宋" w:eastAsia="仿宋" w:cs="仿宋"/>
          <w:color w:val="auto"/>
          <w:sz w:val="24"/>
          <w:highlight w:val="none"/>
          <w:u w:val="single"/>
        </w:rPr>
      </w:pPr>
    </w:p>
    <w:p w14:paraId="22B683AE">
      <w:pPr>
        <w:adjustRightInd/>
        <w:spacing w:line="360" w:lineRule="auto"/>
        <w:rPr>
          <w:rFonts w:hint="eastAsia" w:ascii="仿宋" w:hAnsi="仿宋" w:eastAsia="仿宋" w:cs="仿宋"/>
          <w:color w:val="auto"/>
          <w:sz w:val="24"/>
          <w:highlight w:val="none"/>
          <w:u w:val="thick"/>
        </w:rPr>
      </w:pPr>
      <w:r>
        <w:rPr>
          <w:rFonts w:hint="eastAsia" w:ascii="仿宋" w:hAnsi="仿宋" w:eastAsia="仿宋" w:cs="仿宋"/>
          <w:color w:val="auto"/>
          <w:sz w:val="24"/>
          <w:highlight w:val="none"/>
        </w:rPr>
        <w:t xml:space="preserve">             乙方：</w:t>
      </w:r>
      <w:r>
        <w:rPr>
          <w:rFonts w:hint="eastAsia" w:ascii="仿宋" w:hAnsi="仿宋" w:eastAsia="仿宋" w:cs="仿宋"/>
          <w:color w:val="auto"/>
          <w:sz w:val="24"/>
          <w:highlight w:val="none"/>
          <w:u w:val="single"/>
        </w:rPr>
        <w:t xml:space="preserve">                                    </w:t>
      </w:r>
    </w:p>
    <w:p w14:paraId="22B683AF">
      <w:pPr>
        <w:adjustRightInd/>
        <w:spacing w:line="360" w:lineRule="auto"/>
        <w:rPr>
          <w:rFonts w:hint="eastAsia" w:ascii="仿宋" w:hAnsi="仿宋" w:eastAsia="仿宋" w:cs="仿宋"/>
          <w:color w:val="auto"/>
          <w:sz w:val="24"/>
          <w:highlight w:val="none"/>
          <w:u w:val="single"/>
        </w:rPr>
      </w:pPr>
    </w:p>
    <w:p w14:paraId="22B683B0">
      <w:pPr>
        <w:adjustRightInd/>
        <w:spacing w:line="360" w:lineRule="auto"/>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22B683B1">
      <w:pPr>
        <w:spacing w:line="360" w:lineRule="auto"/>
        <w:rPr>
          <w:rFonts w:hint="eastAsia" w:ascii="仿宋" w:hAnsi="仿宋" w:eastAsia="仿宋" w:cs="仿宋"/>
          <w:color w:val="auto"/>
          <w:sz w:val="24"/>
          <w:highlight w:val="none"/>
          <w:u w:val="single"/>
          <w:lang w:val="zh-CN"/>
        </w:rPr>
      </w:pPr>
    </w:p>
    <w:p w14:paraId="22B683B2">
      <w:pPr>
        <w:spacing w:line="360" w:lineRule="auto"/>
        <w:rPr>
          <w:rFonts w:hint="eastAsia" w:ascii="仿宋" w:hAnsi="仿宋" w:eastAsia="仿宋" w:cs="仿宋"/>
          <w:color w:val="auto"/>
          <w:sz w:val="24"/>
          <w:highlight w:val="none"/>
          <w:u w:val="single"/>
          <w:lang w:val="zh-CN"/>
        </w:rPr>
      </w:pPr>
    </w:p>
    <w:p w14:paraId="22B683B3">
      <w:pPr>
        <w:spacing w:line="360" w:lineRule="auto"/>
        <w:rPr>
          <w:rFonts w:hint="eastAsia" w:ascii="仿宋" w:hAnsi="仿宋" w:eastAsia="仿宋" w:cs="仿宋"/>
          <w:color w:val="auto"/>
          <w:sz w:val="24"/>
          <w:highlight w:val="none"/>
          <w:u w:val="single"/>
          <w:lang w:val="zh-CN"/>
        </w:rPr>
      </w:pPr>
    </w:p>
    <w:p w14:paraId="22B683B4">
      <w:pPr>
        <w:spacing w:line="360" w:lineRule="auto"/>
        <w:rPr>
          <w:rFonts w:hint="eastAsia" w:ascii="仿宋" w:hAnsi="仿宋" w:eastAsia="仿宋" w:cs="仿宋"/>
          <w:color w:val="auto"/>
          <w:sz w:val="24"/>
          <w:highlight w:val="none"/>
          <w:u w:val="single"/>
          <w:lang w:val="zh-CN"/>
        </w:rPr>
      </w:pPr>
    </w:p>
    <w:p w14:paraId="22B683B5">
      <w:pPr>
        <w:spacing w:line="360" w:lineRule="auto"/>
        <w:rPr>
          <w:rFonts w:hint="eastAsia" w:ascii="仿宋" w:hAnsi="仿宋" w:eastAsia="仿宋" w:cs="仿宋"/>
          <w:color w:val="auto"/>
          <w:sz w:val="24"/>
          <w:highlight w:val="none"/>
          <w:u w:val="single"/>
          <w:lang w:val="zh-CN"/>
        </w:rPr>
      </w:pPr>
    </w:p>
    <w:p w14:paraId="22B683B6">
      <w:pPr>
        <w:spacing w:line="360" w:lineRule="auto"/>
        <w:rPr>
          <w:rFonts w:hint="eastAsia" w:ascii="仿宋" w:hAnsi="仿宋" w:eastAsia="仿宋" w:cs="仿宋"/>
          <w:color w:val="auto"/>
          <w:sz w:val="24"/>
          <w:highlight w:val="none"/>
          <w:u w:val="single"/>
          <w:lang w:val="zh-CN"/>
        </w:rPr>
      </w:pPr>
    </w:p>
    <w:p w14:paraId="22B683B7">
      <w:pPr>
        <w:spacing w:line="360" w:lineRule="auto"/>
        <w:rPr>
          <w:rFonts w:hint="eastAsia" w:ascii="仿宋" w:hAnsi="仿宋" w:eastAsia="仿宋" w:cs="仿宋"/>
          <w:color w:val="auto"/>
          <w:sz w:val="24"/>
          <w:highlight w:val="none"/>
          <w:u w:val="single"/>
          <w:lang w:val="zh-CN"/>
        </w:rPr>
      </w:pPr>
    </w:p>
    <w:p w14:paraId="22B683B8">
      <w:pPr>
        <w:spacing w:line="360" w:lineRule="auto"/>
        <w:rPr>
          <w:rFonts w:hint="eastAsia" w:ascii="仿宋" w:hAnsi="仿宋" w:eastAsia="仿宋" w:cs="仿宋"/>
          <w:color w:val="auto"/>
          <w:sz w:val="24"/>
          <w:highlight w:val="none"/>
          <w:u w:val="single"/>
          <w:lang w:val="zh-CN"/>
        </w:rPr>
      </w:pPr>
    </w:p>
    <w:p w14:paraId="22B683B9">
      <w:pPr>
        <w:adjustRightInd/>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 </w:t>
      </w:r>
    </w:p>
    <w:p w14:paraId="22B683BA">
      <w:pPr>
        <w:adjustRightInd/>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养护服务期：</w:t>
      </w:r>
      <w:r>
        <w:rPr>
          <w:rFonts w:hint="eastAsia" w:ascii="仿宋" w:hAnsi="仿宋" w:eastAsia="仿宋" w:cs="仿宋"/>
          <w:color w:val="auto"/>
          <w:sz w:val="24"/>
          <w:highlight w:val="none"/>
          <w:u w:val="single"/>
        </w:rPr>
        <w:t xml:space="preserve"> 2025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1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1 日</w:t>
      </w:r>
      <w:r>
        <w:rPr>
          <w:rFonts w:hint="eastAsia" w:ascii="仿宋" w:hAnsi="仿宋" w:eastAsia="仿宋" w:cs="仿宋"/>
          <w:color w:val="auto"/>
          <w:sz w:val="24"/>
          <w:highlight w:val="none"/>
        </w:rPr>
        <w:t>起至</w:t>
      </w:r>
      <w:r>
        <w:rPr>
          <w:rFonts w:hint="eastAsia" w:ascii="仿宋" w:hAnsi="仿宋" w:eastAsia="仿宋" w:cs="仿宋"/>
          <w:color w:val="auto"/>
          <w:sz w:val="24"/>
          <w:highlight w:val="none"/>
          <w:u w:val="single"/>
        </w:rPr>
        <w:t xml:space="preserve"> 2027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31</w:t>
      </w:r>
      <w:r>
        <w:rPr>
          <w:rFonts w:hint="eastAsia" w:ascii="仿宋" w:hAnsi="仿宋" w:eastAsia="仿宋" w:cs="仿宋"/>
          <w:color w:val="auto"/>
          <w:sz w:val="24"/>
          <w:highlight w:val="none"/>
        </w:rPr>
        <w:t>日止</w:t>
      </w:r>
    </w:p>
    <w:p w14:paraId="22B683BB">
      <w:pPr>
        <w:adjustRightInd/>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年度合同价（合同价÷3）：</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           </w:t>
      </w:r>
    </w:p>
    <w:p w14:paraId="22B683BC">
      <w:pPr>
        <w:adjustRightInd/>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次签订：</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日起至</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日止</w:t>
      </w:r>
    </w:p>
    <w:p w14:paraId="22B683BD">
      <w:pPr>
        <w:adjustRightInd/>
        <w:spacing w:line="360" w:lineRule="auto"/>
        <w:rPr>
          <w:rFonts w:hint="eastAsia" w:ascii="仿宋" w:hAnsi="仿宋" w:eastAsia="仿宋" w:cs="仿宋"/>
          <w:color w:val="auto"/>
          <w:sz w:val="24"/>
          <w:highlight w:val="none"/>
        </w:rPr>
      </w:pPr>
    </w:p>
    <w:p w14:paraId="22B683BE">
      <w:pPr>
        <w:adjustRightInd/>
        <w:spacing w:line="360"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   年   月   日</w:t>
      </w:r>
    </w:p>
    <w:p w14:paraId="22B683BF">
      <w:pPr>
        <w:adjustRightInd/>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455" w:name="_Toc19841_WPSOffice_Level2"/>
      <w:r>
        <w:rPr>
          <w:rFonts w:hint="eastAsia" w:ascii="仿宋" w:hAnsi="仿宋" w:eastAsia="仿宋" w:cs="仿宋"/>
          <w:color w:val="auto"/>
          <w:sz w:val="24"/>
          <w:highlight w:val="none"/>
        </w:rPr>
        <w:t>城市河道闸站养护服务合同书</w:t>
      </w:r>
    </w:p>
    <w:bookmarkEnd w:id="455"/>
    <w:p w14:paraId="22B683C0">
      <w:pPr>
        <w:adjustRightInd/>
        <w:spacing w:line="360" w:lineRule="auto"/>
        <w:jc w:val="left"/>
        <w:rPr>
          <w:rFonts w:hint="eastAsia" w:ascii="仿宋" w:hAnsi="仿宋" w:eastAsia="仿宋" w:cs="仿宋"/>
          <w:color w:val="auto"/>
          <w:sz w:val="24"/>
          <w:highlight w:val="none"/>
        </w:rPr>
      </w:pPr>
    </w:p>
    <w:p w14:paraId="22B683C1">
      <w:pPr>
        <w:adjustRightInd/>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甲方：杭州市城市水设施和河道保护管理中心（以下简称甲方）</w:t>
      </w:r>
    </w:p>
    <w:p w14:paraId="22B683C2">
      <w:p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                                 （以下简称乙方）</w:t>
      </w:r>
    </w:p>
    <w:p w14:paraId="22B683C3">
      <w:pPr>
        <w:adjustRightInd/>
        <w:spacing w:line="360" w:lineRule="auto"/>
        <w:ind w:firstLine="480" w:firstLineChars="200"/>
        <w:rPr>
          <w:rFonts w:hint="eastAsia" w:ascii="仿宋" w:hAnsi="仿宋" w:eastAsia="仿宋" w:cs="仿宋"/>
          <w:color w:val="auto"/>
          <w:sz w:val="24"/>
          <w:highlight w:val="none"/>
        </w:rPr>
      </w:pPr>
    </w:p>
    <w:p w14:paraId="22B683C4">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根据《中华人民共和国民法典》的规定和（ 项目名称 ）招标文件</w:t>
      </w:r>
      <w:r>
        <w:rPr>
          <w:rFonts w:hint="eastAsia" w:ascii="仿宋" w:hAnsi="仿宋" w:eastAsia="仿宋" w:cs="仿宋"/>
          <w:color w:val="auto"/>
          <w:sz w:val="24"/>
          <w:highlight w:val="none"/>
          <w:u w:val="single"/>
        </w:rPr>
        <w:t>（项目编号：   ）</w:t>
      </w:r>
      <w:r>
        <w:rPr>
          <w:rFonts w:hint="eastAsia" w:ascii="仿宋" w:hAnsi="仿宋" w:eastAsia="仿宋" w:cs="仿宋"/>
          <w:color w:val="auto"/>
          <w:sz w:val="24"/>
          <w:highlight w:val="none"/>
        </w:rPr>
        <w:t>的有关要求，合同双方就</w:t>
      </w:r>
      <w:r>
        <w:rPr>
          <w:rFonts w:hint="eastAsia" w:ascii="仿宋" w:hAnsi="仿宋" w:eastAsia="仿宋" w:cs="仿宋"/>
          <w:b/>
          <w:color w:val="auto"/>
          <w:sz w:val="24"/>
          <w:highlight w:val="none"/>
          <w:u w:val="single"/>
        </w:rPr>
        <w:t xml:space="preserve">                           </w:t>
      </w:r>
      <w:r>
        <w:rPr>
          <w:rFonts w:hint="eastAsia" w:ascii="仿宋" w:hAnsi="仿宋" w:eastAsia="仿宋" w:cs="仿宋"/>
          <w:bCs/>
          <w:color w:val="auto"/>
          <w:sz w:val="24"/>
          <w:highlight w:val="none"/>
        </w:rPr>
        <w:t>项目</w:t>
      </w:r>
      <w:r>
        <w:rPr>
          <w:rFonts w:hint="eastAsia" w:ascii="仿宋" w:hAnsi="仿宋" w:eastAsia="仿宋" w:cs="仿宋"/>
          <w:color w:val="auto"/>
          <w:sz w:val="24"/>
          <w:highlight w:val="none"/>
        </w:rPr>
        <w:t>，经协商一致，签订本合同。</w:t>
      </w:r>
    </w:p>
    <w:p w14:paraId="22B683C5">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一、服务内容、形式、要求</w:t>
      </w:r>
    </w:p>
    <w:p w14:paraId="22B683C6">
      <w:pPr>
        <w:adjustRightInd/>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1.养护服务内容：乙方根据甲方要求，完成</w:t>
      </w:r>
      <w:r>
        <w:rPr>
          <w:rFonts w:hint="eastAsia" w:ascii="仿宋" w:hAnsi="仿宋" w:eastAsia="仿宋" w:cs="仿宋"/>
          <w:bCs/>
          <w:color w:val="auto"/>
          <w:sz w:val="24"/>
          <w:highlight w:val="none"/>
          <w:lang w:eastAsia="zh-CN"/>
        </w:rPr>
        <w:t>胜利河船闸、电厂热水河船闸、姚家坝泵站、施家桥闸站、九沙橡胶坝、九沙和睦闸、九沙东湖闸</w:t>
      </w:r>
      <w:r>
        <w:rPr>
          <w:rFonts w:hint="eastAsia" w:ascii="仿宋" w:hAnsi="仿宋" w:eastAsia="仿宋" w:cs="仿宋"/>
          <w:bCs/>
          <w:color w:val="auto"/>
          <w:sz w:val="24"/>
          <w:highlight w:val="none"/>
        </w:rPr>
        <w:t>等</w:t>
      </w:r>
      <w:r>
        <w:rPr>
          <w:rFonts w:hint="eastAsia" w:ascii="仿宋" w:hAnsi="仿宋" w:eastAsia="仿宋" w:cs="仿宋"/>
          <w:bCs/>
          <w:color w:val="auto"/>
          <w:sz w:val="24"/>
          <w:highlight w:val="none"/>
          <w:lang w:eastAsia="zh-CN"/>
        </w:rPr>
        <w:t>上塘九沙片</w:t>
      </w:r>
      <w:r>
        <w:rPr>
          <w:rFonts w:hint="eastAsia" w:ascii="仿宋" w:hAnsi="仿宋" w:eastAsia="仿宋" w:cs="仿宋"/>
          <w:bCs/>
          <w:color w:val="auto"/>
          <w:sz w:val="24"/>
          <w:highlight w:val="none"/>
        </w:rPr>
        <w:t>闸站养护服务涉及的各闸站水泵、闸门、变压器等主要设备，格栅（机）、启闭机、阀门、高低配、仪器仪表、检测自控、网络通信等配套设备，进出管（渠、道）、泵池（闸室）、管理用房等附属构（建）筑物和闸站管理范围内水面、绿化、园路等设施的日常运行及值守、保洁及保护、维护及检修；相关水情、水位、水质、视频信息的采集及远传；泵池、闸室范围内清疏和栅前且50米范围内垃圾打捞、废弃物外运；违法违章侵占、设障情况的阻止及报告（执法）和审批许可涉障情况巡查及劝导；相关应急抢险及重大活动保障等工作；以及按照有关规定受甲方委托的</w:t>
      </w:r>
      <w:r>
        <w:rPr>
          <w:rFonts w:hint="eastAsia" w:ascii="仿宋" w:hAnsi="仿宋" w:eastAsia="仿宋" w:cs="仿宋"/>
          <w:bCs/>
          <w:color w:val="auto"/>
          <w:sz w:val="24"/>
          <w:highlight w:val="none"/>
          <w:lang w:eastAsia="zh-CN"/>
        </w:rPr>
        <w:t>其他工作</w:t>
      </w:r>
      <w:r>
        <w:rPr>
          <w:rFonts w:hint="eastAsia" w:ascii="仿宋" w:hAnsi="仿宋" w:eastAsia="仿宋" w:cs="仿宋"/>
          <w:b/>
          <w:color w:val="auto"/>
          <w:sz w:val="24"/>
          <w:highlight w:val="none"/>
        </w:rPr>
        <w:t>。</w:t>
      </w:r>
    </w:p>
    <w:p w14:paraId="22B683C7">
      <w:pPr>
        <w:adjustRightInd/>
        <w:spacing w:line="360" w:lineRule="auto"/>
        <w:ind w:firstLine="480" w:firstLineChars="20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2.养护期：</w:t>
      </w:r>
      <w:r>
        <w:rPr>
          <w:rFonts w:hint="eastAsia" w:ascii="仿宋" w:hAnsi="仿宋" w:eastAsia="仿宋" w:cs="仿宋"/>
          <w:b/>
          <w:color w:val="auto"/>
          <w:sz w:val="24"/>
          <w:highlight w:val="none"/>
          <w:u w:val="single"/>
        </w:rPr>
        <w:t>3年，即 2025年1月1日—2027年12月31日。</w:t>
      </w:r>
    </w:p>
    <w:p w14:paraId="22B683C8">
      <w:pPr>
        <w:adjustRightInd/>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3.养护设施量：各闸站设施量清单</w:t>
      </w:r>
      <w:r>
        <w:rPr>
          <w:rFonts w:hint="eastAsia" w:ascii="仿宋" w:hAnsi="仿宋" w:eastAsia="仿宋" w:cs="仿宋"/>
          <w:b/>
          <w:bCs/>
          <w:color w:val="auto"/>
          <w:sz w:val="24"/>
          <w:highlight w:val="none"/>
        </w:rPr>
        <w:t>，详见</w:t>
      </w:r>
      <w:r>
        <w:rPr>
          <w:rFonts w:hint="eastAsia" w:ascii="仿宋" w:hAnsi="仿宋" w:eastAsia="仿宋" w:cs="仿宋"/>
          <w:b/>
          <w:bCs/>
          <w:color w:val="auto"/>
          <w:sz w:val="24"/>
          <w:highlight w:val="none"/>
          <w:lang w:val="en-US" w:eastAsia="zh-CN"/>
        </w:rPr>
        <w:t>合同</w:t>
      </w:r>
      <w:r>
        <w:rPr>
          <w:rFonts w:hint="eastAsia" w:ascii="仿宋" w:hAnsi="仿宋" w:eastAsia="仿宋" w:cs="仿宋"/>
          <w:b/>
          <w:bCs/>
          <w:color w:val="auto"/>
          <w:sz w:val="24"/>
          <w:highlight w:val="none"/>
        </w:rPr>
        <w:t>附件。</w:t>
      </w:r>
    </w:p>
    <w:p w14:paraId="22B683C9">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4.养护形式：乙方必须根据甲方的养护技术要求及投标文件中《闸站养护管理方案》、《应急响应方案》、《归档整理方案》等有关内容，组织专业队伍实施。甲方负责养护期内对乙方进行考核。</w:t>
      </w:r>
    </w:p>
    <w:p w14:paraId="22B683CA">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5.养护技术要求：按照《城市河道闸站运行维护管理规范》、《杭州市城市河道养护人员作业行为规范（修订）》执行，以及招标文件</w:t>
      </w:r>
      <w:r>
        <w:rPr>
          <w:rFonts w:hint="eastAsia" w:ascii="仿宋" w:hAnsi="仿宋" w:eastAsia="仿宋" w:cs="仿宋"/>
          <w:color w:val="auto"/>
          <w:sz w:val="24"/>
          <w:highlight w:val="none"/>
          <w:u w:val="single"/>
        </w:rPr>
        <w:t>（项目编号：  ）</w:t>
      </w:r>
      <w:r>
        <w:rPr>
          <w:rFonts w:hint="eastAsia" w:ascii="仿宋" w:hAnsi="仿宋" w:eastAsia="仿宋" w:cs="仿宋"/>
          <w:color w:val="auto"/>
          <w:sz w:val="24"/>
          <w:highlight w:val="none"/>
        </w:rPr>
        <w:t>第三部分--采购需求。</w:t>
      </w:r>
    </w:p>
    <w:p w14:paraId="22B683CB">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二、合同有效期</w:t>
      </w:r>
    </w:p>
    <w:p w14:paraId="22B683CC">
      <w:pPr>
        <w:adjustRightInd/>
        <w:spacing w:line="360" w:lineRule="auto"/>
        <w:ind w:firstLine="480" w:firstLineChars="200"/>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有效期：</w:t>
      </w:r>
      <w:r>
        <w:rPr>
          <w:rFonts w:hint="eastAsia" w:ascii="仿宋" w:hAnsi="仿宋" w:eastAsia="仿宋" w:cs="仿宋"/>
          <w:b/>
          <w:color w:val="auto"/>
          <w:sz w:val="24"/>
          <w:highlight w:val="none"/>
          <w:u w:val="single"/>
          <w:shd w:val="clear" w:color="auto" w:fill="FFFFFF"/>
        </w:rPr>
        <w:t>3</w:t>
      </w:r>
      <w:r>
        <w:rPr>
          <w:rFonts w:hint="eastAsia" w:ascii="仿宋" w:hAnsi="仿宋" w:eastAsia="仿宋" w:cs="仿宋"/>
          <w:color w:val="auto"/>
          <w:sz w:val="24"/>
          <w:highlight w:val="none"/>
          <w:shd w:val="clear" w:color="auto" w:fill="FFFFFF"/>
        </w:rPr>
        <w:t>年，即</w:t>
      </w:r>
      <w:r>
        <w:rPr>
          <w:rFonts w:hint="eastAsia" w:ascii="仿宋" w:hAnsi="仿宋" w:eastAsia="仿宋" w:cs="仿宋"/>
          <w:color w:val="auto"/>
          <w:sz w:val="24"/>
          <w:highlight w:val="none"/>
          <w:u w:val="single"/>
          <w:shd w:val="clear" w:color="auto" w:fill="FFFFFF"/>
        </w:rPr>
        <w:t xml:space="preserve">  </w:t>
      </w:r>
      <w:r>
        <w:rPr>
          <w:rFonts w:hint="eastAsia" w:ascii="仿宋" w:hAnsi="仿宋" w:eastAsia="仿宋" w:cs="仿宋"/>
          <w:color w:val="auto"/>
          <w:sz w:val="24"/>
          <w:highlight w:val="none"/>
          <w:shd w:val="clear" w:color="auto" w:fill="FFFFFF"/>
        </w:rPr>
        <w:t>年</w:t>
      </w:r>
      <w:r>
        <w:rPr>
          <w:rFonts w:hint="eastAsia" w:ascii="仿宋" w:hAnsi="仿宋" w:eastAsia="仿宋" w:cs="仿宋"/>
          <w:color w:val="auto"/>
          <w:sz w:val="24"/>
          <w:highlight w:val="none"/>
          <w:u w:val="single"/>
          <w:shd w:val="clear" w:color="auto" w:fill="FFFFFF"/>
        </w:rPr>
        <w:t xml:space="preserve">  </w:t>
      </w:r>
      <w:r>
        <w:rPr>
          <w:rFonts w:hint="eastAsia" w:ascii="仿宋" w:hAnsi="仿宋" w:eastAsia="仿宋" w:cs="仿宋"/>
          <w:color w:val="auto"/>
          <w:sz w:val="24"/>
          <w:highlight w:val="none"/>
          <w:shd w:val="clear" w:color="auto" w:fill="FFFFFF"/>
        </w:rPr>
        <w:t>月</w:t>
      </w:r>
      <w:r>
        <w:rPr>
          <w:rFonts w:hint="eastAsia" w:ascii="仿宋" w:hAnsi="仿宋" w:eastAsia="仿宋" w:cs="仿宋"/>
          <w:color w:val="auto"/>
          <w:sz w:val="24"/>
          <w:highlight w:val="none"/>
          <w:u w:val="single"/>
          <w:shd w:val="clear" w:color="auto" w:fill="FFFFFF"/>
        </w:rPr>
        <w:t xml:space="preserve">  日</w:t>
      </w:r>
      <w:r>
        <w:rPr>
          <w:rFonts w:hint="eastAsia" w:ascii="仿宋" w:hAnsi="仿宋" w:eastAsia="仿宋" w:cs="仿宋"/>
          <w:color w:val="auto"/>
          <w:sz w:val="24"/>
          <w:highlight w:val="none"/>
          <w:shd w:val="clear" w:color="auto" w:fill="FFFFFF"/>
        </w:rPr>
        <w:t>起至</w:t>
      </w:r>
      <w:r>
        <w:rPr>
          <w:rFonts w:hint="eastAsia" w:ascii="仿宋" w:hAnsi="仿宋" w:eastAsia="仿宋" w:cs="仿宋"/>
          <w:color w:val="auto"/>
          <w:sz w:val="24"/>
          <w:highlight w:val="none"/>
          <w:u w:val="single"/>
          <w:shd w:val="clear" w:color="auto" w:fill="FFFFFF"/>
        </w:rPr>
        <w:t xml:space="preserve">   </w:t>
      </w:r>
      <w:r>
        <w:rPr>
          <w:rFonts w:hint="eastAsia" w:ascii="仿宋" w:hAnsi="仿宋" w:eastAsia="仿宋" w:cs="仿宋"/>
          <w:color w:val="auto"/>
          <w:sz w:val="24"/>
          <w:highlight w:val="none"/>
          <w:shd w:val="clear" w:color="auto" w:fill="FFFFFF"/>
        </w:rPr>
        <w:t>年</w:t>
      </w:r>
      <w:r>
        <w:rPr>
          <w:rFonts w:hint="eastAsia" w:ascii="仿宋" w:hAnsi="仿宋" w:eastAsia="仿宋" w:cs="仿宋"/>
          <w:color w:val="auto"/>
          <w:sz w:val="24"/>
          <w:highlight w:val="none"/>
          <w:u w:val="single"/>
          <w:shd w:val="clear" w:color="auto" w:fill="FFFFFF"/>
        </w:rPr>
        <w:t xml:space="preserve">  </w:t>
      </w:r>
      <w:r>
        <w:rPr>
          <w:rFonts w:hint="eastAsia" w:ascii="仿宋" w:hAnsi="仿宋" w:eastAsia="仿宋" w:cs="仿宋"/>
          <w:color w:val="auto"/>
          <w:sz w:val="24"/>
          <w:highlight w:val="none"/>
          <w:shd w:val="clear" w:color="auto" w:fill="FFFFFF"/>
        </w:rPr>
        <w:t>月</w:t>
      </w:r>
      <w:r>
        <w:rPr>
          <w:rFonts w:hint="eastAsia" w:ascii="仿宋" w:hAnsi="仿宋" w:eastAsia="仿宋" w:cs="仿宋"/>
          <w:color w:val="auto"/>
          <w:sz w:val="24"/>
          <w:highlight w:val="none"/>
          <w:u w:val="single"/>
          <w:shd w:val="clear" w:color="auto" w:fill="FFFFFF"/>
        </w:rPr>
        <w:t xml:space="preserve">  </w:t>
      </w:r>
      <w:r>
        <w:rPr>
          <w:rFonts w:hint="eastAsia" w:ascii="仿宋" w:hAnsi="仿宋" w:eastAsia="仿宋" w:cs="仿宋"/>
          <w:color w:val="auto"/>
          <w:sz w:val="24"/>
          <w:highlight w:val="none"/>
          <w:shd w:val="clear" w:color="auto" w:fill="FFFFFF"/>
        </w:rPr>
        <w:t>日止。合同一年一签，乙方年履约验收通过的，则甲方予以续签次年合同。本次合同第</w:t>
      </w:r>
      <w:r>
        <w:rPr>
          <w:rFonts w:hint="eastAsia" w:ascii="仿宋" w:hAnsi="仿宋" w:eastAsia="仿宋" w:cs="仿宋"/>
          <w:color w:val="auto"/>
          <w:sz w:val="24"/>
          <w:highlight w:val="none"/>
          <w:u w:val="single"/>
          <w:shd w:val="clear" w:color="auto" w:fill="FFFFFF"/>
        </w:rPr>
        <w:t xml:space="preserve">   </w:t>
      </w:r>
      <w:r>
        <w:rPr>
          <w:rFonts w:hint="eastAsia" w:ascii="仿宋" w:hAnsi="仿宋" w:eastAsia="仿宋" w:cs="仿宋"/>
          <w:color w:val="auto"/>
          <w:sz w:val="24"/>
          <w:highlight w:val="none"/>
          <w:shd w:val="clear" w:color="auto" w:fill="FFFFFF"/>
        </w:rPr>
        <w:t>次签订。</w:t>
      </w:r>
    </w:p>
    <w:p w14:paraId="22B683CD">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三、合同价款及支付方式</w:t>
      </w:r>
    </w:p>
    <w:p w14:paraId="22B683CE">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养护服务合同价人民币       元，大写：     元整；年度合同价人民币        元，大写：       元整</w:t>
      </w:r>
      <w:r>
        <w:rPr>
          <w:rFonts w:hint="eastAsia" w:ascii="仿宋" w:hAnsi="仿宋" w:eastAsia="仿宋" w:cs="仿宋"/>
          <w:color w:val="auto"/>
          <w:sz w:val="24"/>
          <w:highlight w:val="none"/>
        </w:rPr>
        <w:t>。本合同为固定单价合同，按实结算，若设施量发生变化，则合同养护费用作相应调整。合同价金额中已包括人员、机械、设备、工具、材料、作业及劳动防护费用（服装费、高温费等）等。</w:t>
      </w:r>
    </w:p>
    <w:p w14:paraId="22B683CF">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养护经费采用先作业后拨付的方式，每季度末支付年度合同价的20%作为养护进度款，余款20%根据年度考核和履约验收结果，扣除相应的养护经费，于次年一季度内结清。上述款项具体按照财政资金到位情况支付，乙方不得以此为由怠于履行本合同义务。乙方按被告知的应得养护经费向甲方结算，并出具有效收据。</w:t>
      </w:r>
    </w:p>
    <w:p w14:paraId="22B683D0">
      <w:pPr>
        <w:adjustRightInd/>
        <w:spacing w:line="360" w:lineRule="auto"/>
        <w:ind w:firstLine="480" w:firstLineChars="200"/>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rPr>
        <w:t>3.若发生过渡期，则</w:t>
      </w:r>
      <w:r>
        <w:rPr>
          <w:rFonts w:hint="eastAsia" w:ascii="仿宋" w:hAnsi="仿宋" w:eastAsia="仿宋" w:cs="仿宋"/>
          <w:color w:val="auto"/>
          <w:sz w:val="24"/>
          <w:highlight w:val="none"/>
          <w:shd w:val="clear" w:color="auto" w:fill="FFFFFF"/>
        </w:rPr>
        <w:t>过渡期内养护由原养护单位负责，费用按合同单价计算，由乙方支付原养护服务单位。（过渡期是指本合同期内，乙方实际进场养护前的期限，过渡期按日计算。）</w:t>
      </w:r>
    </w:p>
    <w:p w14:paraId="22B683D1">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乙方接到养护通知书进场后，须按中标综合单价和实际养护期限一次性支付原单位过渡期养护费用，设施量以招标文件为准，所支付费用不再向甲方收取二次税费。</w:t>
      </w:r>
    </w:p>
    <w:p w14:paraId="22B683D2">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四、履约担保：年度合同价的1%（金额：</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元）。</w:t>
      </w:r>
    </w:p>
    <w:p w14:paraId="22B683D3">
      <w:pPr>
        <w:adjustRightInd/>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1.形式：乙方应当以支票、汇票、本票或者金融机构、担保机构出具的保函等非现金形式提交。</w:t>
      </w:r>
    </w:p>
    <w:p w14:paraId="22B683D4">
      <w:pPr>
        <w:adjustRightInd/>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2.提交时间：合同签订同时提交履约担保。</w:t>
      </w:r>
    </w:p>
    <w:p w14:paraId="22B683D5">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3.退还时间：履约担保在合同期满（履约验收完毕）无违约的情况下，5个工作日内无息退还</w:t>
      </w:r>
      <w:r>
        <w:rPr>
          <w:rFonts w:hint="eastAsia" w:ascii="仿宋" w:hAnsi="仿宋" w:eastAsia="仿宋" w:cs="仿宋"/>
          <w:color w:val="auto"/>
          <w:sz w:val="24"/>
          <w:highlight w:val="none"/>
        </w:rPr>
        <w:t>。</w:t>
      </w:r>
    </w:p>
    <w:p w14:paraId="22B683D6">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五、合同权利条款</w:t>
      </w:r>
    </w:p>
    <w:p w14:paraId="22B683D7">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（一）甲方的权利：</w:t>
      </w:r>
    </w:p>
    <w:p w14:paraId="22B683D8">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1.审定年度和月度养护计划，审核乙方上报的养护工作量报表，检查养护计划执行情况。</w:t>
      </w:r>
    </w:p>
    <w:p w14:paraId="22B683D9">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2.对合同范围内的养护情况进行监督管理。</w:t>
      </w:r>
    </w:p>
    <w:p w14:paraId="22B683DA">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3.对乙方日常巡查工作、安全运行、养护质量及资料台账进行定期或不定期检查，并对养护情况进行考核。</w:t>
      </w:r>
    </w:p>
    <w:p w14:paraId="22B683DB">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4.对乙方承包养护范围内设施设备完好状况进行跟踪检查，发现乙方未按约定要求进行维护时，可要求乙方限期整改，并按合同约定进行处理。</w:t>
      </w:r>
    </w:p>
    <w:p w14:paraId="22B683DC">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5.按照市委、市政府或上级部门指示，在防汛、抗台、抗雪和重大活动保障等特殊情况及重大事件发生时，可要求乙方采取应急措施进行特殊养护。</w:t>
      </w:r>
    </w:p>
    <w:p w14:paraId="22B683DD">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6.根据考核情况提出或支付相应的养护经费。</w:t>
      </w:r>
    </w:p>
    <w:p w14:paraId="22B683DE">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（二）乙方的权利：</w:t>
      </w:r>
    </w:p>
    <w:p w14:paraId="22B683DF">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1.编制年度、月度养护计划和相关方案，经甲方审定后安排日常养护工作。</w:t>
      </w:r>
    </w:p>
    <w:p w14:paraId="22B683E0">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2.按甲方要求进行临时项目及新增项目养护，乙方有权按补充合同获得相应的养护费用。</w:t>
      </w:r>
    </w:p>
    <w:p w14:paraId="22B683E1">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3.按照合同确定的养护运行范围，根据考核情况取得相应确定的养护经费。</w:t>
      </w:r>
    </w:p>
    <w:p w14:paraId="22B683E2">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4.甲方无正当理由拖欠养护费用二个月以上（含），乙方有权中止合同；中止合同至少提前三个月提出。</w:t>
      </w:r>
    </w:p>
    <w:p w14:paraId="22B683E3">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六、合同责任条款</w:t>
      </w:r>
    </w:p>
    <w:p w14:paraId="22B683E4">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（一）甲方的责任：</w:t>
      </w:r>
    </w:p>
    <w:p w14:paraId="22B683E5">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1.提供养护标准、作业规范及考核办法。</w:t>
      </w:r>
    </w:p>
    <w:p w14:paraId="22B683E6">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2.如遇防汛防台、抗雪防冻、突发事件以及重大活动保障等工作，协调乙方在作业过程中同其他部门的关系。</w:t>
      </w:r>
    </w:p>
    <w:p w14:paraId="22B683E7">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3.按约定拨付养护经费。</w:t>
      </w:r>
    </w:p>
    <w:p w14:paraId="22B683E8">
      <w:pPr>
        <w:adjustRightInd/>
        <w:spacing w:line="360" w:lineRule="auto"/>
        <w:ind w:firstLine="482" w:firstLineChars="200"/>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（二）乙方的责任：</w:t>
      </w:r>
    </w:p>
    <w:p w14:paraId="22B683E9">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1.严格履行投标文件中优惠承诺、投标文件及招标过程中的有关承诺。</w:t>
      </w:r>
    </w:p>
    <w:p w14:paraId="22B683EA">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养护人员、养护作业设备的投入必须与投标时作出的承诺一致。养护服务期内，养护人员（包括现场运行班组、维保专业班组、项目管理班组）不得在其他项目中担任任何岗位，若发现按合同违约处理。养护服务期内未经甲方同意，养护人员不得随意更换。经甲方同意的，变更替换人员应为乙方在职人员且不低于被替换人员的技术职称、职业资格、从业经验等要求。</w:t>
      </w:r>
    </w:p>
    <w:p w14:paraId="22B683EB">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3.必须严格按合同条款、本项目招投标要求、闸站养护管理规范及相关规定，精心组织养护，确保闸站养护质量，承担设施、人员安全和公共安全责任。</w:t>
      </w:r>
    </w:p>
    <w:p w14:paraId="22B683EC">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4.乙方必须加强安全管理工作，定期进行安全培训。发生各类事故后乙方应及时向甲方报告，并自行负责处理。如事故因乙方责任导致发生的，除自行承担相关经济责任外，甲方保留对乙方的经济追偿权。</w:t>
      </w:r>
    </w:p>
    <w:p w14:paraId="22B683ED">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5.遇市民来信来访及投诉（含数字城管）等，乙方应协助甲方调查、解决，并根据甲方要求及时处理。</w:t>
      </w:r>
    </w:p>
    <w:p w14:paraId="22B683EE">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6.制定灾害性天气应急预案，建立应急救灾队伍，将应急预案和人员名单上报至甲方备案。</w:t>
      </w:r>
    </w:p>
    <w:p w14:paraId="22B683EF">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7.建立应急备货制，根据实际，备货内容包括防汛防台、抗雪防冻等所需物资及设备。</w:t>
      </w:r>
    </w:p>
    <w:p w14:paraId="22B683F0">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8.遇到防汛防台、防雪抗冻、重大活动保障、突发事件或自然灾害，必须服从甲方指挥与安排，并及时将有关情况上报至甲方。</w:t>
      </w:r>
    </w:p>
    <w:p w14:paraId="22B683F1">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9.遇灾害性天气，听从甲方统一指挥，及时组织人员应对突发性情况，并完成甲方交办的突击性任务。</w:t>
      </w:r>
    </w:p>
    <w:p w14:paraId="22B683F2">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10.合同期满并经甲方考核合格后，乙方应提交完整的养护台账，并按甲方要求做好与下一家养护企业的衔接。</w:t>
      </w:r>
    </w:p>
    <w:p w14:paraId="22B683F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11.养护期满前2个月前，乙方需上报年度绩效自评报告，主要内容需包括合同执行、精细化管理、组织机构、特色亮点等。</w:t>
      </w:r>
    </w:p>
    <w:p w14:paraId="22B683F4">
      <w:pPr>
        <w:spacing w:line="360" w:lineRule="auto"/>
        <w:ind w:firstLine="480"/>
        <w:rPr>
          <w:rFonts w:hint="eastAsia" w:ascii="仿宋" w:hAnsi="仿宋" w:eastAsia="仿宋" w:cs="仿宋"/>
          <w:color w:val="auto"/>
          <w:sz w:val="24"/>
          <w:highlight w:val="none"/>
          <w:lang w:eastAsia="zh-Hans"/>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eastAsia="zh-Hans"/>
        </w:rPr>
        <w:t>.除甲方事先书面同意外，乙方不得转让或分包其应履行的合同义务，否则甲方有权解除合同并追究乙方违约责任。</w:t>
      </w:r>
    </w:p>
    <w:p w14:paraId="22B683F5">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Hans"/>
        </w:rPr>
        <w:t>13.乙方确认并同意，应当对本合同的内容、因履行本合同或在本合同期间接触或知悉的信息予以保密。未经甲方书面许可，不得为本合同以外的任何其他目的自行使用、向他人披露或者允许他人使用该保密信息的全部或部分。</w:t>
      </w:r>
    </w:p>
    <w:p w14:paraId="22B683F6">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七、养护工作考核、处罚</w:t>
      </w:r>
    </w:p>
    <w:p w14:paraId="755D6432">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甲方对乙方工作每月进行考核，考核办法按《杭州市市管城市河道闸站长效管理考核实施细则》</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详见合同附件，合同有效期内如有更新的，以更新后的为准</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执行，考核内容包括不限于项目养护作业、人员管理、设备配备等方面，考核结果告知乙方，具体要求如下执行：</w:t>
      </w:r>
    </w:p>
    <w:p w14:paraId="466BA49A">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1.养护质量直接与养护经费核拨挂钩。</w:t>
      </w:r>
    </w:p>
    <w:p w14:paraId="14776948">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2.养护质量达到要求的（月度考核得分在90分以上），当月养护经费全额拨付；养护质量未达到要求的（月度考核得分在90分以下），当月养护经费按照实际分数计算后拨付额度，具体如下：</w:t>
      </w:r>
    </w:p>
    <w:p w14:paraId="14C41E38">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当月实得养护经费=（当月考核得分/90）×当月应得养护经费</w:t>
      </w:r>
    </w:p>
    <w:p w14:paraId="7144C891">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当同一问题整改不到位致发生二次及以上抄告或同类问题屡次出现时，不仅加倍扣分外，而且在月度考核得分经费拨付的基础上，直接扣罚当月相关款项费用（具体详见考核实施细则附表3），重大问题根据合同约定直接扣罚款项费用。</w:t>
      </w:r>
    </w:p>
    <w:p w14:paraId="52327E12">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4.在国家、省、市级检查中，每查处1件有责问题的，分别扣30000、20000、10000元；被国家、省、市级领导点名批评的，每件分别扣30000、20000、10000元；被国家、省、市主流媒体曝光经核查属实的，每件分别扣30000、20000、10000元。</w:t>
      </w:r>
    </w:p>
    <w:p w14:paraId="2FF93180">
      <w:pPr>
        <w:adjustRightInd/>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八、警告退出办法</w:t>
      </w:r>
    </w:p>
    <w:p w14:paraId="201CB86E">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1.警告。有下列情景之一的给予警告：</w:t>
      </w:r>
    </w:p>
    <w:p w14:paraId="30FCE264">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（1）被国家、省、市级检查发现有责问题的；</w:t>
      </w:r>
    </w:p>
    <w:p w14:paraId="454981AC">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（2）被国家、省、市级领导点名批评的；</w:t>
      </w:r>
    </w:p>
    <w:p w14:paraId="29228A38">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（3）被国家、省、市主流媒体曝光经核查属实的；</w:t>
      </w:r>
    </w:p>
    <w:p w14:paraId="6EFAE5AA">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（4）月度考核1次低于80分，或连续2次低于90分，或累计3次低于90分；</w:t>
      </w:r>
    </w:p>
    <w:p w14:paraId="59546D07">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2.退出。在养护合同期间，有下列情景之一的将单方提前解除合同并没收履约保证金：</w:t>
      </w:r>
    </w:p>
    <w:p w14:paraId="15EB0427">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（1）违反国家有关规定，发生人员重伤或死亡事故的，或直接经济损失属较大（含）安全事故以上的；</w:t>
      </w:r>
    </w:p>
    <w:p w14:paraId="467C3673">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（2）累计被警告2次的；</w:t>
      </w:r>
    </w:p>
    <w:p w14:paraId="0D4691FD">
      <w:pPr>
        <w:adjustRightInd/>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（3）不履行</w:t>
      </w:r>
      <w:r>
        <w:rPr>
          <w:rFonts w:hint="eastAsia" w:ascii="仿宋" w:hAnsi="仿宋" w:eastAsia="仿宋" w:cs="仿宋"/>
          <w:b w:val="0"/>
          <w:bCs w:val="0"/>
          <w:color w:val="auto"/>
          <w:sz w:val="24"/>
          <w:highlight w:val="none"/>
          <w:lang w:eastAsia="zh-CN"/>
        </w:rPr>
        <w:t>投标</w:t>
      </w:r>
      <w:r>
        <w:rPr>
          <w:rFonts w:hint="eastAsia" w:ascii="仿宋" w:hAnsi="仿宋" w:eastAsia="仿宋" w:cs="仿宋"/>
          <w:b w:val="0"/>
          <w:bCs w:val="0"/>
          <w:color w:val="auto"/>
          <w:sz w:val="24"/>
          <w:highlight w:val="none"/>
        </w:rPr>
        <w:t>承诺，并无法完成养护工作。</w:t>
      </w:r>
    </w:p>
    <w:p w14:paraId="22B68426">
      <w:pPr>
        <w:adjustRightInd/>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九、履约验收</w:t>
      </w:r>
    </w:p>
    <w:p w14:paraId="22B68427">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甲方对乙方工作按《城市河道闸站运行维护管理规范》、《杭州市城市河道养护人员作业行为规范（修订）》执行（详见</w:t>
      </w:r>
      <w:r>
        <w:rPr>
          <w:rFonts w:hint="eastAsia" w:ascii="仿宋" w:hAnsi="仿宋" w:eastAsia="仿宋" w:cs="仿宋"/>
          <w:color w:val="auto"/>
          <w:sz w:val="24"/>
          <w:highlight w:val="none"/>
          <w:lang w:val="en-US" w:eastAsia="zh-CN"/>
        </w:rPr>
        <w:t>合同</w:t>
      </w:r>
      <w:r>
        <w:rPr>
          <w:rFonts w:hint="eastAsia" w:ascii="仿宋" w:hAnsi="仿宋" w:eastAsia="仿宋" w:cs="仿宋"/>
          <w:color w:val="auto"/>
          <w:sz w:val="24"/>
          <w:highlight w:val="none"/>
        </w:rPr>
        <w:t>附件）进行履约验收。</w:t>
      </w:r>
    </w:p>
    <w:p w14:paraId="22B68428">
      <w:pPr>
        <w:adjustRightInd/>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十、不可抗力</w:t>
      </w:r>
    </w:p>
    <w:p w14:paraId="22B68429">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1.不可抗力是指因无法预见、无法避免且无法克服之原因发生的事项，包括但不限于地震、台风、海啸、瘟疫、火灾、洪水、重大疫情、政府行为、战争、恐怖袭击、蓄意破坏等客观情况。</w:t>
      </w:r>
    </w:p>
    <w:p w14:paraId="22B6842A">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2.本合同项下任何一方对于因不可抗力致使本合同不能履行或不能全部履行而给对方造成的任何损失不承担违约责任。</w:t>
      </w:r>
    </w:p>
    <w:p w14:paraId="22B6842B">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如果发生不可抗力事件，则受影响的一方应采取积极有效的措施以减少因本合同不能履行或不能全部履行而给对方造成的损失，并应在不可抗力事件发生后【3】个工作日内通知对方，并在14个工作日内出具官方证明文件。</w:t>
      </w:r>
    </w:p>
    <w:p w14:paraId="22B6842C">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4.不可抗力影响因素消失以后，双方应协商是否继续履行合同。如果不可抗力因素对合同一方的义务产生实质性、无法补救的影响，导致合同已无法履行，双方应通过书面形式终止本合同。</w:t>
      </w:r>
    </w:p>
    <w:p w14:paraId="22B6842D">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如果因本条第2款和/或第4款所述原因导致本合同被提前终止，则任何一方均无需继续履行其在本合同项下的义务，也无需为此向另一方承担任何责任；但双方应根据诚实信用原则，合理确定本合同终止前甲方为乙方提供的服务所应支付的费用，并进行相应的结算。</w:t>
      </w:r>
    </w:p>
    <w:p w14:paraId="22B6842E">
      <w:pPr>
        <w:adjustRightInd/>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十一、本合同如遇不可抗拒的原因无法继续履行时，即自然终止，双方自行承担各自损失。</w:t>
      </w:r>
    </w:p>
    <w:p w14:paraId="22B6842F">
      <w:pPr>
        <w:adjustRightInd/>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十二、凡有关本合同或执行本合同中发生的争端，双方应通过友好协商，妥善解决。如通过协商仍不能解决时，约定向甲方所在地人民法院依法起诉。</w:t>
      </w:r>
    </w:p>
    <w:p w14:paraId="22B68430">
      <w:pPr>
        <w:adjustRightInd/>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十三、所有招标文件、投标文件及评标过程中形成的文字资料、询标纪要均作为本合同的组成部分，具有同等效力，甲方有权选择其中对甲方有利的条款进行适用。</w:t>
      </w:r>
    </w:p>
    <w:p w14:paraId="22B68431">
      <w:pPr>
        <w:adjustRightInd/>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十四、其它有关事项：</w:t>
      </w:r>
    </w:p>
    <w:p w14:paraId="22B68432">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1.招标文件、投标文件等为合同的组成部分。本合同部分条款无效或不能执行的不影响本合同其他条款的效力及可执行性，对于无效或不能执行的条款双方另行协商确定。</w:t>
      </w:r>
    </w:p>
    <w:p w14:paraId="22B68433">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2.服务期内，若因政策变化导致项目提前终止的，则合同自动</w:t>
      </w:r>
      <w:r>
        <w:rPr>
          <w:rFonts w:hint="eastAsia" w:ascii="仿宋" w:hAnsi="仿宋" w:eastAsia="仿宋" w:cs="仿宋"/>
          <w:color w:val="auto"/>
          <w:sz w:val="24"/>
          <w:highlight w:val="none"/>
          <w:lang w:eastAsia="zh-CN"/>
        </w:rPr>
        <w:t>终止</w:t>
      </w:r>
      <w:r>
        <w:rPr>
          <w:rFonts w:hint="eastAsia" w:ascii="仿宋" w:hAnsi="仿宋" w:eastAsia="仿宋" w:cs="仿宋"/>
          <w:color w:val="auto"/>
          <w:sz w:val="24"/>
          <w:highlight w:val="none"/>
        </w:rPr>
        <w:t>，甲方不予支付任何赔偿。</w:t>
      </w:r>
    </w:p>
    <w:p w14:paraId="22B68434">
      <w:pPr>
        <w:adjustRightInd/>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十五、本合同一式陆份，双方各执叁份。本合同经甲乙双方法定代表人或其委托人签字盖章后生效。</w:t>
      </w:r>
    </w:p>
    <w:p w14:paraId="22B68435">
      <w:pPr>
        <w:adjustRightInd/>
        <w:spacing w:line="360" w:lineRule="auto"/>
        <w:ind w:firstLine="0" w:firstLineChars="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附件1：</w:t>
      </w:r>
      <w:r>
        <w:rPr>
          <w:rFonts w:hint="eastAsia" w:ascii="仿宋" w:hAnsi="仿宋" w:eastAsia="仿宋" w:cs="仿宋"/>
          <w:b w:val="0"/>
          <w:bCs w:val="0"/>
          <w:color w:val="auto"/>
          <w:sz w:val="24"/>
          <w:highlight w:val="none"/>
        </w:rPr>
        <w:t>廉政责任书</w:t>
      </w:r>
    </w:p>
    <w:p w14:paraId="595A2665">
      <w:pPr>
        <w:adjustRightInd/>
        <w:spacing w:line="360" w:lineRule="auto"/>
        <w:ind w:firstLine="0" w:firstLineChars="0"/>
        <w:jc w:val="both"/>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附件2：</w:t>
      </w:r>
      <w:r>
        <w:rPr>
          <w:rFonts w:hint="eastAsia" w:ascii="仿宋" w:hAnsi="仿宋" w:eastAsia="仿宋" w:cs="仿宋"/>
          <w:b w:val="0"/>
          <w:bCs w:val="0"/>
          <w:color w:val="auto"/>
          <w:sz w:val="24"/>
          <w:highlight w:val="none"/>
        </w:rPr>
        <w:t>城市河道综合养护工程安全责任书</w:t>
      </w:r>
    </w:p>
    <w:p w14:paraId="470F8F74">
      <w:pPr>
        <w:adjustRightInd/>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杭州城市河道相关船闸/水闸、泵站及配套闸门基本情况表</w:t>
      </w:r>
    </w:p>
    <w:p w14:paraId="09A8124C">
      <w:pPr>
        <w:adjustRightInd/>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城市河道闸站运行维护管理规范</w:t>
      </w:r>
    </w:p>
    <w:p w14:paraId="7CAEB99E">
      <w:pPr>
        <w:adjustRightInd/>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eastAsia="zh-CN"/>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杭州市城市河道养护人员作业行为规范（试行）</w:t>
      </w:r>
    </w:p>
    <w:p w14:paraId="41F98426">
      <w:pPr>
        <w:adjustRightInd/>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eastAsia="zh-CN"/>
        </w:rPr>
        <w:t>6</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杭州市市管河道闸站长效管理考核实施细则</w:t>
      </w:r>
    </w:p>
    <w:p w14:paraId="6AD9C3ED">
      <w:pPr>
        <w:adjustRightInd/>
        <w:spacing w:line="360" w:lineRule="auto"/>
        <w:ind w:firstLine="0" w:firstLineChars="0"/>
        <w:rPr>
          <w:rFonts w:hint="eastAsia" w:ascii="仿宋" w:hAnsi="仿宋" w:eastAsia="仿宋" w:cs="仿宋"/>
          <w:b/>
          <w:color w:val="auto"/>
          <w:sz w:val="24"/>
          <w:highlight w:val="none"/>
          <w:lang w:val="en-US" w:eastAsia="zh-CN"/>
        </w:rPr>
      </w:pPr>
    </w:p>
    <w:p w14:paraId="22B68436">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甲方：（盖章）                      乙方：（盖章）</w:t>
      </w:r>
    </w:p>
    <w:p w14:paraId="22B68437">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                       法定代表人：</w:t>
      </w:r>
    </w:p>
    <w:p w14:paraId="22B68438">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或受委托人（签字）：                或受委托人（签字）：</w:t>
      </w:r>
    </w:p>
    <w:p w14:paraId="22B68439">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联系人（签字）：                    联系人（签字）：</w:t>
      </w:r>
    </w:p>
    <w:p w14:paraId="22B6843A">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地址：</w:t>
      </w:r>
    </w:p>
    <w:p w14:paraId="22B6843B">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邮编：                             邮编：</w:t>
      </w:r>
    </w:p>
    <w:p w14:paraId="22B6843C">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                             电话：</w:t>
      </w:r>
    </w:p>
    <w:p w14:paraId="22B6843D">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                             传真：</w:t>
      </w:r>
    </w:p>
    <w:p w14:paraId="22B6843E">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                         开户银行：</w:t>
      </w:r>
    </w:p>
    <w:p w14:paraId="22B6843F">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账户：                             账户：</w:t>
      </w:r>
    </w:p>
    <w:p w14:paraId="22B68440">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签约时间：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      签约时间：   年  月   日</w:t>
      </w:r>
    </w:p>
    <w:p w14:paraId="22B68441">
      <w:pPr>
        <w:autoSpaceDE w:val="0"/>
        <w:autoSpaceDN w:val="0"/>
        <w:spacing w:line="360" w:lineRule="auto"/>
        <w:ind w:firstLine="480" w:firstLineChars="200"/>
        <w:rPr>
          <w:rFonts w:hint="eastAsia" w:ascii="仿宋" w:hAnsi="仿宋" w:eastAsia="仿宋" w:cs="仿宋"/>
          <w:color w:val="auto"/>
          <w:sz w:val="24"/>
          <w:highlight w:val="none"/>
          <w:u w:val="single"/>
        </w:rPr>
      </w:pPr>
    </w:p>
    <w:p w14:paraId="22B68442">
      <w:pPr>
        <w:adjustRightInd/>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br w:type="page"/>
      </w:r>
      <w:r>
        <w:rPr>
          <w:rFonts w:hint="eastAsia" w:ascii="仿宋" w:hAnsi="仿宋" w:eastAsia="仿宋" w:cs="仿宋"/>
          <w:bCs/>
          <w:color w:val="auto"/>
          <w:sz w:val="24"/>
          <w:highlight w:val="none"/>
        </w:rPr>
        <w:t>合同附件1：</w:t>
      </w:r>
    </w:p>
    <w:p w14:paraId="22B68443">
      <w:pPr>
        <w:adjustRightInd/>
        <w:spacing w:line="360" w:lineRule="auto"/>
        <w:ind w:firstLine="482" w:firstLineChars="2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廉 政 责 任 书</w:t>
      </w:r>
    </w:p>
    <w:p w14:paraId="22B68444">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 </w:t>
      </w:r>
    </w:p>
    <w:p w14:paraId="22B68445">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w:t>
      </w:r>
    </w:p>
    <w:p w14:paraId="22B68446">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22B68447">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了进一步加强城市河道养护项目领域的党风廉政建设，预防和遏制该领域的腐败现象，惩处相关违规行为，促进杭州市城市水设施和河道保护管理中心综合管理养护事业的健康发展，根据有关规定，结合杭州市城市水设施和河道保护管理中心实际，特制定廉政责任书，凡涉及城市河道养护施工管理的甲乙双方必须履行以下条款。</w:t>
      </w:r>
    </w:p>
    <w:p w14:paraId="22B68448">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一、</w:t>
      </w:r>
      <w:r>
        <w:rPr>
          <w:rFonts w:hint="eastAsia" w:ascii="仿宋" w:hAnsi="仿宋" w:eastAsia="仿宋" w:cs="仿宋"/>
          <w:color w:val="auto"/>
          <w:sz w:val="24"/>
          <w:highlight w:val="none"/>
        </w:rPr>
        <w:t>甲乙双方必须遵守国家、省、市规定的各项法令、法规和本部门、本单位的规章制度。</w:t>
      </w:r>
    </w:p>
    <w:p w14:paraId="22B68449">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二、</w:t>
      </w:r>
      <w:r>
        <w:rPr>
          <w:rFonts w:hint="eastAsia" w:ascii="仿宋" w:hAnsi="仿宋" w:eastAsia="仿宋" w:cs="仿宋"/>
          <w:color w:val="auto"/>
          <w:sz w:val="24"/>
          <w:highlight w:val="none"/>
        </w:rPr>
        <w:t>甲方领导干部和管理人员要严格遵守四个“不准”：</w:t>
      </w:r>
    </w:p>
    <w:p w14:paraId="22B6844A">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.不准以任何理由收受乙方单位或个人赠送的礼金、礼品和有价证、券、卡等。</w:t>
      </w:r>
    </w:p>
    <w:p w14:paraId="22B6844B">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.不准将个人负担的费用到乙方进行报销，向乙方私人借款，以及借口刁难，索要好处费。</w:t>
      </w:r>
    </w:p>
    <w:p w14:paraId="22B6844C">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.不准以任何名义、任何形式参与乙方组织的各种高消费娱乐活动，以及与乙方人员进行各种形式的赌博活动。</w:t>
      </w:r>
    </w:p>
    <w:p w14:paraId="22B6844D">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rPr>
        <w:t>.不准接受可能影响公正经营次序的各种宴请。</w:t>
      </w:r>
    </w:p>
    <w:p w14:paraId="22B6844E">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三、</w:t>
      </w:r>
      <w:r>
        <w:rPr>
          <w:rFonts w:hint="eastAsia" w:ascii="仿宋" w:hAnsi="仿宋" w:eastAsia="仿宋" w:cs="仿宋"/>
          <w:color w:val="auto"/>
          <w:sz w:val="24"/>
          <w:highlight w:val="none"/>
        </w:rPr>
        <w:t>乙方单位与人员要严格遵守四个“不准”：</w:t>
      </w:r>
    </w:p>
    <w:p w14:paraId="22B6844F">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.不准以任何名义、任何形式向甲方领导干部或管理人员赠送礼金、礼品和有价证、券、卡等。</w:t>
      </w:r>
    </w:p>
    <w:p w14:paraId="22B68450">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.不准为甲方单位、领导干部和管理人员购买、租借手机、助动车、空调、电脑、传真机等贵重物品。</w:t>
      </w:r>
    </w:p>
    <w:p w14:paraId="22B68451">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.不准借款给甲方的领导干部和管理人员及给予报销个人费用。</w:t>
      </w:r>
    </w:p>
    <w:p w14:paraId="22B68452">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rPr>
        <w:t>.不准借故组织甲方人员参与各种高消费娱乐活动及各种形式的赌博活动。</w:t>
      </w:r>
    </w:p>
    <w:p w14:paraId="22B68453">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四、</w:t>
      </w:r>
      <w:r>
        <w:rPr>
          <w:rFonts w:hint="eastAsia" w:ascii="仿宋" w:hAnsi="仿宋" w:eastAsia="仿宋" w:cs="仿宋"/>
          <w:color w:val="auto"/>
          <w:sz w:val="24"/>
          <w:highlight w:val="none"/>
        </w:rPr>
        <w:t>甲方人员若违反该廉政协议或其他违反廉政行为的，一经查实，视情况轻重逐情进行处理，后果严重的将追究刑事责任。</w:t>
      </w:r>
    </w:p>
    <w:p w14:paraId="22B68454">
      <w:pPr>
        <w:adjustRightInd/>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五、</w:t>
      </w:r>
      <w:r>
        <w:rPr>
          <w:rFonts w:hint="eastAsia" w:ascii="仿宋" w:hAnsi="仿宋" w:eastAsia="仿宋" w:cs="仿宋"/>
          <w:color w:val="auto"/>
          <w:sz w:val="24"/>
          <w:highlight w:val="none"/>
        </w:rPr>
        <w:t>乙方人员若违反该廉政协议，一经查实，视情况轻重逐级进行处理至清退出场或追究刑事责任。</w:t>
      </w:r>
    </w:p>
    <w:p w14:paraId="22B68455">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本协议与养护合同一并签约，甲方的党组织或纪检部门另选存档一份。甲乙双方应相互监督、相互约束。</w:t>
      </w:r>
    </w:p>
    <w:p w14:paraId="22B68456">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甲方（盖章）：                乙方（盖章）：</w:t>
      </w:r>
    </w:p>
    <w:p w14:paraId="22B68457">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     法定代表人（签字或盖章）：</w:t>
      </w: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合同附件2：</w:t>
      </w:r>
    </w:p>
    <w:p w14:paraId="22B68458">
      <w:pPr>
        <w:adjustRightInd/>
        <w:spacing w:line="360" w:lineRule="auto"/>
        <w:ind w:firstLine="482" w:firstLineChars="2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城市河道综合养护工程安全责任书</w:t>
      </w:r>
    </w:p>
    <w:p w14:paraId="22B68459">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  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2B6845A">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  方：</w:t>
      </w:r>
      <w:r>
        <w:rPr>
          <w:rFonts w:hint="eastAsia" w:ascii="仿宋" w:hAnsi="仿宋" w:eastAsia="仿宋" w:cs="仿宋"/>
          <w:color w:val="auto"/>
          <w:sz w:val="24"/>
          <w:highlight w:val="none"/>
          <w:u w:val="single"/>
        </w:rPr>
        <w:t xml:space="preserve">                    </w:t>
      </w:r>
    </w:p>
    <w:p w14:paraId="22B6845B">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确保城市河道综合养护中的安全，防止各种事故的发生，实现“本养护工程项目安全无事故”的目标，根据国家“安全生产法”及国家有关的“消防治安”、“计划生育”等有关劳动安全的方针、政策、法令、法规、条例的要求，养护工程项目的安全综合治理工作以“谁养护、谁负责”的原则，为此签订安全综合治理责任书。</w:t>
      </w:r>
    </w:p>
    <w:p w14:paraId="22B6845C">
      <w:pPr>
        <w:adjustRightInd/>
        <w:spacing w:line="360" w:lineRule="auto"/>
        <w:ind w:firstLine="482" w:firstLineChars="200"/>
        <w:outlineLvl w:val="0"/>
        <w:rPr>
          <w:rFonts w:hint="eastAsia" w:ascii="仿宋" w:hAnsi="仿宋" w:eastAsia="仿宋" w:cs="仿宋"/>
          <w:b/>
          <w:color w:val="auto"/>
          <w:sz w:val="24"/>
          <w:highlight w:val="none"/>
        </w:rPr>
      </w:pPr>
      <w:bookmarkStart w:id="456" w:name="_Toc18752"/>
      <w:bookmarkStart w:id="457" w:name="_Toc19400"/>
      <w:bookmarkStart w:id="458" w:name="_Toc13077"/>
      <w:bookmarkStart w:id="459" w:name="_Toc7947"/>
      <w:r>
        <w:rPr>
          <w:rFonts w:hint="eastAsia" w:ascii="仿宋" w:hAnsi="仿宋" w:eastAsia="仿宋" w:cs="仿宋"/>
          <w:b/>
          <w:color w:val="auto"/>
          <w:sz w:val="24"/>
          <w:highlight w:val="none"/>
        </w:rPr>
        <w:t>一、本工程养护期内目标</w:t>
      </w:r>
      <w:bookmarkEnd w:id="456"/>
      <w:bookmarkEnd w:id="457"/>
      <w:bookmarkEnd w:id="458"/>
      <w:bookmarkEnd w:id="459"/>
    </w:p>
    <w:p w14:paraId="22B6845D">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1.确保人身安全不发生人身工伤及伤亡事故。</w:t>
      </w:r>
    </w:p>
    <w:p w14:paraId="22B6845E">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2.确保养护机具正常运行，各类用电必须严格执行JGJ46—88《建筑施工现场临时用电安全技术规范》。</w:t>
      </w:r>
    </w:p>
    <w:p w14:paraId="22B6845F">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3.确保养护施工现场文明施工，达到工地文明、清洁、整齐、卫生要求。</w:t>
      </w:r>
    </w:p>
    <w:p w14:paraId="22B68460">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4.确保养护管理用房、施工现场消防安全，杜绝火警事故隐患，不发生火灾事故。</w:t>
      </w:r>
    </w:p>
    <w:p w14:paraId="22B68461">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5.确保水上作业安全。</w:t>
      </w:r>
    </w:p>
    <w:p w14:paraId="22B68462">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6.认真执行治安管理条例等法律法规，加强对养护工人的管理和培训，做到规范操作，同时对养护工人的工资按时发放等，防止和减少治安刑事案件发生。</w:t>
      </w:r>
    </w:p>
    <w:p w14:paraId="22B68463">
      <w:pPr>
        <w:adjustRightInd/>
        <w:spacing w:line="360" w:lineRule="auto"/>
        <w:ind w:firstLine="482" w:firstLineChars="200"/>
        <w:outlineLvl w:val="0"/>
        <w:rPr>
          <w:rFonts w:hint="eastAsia" w:ascii="仿宋" w:hAnsi="仿宋" w:eastAsia="仿宋" w:cs="仿宋"/>
          <w:b/>
          <w:color w:val="auto"/>
          <w:sz w:val="24"/>
          <w:highlight w:val="none"/>
        </w:rPr>
      </w:pPr>
      <w:bookmarkStart w:id="460" w:name="_Toc8231"/>
      <w:bookmarkStart w:id="461" w:name="_Toc24591"/>
      <w:bookmarkStart w:id="462" w:name="_Toc25407"/>
      <w:bookmarkStart w:id="463" w:name="_Toc2644"/>
      <w:r>
        <w:rPr>
          <w:rFonts w:hint="eastAsia" w:ascii="仿宋" w:hAnsi="仿宋" w:eastAsia="仿宋" w:cs="仿宋"/>
          <w:b/>
          <w:color w:val="auto"/>
          <w:sz w:val="24"/>
          <w:highlight w:val="none"/>
        </w:rPr>
        <w:t>二、双方责任</w:t>
      </w:r>
      <w:bookmarkEnd w:id="460"/>
      <w:bookmarkEnd w:id="461"/>
      <w:bookmarkEnd w:id="462"/>
      <w:bookmarkEnd w:id="463"/>
    </w:p>
    <w:p w14:paraId="22B68464">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1.甲方责任</w:t>
      </w:r>
    </w:p>
    <w:p w14:paraId="22B68465">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1.1甲方及时传达贯彻国家及各级主管部门发布的“劳动安全”、“文明施工”及“消防治安”方针、政策、法令、法规、条例指示，适时布置上述工作要求。</w:t>
      </w:r>
    </w:p>
    <w:p w14:paraId="22B68466">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1.2乙方对本工程项目的施工和建设单位工作矛盾发生危及安全生产的问题，应及时提出甲方帮助协调处理解决。</w:t>
      </w:r>
    </w:p>
    <w:p w14:paraId="22B68467">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1.3甲方例行对乙方在养护现场安全生产、文明施工等工作的检查、监督，发现问题提出整改意见。</w:t>
      </w:r>
    </w:p>
    <w:p w14:paraId="22B68468">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1.4若乙方发生事故，甲方协助调查分析原因，分清责任。</w:t>
      </w:r>
    </w:p>
    <w:p w14:paraId="22B68469">
      <w:pPr>
        <w:adjustRightInd/>
        <w:spacing w:line="360" w:lineRule="auto"/>
        <w:ind w:firstLine="480" w:firstLineChars="200"/>
        <w:rPr>
          <w:rFonts w:hint="eastAsia" w:ascii="仿宋" w:hAnsi="仿宋" w:eastAsia="仿宋" w:cs="仿宋"/>
          <w:color w:val="auto"/>
          <w:sz w:val="24"/>
          <w:highlight w:val="none"/>
        </w:rPr>
      </w:pPr>
      <w:bookmarkStart w:id="464" w:name="_Toc280"/>
      <w:bookmarkStart w:id="465" w:name="_Toc11560"/>
      <w:bookmarkStart w:id="466" w:name="_Toc9728"/>
      <w:r>
        <w:rPr>
          <w:rFonts w:hint="eastAsia" w:ascii="仿宋" w:hAnsi="仿宋" w:eastAsia="仿宋" w:cs="仿宋"/>
          <w:color w:val="auto"/>
          <w:sz w:val="24"/>
          <w:highlight w:val="none"/>
        </w:rPr>
        <w:t>2.乙方责任</w:t>
      </w:r>
      <w:bookmarkEnd w:id="464"/>
      <w:bookmarkEnd w:id="465"/>
      <w:bookmarkEnd w:id="466"/>
    </w:p>
    <w:p w14:paraId="22B6846A">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2.1本养护工程项目，本着“谁养护、谁负责”的原则，乙方为本养护项目安全综合治理责任人。</w:t>
      </w:r>
    </w:p>
    <w:p w14:paraId="22B6846B">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2.2乙方应切实执行国家及各级主管部门发布的“安全生产法”及“文明施工”、“治安消防”等的方针、政策、法令、法规、条例。</w:t>
      </w:r>
    </w:p>
    <w:p w14:paraId="22B6846C">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2.3乙方对特殊工种人员，应持有上岗证上岗，并对本工程项目施工要设立专职安全员负责日常安全生产、文明施工、治安等工作检查监督。</w:t>
      </w:r>
    </w:p>
    <w:p w14:paraId="22B6846D">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2.4施工现场用电必须做好三宝四口，五临四边的规范防护，严禁使用三无产品，保证工地用电的绝对安全。</w:t>
      </w:r>
    </w:p>
    <w:p w14:paraId="22B6846E">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2.5乙方应对甲方在检查监督安全综合治理工作中发现的问题提出整改意见，应及时整改。</w:t>
      </w:r>
    </w:p>
    <w:p w14:paraId="22B6846F">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2.6对施工现场民工的居住条件必须保证安全，民工的工资不得拖欠， 按时发放。</w:t>
      </w:r>
    </w:p>
    <w:p w14:paraId="22B68470">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2.7乙方在本工程项目施工过程中发生人身、机具、消防、治安、环境污染等事故造成一切经济损失均由乙方自己承担。    </w:t>
      </w:r>
    </w:p>
    <w:p w14:paraId="22B68471">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甲方（盖章）：                     乙方（盖章）：</w:t>
      </w:r>
    </w:p>
    <w:p w14:paraId="22B68472">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         法定代表人（签字或盖章）：</w:t>
      </w:r>
    </w:p>
    <w:p w14:paraId="22B68473">
      <w:pPr>
        <w:adjustRightInd/>
        <w:spacing w:line="360" w:lineRule="auto"/>
        <w:rPr>
          <w:rFonts w:hint="eastAsia" w:ascii="仿宋" w:hAnsi="仿宋" w:eastAsia="仿宋" w:cs="仿宋"/>
          <w:color w:val="auto"/>
          <w:sz w:val="24"/>
          <w:highlight w:val="none"/>
        </w:rPr>
      </w:pPr>
    </w:p>
    <w:p w14:paraId="22B68474">
      <w:pPr>
        <w:tabs>
          <w:tab w:val="left" w:pos="5709"/>
        </w:tabs>
        <w:adjustRightInd/>
        <w:spacing w:line="400" w:lineRule="exact"/>
        <w:ind w:firstLine="480"/>
        <w:rPr>
          <w:rFonts w:hint="eastAsia" w:ascii="仿宋" w:hAnsi="仿宋" w:eastAsia="仿宋" w:cs="仿宋"/>
          <w:color w:val="auto"/>
          <w:kern w:val="0"/>
          <w:sz w:val="24"/>
          <w:highlight w:val="none"/>
        </w:rPr>
      </w:pPr>
    </w:p>
    <w:p w14:paraId="22B68475">
      <w:pPr>
        <w:rPr>
          <w:color w:val="auto"/>
          <w:highlight w:val="none"/>
        </w:rPr>
      </w:pPr>
      <w:r>
        <w:rPr>
          <w:rFonts w:hint="eastAsia"/>
          <w:color w:val="auto"/>
          <w:highlight w:val="none"/>
        </w:rPr>
        <w:br w:type="page"/>
      </w:r>
    </w:p>
    <w:p w14:paraId="22B68476">
      <w:pPr>
        <w:rPr>
          <w:color w:val="auto"/>
          <w:highlight w:val="none"/>
        </w:rPr>
      </w:pPr>
    </w:p>
    <w:p w14:paraId="22B68477">
      <w:pPr>
        <w:wordWrap w:val="0"/>
        <w:spacing w:line="360" w:lineRule="auto"/>
        <w:ind w:left="720" w:firstLine="723" w:firstLineChars="200"/>
        <w:outlineLvl w:val="0"/>
        <w:rPr>
          <w:rFonts w:hint="eastAsia" w:ascii="仿宋" w:hAnsi="仿宋" w:eastAsia="仿宋" w:cs="仿宋"/>
          <w:b/>
          <w:color w:val="auto"/>
          <w:sz w:val="36"/>
          <w:szCs w:val="20"/>
          <w:highlight w:val="none"/>
        </w:rPr>
      </w:pPr>
      <w:bookmarkStart w:id="467" w:name="_Toc28848"/>
      <w:bookmarkStart w:id="468" w:name="_Toc27390"/>
      <w:r>
        <w:rPr>
          <w:rFonts w:hint="eastAsia" w:ascii="仿宋" w:hAnsi="仿宋" w:eastAsia="仿宋" w:cs="仿宋"/>
          <w:b/>
          <w:color w:val="auto"/>
          <w:sz w:val="36"/>
          <w:szCs w:val="20"/>
          <w:highlight w:val="none"/>
        </w:rPr>
        <w:t>第六部分</w:t>
      </w:r>
      <w:bookmarkEnd w:id="436"/>
      <w:r>
        <w:rPr>
          <w:rFonts w:hint="eastAsia" w:ascii="仿宋" w:hAnsi="仿宋" w:eastAsia="仿宋" w:cs="仿宋"/>
          <w:b/>
          <w:color w:val="auto"/>
          <w:sz w:val="36"/>
          <w:szCs w:val="20"/>
          <w:highlight w:val="none"/>
        </w:rPr>
        <w:t xml:space="preserve"> </w:t>
      </w:r>
      <w:bookmarkEnd w:id="437"/>
      <w:r>
        <w:rPr>
          <w:rFonts w:hint="eastAsia" w:ascii="仿宋" w:hAnsi="仿宋" w:eastAsia="仿宋" w:cs="仿宋"/>
          <w:b/>
          <w:color w:val="auto"/>
          <w:sz w:val="36"/>
          <w:szCs w:val="20"/>
          <w:highlight w:val="none"/>
        </w:rPr>
        <w:t>应提交的有关格式范例</w:t>
      </w:r>
      <w:bookmarkEnd w:id="448"/>
      <w:bookmarkEnd w:id="449"/>
      <w:bookmarkEnd w:id="450"/>
      <w:bookmarkEnd w:id="451"/>
      <w:bookmarkEnd w:id="452"/>
      <w:bookmarkEnd w:id="453"/>
      <w:bookmarkEnd w:id="454"/>
      <w:bookmarkEnd w:id="467"/>
      <w:bookmarkEnd w:id="468"/>
    </w:p>
    <w:p w14:paraId="22B68478">
      <w:pPr>
        <w:wordWrap w:val="0"/>
        <w:spacing w:line="360" w:lineRule="auto"/>
        <w:ind w:firstLine="723"/>
        <w:jc w:val="center"/>
        <w:rPr>
          <w:rFonts w:hint="eastAsia" w:ascii="仿宋" w:hAnsi="仿宋" w:eastAsia="仿宋" w:cs="仿宋"/>
          <w:b/>
          <w:color w:val="auto"/>
          <w:kern w:val="0"/>
          <w:sz w:val="36"/>
          <w:szCs w:val="36"/>
          <w:highlight w:val="none"/>
        </w:rPr>
      </w:pPr>
    </w:p>
    <w:p w14:paraId="22B68479">
      <w:pPr>
        <w:wordWrap w:val="0"/>
        <w:spacing w:line="360" w:lineRule="auto"/>
        <w:ind w:firstLine="723"/>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2B6847A">
      <w:pPr>
        <w:wordWrap w:val="0"/>
        <w:spacing w:line="360" w:lineRule="auto"/>
        <w:ind w:firstLine="723"/>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2B6847B">
      <w:pPr>
        <w:wordWrap w:val="0"/>
        <w:spacing w:line="360" w:lineRule="auto"/>
        <w:ind w:firstLine="723"/>
        <w:jc w:val="center"/>
        <w:rPr>
          <w:rFonts w:hint="eastAsia" w:ascii="仿宋" w:hAnsi="仿宋" w:eastAsia="仿宋" w:cs="仿宋"/>
          <w:b/>
          <w:color w:val="auto"/>
          <w:kern w:val="0"/>
          <w:sz w:val="36"/>
          <w:szCs w:val="36"/>
          <w:highlight w:val="none"/>
        </w:rPr>
      </w:pPr>
    </w:p>
    <w:p w14:paraId="22B6847C">
      <w:pPr>
        <w:numPr>
          <w:ilvl w:val="0"/>
          <w:numId w:val="8"/>
        </w:numPr>
        <w:wordWrap w:val="0"/>
        <w:topLinePunct/>
        <w:snapToGrid w:val="0"/>
        <w:spacing w:line="360" w:lineRule="auto"/>
        <w:outlineLvl w:val="1"/>
        <w:rPr>
          <w:rFonts w:hint="eastAsia" w:ascii="仿宋" w:hAnsi="仿宋" w:eastAsia="仿宋" w:cs="仿宋"/>
          <w:color w:val="auto"/>
          <w:sz w:val="24"/>
          <w:highlight w:val="none"/>
        </w:rPr>
      </w:pPr>
      <w:bookmarkStart w:id="469" w:name="_Toc30320"/>
      <w:r>
        <w:rPr>
          <w:rFonts w:hint="eastAsia" w:ascii="仿宋" w:hAnsi="仿宋" w:eastAsia="仿宋" w:cs="仿宋"/>
          <w:color w:val="auto"/>
          <w:sz w:val="24"/>
          <w:highlight w:val="none"/>
        </w:rPr>
        <w:t>供应商（联合体参加的指联合体双方）的营业执照或者其他由国家相关部门出具的具有独立承担民事责任能力的证明文件………………………………………（页码）</w:t>
      </w:r>
    </w:p>
    <w:p w14:paraId="22B6847D">
      <w:pPr>
        <w:numPr>
          <w:ilvl w:val="0"/>
          <w:numId w:val="8"/>
        </w:numPr>
        <w:wordWrap w:val="0"/>
        <w:topLinePunct/>
        <w:snapToGrid w:val="0"/>
        <w:spacing w:line="360" w:lineRule="auto"/>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符合参加政府采购活动应当具备的一般条件、特殊资格条件的承诺函的承诺函…………………………………………………………………………………（页码）</w:t>
      </w:r>
    </w:p>
    <w:p w14:paraId="22B6847E">
      <w:pPr>
        <w:numPr>
          <w:ilvl w:val="0"/>
          <w:numId w:val="8"/>
        </w:numPr>
        <w:wordWrap w:val="0"/>
        <w:topLinePunct/>
        <w:snapToGrid w:val="0"/>
        <w:spacing w:line="360" w:lineRule="auto"/>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联合协议（联合体参加的提供）…………………………………………（页码）</w:t>
      </w:r>
      <w:bookmarkEnd w:id="469"/>
    </w:p>
    <w:p w14:paraId="22B6847F">
      <w:pPr>
        <w:numPr>
          <w:ilvl w:val="0"/>
          <w:numId w:val="8"/>
        </w:numPr>
        <w:wordWrap w:val="0"/>
        <w:topLinePunct/>
        <w:snapToGrid w:val="0"/>
        <w:spacing w:line="360" w:lineRule="auto"/>
        <w:outlineLvl w:val="1"/>
        <w:rPr>
          <w:rFonts w:hint="eastAsia" w:ascii="仿宋" w:hAnsi="仿宋" w:eastAsia="仿宋" w:cs="仿宋"/>
          <w:color w:val="auto"/>
          <w:sz w:val="24"/>
          <w:highlight w:val="none"/>
        </w:rPr>
      </w:pPr>
      <w:bookmarkStart w:id="470" w:name="_Toc7010"/>
      <w:r>
        <w:rPr>
          <w:rFonts w:hint="eastAsia" w:ascii="仿宋" w:hAnsi="仿宋" w:eastAsia="仿宋" w:cs="仿宋"/>
          <w:color w:val="auto"/>
          <w:sz w:val="24"/>
          <w:highlight w:val="none"/>
        </w:rPr>
        <w:t>满足政府采购政策资格要求证明材料……………………………………（页码）</w:t>
      </w:r>
      <w:bookmarkEnd w:id="470"/>
    </w:p>
    <w:p w14:paraId="22B68480">
      <w:pPr>
        <w:numPr>
          <w:ilvl w:val="0"/>
          <w:numId w:val="8"/>
        </w:numPr>
        <w:wordWrap w:val="0"/>
        <w:topLinePunct/>
        <w:snapToGrid w:val="0"/>
        <w:spacing w:line="360" w:lineRule="auto"/>
        <w:outlineLvl w:val="1"/>
        <w:rPr>
          <w:rFonts w:hint="eastAsia" w:ascii="仿宋" w:hAnsi="仿宋" w:eastAsia="仿宋" w:cs="仿宋"/>
          <w:color w:val="auto"/>
          <w:sz w:val="24"/>
          <w:highlight w:val="none"/>
        </w:rPr>
      </w:pPr>
      <w:bookmarkStart w:id="471" w:name="_Toc24971"/>
      <w:r>
        <w:rPr>
          <w:rFonts w:hint="eastAsia" w:ascii="仿宋" w:hAnsi="仿宋" w:eastAsia="仿宋" w:cs="仿宋"/>
          <w:color w:val="auto"/>
          <w:sz w:val="24"/>
          <w:highlight w:val="none"/>
        </w:rPr>
        <w:t>满足本项目特定资格要求证明材料………………………………………（页码）</w:t>
      </w:r>
      <w:bookmarkEnd w:id="471"/>
    </w:p>
    <w:p w14:paraId="22B68481">
      <w:pPr>
        <w:wordWrap w:val="0"/>
        <w:topLinePunct/>
        <w:snapToGrid w:val="0"/>
        <w:spacing w:line="360" w:lineRule="auto"/>
        <w:ind w:firstLine="480" w:firstLineChars="200"/>
        <w:rPr>
          <w:rFonts w:hint="eastAsia" w:ascii="仿宋" w:hAnsi="仿宋" w:eastAsia="仿宋" w:cs="仿宋"/>
          <w:color w:val="auto"/>
          <w:sz w:val="24"/>
          <w:highlight w:val="none"/>
        </w:rPr>
      </w:pPr>
    </w:p>
    <w:p w14:paraId="22B68482">
      <w:pPr>
        <w:wordWrap w:val="0"/>
        <w:topLinePunct/>
        <w:spacing w:line="360" w:lineRule="auto"/>
        <w:ind w:firstLine="480" w:firstLineChars="200"/>
        <w:rPr>
          <w:rFonts w:hint="eastAsia" w:ascii="仿宋" w:hAnsi="仿宋" w:eastAsia="仿宋" w:cs="仿宋"/>
          <w:color w:val="auto"/>
          <w:sz w:val="24"/>
          <w:highlight w:val="none"/>
        </w:rPr>
      </w:pPr>
    </w:p>
    <w:p w14:paraId="22B68483">
      <w:pPr>
        <w:numPr>
          <w:ilvl w:val="0"/>
          <w:numId w:val="9"/>
        </w:numPr>
        <w:wordWrap w:val="0"/>
        <w:snapToGrid w:val="0"/>
        <w:spacing w:line="288" w:lineRule="auto"/>
        <w:ind w:right="482"/>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供应商（联合体参加的指联合体双方）的营业执照或者其他由国家相关部门出具的具有独立承担民事责任能力的证明文件</w:t>
      </w:r>
    </w:p>
    <w:p w14:paraId="22B68484">
      <w:pPr>
        <w:numPr>
          <w:ilvl w:val="255"/>
          <w:numId w:val="0"/>
        </w:numPr>
        <w:wordWrap w:val="0"/>
        <w:snapToGrid w:val="0"/>
        <w:spacing w:line="288" w:lineRule="auto"/>
        <w:ind w:right="482"/>
        <w:rPr>
          <w:rFonts w:hint="eastAsia" w:ascii="仿宋" w:hAnsi="仿宋" w:eastAsia="仿宋" w:cs="仿宋"/>
          <w:b/>
          <w:color w:val="auto"/>
          <w:kern w:val="0"/>
          <w:sz w:val="32"/>
          <w:szCs w:val="32"/>
          <w:highlight w:val="none"/>
        </w:rPr>
      </w:pPr>
    </w:p>
    <w:p w14:paraId="22B68485">
      <w:pPr>
        <w:ind w:firstLine="643"/>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2B68486">
      <w:pPr>
        <w:numPr>
          <w:ilvl w:val="255"/>
          <w:numId w:val="0"/>
        </w:numPr>
        <w:wordWrap w:val="0"/>
        <w:snapToGrid w:val="0"/>
        <w:spacing w:line="288" w:lineRule="auto"/>
        <w:ind w:right="482"/>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二、符合参加政府采购活动应当具备的一般条件、特殊资格条件的承诺函</w:t>
      </w:r>
    </w:p>
    <w:p w14:paraId="22B68487">
      <w:pPr>
        <w:wordWrap w:val="0"/>
        <w:snapToGrid w:val="0"/>
        <w:spacing w:line="360" w:lineRule="auto"/>
        <w:rPr>
          <w:rFonts w:hint="eastAsia" w:ascii="仿宋" w:hAnsi="仿宋" w:eastAsia="仿宋" w:cs="仿宋"/>
          <w:color w:val="auto"/>
          <w:sz w:val="48"/>
          <w:szCs w:val="48"/>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48"/>
          <w:szCs w:val="48"/>
          <w:highlight w:val="none"/>
        </w:rPr>
        <w:t xml:space="preserve"> 承诺函</w:t>
      </w:r>
    </w:p>
    <w:p w14:paraId="22B68488">
      <w:pPr>
        <w:wordWrap w:val="0"/>
        <w:snapToGrid w:val="0"/>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杭州市城市水设施和河道保护管理中心、浙江省成套工程有限公司</w:t>
      </w:r>
      <w:r>
        <w:rPr>
          <w:rFonts w:hint="eastAsia" w:ascii="仿宋" w:hAnsi="仿宋" w:eastAsia="仿宋" w:cs="仿宋"/>
          <w:color w:val="auto"/>
          <w:sz w:val="24"/>
          <w:highlight w:val="none"/>
        </w:rPr>
        <w:t>：</w:t>
      </w:r>
    </w:p>
    <w:p w14:paraId="22B68489">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eastAsia="zh-CN"/>
        </w:rPr>
        <w:t>胜利河船闸、电厂热水河船闸、姚家坝泵站、施家桥闸站、九沙橡胶坝、九沙和睦闸、九沙东湖闸等养护服务采购项目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ZJCT6-HD2025-03</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政府采购活动，郑重承诺：</w:t>
      </w:r>
    </w:p>
    <w:p w14:paraId="22B6848A">
      <w:pPr>
        <w:wordWrap w:val="0"/>
        <w:snapToGrid w:val="0"/>
        <w:spacing w:line="312"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2B6848B">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2B6848C">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2B6848D">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2B6848E">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2B6848F">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w:t>
      </w:r>
      <w:r>
        <w:rPr>
          <w:rFonts w:hint="eastAsia" w:ascii="仿宋" w:hAnsi="仿宋" w:eastAsia="仿宋" w:cs="仿宋"/>
          <w:color w:val="auto"/>
          <w:sz w:val="24"/>
          <w:highlight w:val="none"/>
          <w:u w:val="single"/>
        </w:rPr>
        <w:t>本项目</w:t>
      </w:r>
      <w:r>
        <w:rPr>
          <w:rFonts w:hint="eastAsia" w:ascii="仿宋" w:hAnsi="仿宋" w:eastAsia="仿宋" w:cs="仿宋"/>
          <w:color w:val="auto"/>
          <w:sz w:val="24"/>
          <w:highlight w:val="none"/>
        </w:rPr>
        <w:t>政府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22B68490">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22B68491">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2B68492">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2B68493">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2B68494">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22B68495">
      <w:pPr>
        <w:wordWrap w:val="0"/>
        <w:snapToGrid w:val="0"/>
        <w:spacing w:line="360" w:lineRule="auto"/>
        <w:ind w:firstLine="480" w:firstLineChars="200"/>
        <w:rPr>
          <w:rFonts w:hint="eastAsia" w:ascii="仿宋" w:hAnsi="仿宋" w:eastAsia="仿宋" w:cs="仿宋"/>
          <w:color w:val="auto"/>
          <w:kern w:val="0"/>
          <w:sz w:val="24"/>
          <w:highlight w:val="none"/>
          <w:lang w:val="zh-CN"/>
        </w:rPr>
      </w:pPr>
    </w:p>
    <w:p w14:paraId="22B68496">
      <w:pPr>
        <w:wordWrap w:val="0"/>
        <w:snapToGrid w:val="0"/>
        <w:spacing w:line="360" w:lineRule="auto"/>
        <w:ind w:firstLine="5520" w:firstLineChars="2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p>
    <w:p w14:paraId="22B68497">
      <w:pPr>
        <w:wordWrap w:val="0"/>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14:paraId="22B68498">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2B68499">
      <w:pPr>
        <w:wordWrap w:val="0"/>
        <w:snapToGrid w:val="0"/>
        <w:spacing w:line="360" w:lineRule="auto"/>
        <w:ind w:right="480" w:firstLine="482"/>
        <w:rPr>
          <w:rFonts w:hint="eastAsia" w:ascii="仿宋" w:hAnsi="仿宋" w:eastAsia="仿宋" w:cs="仿宋"/>
          <w:b/>
          <w:color w:val="auto"/>
          <w:kern w:val="0"/>
          <w:sz w:val="24"/>
          <w:highlight w:val="none"/>
        </w:rPr>
      </w:pPr>
    </w:p>
    <w:p w14:paraId="22B6849A">
      <w:pPr>
        <w:wordWrap w:val="0"/>
        <w:snapToGrid w:val="0"/>
        <w:spacing w:line="360" w:lineRule="auto"/>
        <w:ind w:right="480" w:firstLine="482"/>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备注：联合体投标的，联合体成员均应提供。非牵头人可提供加盖单位物理公章的原件扫描件。</w:t>
      </w:r>
    </w:p>
    <w:p w14:paraId="22B6849B">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49C">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49D">
      <w:pPr>
        <w:wordWrap w:val="0"/>
        <w:rPr>
          <w:rFonts w:hint="eastAsia" w:ascii="仿宋" w:hAnsi="仿宋" w:eastAsia="仿宋" w:cs="仿宋"/>
          <w:color w:val="auto"/>
          <w:highlight w:val="none"/>
        </w:rPr>
      </w:pPr>
    </w:p>
    <w:p w14:paraId="22B6849E">
      <w:pPr>
        <w:wordWrap w:val="0"/>
        <w:ind w:firstLine="643"/>
        <w:rPr>
          <w:rFonts w:hint="eastAsia" w:ascii="仿宋" w:hAnsi="仿宋" w:eastAsia="仿宋" w:cs="仿宋"/>
          <w:b/>
          <w:color w:val="auto"/>
          <w:kern w:val="0"/>
          <w:sz w:val="32"/>
          <w:szCs w:val="32"/>
          <w:highlight w:val="none"/>
        </w:rPr>
      </w:pPr>
    </w:p>
    <w:p w14:paraId="22B6849F">
      <w:pPr>
        <w:widowControl/>
        <w:wordWrap w:val="0"/>
        <w:spacing w:line="360" w:lineRule="auto"/>
        <w:ind w:left="150" w:firstLine="643"/>
        <w:jc w:val="center"/>
        <w:outlineLvl w:val="3"/>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三、联合协议（联合体参加的提供）</w:t>
      </w:r>
    </w:p>
    <w:p w14:paraId="22B684A0">
      <w:pPr>
        <w:widowControl/>
        <w:wordWrap w:val="0"/>
        <w:spacing w:line="360" w:lineRule="auto"/>
        <w:ind w:left="147" w:firstLine="482" w:firstLineChars="200"/>
        <w:rPr>
          <w:rFonts w:hint="eastAsia" w:ascii="仿宋" w:hAnsi="仿宋" w:eastAsia="仿宋" w:cs="仿宋"/>
          <w:b/>
          <w:bCs/>
          <w:color w:val="auto"/>
          <w:sz w:val="24"/>
          <w:highlight w:val="none"/>
        </w:rPr>
      </w:pPr>
    </w:p>
    <w:p w14:paraId="5F836961">
      <w:pPr>
        <w:widowControl/>
        <w:wordWrap w:val="0"/>
        <w:spacing w:line="360" w:lineRule="auto"/>
        <w:ind w:left="147" w:firstLine="482" w:firstLineChars="200"/>
        <w:outlineLvl w:val="3"/>
        <w:rPr>
          <w:rFonts w:hint="eastAsia" w:ascii="仿宋" w:hAnsi="仿宋" w:eastAsia="仿宋" w:cs="仿宋"/>
          <w:b/>
          <w:bCs/>
          <w:color w:val="auto"/>
          <w:sz w:val="24"/>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b/>
          <w:bCs/>
          <w:color w:val="auto"/>
          <w:sz w:val="24"/>
          <w:highlight w:val="none"/>
        </w:rPr>
        <w:t>[以联合体形式投标的，提供联合协议（附件6）。]</w:t>
      </w:r>
    </w:p>
    <w:p w14:paraId="22B684A2">
      <w:pPr>
        <w:wordWrap w:val="0"/>
        <w:snapToGrid w:val="0"/>
        <w:spacing w:line="360" w:lineRule="auto"/>
        <w:ind w:right="480" w:firstLine="643"/>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四、满足政府采购政策资格要求证明材料</w:t>
      </w:r>
    </w:p>
    <w:p w14:paraId="22B684A3">
      <w:pPr>
        <w:wordWrap w:val="0"/>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 xml:space="preserve">A.本项目专门面向中小企业，服务全部由符合政策要求的中小企业（或小微企业）承接的，提供相应的中小企业声明函（附件5）。 </w:t>
      </w:r>
    </w:p>
    <w:p w14:paraId="22B684A4">
      <w:pPr>
        <w:widowControl/>
        <w:wordWrap w:val="0"/>
        <w:spacing w:line="360" w:lineRule="auto"/>
        <w:ind w:firstLine="472" w:firstLineChars="196"/>
        <w:jc w:val="left"/>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6）和中小企业声明函（附件5），联合协议中小微企业合同金额应当达到招标公告载明的比例；如果供应商本身提供所有标的均由小微企业承接的，视同符合了资格条件，无需再与其他小微企业组成联合体参加政府采购活动，无需提供联合协议。</w:t>
      </w:r>
    </w:p>
    <w:p w14:paraId="22B684A5">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7）和中小企业声明函（附件5），分包意向协议中中小企业合同金额应当达到招标公告载明的比例；如果供应商本身提供所有标的均由中小企业承接，视同符合了资格条件，无需再向中小企业分包，无需提供分包意向协议。</w:t>
      </w:r>
    </w:p>
    <w:p w14:paraId="22B684A6">
      <w:pPr>
        <w:wordWrap w:val="0"/>
        <w:snapToGrid w:val="0"/>
        <w:spacing w:before="50" w:after="50"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22B684A7">
      <w:pPr>
        <w:widowControl/>
        <w:ind w:firstLine="643"/>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2B684A8">
      <w:pPr>
        <w:widowControl/>
        <w:wordWrap w:val="0"/>
        <w:spacing w:line="360" w:lineRule="auto"/>
        <w:ind w:left="150" w:firstLine="643"/>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五、满足本项目特定资格要求的证明材料</w:t>
      </w:r>
    </w:p>
    <w:p w14:paraId="22B684A9">
      <w:pPr>
        <w:wordWrap w:val="0"/>
        <w:rPr>
          <w:rFonts w:hint="eastAsia" w:ascii="仿宋" w:hAnsi="仿宋" w:eastAsia="仿宋" w:cs="仿宋"/>
          <w:color w:val="auto"/>
          <w:highlight w:val="none"/>
        </w:rPr>
      </w:pPr>
    </w:p>
    <w:p w14:paraId="22B684AA">
      <w:pPr>
        <w:widowControl/>
        <w:wordWrap w:val="0"/>
        <w:spacing w:line="360" w:lineRule="auto"/>
        <w:ind w:firstLine="482" w:firstLineChars="200"/>
        <w:jc w:val="left"/>
        <w:rPr>
          <w:rFonts w:hint="eastAsia" w:ascii="仿宋" w:hAnsi="仿宋" w:eastAsia="仿宋" w:cs="仿宋"/>
          <w:b/>
          <w:bCs/>
          <w:color w:val="auto"/>
          <w:sz w:val="24"/>
          <w:highlight w:val="none"/>
        </w:rPr>
      </w:pPr>
      <w:r>
        <w:rPr>
          <w:rFonts w:ascii="仿宋" w:hAnsi="仿宋" w:eastAsia="仿宋" w:cs="仿宋"/>
          <w:b/>
          <w:bCs/>
          <w:color w:val="auto"/>
          <w:sz w:val="24"/>
          <w:highlight w:val="none"/>
        </w:rPr>
        <w:t>1.</w:t>
      </w:r>
      <w:r>
        <w:rPr>
          <w:rFonts w:hint="eastAsia" w:ascii="仿宋" w:hAnsi="仿宋" w:eastAsia="仿宋" w:cs="仿宋"/>
          <w:b/>
          <w:bCs/>
          <w:color w:val="auto"/>
          <w:sz w:val="24"/>
          <w:highlight w:val="none"/>
        </w:rPr>
        <w:t>承诺函(同符合参加政府采购活动应当具备的一般条件、特殊资格要求的承诺函，不用重复提供）。</w:t>
      </w:r>
    </w:p>
    <w:p w14:paraId="22B684AB">
      <w:pPr>
        <w:widowControl/>
        <w:numPr>
          <w:ilvl w:val="255"/>
          <w:numId w:val="0"/>
        </w:numPr>
        <w:wordWrap w:val="0"/>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2.企业资质动态核查证明。</w:t>
      </w:r>
    </w:p>
    <w:p w14:paraId="22B684AD">
      <w:pPr>
        <w:wordWrap w:val="0"/>
        <w:snapToGrid w:val="0"/>
        <w:spacing w:line="360" w:lineRule="auto"/>
        <w:ind w:right="480" w:firstLine="640"/>
        <w:jc w:val="center"/>
        <w:rPr>
          <w:rFonts w:hint="eastAsia" w:ascii="仿宋" w:hAnsi="仿宋" w:eastAsia="仿宋" w:cs="仿宋"/>
          <w:color w:val="auto"/>
          <w:kern w:val="0"/>
          <w:sz w:val="32"/>
          <w:szCs w:val="32"/>
          <w:highlight w:val="none"/>
        </w:rPr>
      </w:pPr>
    </w:p>
    <w:p w14:paraId="22B684AE">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4AF">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4B0">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4B1">
      <w:pPr>
        <w:wordWrap w:val="0"/>
        <w:spacing w:line="360" w:lineRule="auto"/>
        <w:ind w:firstLine="723"/>
        <w:jc w:val="center"/>
        <w:rPr>
          <w:rFonts w:hint="eastAsia" w:ascii="仿宋" w:hAnsi="仿宋" w:eastAsia="仿宋" w:cs="仿宋"/>
          <w:b/>
          <w:color w:val="auto"/>
          <w:kern w:val="0"/>
          <w:sz w:val="36"/>
          <w:szCs w:val="36"/>
          <w:highlight w:val="none"/>
        </w:rPr>
      </w:pPr>
    </w:p>
    <w:p w14:paraId="22B684B2">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4B3">
      <w:pPr>
        <w:wordWrap w:val="0"/>
        <w:spacing w:line="360" w:lineRule="auto"/>
        <w:ind w:firstLine="723"/>
        <w:jc w:val="center"/>
        <w:rPr>
          <w:rFonts w:hint="eastAsia" w:ascii="仿宋" w:hAnsi="仿宋" w:eastAsia="仿宋" w:cs="仿宋"/>
          <w:b/>
          <w:color w:val="auto"/>
          <w:kern w:val="0"/>
          <w:sz w:val="36"/>
          <w:szCs w:val="36"/>
          <w:highlight w:val="none"/>
        </w:rPr>
      </w:pPr>
    </w:p>
    <w:p w14:paraId="22B684B4">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4B5">
      <w:pPr>
        <w:wordWrap w:val="0"/>
        <w:spacing w:line="360" w:lineRule="auto"/>
        <w:ind w:firstLine="723"/>
        <w:jc w:val="center"/>
        <w:rPr>
          <w:rFonts w:hint="eastAsia" w:ascii="仿宋" w:hAnsi="仿宋" w:eastAsia="仿宋" w:cs="仿宋"/>
          <w:b/>
          <w:color w:val="auto"/>
          <w:kern w:val="0"/>
          <w:sz w:val="36"/>
          <w:szCs w:val="36"/>
          <w:highlight w:val="none"/>
        </w:rPr>
      </w:pPr>
    </w:p>
    <w:p w14:paraId="22B684B6">
      <w:pPr>
        <w:wordWrap w:val="0"/>
        <w:ind w:firstLine="723"/>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2B684B7">
      <w:pPr>
        <w:wordWrap w:val="0"/>
        <w:spacing w:line="360" w:lineRule="auto"/>
        <w:ind w:right="420" w:firstLine="3614" w:firstLineChars="1000"/>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22B684B8">
      <w:pPr>
        <w:wordWrap w:val="0"/>
        <w:spacing w:line="360" w:lineRule="auto"/>
        <w:ind w:firstLine="482"/>
        <w:jc w:val="center"/>
        <w:rPr>
          <w:rFonts w:hint="eastAsia" w:ascii="仿宋" w:hAnsi="仿宋" w:eastAsia="仿宋" w:cs="仿宋"/>
          <w:b/>
          <w:color w:val="auto"/>
          <w:kern w:val="0"/>
          <w:sz w:val="24"/>
          <w:highlight w:val="none"/>
        </w:rPr>
      </w:pPr>
    </w:p>
    <w:p w14:paraId="22B684B9">
      <w:pPr>
        <w:wordWrap w:val="0"/>
        <w:spacing w:line="360" w:lineRule="auto"/>
        <w:ind w:firstLine="562"/>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22B684BA">
      <w:pPr>
        <w:wordWrap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（2）授权委托书或法定代表人（单位负责人）身份证明</w:t>
      </w:r>
      <w:r>
        <w:rPr>
          <w:rFonts w:hint="eastAsia" w:ascii="仿宋" w:hAnsi="仿宋" w:eastAsia="仿宋" w:cs="仿宋"/>
          <w:color w:val="auto"/>
          <w:highlight w:val="none"/>
        </w:rPr>
        <w:t>…………………………（页码）</w:t>
      </w:r>
    </w:p>
    <w:p w14:paraId="22B684BB">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（3）分包意向协议（拟分包的提供）</w:t>
      </w:r>
      <w:r>
        <w:rPr>
          <w:rFonts w:hint="eastAsia" w:ascii="仿宋" w:hAnsi="仿宋" w:eastAsia="仿宋" w:cs="仿宋"/>
          <w:color w:val="auto"/>
          <w:highlight w:val="none"/>
        </w:rPr>
        <w:t>…………………………………………………（页码）</w:t>
      </w:r>
    </w:p>
    <w:p w14:paraId="22B684BC">
      <w:pPr>
        <w:wordWrap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22B684BD">
      <w:pPr>
        <w:wordWrap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22B684BE">
      <w:pPr>
        <w:wordWrap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22B684BF">
      <w:pPr>
        <w:wordWrap w:val="0"/>
        <w:snapToGrid w:val="0"/>
        <w:spacing w:line="360" w:lineRule="auto"/>
        <w:ind w:firstLine="643"/>
        <w:jc w:val="center"/>
        <w:rPr>
          <w:rFonts w:hint="eastAsia" w:ascii="仿宋" w:hAnsi="仿宋" w:eastAsia="仿宋" w:cs="仿宋"/>
          <w:b/>
          <w:color w:val="auto"/>
          <w:kern w:val="0"/>
          <w:sz w:val="32"/>
          <w:szCs w:val="32"/>
          <w:highlight w:val="none"/>
          <w:lang w:val="zh-CN"/>
        </w:rPr>
      </w:pPr>
    </w:p>
    <w:p w14:paraId="22B684C0">
      <w:pPr>
        <w:wordWrap w:val="0"/>
        <w:snapToGrid w:val="0"/>
        <w:spacing w:line="360" w:lineRule="auto"/>
        <w:ind w:firstLine="643"/>
        <w:jc w:val="center"/>
        <w:rPr>
          <w:rFonts w:hint="eastAsia" w:ascii="仿宋" w:hAnsi="仿宋" w:eastAsia="仿宋" w:cs="仿宋"/>
          <w:b/>
          <w:color w:val="auto"/>
          <w:kern w:val="0"/>
          <w:sz w:val="32"/>
          <w:szCs w:val="32"/>
          <w:highlight w:val="none"/>
          <w:lang w:val="zh-CN"/>
        </w:rPr>
      </w:pPr>
    </w:p>
    <w:p w14:paraId="22B684C1">
      <w:pPr>
        <w:wordWrap w:val="0"/>
        <w:snapToGrid w:val="0"/>
        <w:spacing w:line="360" w:lineRule="auto"/>
        <w:ind w:firstLine="643"/>
        <w:jc w:val="center"/>
        <w:rPr>
          <w:rFonts w:hint="eastAsia" w:ascii="仿宋" w:hAnsi="仿宋" w:eastAsia="仿宋" w:cs="仿宋"/>
          <w:b/>
          <w:color w:val="auto"/>
          <w:kern w:val="0"/>
          <w:sz w:val="32"/>
          <w:szCs w:val="32"/>
          <w:highlight w:val="none"/>
          <w:lang w:val="zh-CN"/>
        </w:rPr>
      </w:pPr>
    </w:p>
    <w:p w14:paraId="22B684C2">
      <w:pPr>
        <w:wordWrap w:val="0"/>
        <w:snapToGrid w:val="0"/>
        <w:spacing w:line="360" w:lineRule="auto"/>
        <w:ind w:firstLine="643"/>
        <w:jc w:val="center"/>
        <w:rPr>
          <w:rFonts w:hint="eastAsia" w:ascii="仿宋" w:hAnsi="仿宋" w:eastAsia="仿宋" w:cs="仿宋"/>
          <w:b/>
          <w:color w:val="auto"/>
          <w:kern w:val="0"/>
          <w:sz w:val="32"/>
          <w:szCs w:val="32"/>
          <w:highlight w:val="none"/>
          <w:lang w:val="zh-CN"/>
        </w:rPr>
      </w:pPr>
    </w:p>
    <w:p w14:paraId="22B684C3">
      <w:pPr>
        <w:wordWrap w:val="0"/>
        <w:snapToGrid w:val="0"/>
        <w:spacing w:line="360" w:lineRule="auto"/>
        <w:ind w:firstLine="643"/>
        <w:jc w:val="center"/>
        <w:rPr>
          <w:rFonts w:hint="eastAsia" w:ascii="仿宋" w:hAnsi="仿宋" w:eastAsia="仿宋" w:cs="仿宋"/>
          <w:b/>
          <w:color w:val="auto"/>
          <w:kern w:val="0"/>
          <w:sz w:val="32"/>
          <w:szCs w:val="32"/>
          <w:highlight w:val="none"/>
        </w:rPr>
      </w:pPr>
    </w:p>
    <w:p w14:paraId="22B684C4">
      <w:pPr>
        <w:wordWrap w:val="0"/>
        <w:snapToGrid w:val="0"/>
        <w:spacing w:line="360" w:lineRule="auto"/>
        <w:ind w:firstLine="643"/>
        <w:jc w:val="center"/>
        <w:rPr>
          <w:rFonts w:hint="eastAsia" w:ascii="仿宋" w:hAnsi="仿宋" w:eastAsia="仿宋" w:cs="仿宋"/>
          <w:b/>
          <w:color w:val="auto"/>
          <w:kern w:val="0"/>
          <w:sz w:val="32"/>
          <w:szCs w:val="32"/>
          <w:highlight w:val="none"/>
        </w:rPr>
      </w:pPr>
    </w:p>
    <w:p w14:paraId="22B684C5">
      <w:pPr>
        <w:wordWrap w:val="0"/>
        <w:rPr>
          <w:rFonts w:hint="eastAsia" w:ascii="仿宋" w:hAnsi="仿宋" w:eastAsia="仿宋" w:cs="仿宋"/>
          <w:color w:val="auto"/>
          <w:highlight w:val="none"/>
        </w:rPr>
      </w:pPr>
    </w:p>
    <w:p w14:paraId="22B684C6">
      <w:pPr>
        <w:wordWrap w:val="0"/>
        <w:snapToGrid w:val="0"/>
        <w:spacing w:line="360" w:lineRule="auto"/>
        <w:ind w:firstLine="643"/>
        <w:jc w:val="center"/>
        <w:rPr>
          <w:rFonts w:hint="eastAsia" w:ascii="仿宋" w:hAnsi="仿宋" w:eastAsia="仿宋" w:cs="仿宋"/>
          <w:b/>
          <w:color w:val="auto"/>
          <w:kern w:val="0"/>
          <w:sz w:val="32"/>
          <w:szCs w:val="32"/>
          <w:highlight w:val="none"/>
        </w:rPr>
      </w:pPr>
    </w:p>
    <w:p w14:paraId="22B684C7">
      <w:pPr>
        <w:wordWrap w:val="0"/>
        <w:snapToGrid w:val="0"/>
        <w:spacing w:line="360" w:lineRule="auto"/>
        <w:ind w:firstLine="643"/>
        <w:jc w:val="center"/>
        <w:rPr>
          <w:rFonts w:hint="eastAsia" w:ascii="仿宋" w:hAnsi="仿宋" w:eastAsia="仿宋" w:cs="仿宋"/>
          <w:b/>
          <w:color w:val="auto"/>
          <w:kern w:val="0"/>
          <w:sz w:val="32"/>
          <w:szCs w:val="32"/>
          <w:highlight w:val="none"/>
        </w:rPr>
      </w:pPr>
    </w:p>
    <w:p w14:paraId="22B684C8">
      <w:pPr>
        <w:wordWrap w:val="0"/>
        <w:snapToGrid w:val="0"/>
        <w:spacing w:line="360" w:lineRule="auto"/>
        <w:ind w:firstLine="643"/>
        <w:jc w:val="center"/>
        <w:rPr>
          <w:rFonts w:hint="eastAsia" w:ascii="仿宋" w:hAnsi="仿宋" w:eastAsia="仿宋" w:cs="仿宋"/>
          <w:b/>
          <w:color w:val="auto"/>
          <w:kern w:val="0"/>
          <w:sz w:val="32"/>
          <w:szCs w:val="32"/>
          <w:highlight w:val="none"/>
        </w:rPr>
      </w:pPr>
    </w:p>
    <w:p w14:paraId="22B684C9">
      <w:pPr>
        <w:wordWrap w:val="0"/>
        <w:snapToGrid w:val="0"/>
        <w:spacing w:line="360" w:lineRule="auto"/>
        <w:ind w:firstLine="643"/>
        <w:jc w:val="center"/>
        <w:rPr>
          <w:rFonts w:hint="eastAsia" w:ascii="仿宋" w:hAnsi="仿宋" w:eastAsia="仿宋" w:cs="仿宋"/>
          <w:b/>
          <w:color w:val="auto"/>
          <w:kern w:val="0"/>
          <w:sz w:val="32"/>
          <w:szCs w:val="32"/>
          <w:highlight w:val="none"/>
        </w:rPr>
      </w:pPr>
    </w:p>
    <w:p w14:paraId="22B684CA">
      <w:pPr>
        <w:wordWrap w:val="0"/>
        <w:snapToGrid w:val="0"/>
        <w:spacing w:line="360" w:lineRule="auto"/>
        <w:ind w:firstLine="643"/>
        <w:jc w:val="center"/>
        <w:rPr>
          <w:rFonts w:hint="eastAsia" w:ascii="仿宋" w:hAnsi="仿宋" w:eastAsia="仿宋" w:cs="仿宋"/>
          <w:b/>
          <w:color w:val="auto"/>
          <w:kern w:val="0"/>
          <w:sz w:val="32"/>
          <w:szCs w:val="32"/>
          <w:highlight w:val="none"/>
        </w:rPr>
      </w:pPr>
    </w:p>
    <w:p w14:paraId="22B684CB">
      <w:pPr>
        <w:wordWrap w:val="0"/>
        <w:snapToGrid w:val="0"/>
        <w:spacing w:line="360" w:lineRule="auto"/>
        <w:ind w:firstLine="643"/>
        <w:jc w:val="center"/>
        <w:rPr>
          <w:rFonts w:hint="eastAsia" w:ascii="仿宋" w:hAnsi="仿宋" w:eastAsia="仿宋" w:cs="仿宋"/>
          <w:b/>
          <w:color w:val="auto"/>
          <w:kern w:val="0"/>
          <w:sz w:val="32"/>
          <w:szCs w:val="32"/>
          <w:highlight w:val="none"/>
        </w:rPr>
      </w:pPr>
    </w:p>
    <w:p w14:paraId="22B684CC">
      <w:pPr>
        <w:wordWrap w:val="0"/>
        <w:ind w:firstLine="643"/>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2B684CD">
      <w:pPr>
        <w:wordWrap w:val="0"/>
        <w:snapToGrid w:val="0"/>
        <w:spacing w:line="360" w:lineRule="auto"/>
        <w:ind w:firstLine="643"/>
        <w:jc w:val="center"/>
        <w:outlineLvl w:val="2"/>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22B684CE">
      <w:pPr>
        <w:wordWrap w:val="0"/>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杭州市城市水设施和河道保护管理中心、浙江省成套工程有限公司</w:t>
      </w:r>
      <w:r>
        <w:rPr>
          <w:rFonts w:hint="eastAsia" w:ascii="仿宋" w:hAnsi="仿宋" w:eastAsia="仿宋" w:cs="仿宋"/>
          <w:color w:val="auto"/>
          <w:sz w:val="24"/>
          <w:highlight w:val="none"/>
        </w:rPr>
        <w:t>：</w:t>
      </w:r>
    </w:p>
    <w:p w14:paraId="22B684CF">
      <w:pPr>
        <w:wordWrap w:val="0"/>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lang w:eastAsia="zh-CN"/>
        </w:rPr>
        <w:t>胜利河船闸、电厂热水河船闸、姚家坝泵站、施家桥闸站、九沙橡胶坝、九沙和睦闸、九沙东湖闸等养护服务采购项目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ZJCT6-HD2025-03</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政招标的有关活动，并对此项目进行投标。为此：</w:t>
      </w:r>
    </w:p>
    <w:p w14:paraId="22B684D0">
      <w:pPr>
        <w:wordWrap w:val="0"/>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22B684D1">
      <w:pPr>
        <w:wordWrap w:val="0"/>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22B684D2">
      <w:pPr>
        <w:wordWrap w:val="0"/>
        <w:snapToGrid w:val="0"/>
        <w:spacing w:line="36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2B684D3">
      <w:pPr>
        <w:wordWrap w:val="0"/>
        <w:snapToGrid w:val="0"/>
        <w:spacing w:line="360" w:lineRule="exact"/>
        <w:ind w:left="420" w:leftChars="200" w:firstLine="480" w:firstLineChars="200"/>
        <w:rPr>
          <w:rFonts w:hint="eastAsia" w:ascii="仿宋" w:hAnsi="仿宋" w:eastAsia="仿宋" w:cs="仿宋"/>
          <w:color w:val="auto"/>
          <w:sz w:val="24"/>
          <w:highlight w:val="none"/>
        </w:rPr>
      </w:pPr>
      <w:bookmarkStart w:id="472" w:name="_Hlk109322875"/>
      <w:r>
        <w:rPr>
          <w:rFonts w:hint="eastAsia" w:ascii="仿宋" w:hAnsi="仿宋" w:eastAsia="仿宋" w:cs="仿宋"/>
          <w:color w:val="auto"/>
          <w:sz w:val="24"/>
          <w:highlight w:val="none"/>
        </w:rPr>
        <w:t>2.1.1供应商（联合体参加的指联合体双方）的营业执照或者其他由国家相关部门出具的具有独立承担民事责任能力的证明文件；</w:t>
      </w:r>
    </w:p>
    <w:p w14:paraId="22B684D4">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2.1.2符合参加政府采购活动应当具备的一般条件、特殊资格条件的承诺函；</w:t>
      </w:r>
    </w:p>
    <w:p w14:paraId="22B684D5">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2.1.3联合协议（联合体参加的提供)；</w:t>
      </w:r>
    </w:p>
    <w:p w14:paraId="22B684D6">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2.1.4满足政府采购政策资格要求的证明材料；</w:t>
      </w:r>
    </w:p>
    <w:p w14:paraId="22B684D7">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2.1.5满足本项目特定资格要求的证明材料。</w:t>
      </w:r>
    </w:p>
    <w:bookmarkEnd w:id="472"/>
    <w:p w14:paraId="22B684D8">
      <w:pPr>
        <w:wordWrap w:val="0"/>
        <w:snapToGrid w:val="0"/>
        <w:spacing w:line="360" w:lineRule="exact"/>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2B684D9">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22B684DA">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2B684DB">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2.2.3分包意向协议（拟分包的提供）；</w:t>
      </w:r>
    </w:p>
    <w:p w14:paraId="22B684DC">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22B684DD">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22B684DE">
      <w:pPr>
        <w:wordWrap w:val="0"/>
        <w:snapToGrid w:val="0"/>
        <w:spacing w:line="360" w:lineRule="exact"/>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2.2.6</w:t>
      </w:r>
      <w:r>
        <w:rPr>
          <w:rFonts w:hint="eastAsia" w:ascii="仿宋" w:hAnsi="仿宋" w:eastAsia="仿宋" w:cs="仿宋"/>
          <w:color w:val="auto"/>
          <w:sz w:val="24"/>
          <w:highlight w:val="none"/>
          <w:lang w:val="zh-CN"/>
        </w:rPr>
        <w:t>政府采购供应商廉洁自律承诺书；</w:t>
      </w:r>
    </w:p>
    <w:p w14:paraId="22B684DF">
      <w:pPr>
        <w:wordWrap w:val="0"/>
        <w:snapToGrid w:val="0"/>
        <w:spacing w:line="36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22B684E0">
      <w:pPr>
        <w:wordWrap w:val="0"/>
        <w:adjustRightInd/>
        <w:snapToGrid w:val="0"/>
        <w:spacing w:line="360" w:lineRule="exact"/>
        <w:ind w:left="420" w:leftChars="20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22B684E1">
      <w:pPr>
        <w:wordWrap w:val="0"/>
        <w:snapToGrid w:val="0"/>
        <w:spacing w:line="3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对于未预留份额专门面向中小企业的政府采购服务项目，以及预留份额政府采购服务项目中的非预留部分标项，若供应商（含联合体中的中小企业、签订分包意向协议的中小企业）为小微企业，且提供了中小企业声明函的，则可享受价格扣除优惠政策）；</w:t>
      </w:r>
    </w:p>
    <w:p w14:paraId="22B684E2">
      <w:pPr>
        <w:wordWrap w:val="0"/>
        <w:adjustRightInd/>
        <w:snapToGrid w:val="0"/>
        <w:spacing w:line="360" w:lineRule="exact"/>
        <w:ind w:firstLine="960" w:firstLineChars="4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2.3.3报价情况说明（如供应商报价低于最高限价50%的，应当提交本文档，详细阐述不影响服务质量或者诚信履约的具体原因）；</w:t>
      </w:r>
    </w:p>
    <w:p w14:paraId="22B684E3">
      <w:pPr>
        <w:wordWrap w:val="0"/>
        <w:adjustRightInd/>
        <w:snapToGrid w:val="0"/>
        <w:spacing w:line="360" w:lineRule="exact"/>
        <w:ind w:left="420" w:leftChars="20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2.3.4供应商针对报价需要说明的其他文件和说明（格式自拟）。</w:t>
      </w:r>
    </w:p>
    <w:p w14:paraId="22B684E4">
      <w:pPr>
        <w:wordWrap w:val="0"/>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14:paraId="22B684E5">
      <w:pPr>
        <w:wordWrap w:val="0"/>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22B684E6">
      <w:pPr>
        <w:wordWrap w:val="0"/>
        <w:snapToGrid w:val="0"/>
        <w:spacing w:line="36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22B684E7">
      <w:pPr>
        <w:wordWrap w:val="0"/>
        <w:snapToGrid w:val="0"/>
        <w:spacing w:line="36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2B684E8">
      <w:pPr>
        <w:wordWrap w:val="0"/>
        <w:snapToGrid w:val="0"/>
        <w:spacing w:line="36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22B684E9">
      <w:pPr>
        <w:wordWrap w:val="0"/>
        <w:snapToGrid w:val="0"/>
        <w:spacing w:line="36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22B684EA">
      <w:pPr>
        <w:wordWrap w:val="0"/>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2B684EB">
      <w:pPr>
        <w:wordWrap w:val="0"/>
        <w:spacing w:line="360" w:lineRule="exact"/>
        <w:ind w:firstLine="4320" w:firstLineChars="1800"/>
        <w:jc w:val="right"/>
        <w:rPr>
          <w:rFonts w:hint="eastAsia" w:ascii="仿宋" w:hAnsi="仿宋" w:eastAsia="仿宋" w:cs="仿宋"/>
          <w:b/>
          <w:color w:val="auto"/>
          <w:kern w:val="0"/>
          <w:sz w:val="32"/>
          <w:szCs w:val="32"/>
          <w:highlight w:val="none"/>
          <w:lang w:val="zh-CN"/>
        </w:rPr>
      </w:pPr>
      <w:r>
        <w:rPr>
          <w:rFonts w:hint="eastAsia" w:ascii="仿宋" w:hAnsi="仿宋" w:eastAsia="仿宋" w:cs="仿宋"/>
          <w:color w:val="auto"/>
          <w:sz w:val="24"/>
          <w:highlight w:val="none"/>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sz w:val="24"/>
          <w:highlight w:val="none"/>
        </w:rPr>
        <w:t>）：                                          日期：  年   月   日</w:t>
      </w:r>
    </w:p>
    <w:p w14:paraId="0D8EBD41">
      <w:pPr>
        <w:wordWrap w:val="0"/>
        <w:ind w:firstLine="643"/>
        <w:jc w:val="left"/>
        <w:rPr>
          <w:rFonts w:hint="eastAsia" w:ascii="仿宋" w:hAnsi="仿宋" w:eastAsia="仿宋" w:cs="仿宋"/>
          <w:b/>
          <w:color w:val="auto"/>
          <w:kern w:val="0"/>
          <w:sz w:val="32"/>
          <w:szCs w:val="32"/>
          <w:highlight w:val="none"/>
          <w:lang w:val="zh-CN"/>
        </w:rPr>
        <w:sectPr>
          <w:headerReference r:id="rId13" w:type="first"/>
          <w:footerReference r:id="rId15" w:type="first"/>
          <w:headerReference r:id="rId12" w:type="default"/>
          <w:footerReference r:id="rId14" w:type="default"/>
          <w:pgSz w:w="11905" w:h="16838"/>
          <w:pgMar w:top="652" w:right="1417" w:bottom="680" w:left="1417" w:header="227" w:footer="425" w:gutter="0"/>
          <w:cols w:space="0" w:num="1"/>
          <w:titlePg/>
          <w:docGrid w:linePitch="312" w:charSpace="0"/>
        </w:sectPr>
      </w:pPr>
    </w:p>
    <w:p w14:paraId="22B684ED">
      <w:pPr>
        <w:wordWrap w:val="0"/>
        <w:ind w:firstLine="643"/>
        <w:jc w:val="left"/>
        <w:outlineLvl w:val="2"/>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二、授权委托书或法定代表人（单位负责人）身份证明</w:t>
      </w:r>
    </w:p>
    <w:p w14:paraId="22B684EE">
      <w:pPr>
        <w:wordWrap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2B684EF">
      <w:pPr>
        <w:wordWrap w:val="0"/>
        <w:snapToGrid w:val="0"/>
        <w:spacing w:line="360" w:lineRule="auto"/>
        <w:ind w:firstLine="2872" w:firstLineChars="894"/>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非联合体投标</w:t>
      </w:r>
      <w:r>
        <w:rPr>
          <w:rFonts w:hint="eastAsia" w:ascii="仿宋" w:hAnsi="仿宋" w:eastAsia="仿宋" w:cs="仿宋"/>
          <w:b/>
          <w:color w:val="auto"/>
          <w:kern w:val="0"/>
          <w:sz w:val="32"/>
          <w:szCs w:val="32"/>
          <w:highlight w:val="none"/>
          <w:lang w:val="zh-CN"/>
        </w:rPr>
        <w:t>授权委托书</w:t>
      </w:r>
    </w:p>
    <w:p w14:paraId="22B684F0">
      <w:pPr>
        <w:wordWrap w:val="0"/>
        <w:snapToGrid w:val="0"/>
        <w:spacing w:line="360" w:lineRule="auto"/>
        <w:ind w:firstLine="482"/>
        <w:jc w:val="center"/>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zh-CN"/>
        </w:rPr>
        <w:t>（适用于非</w:t>
      </w:r>
      <w:r>
        <w:rPr>
          <w:rFonts w:hint="eastAsia" w:ascii="仿宋" w:hAnsi="仿宋" w:eastAsia="仿宋" w:cs="仿宋"/>
          <w:b/>
          <w:color w:val="auto"/>
          <w:kern w:val="0"/>
          <w:sz w:val="24"/>
          <w:highlight w:val="none"/>
        </w:rPr>
        <w:t>法定代表人或单位负责人本人代表供应商参加投标</w:t>
      </w:r>
      <w:r>
        <w:rPr>
          <w:rFonts w:hint="eastAsia" w:ascii="仿宋" w:hAnsi="仿宋" w:eastAsia="仿宋" w:cs="仿宋"/>
          <w:b/>
          <w:color w:val="auto"/>
          <w:kern w:val="0"/>
          <w:sz w:val="24"/>
          <w:highlight w:val="none"/>
          <w:lang w:val="zh-CN"/>
        </w:rPr>
        <w:t>）</w:t>
      </w:r>
    </w:p>
    <w:p w14:paraId="22B684F1">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杭州市城市水设施和河道保护管理中心、浙江省成套工程有限公司</w:t>
      </w:r>
      <w:r>
        <w:rPr>
          <w:rFonts w:hint="eastAsia" w:ascii="仿宋" w:hAnsi="仿宋" w:eastAsia="仿宋" w:cs="仿宋"/>
          <w:color w:val="auto"/>
          <w:kern w:val="0"/>
          <w:sz w:val="24"/>
          <w:highlight w:val="none"/>
          <w:lang w:val="zh-CN"/>
        </w:rPr>
        <w:t>：</w:t>
      </w:r>
    </w:p>
    <w:p w14:paraId="22B684F2">
      <w:pPr>
        <w:wordWrap w:val="0"/>
        <w:snapToGrid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我单位法定代表人为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胜利河船闸、电厂热水河船闸、姚家坝泵站、施家桥闸站、九沙橡胶坝、九沙和睦闸、九沙东湖闸等养护服务采购项目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ZJCT6-HD2025-03</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政府采购投标的一切事项，其法律后果由我方自行承担。</w:t>
      </w:r>
    </w:p>
    <w:p w14:paraId="22B684F3">
      <w:pPr>
        <w:wordWrap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2B684F4">
      <w:pPr>
        <w:wordWrap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22B684F5">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14:paraId="22B684F6">
      <w:pPr>
        <w:wordWrap w:val="0"/>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22B684F7">
      <w:pPr>
        <w:wordWrap w:val="0"/>
        <w:ind w:firstLine="643"/>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联合体投标授权委托书</w:t>
      </w:r>
    </w:p>
    <w:p w14:paraId="22B684F8">
      <w:pPr>
        <w:wordWrap w:val="0"/>
        <w:ind w:firstLine="440"/>
        <w:rPr>
          <w:rFonts w:hint="eastAsia" w:ascii="仿宋" w:hAnsi="仿宋" w:eastAsia="仿宋" w:cs="仿宋"/>
          <w:color w:val="auto"/>
          <w:sz w:val="22"/>
          <w:szCs w:val="22"/>
          <w:highlight w:val="none"/>
        </w:rPr>
      </w:pPr>
    </w:p>
    <w:p w14:paraId="22B684F9">
      <w:pPr>
        <w:wordWrap w:val="0"/>
        <w:snapToGrid w:val="0"/>
        <w:spacing w:line="360" w:lineRule="auto"/>
        <w:ind w:firstLine="482"/>
        <w:jc w:val="center"/>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zh-CN"/>
        </w:rPr>
        <w:t>（适用于非</w:t>
      </w:r>
      <w:r>
        <w:rPr>
          <w:rFonts w:hint="eastAsia" w:ascii="仿宋" w:hAnsi="仿宋" w:eastAsia="仿宋" w:cs="仿宋"/>
          <w:b/>
          <w:color w:val="auto"/>
          <w:kern w:val="0"/>
          <w:sz w:val="24"/>
          <w:highlight w:val="none"/>
        </w:rPr>
        <w:t>法定代表人或单位负责人本人代表供应商参加投标</w:t>
      </w:r>
      <w:r>
        <w:rPr>
          <w:rFonts w:hint="eastAsia" w:ascii="仿宋" w:hAnsi="仿宋" w:eastAsia="仿宋" w:cs="仿宋"/>
          <w:b/>
          <w:color w:val="auto"/>
          <w:kern w:val="0"/>
          <w:sz w:val="24"/>
          <w:highlight w:val="none"/>
          <w:lang w:val="zh-CN"/>
        </w:rPr>
        <w:t>）</w:t>
      </w:r>
    </w:p>
    <w:p w14:paraId="22B684FA">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杭州市城市水设施和河道保护管理中心、浙江省成套工程有限公司</w:t>
      </w:r>
      <w:r>
        <w:rPr>
          <w:rFonts w:hint="eastAsia" w:ascii="仿宋" w:hAnsi="仿宋" w:eastAsia="仿宋" w:cs="仿宋"/>
          <w:color w:val="auto"/>
          <w:kern w:val="0"/>
          <w:sz w:val="24"/>
          <w:highlight w:val="none"/>
          <w:lang w:val="zh-CN"/>
        </w:rPr>
        <w:t>：</w:t>
      </w:r>
    </w:p>
    <w:p w14:paraId="22B684FB">
      <w:pPr>
        <w:wordWrap w:val="0"/>
        <w:snapToGrid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作为牵头人，法定代表人为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，我单位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作为联合体成员，法定代表人为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胜利河船闸、电厂热水河船闸、姚家坝泵站、施家桥闸站、九沙橡胶坝、九沙和睦闸、九沙东湖闸等养护服务采购项目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ZJCT6-HD2025-03</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政府采购投标的一切事项，其法律后果由我方自行承担。</w:t>
      </w:r>
    </w:p>
    <w:p w14:paraId="22B684FC">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2B684FD">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2B684FE">
      <w:pPr>
        <w:wordWrap w:val="0"/>
        <w:rPr>
          <w:rFonts w:hint="eastAsia" w:ascii="仿宋" w:hAnsi="仿宋" w:eastAsia="仿宋" w:cs="仿宋"/>
          <w:color w:val="auto"/>
          <w:highlight w:val="none"/>
        </w:rPr>
      </w:pPr>
    </w:p>
    <w:p w14:paraId="22B684FF">
      <w:pPr>
        <w:wordWrap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联合体牵头人名称</w:t>
      </w:r>
    </w:p>
    <w:p w14:paraId="22B68500">
      <w:pPr>
        <w:wordWrap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22B68501">
      <w:pPr>
        <w:wordWrap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p>
    <w:p w14:paraId="22B68502">
      <w:pPr>
        <w:wordWrap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物理公章</w:t>
      </w:r>
      <w:r>
        <w:rPr>
          <w:rFonts w:hint="eastAsia" w:ascii="仿宋" w:hAnsi="仿宋" w:eastAsia="仿宋" w:cs="仿宋"/>
          <w:color w:val="auto"/>
          <w:kern w:val="0"/>
          <w:sz w:val="24"/>
          <w:highlight w:val="none"/>
          <w:lang w:val="zh-CN"/>
        </w:rPr>
        <w:t>)：</w:t>
      </w:r>
    </w:p>
    <w:p w14:paraId="22B68503">
      <w:pPr>
        <w:wordWrap w:val="0"/>
        <w:rPr>
          <w:rFonts w:hint="eastAsia" w:ascii="仿宋" w:hAnsi="仿宋" w:eastAsia="仿宋" w:cs="仿宋"/>
          <w:b/>
          <w:color w:val="auto"/>
          <w:kern w:val="0"/>
          <w:sz w:val="32"/>
          <w:szCs w:val="32"/>
          <w:highlight w:val="none"/>
          <w:lang w:val="zh-CN"/>
        </w:rPr>
      </w:pPr>
      <w:r>
        <w:rPr>
          <w:rFonts w:hint="eastAsia" w:ascii="仿宋" w:hAnsi="仿宋" w:eastAsia="仿宋" w:cs="仿宋"/>
          <w:color w:val="auto"/>
          <w:kern w:val="0"/>
          <w:sz w:val="24"/>
          <w:highlight w:val="none"/>
          <w:lang w:val="zh-CN"/>
        </w:rPr>
        <w:t xml:space="preserve">                                               日期：  年  月   日</w:t>
      </w:r>
      <w:r>
        <w:rPr>
          <w:rFonts w:hint="eastAsia" w:ascii="仿宋" w:hAnsi="仿宋" w:eastAsia="仿宋" w:cs="仿宋"/>
          <w:b/>
          <w:color w:val="auto"/>
          <w:kern w:val="0"/>
          <w:sz w:val="32"/>
          <w:szCs w:val="32"/>
          <w:highlight w:val="none"/>
          <w:lang w:val="zh-CN"/>
        </w:rPr>
        <w:br w:type="page"/>
      </w:r>
    </w:p>
    <w:p w14:paraId="22B68504">
      <w:pPr>
        <w:wordWrap w:val="0"/>
        <w:autoSpaceDE w:val="0"/>
        <w:autoSpaceDN w:val="0"/>
        <w:spacing w:line="360" w:lineRule="auto"/>
        <w:ind w:firstLine="643"/>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w:t>
      </w:r>
      <w:r>
        <w:rPr>
          <w:rFonts w:hint="eastAsia" w:ascii="仿宋" w:hAnsi="仿宋" w:eastAsia="仿宋" w:cs="仿宋"/>
          <w:b/>
          <w:color w:val="auto"/>
          <w:kern w:val="0"/>
          <w:sz w:val="32"/>
          <w:szCs w:val="32"/>
          <w:highlight w:val="none"/>
        </w:rPr>
        <w:t>或</w:t>
      </w:r>
      <w:r>
        <w:rPr>
          <w:rFonts w:hint="eastAsia" w:ascii="仿宋" w:hAnsi="仿宋" w:eastAsia="仿宋" w:cs="仿宋"/>
          <w:b/>
          <w:color w:val="auto"/>
          <w:kern w:val="0"/>
          <w:sz w:val="32"/>
          <w:szCs w:val="32"/>
          <w:highlight w:val="none"/>
          <w:lang w:val="zh-CN"/>
        </w:rPr>
        <w:t>单位负责人</w:t>
      </w:r>
      <w:r>
        <w:rPr>
          <w:rFonts w:hint="eastAsia" w:ascii="仿宋" w:hAnsi="仿宋" w:eastAsia="仿宋" w:cs="仿宋"/>
          <w:b/>
          <w:color w:val="auto"/>
          <w:sz w:val="30"/>
          <w:szCs w:val="30"/>
          <w:highlight w:val="none"/>
        </w:rPr>
        <w:t>的身份证明（适用于法定代表人或单位负责人本人代表投标人参加投标）</w:t>
      </w:r>
    </w:p>
    <w:p w14:paraId="22B68505">
      <w:pPr>
        <w:pStyle w:val="148"/>
        <w:wordWrap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2B6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2B68506">
            <w:pPr>
              <w:pStyle w:val="148"/>
              <w:keepNext w:val="0"/>
              <w:keepLines w:val="0"/>
              <w:suppressLineNumbers w:val="0"/>
              <w:wordWrap w:val="0"/>
              <w:adjustRightInd w:val="0"/>
              <w:spacing w:before="0" w:beforeAutospacing="0" w:after="0" w:afterAutospacing="0" w:line="360" w:lineRule="auto"/>
              <w:ind w:left="0" w:right="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22B68507">
            <w:pPr>
              <w:pStyle w:val="148"/>
              <w:keepNext w:val="0"/>
              <w:keepLines w:val="0"/>
              <w:suppressLineNumbers w:val="0"/>
              <w:wordWrap w:val="0"/>
              <w:adjustRightInd w:val="0"/>
              <w:spacing w:before="0" w:beforeAutospacing="0" w:after="0" w:afterAutospacing="0" w:line="360" w:lineRule="auto"/>
              <w:ind w:left="0" w:right="0"/>
              <w:rPr>
                <w:rFonts w:hint="eastAsia" w:ascii="仿宋" w:hAnsi="仿宋" w:eastAsia="仿宋" w:cs="仿宋"/>
                <w:bCs/>
                <w:color w:val="auto"/>
                <w:sz w:val="24"/>
                <w:highlight w:val="none"/>
              </w:rPr>
            </w:pPr>
          </w:p>
        </w:tc>
      </w:tr>
    </w:tbl>
    <w:p w14:paraId="22B68509">
      <w:pPr>
        <w:wordWrap w:val="0"/>
        <w:snapToGrid w:val="0"/>
        <w:spacing w:line="360" w:lineRule="auto"/>
        <w:ind w:firstLine="48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2B6850A">
      <w:pPr>
        <w:wordWrap w:val="0"/>
        <w:snapToGrid w:val="0"/>
        <w:spacing w:line="360" w:lineRule="auto"/>
        <w:ind w:firstLine="48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 xml:space="preserve">)：                              </w:t>
      </w:r>
    </w:p>
    <w:p w14:paraId="22B6850B">
      <w:pPr>
        <w:wordWrap w:val="0"/>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2B6850C">
      <w:pPr>
        <w:wordWrap w:val="0"/>
        <w:ind w:firstLine="643"/>
        <w:jc w:val="center"/>
        <w:rPr>
          <w:rFonts w:hint="eastAsia" w:ascii="仿宋" w:hAnsi="仿宋" w:eastAsia="仿宋" w:cs="仿宋"/>
          <w:b/>
          <w:color w:val="auto"/>
          <w:kern w:val="0"/>
          <w:sz w:val="32"/>
          <w:szCs w:val="32"/>
          <w:highlight w:val="none"/>
        </w:rPr>
      </w:pPr>
    </w:p>
    <w:p w14:paraId="22B6850D">
      <w:pPr>
        <w:wordWrap w:val="0"/>
        <w:ind w:firstLine="643"/>
        <w:jc w:val="center"/>
        <w:rPr>
          <w:rFonts w:hint="eastAsia" w:ascii="仿宋" w:hAnsi="仿宋" w:eastAsia="仿宋" w:cs="仿宋"/>
          <w:b/>
          <w:color w:val="auto"/>
          <w:kern w:val="0"/>
          <w:sz w:val="32"/>
          <w:szCs w:val="32"/>
          <w:highlight w:val="none"/>
        </w:rPr>
      </w:pPr>
    </w:p>
    <w:p w14:paraId="22B6850E">
      <w:pPr>
        <w:wordWrap w:val="0"/>
        <w:ind w:firstLine="643"/>
        <w:jc w:val="center"/>
        <w:rPr>
          <w:rFonts w:hint="eastAsia" w:ascii="仿宋" w:hAnsi="仿宋" w:eastAsia="仿宋" w:cs="仿宋"/>
          <w:b/>
          <w:color w:val="auto"/>
          <w:kern w:val="0"/>
          <w:sz w:val="32"/>
          <w:szCs w:val="32"/>
          <w:highlight w:val="none"/>
        </w:rPr>
      </w:pPr>
    </w:p>
    <w:p w14:paraId="22B6850F">
      <w:pPr>
        <w:wordWrap w:val="0"/>
        <w:ind w:firstLine="643"/>
        <w:jc w:val="center"/>
        <w:rPr>
          <w:rFonts w:hint="eastAsia" w:ascii="仿宋" w:hAnsi="仿宋" w:eastAsia="仿宋" w:cs="仿宋"/>
          <w:b/>
          <w:color w:val="auto"/>
          <w:kern w:val="0"/>
          <w:sz w:val="32"/>
          <w:szCs w:val="32"/>
          <w:highlight w:val="none"/>
        </w:rPr>
      </w:pPr>
    </w:p>
    <w:p w14:paraId="22B68510">
      <w:pPr>
        <w:wordWrap w:val="0"/>
        <w:ind w:firstLine="643"/>
        <w:jc w:val="center"/>
        <w:rPr>
          <w:rFonts w:hint="eastAsia" w:ascii="仿宋" w:hAnsi="仿宋" w:eastAsia="仿宋" w:cs="仿宋"/>
          <w:b/>
          <w:color w:val="auto"/>
          <w:kern w:val="0"/>
          <w:sz w:val="32"/>
          <w:szCs w:val="32"/>
          <w:highlight w:val="none"/>
        </w:rPr>
      </w:pPr>
    </w:p>
    <w:p w14:paraId="22B68511">
      <w:pPr>
        <w:wordWrap w:val="0"/>
        <w:ind w:firstLine="643"/>
        <w:jc w:val="center"/>
        <w:rPr>
          <w:rFonts w:hint="eastAsia" w:ascii="仿宋" w:hAnsi="仿宋" w:eastAsia="仿宋" w:cs="仿宋"/>
          <w:b/>
          <w:color w:val="auto"/>
          <w:kern w:val="0"/>
          <w:sz w:val="32"/>
          <w:szCs w:val="32"/>
          <w:highlight w:val="none"/>
        </w:rPr>
      </w:pPr>
    </w:p>
    <w:p w14:paraId="22B68512">
      <w:pPr>
        <w:wordWrap w:val="0"/>
        <w:ind w:firstLine="643"/>
        <w:jc w:val="center"/>
        <w:rPr>
          <w:rFonts w:hint="eastAsia" w:ascii="仿宋" w:hAnsi="仿宋" w:eastAsia="仿宋" w:cs="仿宋"/>
          <w:b/>
          <w:color w:val="auto"/>
          <w:kern w:val="0"/>
          <w:sz w:val="32"/>
          <w:szCs w:val="32"/>
          <w:highlight w:val="none"/>
        </w:rPr>
      </w:pPr>
    </w:p>
    <w:p w14:paraId="22B68513">
      <w:pPr>
        <w:wordWrap w:val="0"/>
        <w:ind w:firstLine="643"/>
        <w:jc w:val="center"/>
        <w:rPr>
          <w:rFonts w:hint="eastAsia" w:ascii="仿宋" w:hAnsi="仿宋" w:eastAsia="仿宋" w:cs="仿宋"/>
          <w:b/>
          <w:color w:val="auto"/>
          <w:kern w:val="0"/>
          <w:sz w:val="32"/>
          <w:szCs w:val="32"/>
          <w:highlight w:val="none"/>
        </w:rPr>
      </w:pPr>
    </w:p>
    <w:p w14:paraId="22B68514">
      <w:pPr>
        <w:wordWrap w:val="0"/>
        <w:ind w:firstLine="643"/>
        <w:jc w:val="center"/>
        <w:rPr>
          <w:rFonts w:hint="eastAsia" w:ascii="仿宋" w:hAnsi="仿宋" w:eastAsia="仿宋" w:cs="仿宋"/>
          <w:b/>
          <w:color w:val="auto"/>
          <w:kern w:val="0"/>
          <w:sz w:val="32"/>
          <w:szCs w:val="32"/>
          <w:highlight w:val="none"/>
        </w:rPr>
      </w:pPr>
    </w:p>
    <w:p w14:paraId="22B68515">
      <w:pPr>
        <w:wordWrap w:val="0"/>
        <w:ind w:firstLine="643"/>
        <w:jc w:val="center"/>
        <w:rPr>
          <w:rFonts w:hint="eastAsia" w:ascii="仿宋" w:hAnsi="仿宋" w:eastAsia="仿宋" w:cs="仿宋"/>
          <w:b/>
          <w:color w:val="auto"/>
          <w:kern w:val="0"/>
          <w:sz w:val="32"/>
          <w:szCs w:val="32"/>
          <w:highlight w:val="none"/>
        </w:rPr>
      </w:pPr>
    </w:p>
    <w:p w14:paraId="22B68516">
      <w:pPr>
        <w:wordWrap w:val="0"/>
        <w:ind w:firstLine="643"/>
        <w:jc w:val="center"/>
        <w:rPr>
          <w:rFonts w:hint="eastAsia" w:ascii="仿宋" w:hAnsi="仿宋" w:eastAsia="仿宋" w:cs="仿宋"/>
          <w:b/>
          <w:color w:val="auto"/>
          <w:kern w:val="0"/>
          <w:sz w:val="32"/>
          <w:szCs w:val="32"/>
          <w:highlight w:val="none"/>
        </w:rPr>
      </w:pPr>
    </w:p>
    <w:p w14:paraId="22B68517">
      <w:pPr>
        <w:wordWrap w:val="0"/>
        <w:ind w:firstLine="643"/>
        <w:jc w:val="center"/>
        <w:rPr>
          <w:rFonts w:hint="eastAsia" w:ascii="仿宋" w:hAnsi="仿宋" w:eastAsia="仿宋" w:cs="仿宋"/>
          <w:b/>
          <w:color w:val="auto"/>
          <w:kern w:val="0"/>
          <w:sz w:val="32"/>
          <w:szCs w:val="32"/>
          <w:highlight w:val="none"/>
        </w:rPr>
      </w:pPr>
    </w:p>
    <w:p w14:paraId="22B68518">
      <w:pPr>
        <w:wordWrap w:val="0"/>
        <w:ind w:firstLine="643"/>
        <w:jc w:val="center"/>
        <w:rPr>
          <w:rFonts w:hint="eastAsia" w:ascii="仿宋" w:hAnsi="仿宋" w:eastAsia="仿宋" w:cs="仿宋"/>
          <w:b/>
          <w:color w:val="auto"/>
          <w:kern w:val="0"/>
          <w:sz w:val="32"/>
          <w:szCs w:val="32"/>
          <w:highlight w:val="none"/>
        </w:rPr>
      </w:pPr>
    </w:p>
    <w:p w14:paraId="22B68519">
      <w:pPr>
        <w:wordWrap w:val="0"/>
        <w:ind w:firstLine="643"/>
        <w:jc w:val="center"/>
        <w:rPr>
          <w:rFonts w:hint="eastAsia" w:ascii="仿宋" w:hAnsi="仿宋" w:eastAsia="仿宋" w:cs="仿宋"/>
          <w:b/>
          <w:color w:val="auto"/>
          <w:kern w:val="0"/>
          <w:sz w:val="32"/>
          <w:szCs w:val="32"/>
          <w:highlight w:val="none"/>
        </w:rPr>
      </w:pPr>
    </w:p>
    <w:p w14:paraId="0724302F">
      <w:pPr>
        <w:wordWrap w:val="0"/>
        <w:ind w:firstLine="643"/>
        <w:rPr>
          <w:rFonts w:hint="eastAsia"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r>
        <w:rPr>
          <w:rFonts w:hint="eastAsia" w:ascii="仿宋" w:hAnsi="仿宋" w:eastAsia="仿宋" w:cs="仿宋"/>
          <w:b/>
          <w:color w:val="auto"/>
          <w:kern w:val="0"/>
          <w:sz w:val="32"/>
          <w:szCs w:val="32"/>
          <w:highlight w:val="none"/>
        </w:rPr>
        <w:br w:type="page"/>
      </w:r>
    </w:p>
    <w:p w14:paraId="22B6851B">
      <w:pPr>
        <w:wordWrap w:val="0"/>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w:t>
      </w:r>
    </w:p>
    <w:p w14:paraId="22B6851C">
      <w:pPr>
        <w:widowControl/>
        <w:wordWrap w:val="0"/>
        <w:spacing w:line="360" w:lineRule="auto"/>
        <w:ind w:left="147"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本项目同意将非主体、非关键性工作分包，</w:t>
      </w:r>
      <w:r>
        <w:rPr>
          <w:rFonts w:hint="eastAsia" w:ascii="仿宋" w:hAnsi="仿宋" w:eastAsia="仿宋" w:cs="仿宋"/>
          <w:b/>
          <w:bCs/>
          <w:color w:val="auto"/>
          <w:sz w:val="24"/>
          <w:highlight w:val="none"/>
        </w:rPr>
        <w:t>若非主体、非关键性工作已由</w:t>
      </w:r>
      <w:r>
        <w:rPr>
          <w:rFonts w:hint="eastAsia" w:ascii="仿宋" w:hAnsi="仿宋" w:eastAsia="仿宋" w:cs="仿宋"/>
          <w:b/>
          <w:color w:val="auto"/>
          <w:sz w:val="24"/>
          <w:highlight w:val="none"/>
        </w:rPr>
        <w:t>联合体成员承担的，则不允许分包。</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分包份额不得超过总包单位。</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投标人中标后以分包方式履行合同的，另行提供分包意向协议（附件7）；</w:t>
      </w:r>
      <w:r>
        <w:rPr>
          <w:rFonts w:hint="eastAsia" w:ascii="仿宋" w:hAnsi="仿宋" w:eastAsia="仿宋" w:cs="仿宋"/>
          <w:b/>
          <w:bCs/>
          <w:color w:val="auto"/>
          <w:sz w:val="24"/>
          <w:highlight w:val="none"/>
        </w:rPr>
        <w:t>投标人中标后</w:t>
      </w:r>
      <w:r>
        <w:rPr>
          <w:rFonts w:hint="eastAsia" w:ascii="仿宋" w:hAnsi="仿宋" w:eastAsia="仿宋" w:cs="仿宋"/>
          <w:b/>
          <w:color w:val="auto"/>
          <w:sz w:val="24"/>
          <w:highlight w:val="none"/>
        </w:rPr>
        <w:t>不以分包方式履行合同的，则不需要提供。</w:t>
      </w:r>
      <w:r>
        <w:rPr>
          <w:rFonts w:hint="eastAsia" w:ascii="仿宋" w:hAnsi="仿宋" w:eastAsia="仿宋" w:cs="仿宋"/>
          <w:b/>
          <w:bCs/>
          <w:color w:val="auto"/>
          <w:sz w:val="24"/>
          <w:highlight w:val="none"/>
        </w:rPr>
        <w:t>]</w:t>
      </w:r>
    </w:p>
    <w:p w14:paraId="22B6851D">
      <w:pPr>
        <w:pStyle w:val="61"/>
        <w:spacing w:line="360" w:lineRule="auto"/>
        <w:ind w:firstLine="420"/>
        <w:rPr>
          <w:rFonts w:hint="eastAsia" w:ascii="仿宋" w:hAnsi="仿宋" w:eastAsia="仿宋" w:cs="仿宋"/>
          <w:color w:val="auto"/>
          <w:highlight w:val="none"/>
        </w:rPr>
      </w:pPr>
    </w:p>
    <w:p w14:paraId="5BB9949A">
      <w:pPr>
        <w:wordWrap w:val="0"/>
        <w:spacing w:line="360" w:lineRule="auto"/>
        <w:jc w:val="left"/>
        <w:rPr>
          <w:rFonts w:hint="eastAsia" w:ascii="仿宋" w:hAnsi="仿宋" w:eastAsia="仿宋" w:cs="仿宋"/>
          <w:b/>
          <w:bCs/>
          <w:color w:val="auto"/>
          <w:kern w:val="0"/>
          <w:sz w:val="32"/>
          <w:szCs w:val="32"/>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w:t>
      </w:r>
      <w:bookmarkStart w:id="473" w:name="_Toc22737"/>
      <w:bookmarkStart w:id="474" w:name="_Toc2615"/>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sym w:font="Wingdings" w:char="00A8"/>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本项目专门面向中小企业采购，若分包的分包单位必须为中小企业。]</w:t>
      </w:r>
      <w:bookmarkEnd w:id="473"/>
      <w:bookmarkEnd w:id="474"/>
    </w:p>
    <w:p w14:paraId="22B6851F">
      <w:pPr>
        <w:wordWrap w:val="0"/>
        <w:ind w:firstLine="643"/>
        <w:rPr>
          <w:rFonts w:hint="eastAsia" w:ascii="仿宋" w:hAnsi="仿宋" w:eastAsia="仿宋" w:cs="仿宋"/>
          <w:b/>
          <w:color w:val="auto"/>
          <w:kern w:val="0"/>
          <w:sz w:val="32"/>
          <w:szCs w:val="32"/>
          <w:highlight w:val="none"/>
        </w:rPr>
      </w:pPr>
    </w:p>
    <w:p w14:paraId="22B68520">
      <w:pPr>
        <w:wordWrap w:val="0"/>
        <w:ind w:firstLine="643"/>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22B68521">
      <w:pPr>
        <w:wordWrap w:val="0"/>
        <w:ind w:firstLine="643"/>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0"/>
        <w:gridCol w:w="3329"/>
        <w:gridCol w:w="1761"/>
      </w:tblGrid>
      <w:tr w14:paraId="22B6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2B68522">
            <w:pPr>
              <w:keepNext w:val="0"/>
              <w:keepLines w:val="0"/>
              <w:suppressLineNumbers w:val="0"/>
              <w:wordWrap w:val="0"/>
              <w:snapToGrid w:val="0"/>
              <w:spacing w:before="0" w:beforeAutospacing="0" w:after="0" w:afterAutospacing="0" w:line="240" w:lineRule="atLeas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870" w:type="dxa"/>
            <w:vAlign w:val="center"/>
          </w:tcPr>
          <w:p w14:paraId="22B68523">
            <w:pPr>
              <w:keepNext w:val="0"/>
              <w:keepLines w:val="0"/>
              <w:suppressLineNumbers w:val="0"/>
              <w:wordWrap w:val="0"/>
              <w:snapToGrid w:val="0"/>
              <w:spacing w:before="0" w:beforeAutospacing="0" w:after="0" w:afterAutospacing="0" w:line="240" w:lineRule="atLeas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329" w:type="dxa"/>
            <w:vAlign w:val="center"/>
          </w:tcPr>
          <w:p w14:paraId="22B68524">
            <w:pPr>
              <w:keepNext w:val="0"/>
              <w:keepLines w:val="0"/>
              <w:suppressLineNumbers w:val="0"/>
              <w:wordWrap w:val="0"/>
              <w:snapToGrid w:val="0"/>
              <w:spacing w:before="0" w:beforeAutospacing="0" w:after="0" w:afterAutospacing="0" w:line="240" w:lineRule="atLeas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761" w:type="dxa"/>
            <w:vAlign w:val="center"/>
          </w:tcPr>
          <w:p w14:paraId="22B68525">
            <w:pPr>
              <w:keepNext w:val="0"/>
              <w:keepLines w:val="0"/>
              <w:suppressLineNumbers w:val="0"/>
              <w:wordWrap w:val="0"/>
              <w:snapToGrid w:val="0"/>
              <w:spacing w:before="0" w:beforeAutospacing="0" w:after="0" w:afterAutospacing="0" w:line="240" w:lineRule="atLeas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2B68526">
            <w:pPr>
              <w:keepNext w:val="0"/>
              <w:keepLines w:val="0"/>
              <w:suppressLineNumbers w:val="0"/>
              <w:wordWrap w:val="0"/>
              <w:snapToGrid w:val="0"/>
              <w:spacing w:before="0" w:beforeAutospacing="0" w:after="0" w:afterAutospacing="0" w:line="240" w:lineRule="atLeas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22B6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B68528">
            <w:pPr>
              <w:keepNext w:val="0"/>
              <w:keepLines w:val="0"/>
              <w:suppressLineNumbers w:val="0"/>
              <w:wordWrap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870" w:type="dxa"/>
          </w:tcPr>
          <w:p w14:paraId="22B68529">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329" w:type="dxa"/>
            <w:vAlign w:val="center"/>
          </w:tcPr>
          <w:p w14:paraId="22B6852A">
            <w:pPr>
              <w:keepNext w:val="0"/>
              <w:keepLines w:val="0"/>
              <w:suppressLineNumbers w:val="0"/>
              <w:wordWrap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761" w:type="dxa"/>
          </w:tcPr>
          <w:p w14:paraId="22B6852B">
            <w:pPr>
              <w:keepNext w:val="0"/>
              <w:keepLines w:val="0"/>
              <w:suppressLineNumbers w:val="0"/>
              <w:wordWrap w:val="0"/>
              <w:spacing w:before="0" w:beforeAutospacing="0" w:after="0" w:afterAutospacing="0"/>
              <w:ind w:left="0" w:right="0"/>
              <w:jc w:val="center"/>
              <w:rPr>
                <w:rFonts w:hint="eastAsia" w:ascii="仿宋" w:hAnsi="仿宋" w:eastAsia="仿宋" w:cs="仿宋"/>
                <w:color w:val="auto"/>
                <w:sz w:val="24"/>
                <w:highlight w:val="none"/>
              </w:rPr>
            </w:pPr>
          </w:p>
          <w:p w14:paraId="22B6852C">
            <w:pPr>
              <w:keepNext w:val="0"/>
              <w:keepLines w:val="0"/>
              <w:suppressLineNumbers w:val="0"/>
              <w:wordWrap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2B6852D">
            <w:pPr>
              <w:keepNext w:val="0"/>
              <w:keepLines w:val="0"/>
              <w:suppressLineNumbers w:val="0"/>
              <w:wordWrap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2B6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B6852F">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870" w:type="dxa"/>
          </w:tcPr>
          <w:p w14:paraId="22B68530">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329" w:type="dxa"/>
            <w:vAlign w:val="center"/>
          </w:tcPr>
          <w:p w14:paraId="22B68531">
            <w:pPr>
              <w:keepNext w:val="0"/>
              <w:keepLines w:val="0"/>
              <w:suppressLineNumbers w:val="0"/>
              <w:wordWrap w:val="0"/>
              <w:spacing w:before="0" w:beforeAutospacing="0" w:after="0" w:afterAutospacing="0"/>
              <w:ind w:left="0" w:right="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节能产品认证证书</w:t>
            </w:r>
            <w:r>
              <w:rPr>
                <w:rFonts w:hint="eastAsia" w:ascii="仿宋" w:hAnsi="仿宋" w:eastAsia="仿宋" w:cs="仿宋"/>
                <w:color w:val="auto"/>
                <w:sz w:val="24"/>
                <w:highlight w:val="none"/>
                <w:u w:val="single"/>
              </w:rPr>
              <w:t>（本项目拟采购的产品不属于政府强制采购的节能产品品目清单范围的，无需提供）</w:t>
            </w:r>
          </w:p>
          <w:p w14:paraId="22B68532">
            <w:pPr>
              <w:keepNext w:val="0"/>
              <w:keepLines w:val="0"/>
              <w:suppressLineNumbers w:val="0"/>
              <w:wordWrap w:val="0"/>
              <w:spacing w:before="0" w:beforeAutospacing="0" w:after="0" w:afterAutospacing="0"/>
              <w:ind w:left="0" w:right="0"/>
              <w:rPr>
                <w:rFonts w:hint="eastAsia" w:ascii="仿宋" w:hAnsi="仿宋" w:eastAsia="仿宋" w:cs="仿宋"/>
                <w:color w:val="auto"/>
                <w:sz w:val="24"/>
                <w:highlight w:val="none"/>
                <w:u w:val="single"/>
              </w:rPr>
            </w:pPr>
          </w:p>
          <w:p w14:paraId="22B68533">
            <w:pPr>
              <w:keepNext w:val="0"/>
              <w:keepLines w:val="0"/>
              <w:suppressLineNumbers w:val="0"/>
              <w:wordWrap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sym w:font="Wingdings" w:char="00FE"/>
            </w:r>
            <w:r>
              <w:rPr>
                <w:rFonts w:hint="eastAsia" w:ascii="仿宋" w:hAnsi="仿宋" w:eastAsia="仿宋" w:cs="仿宋"/>
                <w:color w:val="auto"/>
                <w:sz w:val="24"/>
                <w:highlight w:val="none"/>
                <w:u w:val="single"/>
              </w:rPr>
              <w:t>本项目不适用。</w:t>
            </w:r>
          </w:p>
        </w:tc>
        <w:tc>
          <w:tcPr>
            <w:tcW w:w="1761" w:type="dxa"/>
          </w:tcPr>
          <w:p w14:paraId="22B68534">
            <w:pPr>
              <w:keepNext w:val="0"/>
              <w:keepLines w:val="0"/>
              <w:suppressLineNumbers w:val="0"/>
              <w:wordWrap w:val="0"/>
              <w:spacing w:before="0" w:beforeAutospacing="0" w:after="0" w:afterAutospacing="0"/>
              <w:ind w:left="0" w:right="0"/>
              <w:jc w:val="center"/>
              <w:rPr>
                <w:rFonts w:hint="eastAsia" w:ascii="仿宋" w:hAnsi="仿宋" w:eastAsia="仿宋" w:cs="仿宋"/>
                <w:color w:val="auto"/>
                <w:sz w:val="24"/>
                <w:highlight w:val="none"/>
              </w:rPr>
            </w:pPr>
          </w:p>
          <w:p w14:paraId="22B68535">
            <w:pPr>
              <w:keepNext w:val="0"/>
              <w:keepLines w:val="0"/>
              <w:suppressLineNumbers w:val="0"/>
              <w:wordWrap w:val="0"/>
              <w:spacing w:before="0" w:beforeAutospacing="0" w:after="0" w:afterAutospacing="0"/>
              <w:ind w:left="0" w:right="0"/>
              <w:jc w:val="center"/>
              <w:rPr>
                <w:rFonts w:hint="eastAsia" w:ascii="仿宋" w:hAnsi="仿宋" w:eastAsia="仿宋" w:cs="仿宋"/>
                <w:color w:val="auto"/>
                <w:sz w:val="24"/>
                <w:highlight w:val="none"/>
              </w:rPr>
            </w:pPr>
          </w:p>
          <w:p w14:paraId="22B68536">
            <w:pPr>
              <w:keepNext w:val="0"/>
              <w:keepLines w:val="0"/>
              <w:suppressLineNumbers w:val="0"/>
              <w:wordWrap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2B68537">
            <w:pPr>
              <w:pStyle w:val="5"/>
              <w:keepNext w:val="0"/>
              <w:keepLines w:val="0"/>
              <w:suppressLineNumbers w:val="0"/>
              <w:wordWrap w:val="0"/>
              <w:spacing w:before="0" w:beforeAutospacing="0" w:after="0" w:afterAutospacing="0"/>
              <w:ind w:right="0" w:firstLine="0"/>
              <w:jc w:val="center"/>
              <w:rPr>
                <w:rFonts w:hint="eastAsia" w:ascii="仿宋" w:eastAsia="仿宋" w:cs="仿宋"/>
                <w:color w:val="auto"/>
                <w:highlight w:val="none"/>
                <w:lang w:val="en-US"/>
              </w:rPr>
            </w:pPr>
            <w:r>
              <w:rPr>
                <w:rFonts w:hint="eastAsia" w:ascii="仿宋" w:eastAsia="仿宋" w:cs="仿宋"/>
                <w:b w:val="0"/>
                <w:bCs w:val="0"/>
                <w:color w:val="auto"/>
                <w:sz w:val="24"/>
                <w:szCs w:val="24"/>
                <w:highlight w:val="none"/>
                <w:lang w:val="en-US"/>
              </w:rPr>
              <w:t>第</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页</w:t>
            </w:r>
          </w:p>
        </w:tc>
      </w:tr>
      <w:tr w14:paraId="22B6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B68539">
            <w:pPr>
              <w:keepNext w:val="0"/>
              <w:keepLines w:val="0"/>
              <w:suppressLineNumbers w:val="0"/>
              <w:wordWrap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870" w:type="dxa"/>
          </w:tcPr>
          <w:p w14:paraId="22B6853A">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329" w:type="dxa"/>
            <w:vAlign w:val="center"/>
          </w:tcPr>
          <w:p w14:paraId="22B6853B">
            <w:pPr>
              <w:keepNext w:val="0"/>
              <w:keepLines w:val="0"/>
              <w:suppressLineNumbers w:val="0"/>
              <w:wordWrap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761" w:type="dxa"/>
          </w:tcPr>
          <w:p w14:paraId="22B6853C">
            <w:pPr>
              <w:keepNext w:val="0"/>
              <w:keepLines w:val="0"/>
              <w:suppressLineNumbers w:val="0"/>
              <w:wordWrap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2B6853D">
            <w:pPr>
              <w:keepNext w:val="0"/>
              <w:keepLines w:val="0"/>
              <w:suppressLineNumbers w:val="0"/>
              <w:wordWrap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2B6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B6853F">
            <w:pPr>
              <w:keepNext w:val="0"/>
              <w:keepLines w:val="0"/>
              <w:suppressLineNumbers w:val="0"/>
              <w:wordWrap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870" w:type="dxa"/>
          </w:tcPr>
          <w:p w14:paraId="22B68540">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329" w:type="dxa"/>
            <w:vAlign w:val="center"/>
          </w:tcPr>
          <w:p w14:paraId="22B68541">
            <w:pPr>
              <w:keepNext w:val="0"/>
              <w:keepLines w:val="0"/>
              <w:suppressLineNumbers w:val="0"/>
              <w:wordWrap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系指实质性要求条款，在商务技术偏离表中逐条填写响应情况）</w:t>
            </w:r>
          </w:p>
        </w:tc>
        <w:tc>
          <w:tcPr>
            <w:tcW w:w="1761" w:type="dxa"/>
          </w:tcPr>
          <w:p w14:paraId="22B68542">
            <w:pPr>
              <w:keepNext w:val="0"/>
              <w:keepLines w:val="0"/>
              <w:suppressLineNumbers w:val="0"/>
              <w:wordWrap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2B68543">
            <w:pPr>
              <w:keepNext w:val="0"/>
              <w:keepLines w:val="0"/>
              <w:suppressLineNumbers w:val="0"/>
              <w:wordWrap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24F9BD23">
      <w:pPr>
        <w:wordWrap w:val="0"/>
        <w:ind w:firstLine="643"/>
        <w:jc w:val="center"/>
        <w:rPr>
          <w:rFonts w:hint="eastAsia"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r>
        <w:rPr>
          <w:rFonts w:hint="eastAsia" w:ascii="仿宋" w:hAnsi="仿宋" w:eastAsia="仿宋" w:cs="仿宋"/>
          <w:b/>
          <w:color w:val="auto"/>
          <w:kern w:val="0"/>
          <w:sz w:val="32"/>
          <w:szCs w:val="32"/>
          <w:highlight w:val="none"/>
        </w:rPr>
        <w:t xml:space="preserve"> </w:t>
      </w:r>
    </w:p>
    <w:p w14:paraId="22B68546">
      <w:pPr>
        <w:wordWrap w:val="0"/>
        <w:ind w:firstLine="643"/>
        <w:jc w:val="center"/>
        <w:outlineLvl w:val="2"/>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22B68547">
      <w:pPr>
        <w:wordWrap w:val="0"/>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详细评审索引</w:t>
      </w:r>
    </w:p>
    <w:p w14:paraId="22B68548">
      <w:pPr>
        <w:numPr>
          <w:ilvl w:val="255"/>
          <w:numId w:val="0"/>
        </w:numPr>
        <w:wordWrap w:val="0"/>
        <w:snapToGrid w:val="0"/>
        <w:spacing w:line="360" w:lineRule="auto"/>
        <w:ind w:firstLine="241" w:firstLineChars="1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（一）资信部分</w:t>
      </w:r>
    </w:p>
    <w:p w14:paraId="22B68549">
      <w:pPr>
        <w:numPr>
          <w:ilvl w:val="0"/>
          <w:numId w:val="10"/>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单位介绍</w:t>
      </w:r>
    </w:p>
    <w:p w14:paraId="22B6854A">
      <w:pPr>
        <w:numPr>
          <w:ilvl w:val="0"/>
          <w:numId w:val="10"/>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资格、资质、获得的荣誉等证明文件（如有）</w:t>
      </w:r>
    </w:p>
    <w:p w14:paraId="22B6854B">
      <w:pPr>
        <w:numPr>
          <w:ilvl w:val="0"/>
          <w:numId w:val="10"/>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类似项目业绩情况表及证明材料</w:t>
      </w:r>
    </w:p>
    <w:p w14:paraId="22B6854C">
      <w:pPr>
        <w:numPr>
          <w:ilvl w:val="0"/>
          <w:numId w:val="10"/>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商务偏离表</w:t>
      </w:r>
    </w:p>
    <w:p w14:paraId="22B6854D">
      <w:pPr>
        <w:numPr>
          <w:ilvl w:val="0"/>
          <w:numId w:val="10"/>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投标人认为需要提供的其他资料</w:t>
      </w:r>
    </w:p>
    <w:p w14:paraId="22B6854E">
      <w:pPr>
        <w:wordWrap w:val="0"/>
        <w:snapToGrid w:val="0"/>
        <w:spacing w:line="360" w:lineRule="auto"/>
        <w:ind w:firstLine="241" w:firstLineChars="100"/>
        <w:jc w:val="left"/>
        <w:rPr>
          <w:rFonts w:hint="eastAsia" w:ascii="仿宋" w:hAnsi="仿宋" w:eastAsia="仿宋" w:cs="宋体"/>
          <w:b/>
          <w:color w:val="auto"/>
          <w:sz w:val="24"/>
          <w:highlight w:val="none"/>
        </w:rPr>
      </w:pPr>
      <w:r>
        <w:rPr>
          <w:rFonts w:hint="eastAsia" w:ascii="仿宋" w:hAnsi="仿宋" w:eastAsia="仿宋" w:cs="宋体"/>
          <w:b/>
          <w:color w:val="auto"/>
          <w:sz w:val="24"/>
          <w:highlight w:val="none"/>
        </w:rPr>
        <w:t>（二）技术部分</w:t>
      </w:r>
    </w:p>
    <w:p w14:paraId="22B6854F">
      <w:pPr>
        <w:numPr>
          <w:ilvl w:val="0"/>
          <w:numId w:val="11"/>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员工人员管理制度</w:t>
      </w:r>
    </w:p>
    <w:p w14:paraId="22B68550">
      <w:pPr>
        <w:numPr>
          <w:ilvl w:val="0"/>
          <w:numId w:val="11"/>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安全生产制度</w:t>
      </w:r>
    </w:p>
    <w:p w14:paraId="22B68551">
      <w:pPr>
        <w:numPr>
          <w:ilvl w:val="0"/>
          <w:numId w:val="11"/>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闸站养护管理方案</w:t>
      </w:r>
    </w:p>
    <w:p w14:paraId="3D3271AE">
      <w:pPr>
        <w:numPr>
          <w:ilvl w:val="0"/>
          <w:numId w:val="11"/>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养护工作响应保障情况</w:t>
      </w:r>
    </w:p>
    <w:p w14:paraId="22B68552">
      <w:pPr>
        <w:numPr>
          <w:ilvl w:val="0"/>
          <w:numId w:val="11"/>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应急响应方案</w:t>
      </w:r>
    </w:p>
    <w:p w14:paraId="22B68553">
      <w:pPr>
        <w:numPr>
          <w:ilvl w:val="0"/>
          <w:numId w:val="11"/>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归档整理方案</w:t>
      </w:r>
    </w:p>
    <w:p w14:paraId="22B68556">
      <w:pPr>
        <w:numPr>
          <w:ilvl w:val="0"/>
          <w:numId w:val="11"/>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拟投入机械设备情况</w:t>
      </w:r>
    </w:p>
    <w:p w14:paraId="22B68557">
      <w:pPr>
        <w:numPr>
          <w:ilvl w:val="0"/>
          <w:numId w:val="11"/>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养护人员配备情况</w:t>
      </w:r>
    </w:p>
    <w:p w14:paraId="22B68558">
      <w:pPr>
        <w:numPr>
          <w:ilvl w:val="0"/>
          <w:numId w:val="11"/>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技术偏离表</w:t>
      </w:r>
    </w:p>
    <w:p w14:paraId="22B68559">
      <w:pPr>
        <w:numPr>
          <w:ilvl w:val="0"/>
          <w:numId w:val="11"/>
        </w:numPr>
        <w:wordWrap w:val="0"/>
        <w:snapToGrid w:val="0"/>
        <w:spacing w:line="360" w:lineRule="auto"/>
        <w:ind w:left="0"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投标人认为需要提供的其他资料</w:t>
      </w:r>
    </w:p>
    <w:p w14:paraId="22B6855A">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22B6855B">
      <w:pPr>
        <w:wordWrap w:val="0"/>
        <w:ind w:firstLine="643"/>
        <w:jc w:val="center"/>
        <w:rPr>
          <w:rFonts w:hint="eastAsia" w:ascii="仿宋" w:hAnsi="仿宋" w:eastAsia="仿宋" w:cs="仿宋"/>
          <w:b/>
          <w:color w:val="auto"/>
          <w:kern w:val="0"/>
          <w:sz w:val="32"/>
          <w:szCs w:val="32"/>
          <w:highlight w:val="none"/>
        </w:rPr>
      </w:pPr>
    </w:p>
    <w:p w14:paraId="22B6855C">
      <w:pPr>
        <w:wordWrap w:val="0"/>
        <w:ind w:firstLine="643"/>
        <w:jc w:val="center"/>
        <w:rPr>
          <w:rFonts w:hint="eastAsia" w:ascii="仿宋" w:hAnsi="仿宋" w:eastAsia="仿宋" w:cs="仿宋"/>
          <w:b/>
          <w:color w:val="auto"/>
          <w:kern w:val="0"/>
          <w:sz w:val="32"/>
          <w:szCs w:val="32"/>
          <w:highlight w:val="none"/>
        </w:rPr>
      </w:pPr>
    </w:p>
    <w:p w14:paraId="22B6855D">
      <w:pPr>
        <w:wordWrap w:val="0"/>
        <w:ind w:firstLine="643"/>
        <w:jc w:val="center"/>
        <w:rPr>
          <w:rFonts w:hint="eastAsia" w:ascii="仿宋" w:hAnsi="仿宋" w:eastAsia="仿宋" w:cs="仿宋"/>
          <w:b/>
          <w:color w:val="auto"/>
          <w:kern w:val="0"/>
          <w:sz w:val="32"/>
          <w:szCs w:val="32"/>
          <w:highlight w:val="none"/>
        </w:rPr>
      </w:pPr>
    </w:p>
    <w:p w14:paraId="22B6855E">
      <w:pPr>
        <w:wordWrap w:val="0"/>
        <w:ind w:firstLine="643"/>
        <w:jc w:val="center"/>
        <w:rPr>
          <w:rFonts w:hint="eastAsia" w:ascii="仿宋" w:hAnsi="仿宋" w:eastAsia="仿宋" w:cs="仿宋"/>
          <w:b/>
          <w:color w:val="auto"/>
          <w:kern w:val="0"/>
          <w:sz w:val="32"/>
          <w:szCs w:val="32"/>
          <w:highlight w:val="none"/>
        </w:rPr>
      </w:pPr>
    </w:p>
    <w:p w14:paraId="22B6855F">
      <w:pPr>
        <w:wordWrap w:val="0"/>
        <w:ind w:firstLine="643"/>
        <w:jc w:val="center"/>
        <w:rPr>
          <w:rFonts w:hint="eastAsia" w:ascii="仿宋" w:hAnsi="仿宋" w:eastAsia="仿宋" w:cs="仿宋"/>
          <w:b/>
          <w:color w:val="auto"/>
          <w:kern w:val="0"/>
          <w:sz w:val="32"/>
          <w:szCs w:val="32"/>
          <w:highlight w:val="none"/>
        </w:rPr>
      </w:pPr>
    </w:p>
    <w:p w14:paraId="22B68560">
      <w:pPr>
        <w:wordWrap w:val="0"/>
        <w:ind w:firstLine="643"/>
        <w:jc w:val="center"/>
        <w:rPr>
          <w:rFonts w:hint="eastAsia" w:ascii="仿宋" w:hAnsi="仿宋" w:eastAsia="仿宋" w:cs="仿宋"/>
          <w:b/>
          <w:color w:val="auto"/>
          <w:kern w:val="0"/>
          <w:sz w:val="32"/>
          <w:szCs w:val="32"/>
          <w:highlight w:val="none"/>
        </w:rPr>
      </w:pPr>
    </w:p>
    <w:p w14:paraId="22B68561">
      <w:pPr>
        <w:wordWrap w:val="0"/>
        <w:ind w:firstLine="643"/>
        <w:jc w:val="center"/>
        <w:rPr>
          <w:rFonts w:hint="eastAsia" w:ascii="仿宋" w:hAnsi="仿宋" w:eastAsia="仿宋" w:cs="仿宋"/>
          <w:b/>
          <w:color w:val="auto"/>
          <w:kern w:val="0"/>
          <w:sz w:val="32"/>
          <w:szCs w:val="32"/>
          <w:highlight w:val="none"/>
        </w:rPr>
      </w:pPr>
    </w:p>
    <w:p w14:paraId="22B68562">
      <w:pPr>
        <w:wordWrap w:val="0"/>
        <w:ind w:firstLine="643"/>
        <w:jc w:val="center"/>
        <w:rPr>
          <w:rFonts w:hint="eastAsia" w:ascii="仿宋" w:hAnsi="仿宋" w:eastAsia="仿宋" w:cs="仿宋"/>
          <w:b/>
          <w:color w:val="auto"/>
          <w:kern w:val="0"/>
          <w:sz w:val="32"/>
          <w:szCs w:val="32"/>
          <w:highlight w:val="none"/>
        </w:rPr>
      </w:pPr>
    </w:p>
    <w:p w14:paraId="22B68563">
      <w:pPr>
        <w:wordWrap w:val="0"/>
        <w:ind w:firstLine="643"/>
        <w:jc w:val="center"/>
        <w:rPr>
          <w:rFonts w:hint="eastAsia" w:ascii="仿宋" w:hAnsi="仿宋" w:eastAsia="仿宋" w:cs="仿宋"/>
          <w:b/>
          <w:color w:val="auto"/>
          <w:kern w:val="0"/>
          <w:sz w:val="32"/>
          <w:szCs w:val="32"/>
          <w:highlight w:val="none"/>
        </w:rPr>
      </w:pPr>
    </w:p>
    <w:p w14:paraId="038B8C83">
      <w:pPr>
        <w:wordWrap w:val="0"/>
        <w:ind w:firstLine="643"/>
        <w:rPr>
          <w:rFonts w:hint="eastAsia"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p>
    <w:p w14:paraId="22B68565">
      <w:pPr>
        <w:wordWrap w:val="0"/>
        <w:ind w:firstLine="643"/>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w:t>
      </w:r>
    </w:p>
    <w:p w14:paraId="22B68566">
      <w:pPr>
        <w:wordWrap w:val="0"/>
        <w:adjustRightInd/>
        <w:spacing w:line="360" w:lineRule="auto"/>
        <w:ind w:firstLine="643"/>
        <w:jc w:val="center"/>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详细评审索引</w:t>
      </w:r>
    </w:p>
    <w:tbl>
      <w:tblPr>
        <w:tblStyle w:val="62"/>
        <w:tblW w:w="75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356"/>
        <w:gridCol w:w="1276"/>
      </w:tblGrid>
      <w:tr w14:paraId="22B685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22B68567">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356" w:type="dxa"/>
            <w:vAlign w:val="center"/>
          </w:tcPr>
          <w:p w14:paraId="22B68568">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评分/评审细则</w:t>
            </w:r>
          </w:p>
        </w:tc>
        <w:tc>
          <w:tcPr>
            <w:tcW w:w="1276" w:type="dxa"/>
            <w:vAlign w:val="center"/>
          </w:tcPr>
          <w:p w14:paraId="22B68569">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w:t>
            </w:r>
          </w:p>
        </w:tc>
      </w:tr>
      <w:tr w14:paraId="22B685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22B6856B">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color w:val="auto"/>
                <w:sz w:val="24"/>
                <w:highlight w:val="none"/>
              </w:rPr>
            </w:pPr>
          </w:p>
        </w:tc>
        <w:tc>
          <w:tcPr>
            <w:tcW w:w="5356" w:type="dxa"/>
            <w:vAlign w:val="center"/>
          </w:tcPr>
          <w:p w14:paraId="22B6856C">
            <w:pPr>
              <w:keepNext w:val="0"/>
              <w:keepLines w:val="0"/>
              <w:suppressLineNumbers w:val="0"/>
              <w:wordWrap w:val="0"/>
              <w:snapToGrid w:val="0"/>
              <w:spacing w:before="0" w:beforeAutospacing="0" w:after="0" w:afterAutospacing="0"/>
              <w:ind w:left="0" w:right="0"/>
              <w:rPr>
                <w:rFonts w:hint="eastAsia" w:ascii="仿宋" w:hAnsi="仿宋" w:eastAsia="仿宋" w:cs="仿宋"/>
                <w:color w:val="auto"/>
                <w:sz w:val="24"/>
                <w:highlight w:val="none"/>
              </w:rPr>
            </w:pPr>
          </w:p>
        </w:tc>
        <w:tc>
          <w:tcPr>
            <w:tcW w:w="1276" w:type="dxa"/>
            <w:vAlign w:val="center"/>
          </w:tcPr>
          <w:p w14:paraId="22B6856D">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b/>
                <w:color w:val="auto"/>
                <w:sz w:val="24"/>
                <w:highlight w:val="none"/>
              </w:rPr>
            </w:pPr>
          </w:p>
        </w:tc>
      </w:tr>
      <w:tr w14:paraId="22B685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 w:type="dxa"/>
            <w:vAlign w:val="center"/>
          </w:tcPr>
          <w:p w14:paraId="22B6856F">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color w:val="auto"/>
                <w:sz w:val="24"/>
                <w:highlight w:val="none"/>
              </w:rPr>
            </w:pPr>
          </w:p>
        </w:tc>
        <w:tc>
          <w:tcPr>
            <w:tcW w:w="5356" w:type="dxa"/>
            <w:vAlign w:val="center"/>
          </w:tcPr>
          <w:p w14:paraId="22B68570">
            <w:pPr>
              <w:keepNext w:val="0"/>
              <w:keepLines w:val="0"/>
              <w:suppressLineNumbers w:val="0"/>
              <w:wordWrap w:val="0"/>
              <w:snapToGrid w:val="0"/>
              <w:spacing w:before="0" w:beforeAutospacing="0" w:after="0" w:afterAutospacing="0"/>
              <w:ind w:left="0" w:right="0"/>
              <w:rPr>
                <w:rFonts w:hint="eastAsia" w:ascii="仿宋" w:hAnsi="仿宋" w:eastAsia="仿宋" w:cs="仿宋"/>
                <w:color w:val="auto"/>
                <w:sz w:val="24"/>
                <w:highlight w:val="none"/>
              </w:rPr>
            </w:pPr>
          </w:p>
        </w:tc>
        <w:tc>
          <w:tcPr>
            <w:tcW w:w="1276" w:type="dxa"/>
            <w:vAlign w:val="center"/>
          </w:tcPr>
          <w:p w14:paraId="22B68571">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b/>
                <w:color w:val="auto"/>
                <w:sz w:val="24"/>
                <w:highlight w:val="none"/>
              </w:rPr>
            </w:pPr>
          </w:p>
        </w:tc>
      </w:tr>
      <w:tr w14:paraId="22B685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22B68573">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color w:val="auto"/>
                <w:sz w:val="24"/>
                <w:highlight w:val="none"/>
              </w:rPr>
            </w:pPr>
          </w:p>
        </w:tc>
        <w:tc>
          <w:tcPr>
            <w:tcW w:w="5356" w:type="dxa"/>
            <w:vAlign w:val="center"/>
          </w:tcPr>
          <w:p w14:paraId="22B68574">
            <w:pPr>
              <w:keepNext w:val="0"/>
              <w:keepLines w:val="0"/>
              <w:suppressLineNumbers w:val="0"/>
              <w:wordWrap w:val="0"/>
              <w:snapToGrid w:val="0"/>
              <w:spacing w:before="0" w:beforeAutospacing="0" w:after="0" w:afterAutospacing="0"/>
              <w:ind w:left="0" w:right="0"/>
              <w:rPr>
                <w:rFonts w:hint="eastAsia" w:ascii="仿宋" w:hAnsi="仿宋" w:eastAsia="仿宋" w:cs="仿宋"/>
                <w:color w:val="auto"/>
                <w:sz w:val="24"/>
                <w:highlight w:val="none"/>
              </w:rPr>
            </w:pPr>
          </w:p>
        </w:tc>
        <w:tc>
          <w:tcPr>
            <w:tcW w:w="1276" w:type="dxa"/>
            <w:vAlign w:val="center"/>
          </w:tcPr>
          <w:p w14:paraId="22B68575">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b/>
                <w:color w:val="auto"/>
                <w:sz w:val="24"/>
                <w:highlight w:val="none"/>
              </w:rPr>
            </w:pPr>
          </w:p>
        </w:tc>
      </w:tr>
      <w:tr w14:paraId="22B685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22B68577">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color w:val="auto"/>
                <w:sz w:val="24"/>
                <w:highlight w:val="none"/>
              </w:rPr>
            </w:pPr>
          </w:p>
        </w:tc>
        <w:tc>
          <w:tcPr>
            <w:tcW w:w="5356" w:type="dxa"/>
            <w:vAlign w:val="center"/>
          </w:tcPr>
          <w:p w14:paraId="22B68578">
            <w:pPr>
              <w:keepNext w:val="0"/>
              <w:keepLines w:val="0"/>
              <w:suppressLineNumbers w:val="0"/>
              <w:wordWrap w:val="0"/>
              <w:snapToGrid w:val="0"/>
              <w:spacing w:before="0" w:beforeAutospacing="0" w:after="0" w:afterAutospacing="0"/>
              <w:ind w:left="0" w:right="0"/>
              <w:rPr>
                <w:rFonts w:hint="eastAsia" w:ascii="仿宋" w:hAnsi="仿宋" w:eastAsia="仿宋" w:cs="仿宋"/>
                <w:color w:val="auto"/>
                <w:sz w:val="24"/>
                <w:highlight w:val="none"/>
              </w:rPr>
            </w:pPr>
          </w:p>
        </w:tc>
        <w:tc>
          <w:tcPr>
            <w:tcW w:w="1276" w:type="dxa"/>
            <w:vAlign w:val="center"/>
          </w:tcPr>
          <w:p w14:paraId="22B68579">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b/>
                <w:color w:val="auto"/>
                <w:sz w:val="24"/>
                <w:highlight w:val="none"/>
              </w:rPr>
            </w:pPr>
          </w:p>
        </w:tc>
      </w:tr>
      <w:tr w14:paraId="22B685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22B6857B">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color w:val="auto"/>
                <w:sz w:val="24"/>
                <w:highlight w:val="none"/>
              </w:rPr>
            </w:pPr>
          </w:p>
        </w:tc>
        <w:tc>
          <w:tcPr>
            <w:tcW w:w="5356" w:type="dxa"/>
            <w:vAlign w:val="center"/>
          </w:tcPr>
          <w:p w14:paraId="22B6857C">
            <w:pPr>
              <w:keepNext w:val="0"/>
              <w:keepLines w:val="0"/>
              <w:suppressLineNumbers w:val="0"/>
              <w:wordWrap w:val="0"/>
              <w:snapToGrid w:val="0"/>
              <w:spacing w:before="0" w:beforeAutospacing="0" w:after="0" w:afterAutospacing="0"/>
              <w:ind w:left="-2" w:leftChars="-1" w:right="0"/>
              <w:rPr>
                <w:rFonts w:hint="eastAsia" w:ascii="仿宋" w:hAnsi="仿宋" w:eastAsia="仿宋" w:cs="仿宋"/>
                <w:b/>
                <w:color w:val="auto"/>
                <w:sz w:val="24"/>
                <w:highlight w:val="none"/>
              </w:rPr>
            </w:pPr>
          </w:p>
        </w:tc>
        <w:tc>
          <w:tcPr>
            <w:tcW w:w="1276" w:type="dxa"/>
            <w:vAlign w:val="center"/>
          </w:tcPr>
          <w:p w14:paraId="22B6857D">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b/>
                <w:color w:val="auto"/>
                <w:sz w:val="24"/>
                <w:highlight w:val="none"/>
              </w:rPr>
            </w:pPr>
          </w:p>
        </w:tc>
      </w:tr>
    </w:tbl>
    <w:p w14:paraId="22B6857F">
      <w:pPr>
        <w:wordWrap w:val="0"/>
        <w:adjustRightInd/>
        <w:spacing w:line="440" w:lineRule="exact"/>
        <w:rPr>
          <w:rFonts w:hint="eastAsia" w:ascii="仿宋" w:hAnsi="仿宋" w:eastAsia="仿宋" w:cs="仿宋"/>
          <w:color w:val="auto"/>
          <w:highlight w:val="none"/>
        </w:rPr>
      </w:pPr>
      <w:r>
        <w:rPr>
          <w:rFonts w:hint="eastAsia" w:ascii="仿宋" w:hAnsi="仿宋" w:eastAsia="仿宋" w:cs="仿宋"/>
          <w:color w:val="auto"/>
          <w:szCs w:val="21"/>
          <w:highlight w:val="none"/>
        </w:rPr>
        <w:t>注：供应商根据评审办法的“评审因素”条款一一对应填写本表。</w:t>
      </w:r>
    </w:p>
    <w:p w14:paraId="2F1FF4D4">
      <w:pPr>
        <w:wordWrap w:val="0"/>
        <w:ind w:firstLine="643"/>
        <w:rPr>
          <w:rFonts w:hint="eastAsia"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p>
    <w:p w14:paraId="22B68581">
      <w:pPr>
        <w:wordWrap w:val="0"/>
        <w:ind w:firstLine="643"/>
        <w:outlineLvl w:val="2"/>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rPr>
        <w:t>一</w:t>
      </w:r>
      <w:r>
        <w:rPr>
          <w:rFonts w:hint="eastAsia" w:ascii="仿宋" w:hAnsi="仿宋" w:eastAsia="仿宋" w:cs="仿宋"/>
          <w:b/>
          <w:color w:val="auto"/>
          <w:kern w:val="0"/>
          <w:sz w:val="32"/>
          <w:szCs w:val="32"/>
          <w:highlight w:val="none"/>
          <w:lang w:val="zh-CN"/>
        </w:rPr>
        <w:t>）投标单位情况表</w:t>
      </w:r>
    </w:p>
    <w:p w14:paraId="22B68582">
      <w:pPr>
        <w:wordWrap w:val="0"/>
        <w:ind w:firstLine="723"/>
        <w:rPr>
          <w:rFonts w:hint="eastAsia" w:ascii="仿宋" w:hAnsi="仿宋" w:eastAsia="仿宋" w:cs="仿宋"/>
          <w:b/>
          <w:bCs/>
          <w:color w:val="auto"/>
          <w:sz w:val="36"/>
          <w:szCs w:val="36"/>
          <w:highlight w:val="none"/>
        </w:rPr>
      </w:pPr>
    </w:p>
    <w:p w14:paraId="22B68583">
      <w:pPr>
        <w:wordWrap w:val="0"/>
        <w:ind w:firstLine="3900" w:firstLineChars="13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投标单位情况表</w:t>
      </w:r>
    </w:p>
    <w:tbl>
      <w:tblPr>
        <w:tblStyle w:val="62"/>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3052"/>
        <w:gridCol w:w="877"/>
        <w:gridCol w:w="650"/>
        <w:gridCol w:w="2104"/>
      </w:tblGrid>
      <w:tr w14:paraId="22B6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371" w:type="dxa"/>
            <w:vAlign w:val="center"/>
          </w:tcPr>
          <w:p w14:paraId="22B68584">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单位名称</w:t>
            </w:r>
          </w:p>
        </w:tc>
        <w:tc>
          <w:tcPr>
            <w:tcW w:w="3052" w:type="dxa"/>
            <w:vAlign w:val="center"/>
          </w:tcPr>
          <w:p w14:paraId="22B68585">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p>
        </w:tc>
        <w:tc>
          <w:tcPr>
            <w:tcW w:w="1527" w:type="dxa"/>
            <w:gridSpan w:val="2"/>
            <w:vAlign w:val="center"/>
          </w:tcPr>
          <w:p w14:paraId="22B68586">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注册资金</w:t>
            </w:r>
          </w:p>
        </w:tc>
        <w:tc>
          <w:tcPr>
            <w:tcW w:w="2104" w:type="dxa"/>
            <w:vAlign w:val="center"/>
          </w:tcPr>
          <w:p w14:paraId="22B68587">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p>
        </w:tc>
      </w:tr>
      <w:tr w14:paraId="22B6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1" w:type="dxa"/>
            <w:vAlign w:val="center"/>
          </w:tcPr>
          <w:p w14:paraId="22B68589">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单位详细地址</w:t>
            </w:r>
          </w:p>
        </w:tc>
        <w:tc>
          <w:tcPr>
            <w:tcW w:w="6683" w:type="dxa"/>
            <w:gridSpan w:val="4"/>
            <w:vAlign w:val="center"/>
          </w:tcPr>
          <w:p w14:paraId="22B6858A">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p>
        </w:tc>
      </w:tr>
      <w:tr w14:paraId="22B6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22B6858C">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营业执照注册号</w:t>
            </w:r>
          </w:p>
        </w:tc>
        <w:tc>
          <w:tcPr>
            <w:tcW w:w="6683" w:type="dxa"/>
            <w:gridSpan w:val="4"/>
            <w:vAlign w:val="center"/>
          </w:tcPr>
          <w:p w14:paraId="22B6858D">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p>
        </w:tc>
      </w:tr>
      <w:tr w14:paraId="22B6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22B6858F">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单位成立时间</w:t>
            </w:r>
          </w:p>
        </w:tc>
        <w:tc>
          <w:tcPr>
            <w:tcW w:w="3929" w:type="dxa"/>
            <w:gridSpan w:val="2"/>
            <w:vAlign w:val="center"/>
          </w:tcPr>
          <w:p w14:paraId="22B68590">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p>
        </w:tc>
        <w:tc>
          <w:tcPr>
            <w:tcW w:w="2754" w:type="dxa"/>
            <w:gridSpan w:val="2"/>
            <w:vAlign w:val="center"/>
          </w:tcPr>
          <w:p w14:paraId="22B68591">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固定资产净值：    （万元）</w:t>
            </w:r>
          </w:p>
        </w:tc>
      </w:tr>
      <w:tr w14:paraId="22B6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22B68593">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法定代表人</w:t>
            </w:r>
          </w:p>
        </w:tc>
        <w:tc>
          <w:tcPr>
            <w:tcW w:w="6683" w:type="dxa"/>
            <w:gridSpan w:val="4"/>
            <w:vAlign w:val="center"/>
          </w:tcPr>
          <w:p w14:paraId="22B68594">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姓名：          职务：           职称：</w:t>
            </w:r>
          </w:p>
        </w:tc>
      </w:tr>
      <w:tr w14:paraId="22B6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22B68596">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主要负责人</w:t>
            </w:r>
          </w:p>
        </w:tc>
        <w:tc>
          <w:tcPr>
            <w:tcW w:w="6683" w:type="dxa"/>
            <w:gridSpan w:val="4"/>
            <w:vAlign w:val="center"/>
          </w:tcPr>
          <w:p w14:paraId="22B68597">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姓名：          职务：           职称： </w:t>
            </w:r>
          </w:p>
        </w:tc>
      </w:tr>
      <w:tr w14:paraId="22B6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22B68599">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职工人数</w:t>
            </w:r>
          </w:p>
        </w:tc>
        <w:tc>
          <w:tcPr>
            <w:tcW w:w="6683" w:type="dxa"/>
            <w:gridSpan w:val="4"/>
            <w:vAlign w:val="center"/>
          </w:tcPr>
          <w:p w14:paraId="22B6859A">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p>
        </w:tc>
      </w:tr>
      <w:tr w14:paraId="22B6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22B6859C">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具有中高级以上职称的人数</w:t>
            </w:r>
          </w:p>
        </w:tc>
        <w:tc>
          <w:tcPr>
            <w:tcW w:w="6683" w:type="dxa"/>
            <w:gridSpan w:val="4"/>
            <w:vAlign w:val="center"/>
          </w:tcPr>
          <w:p w14:paraId="22B6859D">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中级职称的人数:</w:t>
            </w:r>
          </w:p>
          <w:p w14:paraId="22B6859E">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高级及以上职称的人数：</w:t>
            </w:r>
          </w:p>
        </w:tc>
      </w:tr>
      <w:tr w14:paraId="22B6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22B685A0">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2023年度主营业务收入</w:t>
            </w:r>
          </w:p>
        </w:tc>
        <w:tc>
          <w:tcPr>
            <w:tcW w:w="6683" w:type="dxa"/>
            <w:gridSpan w:val="4"/>
            <w:vAlign w:val="center"/>
          </w:tcPr>
          <w:p w14:paraId="22B685A1">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p>
        </w:tc>
      </w:tr>
      <w:tr w14:paraId="22B6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22B685A3">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联系方式</w:t>
            </w:r>
          </w:p>
        </w:tc>
        <w:tc>
          <w:tcPr>
            <w:tcW w:w="6683" w:type="dxa"/>
            <w:gridSpan w:val="4"/>
            <w:vAlign w:val="center"/>
          </w:tcPr>
          <w:p w14:paraId="22B685A4">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            邮编：           电话：</w:t>
            </w:r>
          </w:p>
          <w:p w14:paraId="22B685A5">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传真： </w:t>
            </w:r>
          </w:p>
        </w:tc>
      </w:tr>
      <w:tr w14:paraId="22B6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2371" w:type="dxa"/>
            <w:vAlign w:val="center"/>
          </w:tcPr>
          <w:p w14:paraId="22B685A7">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开户银行</w:t>
            </w:r>
          </w:p>
        </w:tc>
        <w:tc>
          <w:tcPr>
            <w:tcW w:w="6683" w:type="dxa"/>
            <w:gridSpan w:val="4"/>
            <w:vAlign w:val="center"/>
          </w:tcPr>
          <w:p w14:paraId="22B685A8">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p w14:paraId="22B685A9">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账号：</w:t>
            </w:r>
          </w:p>
        </w:tc>
      </w:tr>
      <w:tr w14:paraId="22B6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8" w:hRule="atLeast"/>
          <w:jc w:val="center"/>
        </w:trPr>
        <w:tc>
          <w:tcPr>
            <w:tcW w:w="2371" w:type="dxa"/>
            <w:vAlign w:val="center"/>
          </w:tcPr>
          <w:p w14:paraId="22B685AB">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  位</w:t>
            </w:r>
          </w:p>
          <w:p w14:paraId="22B685AC">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组  织</w:t>
            </w:r>
          </w:p>
          <w:p w14:paraId="22B685AD">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机  构</w:t>
            </w:r>
          </w:p>
          <w:p w14:paraId="22B685AE">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框  图</w:t>
            </w:r>
          </w:p>
        </w:tc>
        <w:tc>
          <w:tcPr>
            <w:tcW w:w="6683" w:type="dxa"/>
            <w:gridSpan w:val="4"/>
            <w:vAlign w:val="center"/>
          </w:tcPr>
          <w:p w14:paraId="22B685AF">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Cs w:val="21"/>
                <w:highlight w:val="none"/>
              </w:rPr>
            </w:pPr>
          </w:p>
        </w:tc>
      </w:tr>
    </w:tbl>
    <w:p w14:paraId="22B685B1">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注：1、本表所述“职工”应为投标单位的正式员工。</w:t>
      </w:r>
    </w:p>
    <w:p w14:paraId="22B685B2">
      <w:pPr>
        <w:wordWrap w:val="0"/>
        <w:spacing w:line="360" w:lineRule="auto"/>
        <w:rPr>
          <w:rFonts w:hint="eastAsia" w:ascii="仿宋" w:hAnsi="仿宋" w:eastAsia="仿宋" w:cs="仿宋"/>
          <w:color w:val="auto"/>
          <w:sz w:val="24"/>
          <w:highlight w:val="none"/>
        </w:rPr>
      </w:pPr>
    </w:p>
    <w:p w14:paraId="22B685B3">
      <w:pPr>
        <w:wordWrap w:val="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投标人名称（电子签名）：</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w:t>
      </w:r>
    </w:p>
    <w:p w14:paraId="22B685B4">
      <w:pPr>
        <w:wordWrap w:val="0"/>
        <w:rPr>
          <w:rFonts w:hint="eastAsia" w:ascii="仿宋" w:hAnsi="仿宋" w:eastAsia="仿宋" w:cs="仿宋"/>
          <w:color w:val="auto"/>
          <w:sz w:val="24"/>
          <w:highlight w:val="none"/>
        </w:rPr>
      </w:pPr>
    </w:p>
    <w:p w14:paraId="22B685B5">
      <w:pPr>
        <w:wordWrap w:val="0"/>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日期：</w:t>
      </w:r>
    </w:p>
    <w:p w14:paraId="526D2E32">
      <w:pPr>
        <w:wordWrap w:val="0"/>
        <w:ind w:firstLine="643"/>
        <w:jc w:val="center"/>
        <w:rPr>
          <w:rFonts w:hint="eastAsia"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p>
    <w:p w14:paraId="22B685B7">
      <w:pPr>
        <w:pStyle w:val="61"/>
        <w:wordWrap w:val="0"/>
        <w:ind w:firstLine="420"/>
        <w:rPr>
          <w:rFonts w:hint="eastAsia" w:ascii="仿宋" w:hAnsi="仿宋" w:eastAsia="仿宋" w:cs="仿宋"/>
          <w:color w:val="auto"/>
          <w:highlight w:val="none"/>
        </w:rPr>
      </w:pPr>
    </w:p>
    <w:p w14:paraId="22B685B8">
      <w:pPr>
        <w:wordWrap w:val="0"/>
        <w:ind w:firstLine="643"/>
        <w:outlineLvl w:val="2"/>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rPr>
        <w:t>二</w:t>
      </w:r>
      <w:r>
        <w:rPr>
          <w:rFonts w:hint="eastAsia" w:ascii="仿宋" w:hAnsi="仿宋" w:eastAsia="仿宋" w:cs="仿宋"/>
          <w:b/>
          <w:color w:val="auto"/>
          <w:kern w:val="0"/>
          <w:sz w:val="32"/>
          <w:szCs w:val="32"/>
          <w:highlight w:val="none"/>
          <w:lang w:val="zh-CN"/>
        </w:rPr>
        <w:t>）类似项目业绩情况表及证明材料</w:t>
      </w:r>
    </w:p>
    <w:p w14:paraId="22B685B9">
      <w:pPr>
        <w:wordWrap w:val="0"/>
        <w:spacing w:line="360" w:lineRule="auto"/>
        <w:ind w:firstLine="643"/>
        <w:jc w:val="center"/>
        <w:rPr>
          <w:rFonts w:hint="eastAsia" w:ascii="仿宋" w:hAnsi="仿宋" w:eastAsia="仿宋" w:cs="仿宋"/>
          <w:b/>
          <w:color w:val="auto"/>
          <w:sz w:val="32"/>
          <w:szCs w:val="32"/>
          <w:highlight w:val="none"/>
        </w:rPr>
      </w:pPr>
    </w:p>
    <w:p w14:paraId="22B685BA">
      <w:pPr>
        <w:wordWrap w:val="0"/>
        <w:spacing w:line="360" w:lineRule="auto"/>
        <w:ind w:firstLine="643"/>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类似项目</w:t>
      </w:r>
      <w:r>
        <w:rPr>
          <w:rFonts w:hint="eastAsia" w:ascii="仿宋" w:hAnsi="仿宋" w:eastAsia="仿宋" w:cs="仿宋"/>
          <w:b/>
          <w:color w:val="auto"/>
          <w:sz w:val="32"/>
          <w:szCs w:val="32"/>
          <w:highlight w:val="none"/>
          <w:lang w:val="zh-CN"/>
        </w:rPr>
        <w:t>业绩</w:t>
      </w:r>
      <w:r>
        <w:rPr>
          <w:rFonts w:hint="eastAsia" w:ascii="仿宋" w:hAnsi="仿宋" w:eastAsia="仿宋" w:cs="仿宋"/>
          <w:b/>
          <w:color w:val="auto"/>
          <w:sz w:val="32"/>
          <w:szCs w:val="32"/>
          <w:highlight w:val="none"/>
        </w:rPr>
        <w:t>情况表</w:t>
      </w:r>
    </w:p>
    <w:p w14:paraId="22B685BB">
      <w:pPr>
        <w:wordWrap w:val="0"/>
        <w:spacing w:line="360" w:lineRule="auto"/>
        <w:ind w:firstLine="315" w:firstLineChars="150"/>
        <w:rPr>
          <w:rFonts w:hint="eastAsia" w:ascii="仿宋" w:hAnsi="仿宋" w:eastAsia="仿宋" w:cs="仿宋"/>
          <w:color w:val="auto"/>
          <w:szCs w:val="21"/>
          <w:highlight w:val="none"/>
          <w:u w:val="single"/>
        </w:rPr>
      </w:pPr>
    </w:p>
    <w:p w14:paraId="22B685BC">
      <w:pPr>
        <w:pStyle w:val="79"/>
        <w:wordWrap w:val="0"/>
        <w:rPr>
          <w:rFonts w:hint="eastAsia" w:ascii="仿宋" w:hAnsi="仿宋" w:eastAsia="仿宋" w:cs="仿宋"/>
          <w:color w:val="auto"/>
          <w:highlight w:val="none"/>
          <w:u w:val="single"/>
          <w:lang w:eastAsia="zh-CN"/>
        </w:rPr>
      </w:pPr>
      <w:r>
        <w:rPr>
          <w:rFonts w:hint="eastAsia" w:ascii="仿宋" w:hAnsi="仿宋" w:eastAsia="仿宋" w:cs="仿宋"/>
          <w:color w:val="auto"/>
          <w:kern w:val="2"/>
          <w:szCs w:val="24"/>
          <w:highlight w:val="none"/>
          <w:lang w:val="en-US"/>
        </w:rPr>
        <w:t>项目名称：</w:t>
      </w:r>
      <w:r>
        <w:rPr>
          <w:rFonts w:hint="eastAsia" w:ascii="仿宋" w:hAnsi="仿宋" w:eastAsia="仿宋" w:cs="仿宋"/>
          <w:color w:val="auto"/>
          <w:highlight w:val="none"/>
          <w:u w:val="single"/>
          <w:lang w:eastAsia="zh-CN"/>
        </w:rPr>
        <w:t>胜利河船闸、电厂热水河船闸、姚家坝泵站、施家桥闸站、九沙橡胶坝、九沙和睦闸、九沙东湖闸等养护服务采购项目</w:t>
      </w:r>
    </w:p>
    <w:p w14:paraId="22B685BD">
      <w:pPr>
        <w:pStyle w:val="79"/>
        <w:wordWrap w:val="0"/>
        <w:rPr>
          <w:rFonts w:hint="eastAsia"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项目编号：</w:t>
      </w:r>
      <w:r>
        <w:rPr>
          <w:rFonts w:hint="eastAsia" w:ascii="仿宋" w:hAnsi="仿宋" w:eastAsia="仿宋" w:cs="仿宋"/>
          <w:color w:val="auto"/>
          <w:kern w:val="2"/>
          <w:szCs w:val="24"/>
          <w:highlight w:val="none"/>
          <w:u w:val="single"/>
          <w:lang w:val="en-US" w:eastAsia="zh-CN"/>
        </w:rPr>
        <w:t>ZJCT6-HD2025-03</w:t>
      </w:r>
      <w:r>
        <w:rPr>
          <w:rFonts w:hint="eastAsia" w:ascii="仿宋" w:hAnsi="仿宋" w:eastAsia="仿宋" w:cs="仿宋"/>
          <w:color w:val="auto"/>
          <w:kern w:val="2"/>
          <w:szCs w:val="24"/>
          <w:highlight w:val="none"/>
          <w:u w:val="single"/>
          <w:lang w:val="en-US"/>
        </w:rPr>
        <w:t xml:space="preserve">  </w:t>
      </w:r>
    </w:p>
    <w:p w14:paraId="22B685BE">
      <w:pPr>
        <w:pStyle w:val="79"/>
        <w:wordWrap w:val="0"/>
        <w:rPr>
          <w:rFonts w:hint="eastAsia"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 xml:space="preserve">     </w:t>
      </w:r>
    </w:p>
    <w:p w14:paraId="22B685BF">
      <w:pPr>
        <w:pStyle w:val="79"/>
        <w:wordWrap w:val="0"/>
        <w:rPr>
          <w:rFonts w:hint="eastAsia" w:ascii="仿宋" w:hAnsi="仿宋" w:eastAsia="仿宋" w:cs="仿宋"/>
          <w:color w:val="auto"/>
          <w:highlight w:val="none"/>
          <w:u w:val="single"/>
          <w:lang w:val="en-US"/>
        </w:rPr>
      </w:pPr>
    </w:p>
    <w:tbl>
      <w:tblPr>
        <w:tblStyle w:val="62"/>
        <w:tblW w:w="9742" w:type="dxa"/>
        <w:tblInd w:w="0" w:type="dxa"/>
        <w:tblLayout w:type="fixed"/>
        <w:tblCellMar>
          <w:top w:w="0" w:type="dxa"/>
          <w:left w:w="108" w:type="dxa"/>
          <w:bottom w:w="0" w:type="dxa"/>
          <w:right w:w="108" w:type="dxa"/>
        </w:tblCellMar>
      </w:tblPr>
      <w:tblGrid>
        <w:gridCol w:w="1846"/>
        <w:gridCol w:w="1739"/>
        <w:gridCol w:w="1681"/>
        <w:gridCol w:w="1380"/>
        <w:gridCol w:w="1260"/>
        <w:gridCol w:w="1836"/>
      </w:tblGrid>
      <w:tr w14:paraId="22B685C6">
        <w:tblPrEx>
          <w:tblCellMar>
            <w:top w:w="0" w:type="dxa"/>
            <w:left w:w="108" w:type="dxa"/>
            <w:bottom w:w="0" w:type="dxa"/>
            <w:right w:w="108" w:type="dxa"/>
          </w:tblCellMar>
        </w:tblPrEx>
        <w:trPr>
          <w:trHeight w:val="1177" w:hRule="atLeast"/>
        </w:trPr>
        <w:tc>
          <w:tcPr>
            <w:tcW w:w="1846" w:type="dxa"/>
            <w:tcBorders>
              <w:top w:val="single" w:color="auto" w:sz="6" w:space="0"/>
              <w:left w:val="single" w:color="auto" w:sz="6" w:space="0"/>
              <w:bottom w:val="single" w:color="auto" w:sz="6" w:space="0"/>
              <w:right w:val="single" w:color="auto" w:sz="6" w:space="0"/>
            </w:tcBorders>
            <w:vAlign w:val="center"/>
          </w:tcPr>
          <w:p w14:paraId="22B685C0">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739" w:type="dxa"/>
            <w:tcBorders>
              <w:top w:val="single" w:color="auto" w:sz="6" w:space="0"/>
              <w:left w:val="single" w:color="auto" w:sz="6" w:space="0"/>
              <w:bottom w:val="single" w:color="auto" w:sz="6" w:space="0"/>
              <w:right w:val="single" w:color="auto" w:sz="6" w:space="0"/>
            </w:tcBorders>
            <w:vAlign w:val="center"/>
          </w:tcPr>
          <w:p w14:paraId="22B685C1">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合同内容</w:t>
            </w:r>
          </w:p>
        </w:tc>
        <w:tc>
          <w:tcPr>
            <w:tcW w:w="1681" w:type="dxa"/>
            <w:tcBorders>
              <w:top w:val="single" w:color="auto" w:sz="6" w:space="0"/>
              <w:left w:val="single" w:color="auto" w:sz="6" w:space="0"/>
              <w:bottom w:val="single" w:color="auto" w:sz="6" w:space="0"/>
              <w:right w:val="single" w:color="auto" w:sz="6" w:space="0"/>
            </w:tcBorders>
            <w:vAlign w:val="center"/>
          </w:tcPr>
          <w:p w14:paraId="22B685C2">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合同金额</w:t>
            </w:r>
          </w:p>
        </w:tc>
        <w:tc>
          <w:tcPr>
            <w:tcW w:w="1380" w:type="dxa"/>
            <w:tcBorders>
              <w:top w:val="single" w:color="auto" w:sz="6" w:space="0"/>
              <w:left w:val="single" w:color="auto" w:sz="6" w:space="0"/>
              <w:bottom w:val="single" w:color="auto" w:sz="6" w:space="0"/>
              <w:right w:val="single" w:color="auto" w:sz="6" w:space="0"/>
            </w:tcBorders>
            <w:vAlign w:val="center"/>
          </w:tcPr>
          <w:p w14:paraId="22B685C3">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签订日期</w:t>
            </w:r>
          </w:p>
        </w:tc>
        <w:tc>
          <w:tcPr>
            <w:tcW w:w="1260" w:type="dxa"/>
            <w:tcBorders>
              <w:top w:val="single" w:color="auto" w:sz="6" w:space="0"/>
              <w:left w:val="single" w:color="auto" w:sz="6" w:space="0"/>
              <w:bottom w:val="single" w:color="auto" w:sz="6" w:space="0"/>
              <w:right w:val="single" w:color="auto" w:sz="6" w:space="0"/>
            </w:tcBorders>
            <w:vAlign w:val="center"/>
          </w:tcPr>
          <w:p w14:paraId="22B685C4">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项目地址</w:t>
            </w:r>
          </w:p>
        </w:tc>
        <w:tc>
          <w:tcPr>
            <w:tcW w:w="1836" w:type="dxa"/>
            <w:tcBorders>
              <w:top w:val="single" w:color="auto" w:sz="6" w:space="0"/>
              <w:left w:val="single" w:color="auto" w:sz="6" w:space="0"/>
              <w:bottom w:val="single" w:color="auto" w:sz="6" w:space="0"/>
              <w:right w:val="single" w:color="auto" w:sz="6" w:space="0"/>
            </w:tcBorders>
            <w:vAlign w:val="center"/>
          </w:tcPr>
          <w:p w14:paraId="22B685C5">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采购方联系人及电话</w:t>
            </w:r>
          </w:p>
        </w:tc>
      </w:tr>
      <w:tr w14:paraId="22B685CD">
        <w:tblPrEx>
          <w:tblCellMar>
            <w:top w:w="0" w:type="dxa"/>
            <w:left w:w="108" w:type="dxa"/>
            <w:bottom w:w="0" w:type="dxa"/>
            <w:right w:w="108" w:type="dxa"/>
          </w:tblCellMar>
        </w:tblPrEx>
        <w:trPr>
          <w:trHeight w:val="894" w:hRule="atLeast"/>
        </w:trPr>
        <w:tc>
          <w:tcPr>
            <w:tcW w:w="1846" w:type="dxa"/>
            <w:tcBorders>
              <w:top w:val="single" w:color="auto" w:sz="6" w:space="0"/>
              <w:left w:val="single" w:color="auto" w:sz="6" w:space="0"/>
              <w:bottom w:val="single" w:color="auto" w:sz="6" w:space="0"/>
              <w:right w:val="single" w:color="auto" w:sz="6" w:space="0"/>
            </w:tcBorders>
          </w:tcPr>
          <w:p w14:paraId="22B685C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tcPr>
          <w:p w14:paraId="22B685C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14:paraId="22B685C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22B685C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2B685C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tcPr>
          <w:p w14:paraId="22B685C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5D4">
        <w:tblPrEx>
          <w:tblCellMar>
            <w:top w:w="0" w:type="dxa"/>
            <w:left w:w="108" w:type="dxa"/>
            <w:bottom w:w="0" w:type="dxa"/>
            <w:right w:w="108" w:type="dxa"/>
          </w:tblCellMar>
        </w:tblPrEx>
        <w:trPr>
          <w:trHeight w:val="920" w:hRule="atLeast"/>
        </w:trPr>
        <w:tc>
          <w:tcPr>
            <w:tcW w:w="1846" w:type="dxa"/>
            <w:tcBorders>
              <w:top w:val="single" w:color="auto" w:sz="6" w:space="0"/>
              <w:left w:val="single" w:color="auto" w:sz="6" w:space="0"/>
              <w:bottom w:val="single" w:color="auto" w:sz="6" w:space="0"/>
              <w:right w:val="single" w:color="auto" w:sz="6" w:space="0"/>
            </w:tcBorders>
          </w:tcPr>
          <w:p w14:paraId="22B685C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tcPr>
          <w:p w14:paraId="22B685C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14:paraId="22B685D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22B685D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2B685D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tcPr>
          <w:p w14:paraId="22B685D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5DB">
        <w:tblPrEx>
          <w:tblCellMar>
            <w:top w:w="0" w:type="dxa"/>
            <w:left w:w="108" w:type="dxa"/>
            <w:bottom w:w="0" w:type="dxa"/>
            <w:right w:w="108" w:type="dxa"/>
          </w:tblCellMar>
        </w:tblPrEx>
        <w:trPr>
          <w:trHeight w:val="933" w:hRule="atLeast"/>
        </w:trPr>
        <w:tc>
          <w:tcPr>
            <w:tcW w:w="1846" w:type="dxa"/>
            <w:tcBorders>
              <w:top w:val="single" w:color="auto" w:sz="6" w:space="0"/>
              <w:left w:val="single" w:color="auto" w:sz="6" w:space="0"/>
              <w:bottom w:val="single" w:color="auto" w:sz="6" w:space="0"/>
              <w:right w:val="single" w:color="auto" w:sz="6" w:space="0"/>
            </w:tcBorders>
          </w:tcPr>
          <w:p w14:paraId="22B685D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tcPr>
          <w:p w14:paraId="22B685D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14:paraId="22B685D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22B685D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2B685D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tcPr>
          <w:p w14:paraId="22B685D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5E2">
        <w:tblPrEx>
          <w:tblCellMar>
            <w:top w:w="0" w:type="dxa"/>
            <w:left w:w="108" w:type="dxa"/>
            <w:bottom w:w="0" w:type="dxa"/>
            <w:right w:w="108" w:type="dxa"/>
          </w:tblCellMar>
        </w:tblPrEx>
        <w:trPr>
          <w:trHeight w:val="933" w:hRule="atLeast"/>
        </w:trPr>
        <w:tc>
          <w:tcPr>
            <w:tcW w:w="1846" w:type="dxa"/>
            <w:tcBorders>
              <w:top w:val="single" w:color="auto" w:sz="6" w:space="0"/>
              <w:left w:val="single" w:color="auto" w:sz="6" w:space="0"/>
              <w:bottom w:val="single" w:color="auto" w:sz="6" w:space="0"/>
              <w:right w:val="single" w:color="auto" w:sz="6" w:space="0"/>
            </w:tcBorders>
          </w:tcPr>
          <w:p w14:paraId="22B685D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tcPr>
          <w:p w14:paraId="22B685D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14:paraId="22B685D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22B685D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2B685E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tcPr>
          <w:p w14:paraId="22B685E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5E9">
        <w:tblPrEx>
          <w:tblCellMar>
            <w:top w:w="0" w:type="dxa"/>
            <w:left w:w="108" w:type="dxa"/>
            <w:bottom w:w="0" w:type="dxa"/>
            <w:right w:w="108" w:type="dxa"/>
          </w:tblCellMar>
        </w:tblPrEx>
        <w:trPr>
          <w:trHeight w:val="927" w:hRule="atLeast"/>
        </w:trPr>
        <w:tc>
          <w:tcPr>
            <w:tcW w:w="1846" w:type="dxa"/>
            <w:tcBorders>
              <w:top w:val="single" w:color="auto" w:sz="6" w:space="0"/>
              <w:left w:val="single" w:color="auto" w:sz="6" w:space="0"/>
              <w:bottom w:val="single" w:color="auto" w:sz="6" w:space="0"/>
              <w:right w:val="single" w:color="auto" w:sz="6" w:space="0"/>
            </w:tcBorders>
          </w:tcPr>
          <w:p w14:paraId="22B685E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tcPr>
          <w:p w14:paraId="22B685E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14:paraId="22B685E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22B685E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2B685E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tcPr>
          <w:p w14:paraId="22B685E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bl>
    <w:p w14:paraId="22B685EA">
      <w:pPr>
        <w:wordWrap w:val="0"/>
        <w:autoSpaceDE w:val="0"/>
        <w:autoSpaceDN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注：投标人可按上述的格式自行编制，须随表提交相应的证明材料（证明材料以资格要求和评标办法要求为准）并注明所在页码。</w:t>
      </w:r>
    </w:p>
    <w:p w14:paraId="22B685EB">
      <w:pPr>
        <w:wordWrap w:val="0"/>
        <w:autoSpaceDE w:val="0"/>
        <w:autoSpaceDN w:val="0"/>
        <w:spacing w:line="360" w:lineRule="auto"/>
        <w:ind w:firstLine="482"/>
        <w:rPr>
          <w:rFonts w:hint="eastAsia" w:ascii="仿宋" w:hAnsi="仿宋" w:eastAsia="仿宋" w:cs="仿宋"/>
          <w:b/>
          <w:color w:val="auto"/>
          <w:sz w:val="24"/>
          <w:highlight w:val="none"/>
        </w:rPr>
      </w:pPr>
    </w:p>
    <w:p w14:paraId="22B685EC">
      <w:pPr>
        <w:wordWrap w:val="0"/>
        <w:autoSpaceDE w:val="0"/>
        <w:autoSpaceDN w:val="0"/>
        <w:spacing w:line="360" w:lineRule="auto"/>
        <w:rPr>
          <w:rFonts w:hint="eastAsia" w:ascii="仿宋" w:hAnsi="仿宋" w:eastAsia="仿宋" w:cs="仿宋"/>
          <w:color w:val="auto"/>
          <w:sz w:val="24"/>
          <w:highlight w:val="none"/>
        </w:rPr>
      </w:pPr>
    </w:p>
    <w:p w14:paraId="22B685ED">
      <w:pPr>
        <w:pStyle w:val="2"/>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投标人名称（电子签名）：</w:t>
      </w:r>
    </w:p>
    <w:p w14:paraId="22B685EE">
      <w:pPr>
        <w:pStyle w:val="2"/>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14:paraId="22B685EF">
      <w:pPr>
        <w:wordWrap w:val="0"/>
        <w:ind w:firstLine="643"/>
        <w:jc w:val="center"/>
        <w:rPr>
          <w:rFonts w:hint="eastAsia" w:ascii="仿宋" w:hAnsi="仿宋" w:eastAsia="仿宋" w:cs="仿宋"/>
          <w:b/>
          <w:color w:val="auto"/>
          <w:kern w:val="0"/>
          <w:sz w:val="32"/>
          <w:szCs w:val="32"/>
          <w:highlight w:val="none"/>
        </w:rPr>
      </w:pPr>
    </w:p>
    <w:p w14:paraId="305F6964">
      <w:pPr>
        <w:wordWrap w:val="0"/>
        <w:ind w:firstLine="643"/>
        <w:jc w:val="center"/>
        <w:rPr>
          <w:rFonts w:hint="eastAsia"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p>
    <w:p w14:paraId="22B685F1">
      <w:pPr>
        <w:wordWrap w:val="0"/>
        <w:ind w:firstLine="643"/>
        <w:jc w:val="left"/>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）拟投入机械设备配备情况一览表</w:t>
      </w:r>
    </w:p>
    <w:p w14:paraId="22B685F2">
      <w:pPr>
        <w:pStyle w:val="79"/>
        <w:wordWrap w:val="0"/>
        <w:jc w:val="center"/>
        <w:rPr>
          <w:rFonts w:hint="eastAsia" w:ascii="仿宋" w:hAnsi="仿宋" w:eastAsia="仿宋" w:cs="仿宋"/>
          <w:b/>
          <w:color w:val="auto"/>
          <w:sz w:val="32"/>
          <w:szCs w:val="32"/>
          <w:highlight w:val="none"/>
        </w:rPr>
      </w:pPr>
    </w:p>
    <w:p w14:paraId="22B685F3">
      <w:pPr>
        <w:pStyle w:val="79"/>
        <w:wordWrap w:val="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拟投入机械设备配备情况一览表</w:t>
      </w:r>
    </w:p>
    <w:p w14:paraId="22B685F4">
      <w:pPr>
        <w:pStyle w:val="79"/>
        <w:wordWrap w:val="0"/>
        <w:jc w:val="center"/>
        <w:rPr>
          <w:rFonts w:hint="eastAsia" w:ascii="仿宋" w:hAnsi="仿宋" w:eastAsia="仿宋" w:cs="仿宋"/>
          <w:b/>
          <w:color w:val="auto"/>
          <w:sz w:val="32"/>
          <w:szCs w:val="32"/>
          <w:highlight w:val="none"/>
          <w:lang w:val="en-US"/>
        </w:rPr>
      </w:pPr>
      <w:r>
        <w:rPr>
          <w:rFonts w:hint="eastAsia" w:ascii="仿宋" w:hAnsi="仿宋" w:eastAsia="仿宋" w:cs="仿宋"/>
          <w:b/>
          <w:color w:val="auto"/>
          <w:sz w:val="32"/>
          <w:szCs w:val="32"/>
          <w:highlight w:val="none"/>
          <w:lang w:val="en-US"/>
        </w:rPr>
        <w:t>（投标截至前具备的）</w:t>
      </w:r>
    </w:p>
    <w:p w14:paraId="22B685F5">
      <w:pPr>
        <w:pStyle w:val="79"/>
        <w:wordWrap w:val="0"/>
        <w:rPr>
          <w:rFonts w:hint="eastAsia" w:ascii="仿宋" w:hAnsi="仿宋" w:eastAsia="仿宋" w:cs="仿宋"/>
          <w:color w:val="auto"/>
          <w:highlight w:val="none"/>
          <w:u w:val="single"/>
          <w:lang w:eastAsia="zh-CN"/>
        </w:rPr>
      </w:pPr>
      <w:r>
        <w:rPr>
          <w:rFonts w:hint="eastAsia" w:ascii="仿宋" w:hAnsi="仿宋" w:eastAsia="仿宋" w:cs="仿宋"/>
          <w:color w:val="auto"/>
          <w:kern w:val="2"/>
          <w:szCs w:val="24"/>
          <w:highlight w:val="none"/>
          <w:lang w:val="en-US"/>
        </w:rPr>
        <w:t>项目名称：</w:t>
      </w:r>
      <w:r>
        <w:rPr>
          <w:rFonts w:hint="eastAsia" w:ascii="仿宋" w:hAnsi="仿宋" w:eastAsia="仿宋" w:cs="仿宋"/>
          <w:color w:val="auto"/>
          <w:highlight w:val="none"/>
          <w:u w:val="single"/>
          <w:lang w:eastAsia="zh-CN"/>
        </w:rPr>
        <w:t>胜利河船闸、电厂热水河船闸、姚家坝泵站、施家桥闸站、九沙橡胶坝、九沙和睦闸、九沙东湖闸等养护服务采购项目</w:t>
      </w:r>
    </w:p>
    <w:p w14:paraId="22B685F6">
      <w:pPr>
        <w:pStyle w:val="79"/>
        <w:wordWrap w:val="0"/>
        <w:rPr>
          <w:rFonts w:hint="eastAsia"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项目编号：</w:t>
      </w:r>
      <w:r>
        <w:rPr>
          <w:rFonts w:hint="eastAsia" w:ascii="仿宋" w:hAnsi="仿宋" w:eastAsia="仿宋" w:cs="仿宋"/>
          <w:color w:val="auto"/>
          <w:kern w:val="2"/>
          <w:szCs w:val="24"/>
          <w:highlight w:val="none"/>
          <w:u w:val="single"/>
          <w:lang w:val="en-US" w:eastAsia="zh-CN"/>
        </w:rPr>
        <w:t>ZJCT6-HD2025-03</w:t>
      </w:r>
      <w:r>
        <w:rPr>
          <w:rFonts w:hint="eastAsia" w:ascii="仿宋" w:hAnsi="仿宋" w:eastAsia="仿宋" w:cs="仿宋"/>
          <w:color w:val="auto"/>
          <w:kern w:val="2"/>
          <w:szCs w:val="24"/>
          <w:highlight w:val="none"/>
          <w:u w:val="single"/>
          <w:lang w:val="en-US"/>
        </w:rPr>
        <w:t xml:space="preserve">  </w:t>
      </w:r>
    </w:p>
    <w:tbl>
      <w:tblPr>
        <w:tblStyle w:val="62"/>
        <w:tblpPr w:leftFromText="180" w:rightFromText="180" w:vertAnchor="text" w:horzAnchor="page" w:tblpX="1036" w:tblpY="434"/>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1291"/>
        <w:gridCol w:w="1131"/>
        <w:gridCol w:w="1033"/>
        <w:gridCol w:w="1231"/>
        <w:gridCol w:w="1133"/>
        <w:gridCol w:w="799"/>
        <w:gridCol w:w="1012"/>
        <w:gridCol w:w="678"/>
      </w:tblGrid>
      <w:tr w14:paraId="22B6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tcPr>
          <w:p w14:paraId="22B685F7">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序号</w:t>
            </w:r>
          </w:p>
        </w:tc>
        <w:tc>
          <w:tcPr>
            <w:tcW w:w="695" w:type="pct"/>
          </w:tcPr>
          <w:p w14:paraId="22B685F8">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名称</w:t>
            </w:r>
          </w:p>
        </w:tc>
        <w:tc>
          <w:tcPr>
            <w:tcW w:w="609" w:type="pct"/>
          </w:tcPr>
          <w:p w14:paraId="22B685F9">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规格</w:t>
            </w:r>
          </w:p>
        </w:tc>
        <w:tc>
          <w:tcPr>
            <w:tcW w:w="556" w:type="pct"/>
          </w:tcPr>
          <w:p w14:paraId="22B685FA">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品牌</w:t>
            </w:r>
          </w:p>
        </w:tc>
        <w:tc>
          <w:tcPr>
            <w:tcW w:w="663" w:type="pct"/>
          </w:tcPr>
          <w:p w14:paraId="22B685FB">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主要技术参数</w:t>
            </w:r>
          </w:p>
        </w:tc>
        <w:tc>
          <w:tcPr>
            <w:tcW w:w="610" w:type="pct"/>
          </w:tcPr>
          <w:p w14:paraId="22B685FC">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自有/租赁</w:t>
            </w:r>
          </w:p>
        </w:tc>
        <w:tc>
          <w:tcPr>
            <w:tcW w:w="430" w:type="pct"/>
          </w:tcPr>
          <w:p w14:paraId="22B685FD">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数量</w:t>
            </w:r>
          </w:p>
        </w:tc>
        <w:tc>
          <w:tcPr>
            <w:tcW w:w="545" w:type="pct"/>
          </w:tcPr>
          <w:p w14:paraId="22B685FE">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牌照号/设备编号</w:t>
            </w:r>
          </w:p>
        </w:tc>
        <w:tc>
          <w:tcPr>
            <w:tcW w:w="365" w:type="pct"/>
          </w:tcPr>
          <w:p w14:paraId="22B685FF">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备注</w:t>
            </w:r>
          </w:p>
        </w:tc>
      </w:tr>
      <w:tr w14:paraId="22B6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tcPr>
          <w:p w14:paraId="22B68601">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95" w:type="pct"/>
          </w:tcPr>
          <w:p w14:paraId="22B68602">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09" w:type="pct"/>
          </w:tcPr>
          <w:p w14:paraId="22B68603">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56" w:type="pct"/>
          </w:tcPr>
          <w:p w14:paraId="22B68604">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63" w:type="pct"/>
          </w:tcPr>
          <w:p w14:paraId="22B68605">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10" w:type="pct"/>
          </w:tcPr>
          <w:p w14:paraId="22B68606">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30" w:type="pct"/>
          </w:tcPr>
          <w:p w14:paraId="22B68607">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45" w:type="pct"/>
          </w:tcPr>
          <w:p w14:paraId="22B68608">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365" w:type="pct"/>
          </w:tcPr>
          <w:p w14:paraId="22B68609">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tcPr>
          <w:p w14:paraId="22B6860B">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95" w:type="pct"/>
          </w:tcPr>
          <w:p w14:paraId="22B6860C">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09" w:type="pct"/>
          </w:tcPr>
          <w:p w14:paraId="22B6860D">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56" w:type="pct"/>
          </w:tcPr>
          <w:p w14:paraId="22B6860E">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63" w:type="pct"/>
          </w:tcPr>
          <w:p w14:paraId="22B6860F">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10" w:type="pct"/>
          </w:tcPr>
          <w:p w14:paraId="22B68610">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30" w:type="pct"/>
          </w:tcPr>
          <w:p w14:paraId="22B68611">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45" w:type="pct"/>
          </w:tcPr>
          <w:p w14:paraId="22B68612">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365" w:type="pct"/>
          </w:tcPr>
          <w:p w14:paraId="22B68613">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tcPr>
          <w:p w14:paraId="22B68615">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95" w:type="pct"/>
          </w:tcPr>
          <w:p w14:paraId="22B68616">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09" w:type="pct"/>
          </w:tcPr>
          <w:p w14:paraId="22B68617">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56" w:type="pct"/>
          </w:tcPr>
          <w:p w14:paraId="22B68618">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63" w:type="pct"/>
          </w:tcPr>
          <w:p w14:paraId="22B68619">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10" w:type="pct"/>
          </w:tcPr>
          <w:p w14:paraId="22B6861A">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30" w:type="pct"/>
          </w:tcPr>
          <w:p w14:paraId="22B6861B">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45" w:type="pct"/>
          </w:tcPr>
          <w:p w14:paraId="22B6861C">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365" w:type="pct"/>
          </w:tcPr>
          <w:p w14:paraId="22B6861D">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tcPr>
          <w:p w14:paraId="22B6861F">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95" w:type="pct"/>
          </w:tcPr>
          <w:p w14:paraId="22B68620">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09" w:type="pct"/>
          </w:tcPr>
          <w:p w14:paraId="22B68621">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56" w:type="pct"/>
          </w:tcPr>
          <w:p w14:paraId="22B68622">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63" w:type="pct"/>
          </w:tcPr>
          <w:p w14:paraId="22B68623">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10" w:type="pct"/>
          </w:tcPr>
          <w:p w14:paraId="22B68624">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30" w:type="pct"/>
          </w:tcPr>
          <w:p w14:paraId="22B68625">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45" w:type="pct"/>
          </w:tcPr>
          <w:p w14:paraId="22B68626">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365" w:type="pct"/>
          </w:tcPr>
          <w:p w14:paraId="22B68627">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tcPr>
          <w:p w14:paraId="22B68629">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95" w:type="pct"/>
          </w:tcPr>
          <w:p w14:paraId="22B6862A">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09" w:type="pct"/>
          </w:tcPr>
          <w:p w14:paraId="22B6862B">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56" w:type="pct"/>
          </w:tcPr>
          <w:p w14:paraId="22B6862C">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63" w:type="pct"/>
          </w:tcPr>
          <w:p w14:paraId="22B6862D">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10" w:type="pct"/>
          </w:tcPr>
          <w:p w14:paraId="22B6862E">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30" w:type="pct"/>
          </w:tcPr>
          <w:p w14:paraId="22B6862F">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45" w:type="pct"/>
          </w:tcPr>
          <w:p w14:paraId="22B68630">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365" w:type="pct"/>
          </w:tcPr>
          <w:p w14:paraId="22B68631">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tcPr>
          <w:p w14:paraId="22B68633">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95" w:type="pct"/>
          </w:tcPr>
          <w:p w14:paraId="22B68634">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09" w:type="pct"/>
          </w:tcPr>
          <w:p w14:paraId="22B68635">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56" w:type="pct"/>
          </w:tcPr>
          <w:p w14:paraId="22B68636">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63" w:type="pct"/>
          </w:tcPr>
          <w:p w14:paraId="22B68637">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10" w:type="pct"/>
          </w:tcPr>
          <w:p w14:paraId="22B68638">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30" w:type="pct"/>
          </w:tcPr>
          <w:p w14:paraId="22B68639">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45" w:type="pct"/>
          </w:tcPr>
          <w:p w14:paraId="22B6863A">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365" w:type="pct"/>
          </w:tcPr>
          <w:p w14:paraId="22B6863B">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tcPr>
          <w:p w14:paraId="22B6863D">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95" w:type="pct"/>
          </w:tcPr>
          <w:p w14:paraId="22B6863E">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09" w:type="pct"/>
          </w:tcPr>
          <w:p w14:paraId="22B6863F">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56" w:type="pct"/>
          </w:tcPr>
          <w:p w14:paraId="22B68640">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63" w:type="pct"/>
          </w:tcPr>
          <w:p w14:paraId="22B68641">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610" w:type="pct"/>
          </w:tcPr>
          <w:p w14:paraId="22B68642">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30" w:type="pct"/>
          </w:tcPr>
          <w:p w14:paraId="22B68643">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45" w:type="pct"/>
          </w:tcPr>
          <w:p w14:paraId="22B68644">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365" w:type="pct"/>
          </w:tcPr>
          <w:p w14:paraId="22B68645">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bl>
    <w:p w14:paraId="22B68647">
      <w:pPr>
        <w:pStyle w:val="79"/>
        <w:wordWrap w:val="0"/>
        <w:spacing w:line="360" w:lineRule="auto"/>
        <w:rPr>
          <w:rFonts w:hint="eastAsia"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 xml:space="preserve">   </w:t>
      </w:r>
    </w:p>
    <w:p w14:paraId="37A7390E">
      <w:pPr>
        <w:pStyle w:val="61"/>
        <w:wordWrap w:val="0"/>
        <w:ind w:left="0" w:leftChars="0" w:firstLine="0" w:firstLine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注：1.投标人可按上述的格式自行编制，须随表提交相应的证明材料（证明材料以评标办法要求为准）并注明所在页码。2.我公司承诺，中标通知书发出后</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日历天内，表中作业设备全部配备到位，否则视为主动放弃签订合同。</w:t>
      </w:r>
    </w:p>
    <w:p w14:paraId="24ACB71F">
      <w:pPr>
        <w:rPr>
          <w:rFonts w:hint="eastAsia" w:ascii="仿宋" w:hAnsi="仿宋" w:eastAsia="仿宋" w:cs="仿宋"/>
          <w:b/>
          <w:color w:val="auto"/>
          <w:sz w:val="24"/>
          <w:highlight w:val="none"/>
        </w:rPr>
      </w:pPr>
    </w:p>
    <w:p w14:paraId="13FB4ED3">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投标人名称（电子签名）：</w:t>
      </w:r>
    </w:p>
    <w:p w14:paraId="13F1814C">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日期：</w:t>
      </w:r>
    </w:p>
    <w:p w14:paraId="3CB9B928">
      <w:pPr>
        <w:rPr>
          <w:rFonts w:hint="eastAsia"/>
          <w:color w:val="auto"/>
          <w:highlight w:val="none"/>
        </w:rPr>
      </w:pPr>
    </w:p>
    <w:p w14:paraId="6D20519A">
      <w:pPr>
        <w:wordWrap/>
        <w:ind w:firstLine="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5786A8EC">
      <w:pPr>
        <w:pStyle w:val="57"/>
        <w:keepNext w:val="0"/>
        <w:keepLines w:val="0"/>
        <w:widowControl/>
        <w:suppressLineNumbers w:val="0"/>
        <w:wordWrap w:val="0"/>
        <w:adjustRightInd/>
        <w:spacing w:before="0" w:beforeAutospacing="0" w:after="0" w:afterAutospacing="0"/>
        <w:ind w:left="0" w:right="0"/>
        <w:jc w:val="center"/>
        <w:rPr>
          <w:rFonts w:hint="eastAsia" w:ascii="仿宋" w:hAnsi="仿宋" w:eastAsia="仿宋" w:cs="仿宋"/>
          <w:b/>
          <w:bCs w:val="0"/>
          <w:color w:val="auto"/>
          <w:sz w:val="32"/>
          <w:szCs w:val="32"/>
          <w:highlight w:val="none"/>
        </w:rPr>
      </w:pPr>
      <w:r>
        <w:rPr>
          <w:rFonts w:hint="eastAsia" w:ascii="仿宋" w:hAnsi="仿宋" w:eastAsia="仿宋" w:cs="仿宋"/>
          <w:b/>
          <w:bCs w:val="0"/>
          <w:color w:val="auto"/>
          <w:kern w:val="0"/>
          <w:sz w:val="32"/>
          <w:szCs w:val="32"/>
          <w:highlight w:val="none"/>
          <w:lang w:val="en-US" w:eastAsia="zh-CN" w:bidi="ar"/>
        </w:rPr>
        <w:t>承诺函</w:t>
      </w:r>
    </w:p>
    <w:p w14:paraId="53B606C3">
      <w:pPr>
        <w:pStyle w:val="57"/>
        <w:keepNext w:val="0"/>
        <w:keepLines w:val="0"/>
        <w:widowControl/>
        <w:suppressLineNumbers w:val="0"/>
        <w:wordWrap w:val="0"/>
        <w:adjustRightInd/>
        <w:spacing w:before="0" w:beforeAutospacing="0" w:after="0" w:afterAutospacing="0"/>
        <w:ind w:left="0" w:right="0"/>
        <w:jc w:val="both"/>
        <w:rPr>
          <w:rFonts w:hint="eastAsia" w:ascii="仿宋" w:hAnsi="仿宋" w:eastAsia="仿宋" w:cs="仿宋"/>
          <w:b/>
          <w:bCs w:val="0"/>
          <w:color w:val="auto"/>
          <w:sz w:val="32"/>
          <w:szCs w:val="32"/>
          <w:highlight w:val="none"/>
        </w:rPr>
      </w:pPr>
      <w:r>
        <w:rPr>
          <w:rFonts w:hint="eastAsia" w:ascii="仿宋" w:hAnsi="仿宋" w:eastAsia="仿宋" w:cs="仿宋"/>
          <w:b/>
          <w:bCs w:val="0"/>
          <w:color w:val="auto"/>
          <w:kern w:val="0"/>
          <w:sz w:val="32"/>
          <w:szCs w:val="32"/>
          <w:highlight w:val="none"/>
          <w:lang w:val="en-US" w:eastAsia="zh-CN" w:bidi="ar"/>
        </w:rPr>
        <w:t xml:space="preserve"> </w:t>
      </w:r>
    </w:p>
    <w:p w14:paraId="38E66698">
      <w:pPr>
        <w:keepNext w:val="0"/>
        <w:keepLines w:val="0"/>
        <w:widowControl w:val="0"/>
        <w:suppressLineNumbers w:val="0"/>
        <w:adjustRightInd w:val="0"/>
        <w:spacing w:before="0" w:beforeAutospacing="0" w:after="0" w:afterAutospacing="0"/>
        <w:ind w:left="0" w:right="0"/>
        <w:jc w:val="both"/>
        <w:rPr>
          <w:rFonts w:hint="eastAsia" w:ascii="仿宋" w:hAnsi="仿宋" w:eastAsia="仿宋" w:cs="仿宋"/>
          <w:b/>
          <w:bCs w:val="0"/>
          <w:color w:val="auto"/>
          <w:kern w:val="0"/>
          <w:sz w:val="24"/>
          <w:szCs w:val="24"/>
          <w:highlight w:val="none"/>
        </w:rPr>
      </w:pPr>
      <w:r>
        <w:rPr>
          <w:rFonts w:hint="eastAsia" w:ascii="仿宋" w:hAnsi="仿宋" w:eastAsia="仿宋" w:cs="仿宋"/>
          <w:color w:val="auto"/>
          <w:kern w:val="2"/>
          <w:sz w:val="24"/>
          <w:szCs w:val="24"/>
          <w:highlight w:val="none"/>
          <w:lang w:val="en-US" w:eastAsia="zh-CN" w:bidi="ar"/>
        </w:rPr>
        <w:t>杭州市城市水设施和河道保护管理中心</w:t>
      </w:r>
      <w:r>
        <w:rPr>
          <w:rFonts w:hint="eastAsia" w:ascii="仿宋" w:hAnsi="仿宋" w:eastAsia="仿宋" w:cs="仿宋"/>
          <w:bCs/>
          <w:color w:val="auto"/>
          <w:kern w:val="0"/>
          <w:sz w:val="24"/>
          <w:szCs w:val="24"/>
          <w:highlight w:val="none"/>
          <w:lang w:val="en-US" w:eastAsia="zh-CN" w:bidi="ar"/>
        </w:rPr>
        <w:t xml:space="preserve"> ：</w:t>
      </w:r>
    </w:p>
    <w:p w14:paraId="21C383E6">
      <w:pPr>
        <w:keepNext w:val="0"/>
        <w:keepLines w:val="0"/>
        <w:widowControl w:val="0"/>
        <w:suppressLineNumbers w:val="0"/>
        <w:adjustRightInd w:val="0"/>
        <w:spacing w:before="0" w:beforeAutospacing="0" w:after="0" w:afterAutospacing="0" w:line="360" w:lineRule="auto"/>
        <w:ind w:left="0" w:right="0" w:firstLine="720" w:firstLineChars="300"/>
        <w:jc w:val="both"/>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bidi="ar"/>
        </w:rPr>
        <w:t xml:space="preserve"> </w:t>
      </w:r>
    </w:p>
    <w:p w14:paraId="6D96AC00">
      <w:pPr>
        <w:keepNext w:val="0"/>
        <w:keepLines w:val="0"/>
        <w:widowControl w:val="0"/>
        <w:suppressLineNumbers w:val="0"/>
        <w:adjustRightInd w:val="0"/>
        <w:spacing w:before="0" w:beforeAutospacing="0" w:after="0" w:afterAutospacing="0" w:line="360" w:lineRule="auto"/>
        <w:ind w:left="0" w:right="0" w:firstLine="720" w:firstLineChars="300"/>
        <w:jc w:val="both"/>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bidi="ar"/>
        </w:rPr>
        <w:t xml:space="preserve">我单位参加胜利河船闸、电厂热水河船闸、姚家坝泵站、施家桥闸站、九沙橡胶坝、九沙和睦闸、九沙东湖闸等养护服务采购项目【 </w:t>
      </w:r>
      <w:r>
        <w:rPr>
          <w:rFonts w:hint="eastAsia" w:ascii="仿宋" w:hAnsi="仿宋" w:eastAsia="仿宋" w:cs="仿宋"/>
          <w:color w:val="auto"/>
          <w:kern w:val="2"/>
          <w:sz w:val="24"/>
          <w:szCs w:val="24"/>
          <w:highlight w:val="none"/>
          <w:u w:val="single"/>
          <w:lang w:val="en-US" w:eastAsia="zh-CN" w:bidi="ar"/>
        </w:rPr>
        <w:t>ZJCT6-HD2025-03</w:t>
      </w:r>
      <w:r>
        <w:rPr>
          <w:rFonts w:hint="eastAsia" w:ascii="仿宋" w:hAnsi="仿宋" w:eastAsia="仿宋" w:cs="仿宋"/>
          <w:bCs/>
          <w:color w:val="auto"/>
          <w:kern w:val="0"/>
          <w:sz w:val="24"/>
          <w:szCs w:val="24"/>
          <w:highlight w:val="none"/>
          <w:lang w:val="en-US" w:eastAsia="zh-CN" w:bidi="ar"/>
        </w:rPr>
        <w:t xml:space="preserve"> 】的投标，下表中作业设备在投标截至前暂不具备，以承诺书作为投标响应，并承诺</w:t>
      </w:r>
      <w:r>
        <w:rPr>
          <w:rFonts w:hint="eastAsia" w:ascii="仿宋" w:hAnsi="仿宋" w:eastAsia="仿宋" w:cs="仿宋"/>
          <w:color w:val="auto"/>
          <w:kern w:val="2"/>
          <w:sz w:val="24"/>
          <w:szCs w:val="24"/>
          <w:highlight w:val="none"/>
          <w:lang w:val="en-US" w:eastAsia="zh-CN" w:bidi="ar"/>
        </w:rPr>
        <w:t>中标通知书发出后5日历天内全部配备到位，否则视为主动放弃签订合同。</w:t>
      </w:r>
    </w:p>
    <w:p w14:paraId="0FEB529D">
      <w:pPr>
        <w:pStyle w:val="57"/>
        <w:keepNext w:val="0"/>
        <w:keepLines w:val="0"/>
        <w:widowControl/>
        <w:suppressLineNumbers w:val="0"/>
        <w:wordWrap w:val="0"/>
        <w:adjustRightInd/>
        <w:spacing w:before="0" w:beforeAutospacing="0" w:after="0" w:afterAutospacing="0"/>
        <w:ind w:left="0" w:right="0"/>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kern w:val="0"/>
          <w:sz w:val="24"/>
          <w:szCs w:val="24"/>
          <w:highlight w:val="none"/>
          <w:lang w:val="en-US" w:eastAsia="zh-CN" w:bidi="ar"/>
        </w:rPr>
        <w:t>作业设备配备情况一览表</w:t>
      </w:r>
    </w:p>
    <w:tbl>
      <w:tblPr>
        <w:tblStyle w:val="62"/>
        <w:tblW w:w="4636" w:type="pct"/>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72"/>
        <w:gridCol w:w="1291"/>
        <w:gridCol w:w="1131"/>
        <w:gridCol w:w="1032"/>
        <w:gridCol w:w="1231"/>
        <w:gridCol w:w="1134"/>
        <w:gridCol w:w="796"/>
        <w:gridCol w:w="1024"/>
      </w:tblGrid>
      <w:tr w14:paraId="1212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7B04B482">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lang w:val="en-US" w:eastAsia="zh-CN" w:bidi="ar"/>
              </w:rPr>
              <w:t>序号</w:t>
            </w: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64CA150A">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lang w:val="en-US" w:eastAsia="zh-CN" w:bidi="ar"/>
              </w:rPr>
              <w:t>名称</w:t>
            </w: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6E47CEC6">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lang w:val="en-US" w:eastAsia="zh-CN" w:bidi="ar"/>
              </w:rPr>
              <w:t>规格</w:t>
            </w: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48E88E52">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lang w:val="en-US" w:eastAsia="zh-CN" w:bidi="ar"/>
              </w:rPr>
              <w:t>品牌</w:t>
            </w: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210408B1">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lang w:val="en-US" w:eastAsia="zh-CN" w:bidi="ar"/>
              </w:rPr>
              <w:t>主要技术参数</w:t>
            </w: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5162D3FF">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lang w:val="en-US" w:eastAsia="zh-CN" w:bidi="ar"/>
              </w:rPr>
              <w:t>自有/租赁</w:t>
            </w: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5A153B2F">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lang w:val="en-US" w:eastAsia="zh-CN" w:bidi="ar"/>
              </w:rPr>
              <w:t>数量</w:t>
            </w: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70536D13">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lang w:val="en-US" w:eastAsia="zh-CN" w:bidi="ar"/>
              </w:rPr>
              <w:t>备注</w:t>
            </w:r>
          </w:p>
        </w:tc>
      </w:tr>
      <w:tr w14:paraId="7CE5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30585EAA">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73895681">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1E5EF881">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402E48B9">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0C802436">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4BC2409E">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7C673342">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656AE98E">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r>
      <w:tr w14:paraId="0357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4AC7A1BF">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27F8D44D">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3D7C6168">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145FC4C6">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63388DD4">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529EA428">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0610A3F7">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028B26E6">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r>
      <w:tr w14:paraId="6B8D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76D3B244">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768F0CD0">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12E024EF">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4D050B4C">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216124AA">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6F3B8FA1">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78C58E33">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3648D97D">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r>
      <w:tr w14:paraId="018C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2E182D03">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38C607B2">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742A42A2">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4C5A48BB">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017C3586">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0BBF41E5">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7B320709">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336BE9FB">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r>
      <w:tr w14:paraId="2D6C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1AD1FE32">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704DDB73">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279DA06F">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7662601A">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6325EB10">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6A82B5EA">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2EB2DE9C">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0853C7A9">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r>
      <w:tr w14:paraId="4B29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0A938CB9">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2C7A4322">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7B86DDC9">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52C7CCDE">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3B52A9D7">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0D19B424">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1FBA8CC8">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3C9E8D05">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r>
      <w:tr w14:paraId="6342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3D3A7623">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0960D2C0">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39168C6E">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56200049">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17087A2C">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0DAA3561">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1902004E">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024D22CE">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color w:val="auto"/>
                <w:kern w:val="0"/>
                <w:sz w:val="32"/>
                <w:szCs w:val="32"/>
                <w:highlight w:val="none"/>
              </w:rPr>
            </w:pPr>
          </w:p>
        </w:tc>
      </w:tr>
    </w:tbl>
    <w:p w14:paraId="1591C21E">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仿宋" w:hAnsi="仿宋" w:eastAsia="仿宋" w:cs="仿宋"/>
          <w:b/>
          <w:bCs w:val="0"/>
          <w:color w:val="auto"/>
          <w:kern w:val="2"/>
          <w:sz w:val="24"/>
          <w:szCs w:val="24"/>
          <w:highlight w:val="none"/>
        </w:rPr>
      </w:pPr>
      <w:r>
        <w:rPr>
          <w:rFonts w:hint="eastAsia" w:ascii="仿宋" w:hAnsi="仿宋" w:eastAsia="仿宋" w:cs="仿宋"/>
          <w:b/>
          <w:bCs w:val="0"/>
          <w:color w:val="auto"/>
          <w:kern w:val="2"/>
          <w:sz w:val="24"/>
          <w:szCs w:val="24"/>
          <w:highlight w:val="none"/>
          <w:lang w:val="en-US" w:eastAsia="zh-CN" w:bidi="ar"/>
        </w:rPr>
        <w:t>注：1.投标人可按上述的格式自行编制。</w:t>
      </w:r>
    </w:p>
    <w:p w14:paraId="00AF93E6">
      <w:pPr>
        <w:keepNext w:val="0"/>
        <w:keepLines w:val="0"/>
        <w:widowControl w:val="0"/>
        <w:suppressLineNumbers w:val="0"/>
        <w:wordWrap w:val="0"/>
        <w:adjustRightInd w:val="0"/>
        <w:spacing w:before="0" w:beforeAutospacing="0" w:after="0" w:afterAutospacing="0"/>
        <w:ind w:left="0" w:right="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 xml:space="preserve"> </w:t>
      </w:r>
    </w:p>
    <w:p w14:paraId="0494E533">
      <w:pPr>
        <w:pStyle w:val="57"/>
        <w:keepNext w:val="0"/>
        <w:keepLines w:val="0"/>
        <w:widowControl w:val="0"/>
        <w:suppressLineNumbers w:val="0"/>
        <w:wordWrap w:val="0"/>
        <w:adjustRightInd/>
        <w:spacing w:before="0" w:beforeAutospacing="1" w:after="120" w:afterAutospacing="0" w:line="240" w:lineRule="auto"/>
        <w:ind w:left="0" w:leftChars="0" w:right="0" w:firstLine="0" w:firstLineChars="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投标人名称（电子签名）：</w:t>
      </w:r>
    </w:p>
    <w:p w14:paraId="788760DC">
      <w:pPr>
        <w:keepNext w:val="0"/>
        <w:keepLines w:val="0"/>
        <w:widowControl w:val="0"/>
        <w:suppressLineNumbers w:val="0"/>
        <w:adjustRightInd w:val="0"/>
        <w:spacing w:before="0" w:beforeAutospacing="0" w:after="0" w:afterAutospacing="0"/>
        <w:ind w:left="0" w:right="0"/>
        <w:jc w:val="both"/>
        <w:rPr>
          <w:color w:val="auto"/>
          <w:highlight w:val="none"/>
        </w:rPr>
      </w:pPr>
      <w:r>
        <w:rPr>
          <w:rFonts w:hint="eastAsia" w:ascii="仿宋" w:hAnsi="仿宋" w:eastAsia="仿宋" w:cs="仿宋"/>
          <w:color w:val="auto"/>
          <w:kern w:val="0"/>
          <w:sz w:val="24"/>
          <w:szCs w:val="24"/>
          <w:highlight w:val="none"/>
          <w:lang w:val="en-US" w:eastAsia="zh-CN" w:bidi="ar"/>
        </w:rPr>
        <w:t>日期：</w:t>
      </w:r>
    </w:p>
    <w:p w14:paraId="45A5FE22">
      <w:pPr>
        <w:wordWrap w:val="0"/>
        <w:ind w:firstLine="643"/>
        <w:rPr>
          <w:rFonts w:hint="eastAsia" w:ascii="仿宋" w:hAnsi="仿宋" w:eastAsia="仿宋" w:cs="仿宋"/>
          <w:b/>
          <w:color w:val="auto"/>
          <w:kern w:val="0"/>
          <w:sz w:val="32"/>
          <w:szCs w:val="32"/>
          <w:highlight w:val="none"/>
          <w:lang w:val="zh-CN"/>
        </w:rPr>
      </w:pPr>
    </w:p>
    <w:p w14:paraId="56C9AAE6">
      <w:pPr>
        <w:wordWrap w:val="0"/>
        <w:ind w:firstLine="643"/>
        <w:rPr>
          <w:rFonts w:hint="eastAsia" w:ascii="仿宋" w:hAnsi="仿宋" w:eastAsia="仿宋" w:cs="仿宋"/>
          <w:b/>
          <w:color w:val="auto"/>
          <w:kern w:val="0"/>
          <w:sz w:val="32"/>
          <w:szCs w:val="32"/>
          <w:highlight w:val="none"/>
          <w:lang w:val="zh-CN"/>
        </w:rPr>
      </w:pPr>
    </w:p>
    <w:p w14:paraId="4F370127">
      <w:pPr>
        <w:wordWrap w:val="0"/>
        <w:ind w:firstLine="643"/>
        <w:rPr>
          <w:rFonts w:hint="eastAsia" w:ascii="仿宋" w:hAnsi="仿宋" w:eastAsia="仿宋" w:cs="仿宋"/>
          <w:b/>
          <w:color w:val="auto"/>
          <w:kern w:val="0"/>
          <w:sz w:val="32"/>
          <w:szCs w:val="32"/>
          <w:highlight w:val="none"/>
          <w:lang w:val="zh-CN"/>
        </w:rPr>
      </w:pPr>
    </w:p>
    <w:p w14:paraId="697549D7">
      <w:pPr>
        <w:wordWrap w:val="0"/>
        <w:ind w:firstLine="643"/>
        <w:rPr>
          <w:rFonts w:hint="eastAsia" w:ascii="仿宋" w:hAnsi="仿宋" w:eastAsia="仿宋" w:cs="仿宋"/>
          <w:b/>
          <w:color w:val="auto"/>
          <w:kern w:val="0"/>
          <w:sz w:val="32"/>
          <w:szCs w:val="32"/>
          <w:highlight w:val="none"/>
          <w:lang w:val="zh-CN"/>
        </w:rPr>
      </w:pPr>
    </w:p>
    <w:p w14:paraId="01CECE50">
      <w:pPr>
        <w:wordWrap w:val="0"/>
        <w:ind w:firstLine="643"/>
        <w:rPr>
          <w:rFonts w:hint="eastAsia" w:ascii="仿宋" w:hAnsi="仿宋" w:eastAsia="仿宋" w:cs="仿宋"/>
          <w:b/>
          <w:color w:val="auto"/>
          <w:kern w:val="0"/>
          <w:sz w:val="32"/>
          <w:szCs w:val="32"/>
          <w:highlight w:val="none"/>
          <w:lang w:val="zh-CN"/>
        </w:rPr>
      </w:pPr>
    </w:p>
    <w:p w14:paraId="63441FE5">
      <w:pPr>
        <w:wordWrap w:val="0"/>
        <w:ind w:firstLine="643"/>
        <w:rPr>
          <w:rFonts w:hint="eastAsia" w:ascii="仿宋" w:hAnsi="仿宋" w:eastAsia="仿宋" w:cs="仿宋"/>
          <w:b/>
          <w:color w:val="auto"/>
          <w:kern w:val="0"/>
          <w:sz w:val="32"/>
          <w:szCs w:val="32"/>
          <w:highlight w:val="none"/>
          <w:lang w:val="zh-CN"/>
        </w:rPr>
        <w:sectPr>
          <w:pgSz w:w="11905" w:h="16838"/>
          <w:pgMar w:top="652" w:right="1417" w:bottom="680" w:left="1417" w:header="227" w:footer="425" w:gutter="0"/>
          <w:cols w:space="0" w:num="1"/>
          <w:titlePg/>
          <w:docGrid w:linePitch="312" w:charSpace="0"/>
        </w:sectPr>
      </w:pPr>
    </w:p>
    <w:p w14:paraId="22B6864A">
      <w:pPr>
        <w:wordWrap w:val="0"/>
        <w:ind w:firstLine="643"/>
        <w:outlineLvl w:val="2"/>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rPr>
        <w:t>四</w:t>
      </w:r>
      <w:r>
        <w:rPr>
          <w:rFonts w:hint="eastAsia" w:ascii="仿宋" w:hAnsi="仿宋" w:eastAsia="仿宋" w:cs="仿宋"/>
          <w:b/>
          <w:color w:val="auto"/>
          <w:kern w:val="0"/>
          <w:sz w:val="32"/>
          <w:szCs w:val="32"/>
          <w:highlight w:val="none"/>
          <w:lang w:val="zh-CN"/>
        </w:rPr>
        <w:t>）投标人为完成本项目组建的养护人员名单</w:t>
      </w:r>
    </w:p>
    <w:p w14:paraId="22B6864B">
      <w:pPr>
        <w:wordWrap w:val="0"/>
        <w:autoSpaceDE w:val="0"/>
        <w:autoSpaceDN w:val="0"/>
        <w:spacing w:line="360" w:lineRule="auto"/>
        <w:ind w:firstLine="482"/>
        <w:rPr>
          <w:rFonts w:hint="eastAsia" w:ascii="仿宋" w:hAnsi="仿宋" w:eastAsia="仿宋" w:cs="仿宋"/>
          <w:b/>
          <w:color w:val="auto"/>
          <w:sz w:val="24"/>
          <w:highlight w:val="none"/>
        </w:rPr>
      </w:pPr>
    </w:p>
    <w:p w14:paraId="22B6864C">
      <w:pPr>
        <w:wordWrap w:val="0"/>
        <w:autoSpaceDE w:val="0"/>
        <w:autoSpaceDN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附表A:本项目的项目负责人情况表</w:t>
      </w:r>
    </w:p>
    <w:tbl>
      <w:tblPr>
        <w:tblStyle w:val="62"/>
        <w:tblW w:w="7793" w:type="dxa"/>
        <w:jc w:val="center"/>
        <w:tblLayout w:type="fixed"/>
        <w:tblCellMar>
          <w:top w:w="0" w:type="dxa"/>
          <w:left w:w="108" w:type="dxa"/>
          <w:bottom w:w="0" w:type="dxa"/>
          <w:right w:w="108" w:type="dxa"/>
        </w:tblCellMar>
      </w:tblPr>
      <w:tblGrid>
        <w:gridCol w:w="2160"/>
        <w:gridCol w:w="1486"/>
        <w:gridCol w:w="4147"/>
      </w:tblGrid>
      <w:tr w14:paraId="22B68650">
        <w:tblPrEx>
          <w:tblCellMar>
            <w:top w:w="0" w:type="dxa"/>
            <w:left w:w="108" w:type="dxa"/>
            <w:bottom w:w="0" w:type="dxa"/>
            <w:right w:w="108" w:type="dxa"/>
          </w:tblCellMar>
        </w:tblPrEx>
        <w:trPr>
          <w:trHeight w:val="604"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22B6864D">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486" w:type="dxa"/>
            <w:tcBorders>
              <w:top w:val="single" w:color="auto" w:sz="6" w:space="0"/>
              <w:left w:val="single" w:color="auto" w:sz="6" w:space="0"/>
              <w:bottom w:val="single" w:color="auto" w:sz="6" w:space="0"/>
              <w:right w:val="single" w:color="auto" w:sz="4" w:space="0"/>
            </w:tcBorders>
            <w:vAlign w:val="center"/>
          </w:tcPr>
          <w:p w14:paraId="22B6864E">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147" w:type="dxa"/>
            <w:tcBorders>
              <w:top w:val="single" w:color="auto" w:sz="6" w:space="0"/>
              <w:left w:val="single" w:color="auto" w:sz="6" w:space="0"/>
              <w:bottom w:val="single" w:color="auto" w:sz="6" w:space="0"/>
              <w:right w:val="single" w:color="auto" w:sz="6" w:space="0"/>
            </w:tcBorders>
            <w:vAlign w:val="center"/>
          </w:tcPr>
          <w:p w14:paraId="22B6864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近3年业绩及承担的主要工作情况，曾担任项目负责人的项目应列明细</w:t>
            </w:r>
          </w:p>
        </w:tc>
      </w:tr>
      <w:tr w14:paraId="22B68654">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22B68651">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486" w:type="dxa"/>
            <w:tcBorders>
              <w:top w:val="single" w:color="auto" w:sz="6" w:space="0"/>
              <w:left w:val="single" w:color="auto" w:sz="6" w:space="0"/>
              <w:bottom w:val="single" w:color="auto" w:sz="6" w:space="0"/>
              <w:right w:val="single" w:color="auto" w:sz="4" w:space="0"/>
            </w:tcBorders>
            <w:vAlign w:val="center"/>
          </w:tcPr>
          <w:p w14:paraId="22B68652">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22B68653">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22B68658">
        <w:tblPrEx>
          <w:tblCellMar>
            <w:top w:w="0" w:type="dxa"/>
            <w:left w:w="108" w:type="dxa"/>
            <w:bottom w:w="0" w:type="dxa"/>
            <w:right w:w="108" w:type="dxa"/>
          </w:tblCellMar>
        </w:tblPrEx>
        <w:trPr>
          <w:cantSplit/>
          <w:trHeight w:val="337"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22B68655">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486" w:type="dxa"/>
            <w:tcBorders>
              <w:top w:val="single" w:color="auto" w:sz="6" w:space="0"/>
              <w:left w:val="single" w:color="auto" w:sz="6" w:space="0"/>
              <w:bottom w:val="single" w:color="auto" w:sz="6" w:space="0"/>
              <w:right w:val="single" w:color="auto" w:sz="4" w:space="0"/>
            </w:tcBorders>
            <w:vAlign w:val="center"/>
          </w:tcPr>
          <w:p w14:paraId="22B68656">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2B68657">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22B6865C">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22B68659">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486" w:type="dxa"/>
            <w:tcBorders>
              <w:top w:val="single" w:color="auto" w:sz="6" w:space="0"/>
              <w:left w:val="single" w:color="auto" w:sz="6" w:space="0"/>
              <w:bottom w:val="single" w:color="auto" w:sz="6" w:space="0"/>
              <w:right w:val="single" w:color="auto" w:sz="4" w:space="0"/>
            </w:tcBorders>
            <w:vAlign w:val="center"/>
          </w:tcPr>
          <w:p w14:paraId="22B6865A">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2B6865B">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22B68660">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22B6865D">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1486" w:type="dxa"/>
            <w:tcBorders>
              <w:top w:val="single" w:color="auto" w:sz="6" w:space="0"/>
              <w:left w:val="single" w:color="auto" w:sz="6" w:space="0"/>
              <w:bottom w:val="single" w:color="auto" w:sz="6" w:space="0"/>
              <w:right w:val="single" w:color="auto" w:sz="4" w:space="0"/>
            </w:tcBorders>
            <w:vAlign w:val="center"/>
          </w:tcPr>
          <w:p w14:paraId="22B6865E">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2B6865F">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22B68664">
        <w:tblPrEx>
          <w:tblCellMar>
            <w:top w:w="0" w:type="dxa"/>
            <w:left w:w="108" w:type="dxa"/>
            <w:bottom w:w="0" w:type="dxa"/>
            <w:right w:w="108" w:type="dxa"/>
          </w:tblCellMar>
        </w:tblPrEx>
        <w:trPr>
          <w:cantSplit/>
          <w:trHeight w:val="422"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22B68661">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所学专业</w:t>
            </w:r>
          </w:p>
        </w:tc>
        <w:tc>
          <w:tcPr>
            <w:tcW w:w="1486" w:type="dxa"/>
            <w:tcBorders>
              <w:top w:val="single" w:color="auto" w:sz="6" w:space="0"/>
              <w:left w:val="single" w:color="auto" w:sz="6" w:space="0"/>
              <w:bottom w:val="single" w:color="auto" w:sz="6" w:space="0"/>
              <w:right w:val="single" w:color="auto" w:sz="4" w:space="0"/>
            </w:tcBorders>
            <w:vAlign w:val="center"/>
          </w:tcPr>
          <w:p w14:paraId="22B68662">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2B68663">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22B68668">
        <w:tblPrEx>
          <w:tblCellMar>
            <w:top w:w="0" w:type="dxa"/>
            <w:left w:w="108" w:type="dxa"/>
            <w:bottom w:w="0" w:type="dxa"/>
            <w:right w:w="108" w:type="dxa"/>
          </w:tblCellMar>
        </w:tblPrEx>
        <w:trPr>
          <w:cantSplit/>
          <w:trHeight w:val="416"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22B68665">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486" w:type="dxa"/>
            <w:tcBorders>
              <w:top w:val="single" w:color="auto" w:sz="6" w:space="0"/>
              <w:left w:val="single" w:color="auto" w:sz="6" w:space="0"/>
              <w:bottom w:val="single" w:color="auto" w:sz="6" w:space="0"/>
              <w:right w:val="single" w:color="auto" w:sz="4" w:space="0"/>
            </w:tcBorders>
            <w:vAlign w:val="center"/>
          </w:tcPr>
          <w:p w14:paraId="22B68666">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2B68667">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22B6866C">
        <w:tblPrEx>
          <w:tblCellMar>
            <w:top w:w="0" w:type="dxa"/>
            <w:left w:w="108" w:type="dxa"/>
            <w:bottom w:w="0" w:type="dxa"/>
            <w:right w:w="108" w:type="dxa"/>
          </w:tblCellMar>
        </w:tblPrEx>
        <w:trPr>
          <w:cantSplit/>
          <w:trHeight w:val="58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22B68669">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资质证书编号</w:t>
            </w:r>
          </w:p>
        </w:tc>
        <w:tc>
          <w:tcPr>
            <w:tcW w:w="1486" w:type="dxa"/>
            <w:tcBorders>
              <w:top w:val="single" w:color="auto" w:sz="6" w:space="0"/>
              <w:left w:val="single" w:color="auto" w:sz="6" w:space="0"/>
              <w:bottom w:val="single" w:color="auto" w:sz="6" w:space="0"/>
              <w:right w:val="single" w:color="auto" w:sz="4" w:space="0"/>
            </w:tcBorders>
            <w:vAlign w:val="center"/>
          </w:tcPr>
          <w:p w14:paraId="22B6866A">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2B6866B">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22B68670">
        <w:tblPrEx>
          <w:tblCellMar>
            <w:top w:w="0" w:type="dxa"/>
            <w:left w:w="108" w:type="dxa"/>
            <w:bottom w:w="0" w:type="dxa"/>
            <w:right w:w="108" w:type="dxa"/>
          </w:tblCellMar>
        </w:tblPrEx>
        <w:trPr>
          <w:cantSplit/>
          <w:trHeight w:val="572"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22B6866D">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其他资质情况</w:t>
            </w:r>
          </w:p>
        </w:tc>
        <w:tc>
          <w:tcPr>
            <w:tcW w:w="1486" w:type="dxa"/>
            <w:tcBorders>
              <w:top w:val="single" w:color="auto" w:sz="6" w:space="0"/>
              <w:left w:val="single" w:color="auto" w:sz="6" w:space="0"/>
              <w:bottom w:val="single" w:color="auto" w:sz="6" w:space="0"/>
              <w:right w:val="single" w:color="auto" w:sz="4" w:space="0"/>
            </w:tcBorders>
            <w:vAlign w:val="center"/>
          </w:tcPr>
          <w:p w14:paraId="22B6866E">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2B6866F">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22B68674">
        <w:tblPrEx>
          <w:tblCellMar>
            <w:top w:w="0" w:type="dxa"/>
            <w:left w:w="108" w:type="dxa"/>
            <w:bottom w:w="0" w:type="dxa"/>
            <w:right w:w="108" w:type="dxa"/>
          </w:tblCellMar>
        </w:tblPrEx>
        <w:trPr>
          <w:cantSplit/>
          <w:trHeight w:val="473"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22B68671">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486" w:type="dxa"/>
            <w:tcBorders>
              <w:top w:val="single" w:color="auto" w:sz="6" w:space="0"/>
              <w:left w:val="single" w:color="auto" w:sz="6" w:space="0"/>
              <w:bottom w:val="single" w:color="auto" w:sz="6" w:space="0"/>
              <w:right w:val="single" w:color="auto" w:sz="4" w:space="0"/>
            </w:tcBorders>
            <w:vAlign w:val="center"/>
          </w:tcPr>
          <w:p w14:paraId="22B68672">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2B68673">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r>
    </w:tbl>
    <w:p w14:paraId="22B68675">
      <w:pPr>
        <w:wordWrap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注：须随表提交相应的证明材料（证明材料以资格要求和评标办法要求为准）并注明所在页码。</w:t>
      </w:r>
    </w:p>
    <w:p w14:paraId="22B68676">
      <w:pPr>
        <w:wordWrap w:val="0"/>
        <w:autoSpaceDE w:val="0"/>
        <w:autoSpaceDN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附表B:本项目的项目管理班组人员配备表</w:t>
      </w:r>
      <w:r>
        <w:rPr>
          <w:rFonts w:hint="eastAsia" w:ascii="仿宋" w:hAnsi="仿宋" w:eastAsia="仿宋" w:cs="仿宋"/>
          <w:color w:val="auto"/>
          <w:sz w:val="24"/>
          <w:highlight w:val="none"/>
        </w:rPr>
        <w:t xml:space="preserve"> </w:t>
      </w:r>
    </w:p>
    <w:tbl>
      <w:tblPr>
        <w:tblStyle w:val="62"/>
        <w:tblW w:w="8519" w:type="dxa"/>
        <w:jc w:val="center"/>
        <w:tblLayout w:type="fixed"/>
        <w:tblCellMar>
          <w:top w:w="0" w:type="dxa"/>
          <w:left w:w="108" w:type="dxa"/>
          <w:bottom w:w="0" w:type="dxa"/>
          <w:right w:w="108" w:type="dxa"/>
        </w:tblCellMar>
      </w:tblPr>
      <w:tblGrid>
        <w:gridCol w:w="771"/>
        <w:gridCol w:w="1215"/>
        <w:gridCol w:w="787"/>
        <w:gridCol w:w="758"/>
        <w:gridCol w:w="817"/>
        <w:gridCol w:w="945"/>
        <w:gridCol w:w="990"/>
        <w:gridCol w:w="855"/>
        <w:gridCol w:w="1381"/>
      </w:tblGrid>
      <w:tr w14:paraId="22B68680">
        <w:tblPrEx>
          <w:tblCellMar>
            <w:top w:w="0" w:type="dxa"/>
            <w:left w:w="108" w:type="dxa"/>
            <w:bottom w:w="0" w:type="dxa"/>
            <w:right w:w="108" w:type="dxa"/>
          </w:tblCellMar>
        </w:tblPrEx>
        <w:trPr>
          <w:jc w:val="center"/>
        </w:trPr>
        <w:tc>
          <w:tcPr>
            <w:tcW w:w="771" w:type="dxa"/>
            <w:tcBorders>
              <w:top w:val="single" w:color="auto" w:sz="6" w:space="0"/>
              <w:left w:val="single" w:color="auto" w:sz="6" w:space="0"/>
              <w:bottom w:val="single" w:color="auto" w:sz="6" w:space="0"/>
              <w:right w:val="single" w:color="auto" w:sz="6" w:space="0"/>
            </w:tcBorders>
            <w:vAlign w:val="center"/>
          </w:tcPr>
          <w:p w14:paraId="22B68677">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15" w:type="dxa"/>
            <w:tcBorders>
              <w:top w:val="single" w:color="auto" w:sz="6" w:space="0"/>
              <w:left w:val="single" w:color="auto" w:sz="6" w:space="0"/>
              <w:bottom w:val="single" w:color="auto" w:sz="6" w:space="0"/>
              <w:right w:val="single" w:color="auto" w:sz="6" w:space="0"/>
            </w:tcBorders>
            <w:vAlign w:val="center"/>
          </w:tcPr>
          <w:p w14:paraId="22B68678">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787" w:type="dxa"/>
            <w:tcBorders>
              <w:top w:val="single" w:color="auto" w:sz="6" w:space="0"/>
              <w:left w:val="single" w:color="auto" w:sz="6" w:space="0"/>
              <w:bottom w:val="single" w:color="auto" w:sz="6" w:space="0"/>
              <w:right w:val="single" w:color="auto" w:sz="6" w:space="0"/>
            </w:tcBorders>
            <w:vAlign w:val="center"/>
          </w:tcPr>
          <w:p w14:paraId="22B68679">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758" w:type="dxa"/>
            <w:tcBorders>
              <w:top w:val="single" w:color="auto" w:sz="6" w:space="0"/>
              <w:left w:val="single" w:color="auto" w:sz="6" w:space="0"/>
              <w:bottom w:val="single" w:color="auto" w:sz="6" w:space="0"/>
              <w:right w:val="single" w:color="auto" w:sz="6" w:space="0"/>
            </w:tcBorders>
            <w:vAlign w:val="center"/>
          </w:tcPr>
          <w:p w14:paraId="22B6867A">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17" w:type="dxa"/>
            <w:tcBorders>
              <w:top w:val="single" w:color="auto" w:sz="6" w:space="0"/>
              <w:left w:val="single" w:color="auto" w:sz="6" w:space="0"/>
              <w:bottom w:val="single" w:color="auto" w:sz="6" w:space="0"/>
              <w:right w:val="single" w:color="auto" w:sz="6" w:space="0"/>
            </w:tcBorders>
            <w:vAlign w:val="center"/>
          </w:tcPr>
          <w:p w14:paraId="22B6867B">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945" w:type="dxa"/>
            <w:tcBorders>
              <w:top w:val="single" w:color="auto" w:sz="6" w:space="0"/>
              <w:left w:val="single" w:color="auto" w:sz="6" w:space="0"/>
              <w:bottom w:val="single" w:color="auto" w:sz="6" w:space="0"/>
              <w:right w:val="single" w:color="auto" w:sz="6" w:space="0"/>
            </w:tcBorders>
            <w:vAlign w:val="center"/>
          </w:tcPr>
          <w:p w14:paraId="22B6867C">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990" w:type="dxa"/>
            <w:tcBorders>
              <w:top w:val="single" w:color="auto" w:sz="6" w:space="0"/>
              <w:left w:val="single" w:color="auto" w:sz="6" w:space="0"/>
              <w:bottom w:val="single" w:color="auto" w:sz="6" w:space="0"/>
              <w:right w:val="single" w:color="auto" w:sz="6" w:space="0"/>
            </w:tcBorders>
            <w:vAlign w:val="center"/>
          </w:tcPr>
          <w:p w14:paraId="22B6867D">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855" w:type="dxa"/>
            <w:tcBorders>
              <w:top w:val="single" w:color="auto" w:sz="6" w:space="0"/>
              <w:left w:val="single" w:color="auto" w:sz="6" w:space="0"/>
              <w:bottom w:val="single" w:color="auto" w:sz="6" w:space="0"/>
              <w:right w:val="single" w:color="auto" w:sz="6" w:space="0"/>
            </w:tcBorders>
            <w:vAlign w:val="center"/>
          </w:tcPr>
          <w:p w14:paraId="22B6867E">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381" w:type="dxa"/>
            <w:tcBorders>
              <w:top w:val="single" w:color="auto" w:sz="6" w:space="0"/>
              <w:left w:val="single" w:color="auto" w:sz="6" w:space="0"/>
              <w:bottom w:val="single" w:color="auto" w:sz="6" w:space="0"/>
              <w:right w:val="single" w:color="auto" w:sz="6" w:space="0"/>
            </w:tcBorders>
            <w:vAlign w:val="center"/>
          </w:tcPr>
          <w:p w14:paraId="22B6867F">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工作经验</w:t>
            </w:r>
          </w:p>
        </w:tc>
      </w:tr>
      <w:tr w14:paraId="22B6868A">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tcPr>
          <w:p w14:paraId="22B6868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8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8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8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8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8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8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8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8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694">
        <w:tblPrEx>
          <w:tblCellMar>
            <w:top w:w="0" w:type="dxa"/>
            <w:left w:w="108" w:type="dxa"/>
            <w:bottom w:w="0" w:type="dxa"/>
            <w:right w:w="108" w:type="dxa"/>
          </w:tblCellMar>
        </w:tblPrEx>
        <w:trPr>
          <w:trHeight w:val="295" w:hRule="atLeast"/>
          <w:jc w:val="center"/>
        </w:trPr>
        <w:tc>
          <w:tcPr>
            <w:tcW w:w="771" w:type="dxa"/>
            <w:tcBorders>
              <w:top w:val="single" w:color="auto" w:sz="6" w:space="0"/>
              <w:left w:val="single" w:color="auto" w:sz="6" w:space="0"/>
              <w:bottom w:val="single" w:color="auto" w:sz="6" w:space="0"/>
              <w:right w:val="single" w:color="auto" w:sz="6" w:space="0"/>
            </w:tcBorders>
          </w:tcPr>
          <w:p w14:paraId="22B6868B">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8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8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8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8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9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9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9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9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69E">
        <w:tblPrEx>
          <w:tblCellMar>
            <w:top w:w="0" w:type="dxa"/>
            <w:left w:w="108" w:type="dxa"/>
            <w:bottom w:w="0" w:type="dxa"/>
            <w:right w:w="108" w:type="dxa"/>
          </w:tblCellMar>
        </w:tblPrEx>
        <w:trPr>
          <w:trHeight w:val="505" w:hRule="atLeast"/>
          <w:jc w:val="center"/>
        </w:trPr>
        <w:tc>
          <w:tcPr>
            <w:tcW w:w="771" w:type="dxa"/>
            <w:tcBorders>
              <w:top w:val="single" w:color="auto" w:sz="6" w:space="0"/>
              <w:left w:val="single" w:color="auto" w:sz="6" w:space="0"/>
              <w:bottom w:val="single" w:color="auto" w:sz="6" w:space="0"/>
              <w:right w:val="single" w:color="auto" w:sz="6" w:space="0"/>
            </w:tcBorders>
          </w:tcPr>
          <w:p w14:paraId="22B6869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9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9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9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9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9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9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9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9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6A8">
        <w:tblPrEx>
          <w:tblCellMar>
            <w:top w:w="0" w:type="dxa"/>
            <w:left w:w="108" w:type="dxa"/>
            <w:bottom w:w="0" w:type="dxa"/>
            <w:right w:w="108" w:type="dxa"/>
          </w:tblCellMar>
        </w:tblPrEx>
        <w:trPr>
          <w:trHeight w:val="421" w:hRule="atLeast"/>
          <w:jc w:val="center"/>
        </w:trPr>
        <w:tc>
          <w:tcPr>
            <w:tcW w:w="771" w:type="dxa"/>
            <w:tcBorders>
              <w:top w:val="single" w:color="auto" w:sz="6" w:space="0"/>
              <w:left w:val="single" w:color="auto" w:sz="6" w:space="0"/>
              <w:bottom w:val="single" w:color="auto" w:sz="6" w:space="0"/>
              <w:right w:val="single" w:color="auto" w:sz="6" w:space="0"/>
            </w:tcBorders>
          </w:tcPr>
          <w:p w14:paraId="22B6869F">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A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A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A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A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A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A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A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A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6B2">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tcPr>
          <w:p w14:paraId="22B686A9">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A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A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A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A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A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A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B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B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6BC">
        <w:tblPrEx>
          <w:tblCellMar>
            <w:top w:w="0" w:type="dxa"/>
            <w:left w:w="108" w:type="dxa"/>
            <w:bottom w:w="0" w:type="dxa"/>
            <w:right w:w="108" w:type="dxa"/>
          </w:tblCellMar>
        </w:tblPrEx>
        <w:trPr>
          <w:trHeight w:val="415" w:hRule="atLeast"/>
          <w:jc w:val="center"/>
        </w:trPr>
        <w:tc>
          <w:tcPr>
            <w:tcW w:w="771" w:type="dxa"/>
            <w:tcBorders>
              <w:top w:val="single" w:color="auto" w:sz="6" w:space="0"/>
              <w:left w:val="single" w:color="auto" w:sz="6" w:space="0"/>
              <w:bottom w:val="single" w:color="auto" w:sz="6" w:space="0"/>
              <w:right w:val="single" w:color="auto" w:sz="6" w:space="0"/>
            </w:tcBorders>
          </w:tcPr>
          <w:p w14:paraId="22B686B3">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B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kern w:val="0"/>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B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B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B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B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B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B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B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6C6">
        <w:tblPrEx>
          <w:tblCellMar>
            <w:top w:w="0" w:type="dxa"/>
            <w:left w:w="108" w:type="dxa"/>
            <w:bottom w:w="0" w:type="dxa"/>
            <w:right w:w="108" w:type="dxa"/>
          </w:tblCellMar>
        </w:tblPrEx>
        <w:trPr>
          <w:trHeight w:val="445" w:hRule="atLeast"/>
          <w:jc w:val="center"/>
        </w:trPr>
        <w:tc>
          <w:tcPr>
            <w:tcW w:w="771" w:type="dxa"/>
            <w:tcBorders>
              <w:top w:val="single" w:color="auto" w:sz="6" w:space="0"/>
              <w:left w:val="single" w:color="auto" w:sz="6" w:space="0"/>
              <w:bottom w:val="single" w:color="auto" w:sz="6" w:space="0"/>
              <w:right w:val="single" w:color="auto" w:sz="6" w:space="0"/>
            </w:tcBorders>
          </w:tcPr>
          <w:p w14:paraId="22B686BD">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B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kern w:val="0"/>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B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C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C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C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C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C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C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bl>
    <w:p w14:paraId="22B686C7">
      <w:pPr>
        <w:wordWrap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注：须随表提交相应的证明材料（证明材料以资格要求和评标办法要求为准）并注明所在页码。</w:t>
      </w:r>
    </w:p>
    <w:p w14:paraId="22B686C8">
      <w:pPr>
        <w:wordWrap w:val="0"/>
        <w:ind w:firstLine="480" w:firstLineChars="200"/>
        <w:rPr>
          <w:rFonts w:hint="eastAsia" w:ascii="仿宋" w:hAnsi="仿宋" w:eastAsia="仿宋" w:cs="仿宋"/>
          <w:color w:val="auto"/>
          <w:sz w:val="24"/>
          <w:highlight w:val="none"/>
        </w:rPr>
      </w:pPr>
    </w:p>
    <w:p w14:paraId="22B686C9">
      <w:pPr>
        <w:wordWrap w:val="0"/>
        <w:autoSpaceDE w:val="0"/>
        <w:autoSpaceDN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附表C:本项目的现场运行班组人员配备表</w:t>
      </w:r>
      <w:r>
        <w:rPr>
          <w:rFonts w:hint="eastAsia" w:ascii="仿宋" w:hAnsi="仿宋" w:eastAsia="仿宋" w:cs="仿宋"/>
          <w:color w:val="auto"/>
          <w:sz w:val="24"/>
          <w:highlight w:val="none"/>
        </w:rPr>
        <w:t xml:space="preserve"> </w:t>
      </w:r>
    </w:p>
    <w:tbl>
      <w:tblPr>
        <w:tblStyle w:val="62"/>
        <w:tblW w:w="8519" w:type="dxa"/>
        <w:jc w:val="center"/>
        <w:tblLayout w:type="fixed"/>
        <w:tblCellMar>
          <w:top w:w="0" w:type="dxa"/>
          <w:left w:w="108" w:type="dxa"/>
          <w:bottom w:w="0" w:type="dxa"/>
          <w:right w:w="108" w:type="dxa"/>
        </w:tblCellMar>
      </w:tblPr>
      <w:tblGrid>
        <w:gridCol w:w="771"/>
        <w:gridCol w:w="1215"/>
        <w:gridCol w:w="787"/>
        <w:gridCol w:w="758"/>
        <w:gridCol w:w="817"/>
        <w:gridCol w:w="945"/>
        <w:gridCol w:w="990"/>
        <w:gridCol w:w="855"/>
        <w:gridCol w:w="1381"/>
      </w:tblGrid>
      <w:tr w14:paraId="22B686D3">
        <w:tblPrEx>
          <w:tblCellMar>
            <w:top w:w="0" w:type="dxa"/>
            <w:left w:w="108" w:type="dxa"/>
            <w:bottom w:w="0" w:type="dxa"/>
            <w:right w:w="108" w:type="dxa"/>
          </w:tblCellMar>
        </w:tblPrEx>
        <w:trPr>
          <w:jc w:val="center"/>
        </w:trPr>
        <w:tc>
          <w:tcPr>
            <w:tcW w:w="771" w:type="dxa"/>
            <w:tcBorders>
              <w:top w:val="single" w:color="auto" w:sz="6" w:space="0"/>
              <w:left w:val="single" w:color="auto" w:sz="6" w:space="0"/>
              <w:bottom w:val="single" w:color="auto" w:sz="6" w:space="0"/>
              <w:right w:val="single" w:color="auto" w:sz="6" w:space="0"/>
            </w:tcBorders>
            <w:vAlign w:val="center"/>
          </w:tcPr>
          <w:p w14:paraId="22B686CA">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15" w:type="dxa"/>
            <w:tcBorders>
              <w:top w:val="single" w:color="auto" w:sz="6" w:space="0"/>
              <w:left w:val="single" w:color="auto" w:sz="6" w:space="0"/>
              <w:bottom w:val="single" w:color="auto" w:sz="6" w:space="0"/>
              <w:right w:val="single" w:color="auto" w:sz="6" w:space="0"/>
            </w:tcBorders>
            <w:vAlign w:val="center"/>
          </w:tcPr>
          <w:p w14:paraId="22B686CB">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787" w:type="dxa"/>
            <w:tcBorders>
              <w:top w:val="single" w:color="auto" w:sz="6" w:space="0"/>
              <w:left w:val="single" w:color="auto" w:sz="6" w:space="0"/>
              <w:bottom w:val="single" w:color="auto" w:sz="6" w:space="0"/>
              <w:right w:val="single" w:color="auto" w:sz="6" w:space="0"/>
            </w:tcBorders>
            <w:vAlign w:val="center"/>
          </w:tcPr>
          <w:p w14:paraId="22B686CC">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758" w:type="dxa"/>
            <w:tcBorders>
              <w:top w:val="single" w:color="auto" w:sz="6" w:space="0"/>
              <w:left w:val="single" w:color="auto" w:sz="6" w:space="0"/>
              <w:bottom w:val="single" w:color="auto" w:sz="6" w:space="0"/>
              <w:right w:val="single" w:color="auto" w:sz="6" w:space="0"/>
            </w:tcBorders>
            <w:vAlign w:val="center"/>
          </w:tcPr>
          <w:p w14:paraId="22B686CD">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17" w:type="dxa"/>
            <w:tcBorders>
              <w:top w:val="single" w:color="auto" w:sz="6" w:space="0"/>
              <w:left w:val="single" w:color="auto" w:sz="6" w:space="0"/>
              <w:bottom w:val="single" w:color="auto" w:sz="6" w:space="0"/>
              <w:right w:val="single" w:color="auto" w:sz="6" w:space="0"/>
            </w:tcBorders>
            <w:vAlign w:val="center"/>
          </w:tcPr>
          <w:p w14:paraId="22B686CE">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945" w:type="dxa"/>
            <w:tcBorders>
              <w:top w:val="single" w:color="auto" w:sz="6" w:space="0"/>
              <w:left w:val="single" w:color="auto" w:sz="6" w:space="0"/>
              <w:bottom w:val="single" w:color="auto" w:sz="6" w:space="0"/>
              <w:right w:val="single" w:color="auto" w:sz="6" w:space="0"/>
            </w:tcBorders>
            <w:vAlign w:val="center"/>
          </w:tcPr>
          <w:p w14:paraId="22B686CF">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990" w:type="dxa"/>
            <w:tcBorders>
              <w:top w:val="single" w:color="auto" w:sz="6" w:space="0"/>
              <w:left w:val="single" w:color="auto" w:sz="6" w:space="0"/>
              <w:bottom w:val="single" w:color="auto" w:sz="6" w:space="0"/>
              <w:right w:val="single" w:color="auto" w:sz="6" w:space="0"/>
            </w:tcBorders>
            <w:vAlign w:val="center"/>
          </w:tcPr>
          <w:p w14:paraId="22B686D0">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855" w:type="dxa"/>
            <w:tcBorders>
              <w:top w:val="single" w:color="auto" w:sz="6" w:space="0"/>
              <w:left w:val="single" w:color="auto" w:sz="6" w:space="0"/>
              <w:bottom w:val="single" w:color="auto" w:sz="6" w:space="0"/>
              <w:right w:val="single" w:color="auto" w:sz="6" w:space="0"/>
            </w:tcBorders>
            <w:vAlign w:val="center"/>
          </w:tcPr>
          <w:p w14:paraId="22B686D1">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381" w:type="dxa"/>
            <w:tcBorders>
              <w:top w:val="single" w:color="auto" w:sz="6" w:space="0"/>
              <w:left w:val="single" w:color="auto" w:sz="6" w:space="0"/>
              <w:bottom w:val="single" w:color="auto" w:sz="6" w:space="0"/>
              <w:right w:val="single" w:color="auto" w:sz="6" w:space="0"/>
            </w:tcBorders>
            <w:vAlign w:val="center"/>
          </w:tcPr>
          <w:p w14:paraId="22B686D2">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工作经验</w:t>
            </w:r>
          </w:p>
        </w:tc>
      </w:tr>
      <w:tr w14:paraId="22B686DD">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tcPr>
          <w:p w14:paraId="22B686D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D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D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D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D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D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D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D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D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6E7">
        <w:tblPrEx>
          <w:tblCellMar>
            <w:top w:w="0" w:type="dxa"/>
            <w:left w:w="108" w:type="dxa"/>
            <w:bottom w:w="0" w:type="dxa"/>
            <w:right w:w="108" w:type="dxa"/>
          </w:tblCellMar>
        </w:tblPrEx>
        <w:trPr>
          <w:trHeight w:val="295" w:hRule="atLeast"/>
          <w:jc w:val="center"/>
        </w:trPr>
        <w:tc>
          <w:tcPr>
            <w:tcW w:w="771" w:type="dxa"/>
            <w:tcBorders>
              <w:top w:val="single" w:color="auto" w:sz="6" w:space="0"/>
              <w:left w:val="single" w:color="auto" w:sz="6" w:space="0"/>
              <w:bottom w:val="single" w:color="auto" w:sz="6" w:space="0"/>
              <w:right w:val="single" w:color="auto" w:sz="6" w:space="0"/>
            </w:tcBorders>
          </w:tcPr>
          <w:p w14:paraId="22B686DE">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D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E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E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E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E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E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E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E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6F1">
        <w:tblPrEx>
          <w:tblCellMar>
            <w:top w:w="0" w:type="dxa"/>
            <w:left w:w="108" w:type="dxa"/>
            <w:bottom w:w="0" w:type="dxa"/>
            <w:right w:w="108" w:type="dxa"/>
          </w:tblCellMar>
        </w:tblPrEx>
        <w:trPr>
          <w:trHeight w:val="505" w:hRule="atLeast"/>
          <w:jc w:val="center"/>
        </w:trPr>
        <w:tc>
          <w:tcPr>
            <w:tcW w:w="771" w:type="dxa"/>
            <w:tcBorders>
              <w:top w:val="single" w:color="auto" w:sz="6" w:space="0"/>
              <w:left w:val="single" w:color="auto" w:sz="6" w:space="0"/>
              <w:bottom w:val="single" w:color="auto" w:sz="6" w:space="0"/>
              <w:right w:val="single" w:color="auto" w:sz="6" w:space="0"/>
            </w:tcBorders>
          </w:tcPr>
          <w:p w14:paraId="22B686E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E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E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E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E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E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E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E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F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6FB">
        <w:tblPrEx>
          <w:tblCellMar>
            <w:top w:w="0" w:type="dxa"/>
            <w:left w:w="108" w:type="dxa"/>
            <w:bottom w:w="0" w:type="dxa"/>
            <w:right w:w="108" w:type="dxa"/>
          </w:tblCellMar>
        </w:tblPrEx>
        <w:trPr>
          <w:trHeight w:val="421" w:hRule="atLeast"/>
          <w:jc w:val="center"/>
        </w:trPr>
        <w:tc>
          <w:tcPr>
            <w:tcW w:w="771" w:type="dxa"/>
            <w:tcBorders>
              <w:top w:val="single" w:color="auto" w:sz="6" w:space="0"/>
              <w:left w:val="single" w:color="auto" w:sz="6" w:space="0"/>
              <w:bottom w:val="single" w:color="auto" w:sz="6" w:space="0"/>
              <w:right w:val="single" w:color="auto" w:sz="6" w:space="0"/>
            </w:tcBorders>
          </w:tcPr>
          <w:p w14:paraId="22B686F2">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F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F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F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6F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6F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6F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6F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6F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705">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tcPr>
          <w:p w14:paraId="22B686FC">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6F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6F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6F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70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70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70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70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70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70F">
        <w:tblPrEx>
          <w:tblCellMar>
            <w:top w:w="0" w:type="dxa"/>
            <w:left w:w="108" w:type="dxa"/>
            <w:bottom w:w="0" w:type="dxa"/>
            <w:right w:w="108" w:type="dxa"/>
          </w:tblCellMar>
        </w:tblPrEx>
        <w:trPr>
          <w:trHeight w:val="415" w:hRule="atLeast"/>
          <w:jc w:val="center"/>
        </w:trPr>
        <w:tc>
          <w:tcPr>
            <w:tcW w:w="771" w:type="dxa"/>
            <w:tcBorders>
              <w:top w:val="single" w:color="auto" w:sz="6" w:space="0"/>
              <w:left w:val="single" w:color="auto" w:sz="6" w:space="0"/>
              <w:bottom w:val="single" w:color="auto" w:sz="6" w:space="0"/>
              <w:right w:val="single" w:color="auto" w:sz="6" w:space="0"/>
            </w:tcBorders>
          </w:tcPr>
          <w:p w14:paraId="22B68706">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70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kern w:val="0"/>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70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70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70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70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70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70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70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719">
        <w:tblPrEx>
          <w:tblCellMar>
            <w:top w:w="0" w:type="dxa"/>
            <w:left w:w="108" w:type="dxa"/>
            <w:bottom w:w="0" w:type="dxa"/>
            <w:right w:w="108" w:type="dxa"/>
          </w:tblCellMar>
        </w:tblPrEx>
        <w:trPr>
          <w:trHeight w:val="445" w:hRule="atLeast"/>
          <w:jc w:val="center"/>
        </w:trPr>
        <w:tc>
          <w:tcPr>
            <w:tcW w:w="771" w:type="dxa"/>
            <w:tcBorders>
              <w:top w:val="single" w:color="auto" w:sz="6" w:space="0"/>
              <w:left w:val="single" w:color="auto" w:sz="6" w:space="0"/>
              <w:bottom w:val="single" w:color="auto" w:sz="6" w:space="0"/>
              <w:right w:val="single" w:color="auto" w:sz="6" w:space="0"/>
            </w:tcBorders>
          </w:tcPr>
          <w:p w14:paraId="22B68710">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71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kern w:val="0"/>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71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71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71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71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71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71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71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bl>
    <w:p w14:paraId="22B6871A">
      <w:pPr>
        <w:wordWrap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注：须随表提交相应的证明材料（证明材料以资格要求和评标办法要求为准）并注明所在页码。</w:t>
      </w:r>
    </w:p>
    <w:p w14:paraId="22B6871B">
      <w:pPr>
        <w:pStyle w:val="2"/>
        <w:rPr>
          <w:rFonts w:hint="eastAsia" w:ascii="仿宋" w:hAnsi="仿宋" w:eastAsia="仿宋" w:cs="仿宋"/>
          <w:color w:val="auto"/>
          <w:sz w:val="24"/>
          <w:highlight w:val="none"/>
        </w:rPr>
      </w:pPr>
    </w:p>
    <w:p w14:paraId="22B6871C">
      <w:pPr>
        <w:wordWrap w:val="0"/>
        <w:autoSpaceDE w:val="0"/>
        <w:autoSpaceDN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附表D:本项目的维保专业班组人员配备表</w:t>
      </w:r>
      <w:r>
        <w:rPr>
          <w:rFonts w:hint="eastAsia" w:ascii="仿宋" w:hAnsi="仿宋" w:eastAsia="仿宋" w:cs="仿宋"/>
          <w:color w:val="auto"/>
          <w:sz w:val="24"/>
          <w:highlight w:val="none"/>
        </w:rPr>
        <w:t xml:space="preserve"> </w:t>
      </w:r>
    </w:p>
    <w:tbl>
      <w:tblPr>
        <w:tblStyle w:val="62"/>
        <w:tblW w:w="8519" w:type="dxa"/>
        <w:jc w:val="center"/>
        <w:tblLayout w:type="fixed"/>
        <w:tblCellMar>
          <w:top w:w="0" w:type="dxa"/>
          <w:left w:w="108" w:type="dxa"/>
          <w:bottom w:w="0" w:type="dxa"/>
          <w:right w:w="108" w:type="dxa"/>
        </w:tblCellMar>
      </w:tblPr>
      <w:tblGrid>
        <w:gridCol w:w="771"/>
        <w:gridCol w:w="1215"/>
        <w:gridCol w:w="787"/>
        <w:gridCol w:w="758"/>
        <w:gridCol w:w="817"/>
        <w:gridCol w:w="945"/>
        <w:gridCol w:w="990"/>
        <w:gridCol w:w="855"/>
        <w:gridCol w:w="1381"/>
      </w:tblGrid>
      <w:tr w14:paraId="22B68726">
        <w:tblPrEx>
          <w:tblCellMar>
            <w:top w:w="0" w:type="dxa"/>
            <w:left w:w="108" w:type="dxa"/>
            <w:bottom w:w="0" w:type="dxa"/>
            <w:right w:w="108" w:type="dxa"/>
          </w:tblCellMar>
        </w:tblPrEx>
        <w:trPr>
          <w:jc w:val="center"/>
        </w:trPr>
        <w:tc>
          <w:tcPr>
            <w:tcW w:w="771" w:type="dxa"/>
            <w:tcBorders>
              <w:top w:val="single" w:color="auto" w:sz="6" w:space="0"/>
              <w:left w:val="single" w:color="auto" w:sz="6" w:space="0"/>
              <w:bottom w:val="single" w:color="auto" w:sz="6" w:space="0"/>
              <w:right w:val="single" w:color="auto" w:sz="6" w:space="0"/>
            </w:tcBorders>
            <w:vAlign w:val="center"/>
          </w:tcPr>
          <w:p w14:paraId="22B6871D">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15" w:type="dxa"/>
            <w:tcBorders>
              <w:top w:val="single" w:color="auto" w:sz="6" w:space="0"/>
              <w:left w:val="single" w:color="auto" w:sz="6" w:space="0"/>
              <w:bottom w:val="single" w:color="auto" w:sz="6" w:space="0"/>
              <w:right w:val="single" w:color="auto" w:sz="6" w:space="0"/>
            </w:tcBorders>
            <w:vAlign w:val="center"/>
          </w:tcPr>
          <w:p w14:paraId="22B6871E">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787" w:type="dxa"/>
            <w:tcBorders>
              <w:top w:val="single" w:color="auto" w:sz="6" w:space="0"/>
              <w:left w:val="single" w:color="auto" w:sz="6" w:space="0"/>
              <w:bottom w:val="single" w:color="auto" w:sz="6" w:space="0"/>
              <w:right w:val="single" w:color="auto" w:sz="6" w:space="0"/>
            </w:tcBorders>
            <w:vAlign w:val="center"/>
          </w:tcPr>
          <w:p w14:paraId="22B6871F">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758" w:type="dxa"/>
            <w:tcBorders>
              <w:top w:val="single" w:color="auto" w:sz="6" w:space="0"/>
              <w:left w:val="single" w:color="auto" w:sz="6" w:space="0"/>
              <w:bottom w:val="single" w:color="auto" w:sz="6" w:space="0"/>
              <w:right w:val="single" w:color="auto" w:sz="6" w:space="0"/>
            </w:tcBorders>
            <w:vAlign w:val="center"/>
          </w:tcPr>
          <w:p w14:paraId="22B68720">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17" w:type="dxa"/>
            <w:tcBorders>
              <w:top w:val="single" w:color="auto" w:sz="6" w:space="0"/>
              <w:left w:val="single" w:color="auto" w:sz="6" w:space="0"/>
              <w:bottom w:val="single" w:color="auto" w:sz="6" w:space="0"/>
              <w:right w:val="single" w:color="auto" w:sz="6" w:space="0"/>
            </w:tcBorders>
            <w:vAlign w:val="center"/>
          </w:tcPr>
          <w:p w14:paraId="22B68721">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945" w:type="dxa"/>
            <w:tcBorders>
              <w:top w:val="single" w:color="auto" w:sz="6" w:space="0"/>
              <w:left w:val="single" w:color="auto" w:sz="6" w:space="0"/>
              <w:bottom w:val="single" w:color="auto" w:sz="6" w:space="0"/>
              <w:right w:val="single" w:color="auto" w:sz="6" w:space="0"/>
            </w:tcBorders>
            <w:vAlign w:val="center"/>
          </w:tcPr>
          <w:p w14:paraId="22B68722">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990" w:type="dxa"/>
            <w:tcBorders>
              <w:top w:val="single" w:color="auto" w:sz="6" w:space="0"/>
              <w:left w:val="single" w:color="auto" w:sz="6" w:space="0"/>
              <w:bottom w:val="single" w:color="auto" w:sz="6" w:space="0"/>
              <w:right w:val="single" w:color="auto" w:sz="6" w:space="0"/>
            </w:tcBorders>
            <w:vAlign w:val="center"/>
          </w:tcPr>
          <w:p w14:paraId="22B68723">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855" w:type="dxa"/>
            <w:tcBorders>
              <w:top w:val="single" w:color="auto" w:sz="6" w:space="0"/>
              <w:left w:val="single" w:color="auto" w:sz="6" w:space="0"/>
              <w:bottom w:val="single" w:color="auto" w:sz="6" w:space="0"/>
              <w:right w:val="single" w:color="auto" w:sz="6" w:space="0"/>
            </w:tcBorders>
            <w:vAlign w:val="center"/>
          </w:tcPr>
          <w:p w14:paraId="22B68724">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381" w:type="dxa"/>
            <w:tcBorders>
              <w:top w:val="single" w:color="auto" w:sz="6" w:space="0"/>
              <w:left w:val="single" w:color="auto" w:sz="6" w:space="0"/>
              <w:bottom w:val="single" w:color="auto" w:sz="6" w:space="0"/>
              <w:right w:val="single" w:color="auto" w:sz="6" w:space="0"/>
            </w:tcBorders>
            <w:vAlign w:val="center"/>
          </w:tcPr>
          <w:p w14:paraId="22B68725">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工作经验</w:t>
            </w:r>
          </w:p>
        </w:tc>
      </w:tr>
      <w:tr w14:paraId="22B68730">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tcPr>
          <w:p w14:paraId="22B6872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72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72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72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72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72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72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72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72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73A">
        <w:tblPrEx>
          <w:tblCellMar>
            <w:top w:w="0" w:type="dxa"/>
            <w:left w:w="108" w:type="dxa"/>
            <w:bottom w:w="0" w:type="dxa"/>
            <w:right w:w="108" w:type="dxa"/>
          </w:tblCellMar>
        </w:tblPrEx>
        <w:trPr>
          <w:trHeight w:val="295" w:hRule="atLeast"/>
          <w:jc w:val="center"/>
        </w:trPr>
        <w:tc>
          <w:tcPr>
            <w:tcW w:w="771" w:type="dxa"/>
            <w:tcBorders>
              <w:top w:val="single" w:color="auto" w:sz="6" w:space="0"/>
              <w:left w:val="single" w:color="auto" w:sz="6" w:space="0"/>
              <w:bottom w:val="single" w:color="auto" w:sz="6" w:space="0"/>
              <w:right w:val="single" w:color="auto" w:sz="6" w:space="0"/>
            </w:tcBorders>
          </w:tcPr>
          <w:p w14:paraId="22B68731">
            <w:pPr>
              <w:keepNext w:val="0"/>
              <w:keepLines w:val="0"/>
              <w:suppressLineNumbers w:val="0"/>
              <w:wordWrap w:val="0"/>
              <w:autoSpaceDE w:val="0"/>
              <w:autoSpaceDN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73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73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73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73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73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73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73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73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744">
        <w:tblPrEx>
          <w:tblCellMar>
            <w:top w:w="0" w:type="dxa"/>
            <w:left w:w="108" w:type="dxa"/>
            <w:bottom w:w="0" w:type="dxa"/>
            <w:right w:w="108" w:type="dxa"/>
          </w:tblCellMar>
        </w:tblPrEx>
        <w:trPr>
          <w:trHeight w:val="505" w:hRule="atLeast"/>
          <w:jc w:val="center"/>
        </w:trPr>
        <w:tc>
          <w:tcPr>
            <w:tcW w:w="771" w:type="dxa"/>
            <w:tcBorders>
              <w:top w:val="single" w:color="auto" w:sz="6" w:space="0"/>
              <w:left w:val="single" w:color="auto" w:sz="6" w:space="0"/>
              <w:bottom w:val="single" w:color="auto" w:sz="6" w:space="0"/>
              <w:right w:val="single" w:color="auto" w:sz="6" w:space="0"/>
            </w:tcBorders>
          </w:tcPr>
          <w:p w14:paraId="22B6873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73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73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73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73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74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74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74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74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74E">
        <w:tblPrEx>
          <w:tblCellMar>
            <w:top w:w="0" w:type="dxa"/>
            <w:left w:w="108" w:type="dxa"/>
            <w:bottom w:w="0" w:type="dxa"/>
            <w:right w:w="108" w:type="dxa"/>
          </w:tblCellMar>
        </w:tblPrEx>
        <w:trPr>
          <w:trHeight w:val="421" w:hRule="atLeast"/>
          <w:jc w:val="center"/>
        </w:trPr>
        <w:tc>
          <w:tcPr>
            <w:tcW w:w="771" w:type="dxa"/>
            <w:tcBorders>
              <w:top w:val="single" w:color="auto" w:sz="6" w:space="0"/>
              <w:left w:val="single" w:color="auto" w:sz="6" w:space="0"/>
              <w:bottom w:val="single" w:color="auto" w:sz="6" w:space="0"/>
              <w:right w:val="single" w:color="auto" w:sz="6" w:space="0"/>
            </w:tcBorders>
          </w:tcPr>
          <w:p w14:paraId="22B68745">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74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74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74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74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74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74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74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74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758">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tcPr>
          <w:p w14:paraId="22B6874F">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75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75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752">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753">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75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75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75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75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762">
        <w:tblPrEx>
          <w:tblCellMar>
            <w:top w:w="0" w:type="dxa"/>
            <w:left w:w="108" w:type="dxa"/>
            <w:bottom w:w="0" w:type="dxa"/>
            <w:right w:w="108" w:type="dxa"/>
          </w:tblCellMar>
        </w:tblPrEx>
        <w:trPr>
          <w:trHeight w:val="415" w:hRule="atLeast"/>
          <w:jc w:val="center"/>
        </w:trPr>
        <w:tc>
          <w:tcPr>
            <w:tcW w:w="771" w:type="dxa"/>
            <w:tcBorders>
              <w:top w:val="single" w:color="auto" w:sz="6" w:space="0"/>
              <w:left w:val="single" w:color="auto" w:sz="6" w:space="0"/>
              <w:bottom w:val="single" w:color="auto" w:sz="6" w:space="0"/>
              <w:right w:val="single" w:color="auto" w:sz="6" w:space="0"/>
            </w:tcBorders>
          </w:tcPr>
          <w:p w14:paraId="22B68759">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75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kern w:val="0"/>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75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75C">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75D">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75E">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75F">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760">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761">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r w14:paraId="22B6876C">
        <w:tblPrEx>
          <w:tblCellMar>
            <w:top w:w="0" w:type="dxa"/>
            <w:left w:w="108" w:type="dxa"/>
            <w:bottom w:w="0" w:type="dxa"/>
            <w:right w:w="108" w:type="dxa"/>
          </w:tblCellMar>
        </w:tblPrEx>
        <w:trPr>
          <w:trHeight w:val="445" w:hRule="atLeast"/>
          <w:jc w:val="center"/>
        </w:trPr>
        <w:tc>
          <w:tcPr>
            <w:tcW w:w="771" w:type="dxa"/>
            <w:tcBorders>
              <w:top w:val="single" w:color="auto" w:sz="6" w:space="0"/>
              <w:left w:val="single" w:color="auto" w:sz="6" w:space="0"/>
              <w:bottom w:val="single" w:color="auto" w:sz="6" w:space="0"/>
              <w:right w:val="single" w:color="auto" w:sz="6" w:space="0"/>
            </w:tcBorders>
          </w:tcPr>
          <w:p w14:paraId="22B68763">
            <w:pPr>
              <w:keepNext w:val="0"/>
              <w:keepLines w:val="0"/>
              <w:suppressLineNumbers w:val="0"/>
              <w:wordWrap w:val="0"/>
              <w:autoSpaceDE w:val="0"/>
              <w:autoSpaceDN w:val="0"/>
              <w:spacing w:before="0" w:beforeAutospacing="0" w:after="0" w:afterAutospacing="0" w:line="360" w:lineRule="auto"/>
              <w:ind w:left="0" w:right="0"/>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B68764">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kern w:val="0"/>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B68765">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B68766">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2B68767">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2B68768">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2B68769">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2B6876A">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2B6876B">
            <w:pPr>
              <w:keepNext w:val="0"/>
              <w:keepLines w:val="0"/>
              <w:suppressLineNumbers w:val="0"/>
              <w:wordWrap w:val="0"/>
              <w:autoSpaceDE w:val="0"/>
              <w:autoSpaceDN w:val="0"/>
              <w:spacing w:before="0" w:beforeAutospacing="0" w:after="0" w:afterAutospacing="0" w:line="360" w:lineRule="auto"/>
              <w:ind w:left="0" w:right="0"/>
              <w:rPr>
                <w:rFonts w:hint="eastAsia" w:ascii="仿宋" w:hAnsi="仿宋" w:eastAsia="仿宋" w:cs="仿宋"/>
                <w:color w:val="auto"/>
                <w:sz w:val="24"/>
                <w:highlight w:val="none"/>
              </w:rPr>
            </w:pPr>
          </w:p>
        </w:tc>
      </w:tr>
    </w:tbl>
    <w:p w14:paraId="22B6876D">
      <w:pPr>
        <w:wordWrap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注：须随表提交相应的证明材料（证明材料以资格要求和评标办法要求为准）并注明所在页码。</w:t>
      </w:r>
    </w:p>
    <w:p w14:paraId="22B6876E">
      <w:pPr>
        <w:pStyle w:val="2"/>
        <w:rPr>
          <w:rFonts w:hint="eastAsia" w:ascii="仿宋" w:hAnsi="仿宋" w:eastAsia="仿宋" w:cs="仿宋"/>
          <w:color w:val="auto"/>
          <w:sz w:val="24"/>
          <w:highlight w:val="none"/>
        </w:rPr>
      </w:pPr>
    </w:p>
    <w:p w14:paraId="22B6876F">
      <w:pPr>
        <w:pStyle w:val="3"/>
        <w:ind w:left="5250"/>
        <w:rPr>
          <w:color w:val="auto"/>
          <w:highlight w:val="none"/>
        </w:rPr>
      </w:pPr>
    </w:p>
    <w:p w14:paraId="22B68770">
      <w:pPr>
        <w:pStyle w:val="3"/>
        <w:ind w:left="5250"/>
        <w:rPr>
          <w:color w:val="auto"/>
          <w:highlight w:val="none"/>
        </w:rPr>
      </w:pPr>
    </w:p>
    <w:p w14:paraId="22B68771">
      <w:pPr>
        <w:pStyle w:val="61"/>
        <w:wordWrap w:val="0"/>
        <w:ind w:left="0" w:leftChars="0" w:firstLine="48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14:paraId="22B68772">
      <w:pPr>
        <w:wordWrap w:val="0"/>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p>
    <w:p w14:paraId="22B68773">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br w:type="page"/>
      </w:r>
    </w:p>
    <w:p w14:paraId="22B68774">
      <w:pPr>
        <w:wordWrap w:val="0"/>
        <w:ind w:firstLine="643"/>
        <w:outlineLvl w:val="2"/>
        <w:rPr>
          <w:rFonts w:hint="eastAsia" w:ascii="仿宋" w:hAnsi="仿宋" w:eastAsia="仿宋" w:cs="仿宋"/>
          <w:b/>
          <w:color w:val="auto"/>
          <w:kern w:val="0"/>
          <w:sz w:val="32"/>
          <w:szCs w:val="32"/>
          <w:highlight w:val="none"/>
        </w:rPr>
      </w:pPr>
      <w:bookmarkStart w:id="475" w:name="_Toc11318"/>
      <w:bookmarkStart w:id="476" w:name="_Toc3004"/>
      <w:bookmarkStart w:id="477" w:name="_Toc14279"/>
      <w:bookmarkStart w:id="478" w:name="_Toc9403"/>
      <w:r>
        <w:rPr>
          <w:rFonts w:hint="eastAsia" w:ascii="仿宋" w:hAnsi="仿宋" w:eastAsia="仿宋" w:cs="仿宋"/>
          <w:b/>
          <w:color w:val="auto"/>
          <w:kern w:val="0"/>
          <w:sz w:val="32"/>
          <w:szCs w:val="32"/>
          <w:highlight w:val="none"/>
        </w:rPr>
        <w:t>（五）承诺书</w:t>
      </w:r>
    </w:p>
    <w:p w14:paraId="22B68775">
      <w:pPr>
        <w:spacing w:line="360" w:lineRule="auto"/>
        <w:ind w:firstLine="1506" w:firstLineChars="500"/>
        <w:jc w:val="left"/>
        <w:rPr>
          <w:rFonts w:hint="eastAsia" w:ascii="仿宋" w:hAnsi="仿宋" w:eastAsia="仿宋" w:cs="仿宋"/>
          <w:b/>
          <w:bCs/>
          <w:color w:val="auto"/>
          <w:kern w:val="0"/>
          <w:sz w:val="30"/>
          <w:szCs w:val="30"/>
          <w:highlight w:val="none"/>
        </w:rPr>
      </w:pPr>
    </w:p>
    <w:p w14:paraId="22B68776">
      <w:pPr>
        <w:spacing w:line="360" w:lineRule="auto"/>
        <w:ind w:firstLine="602"/>
        <w:jc w:val="center"/>
        <w:rPr>
          <w:rFonts w:hint="eastAsia" w:ascii="仿宋" w:hAnsi="仿宋" w:eastAsia="仿宋" w:cs="仿宋"/>
          <w:color w:val="auto"/>
          <w:sz w:val="24"/>
          <w:highlight w:val="none"/>
        </w:rPr>
      </w:pPr>
      <w:r>
        <w:rPr>
          <w:rFonts w:hint="eastAsia" w:ascii="仿宋" w:hAnsi="仿宋" w:eastAsia="仿宋" w:cs="仿宋"/>
          <w:b/>
          <w:bCs/>
          <w:color w:val="auto"/>
          <w:kern w:val="0"/>
          <w:sz w:val="30"/>
          <w:szCs w:val="30"/>
          <w:highlight w:val="none"/>
        </w:rPr>
        <w:t>承诺书</w:t>
      </w:r>
    </w:p>
    <w:p w14:paraId="22B6877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杭州市城市水设施和河道保护管理中心：</w:t>
      </w:r>
    </w:p>
    <w:p w14:paraId="22B68778">
      <w:pPr>
        <w:numPr>
          <w:ilvl w:val="255"/>
          <w:numId w:val="0"/>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我单位针对</w:t>
      </w:r>
      <w:r>
        <w:rPr>
          <w:rFonts w:hint="eastAsia" w:ascii="仿宋" w:hAnsi="仿宋" w:eastAsia="仿宋" w:cs="仿宋"/>
          <w:color w:val="auto"/>
          <w:sz w:val="24"/>
          <w:highlight w:val="none"/>
          <w:lang w:eastAsia="zh-CN"/>
        </w:rPr>
        <w:t>胜利河船闸、电厂热水河船闸、姚家坝泵站、施家桥闸站、九沙橡胶坝、九沙和睦闸、九沙东湖闸等养护服务采购项目</w:t>
      </w:r>
      <w:r>
        <w:rPr>
          <w:rFonts w:hint="eastAsia" w:ascii="仿宋" w:hAnsi="仿宋" w:eastAsia="仿宋" w:cs="仿宋"/>
          <w:color w:val="auto"/>
          <w:sz w:val="24"/>
          <w:highlight w:val="none"/>
        </w:rPr>
        <w:t>承诺如下：</w:t>
      </w:r>
    </w:p>
    <w:p w14:paraId="22B68779">
      <w:pPr>
        <w:numPr>
          <w:ilvl w:val="1"/>
          <w:numId w:val="0"/>
        </w:numPr>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本项目拟派项目负责人（填写姓名、身份证号）</w:t>
      </w:r>
      <w:r>
        <w:rPr>
          <w:rFonts w:hint="eastAsia" w:ascii="仿宋" w:hAnsi="仿宋" w:eastAsia="仿宋" w:cs="仿宋"/>
          <w:color w:val="auto"/>
          <w:sz w:val="24"/>
          <w:highlight w:val="none"/>
          <w:lang w:val="en-US" w:eastAsia="zh-CN"/>
        </w:rPr>
        <w:t>承诺按要求参加甲方组织的各类检查、会议、活动等工作</w:t>
      </w:r>
      <w:r>
        <w:rPr>
          <w:rFonts w:hint="eastAsia" w:ascii="仿宋" w:hAnsi="仿宋" w:eastAsia="仿宋" w:cs="仿宋"/>
          <w:color w:val="auto"/>
          <w:sz w:val="24"/>
          <w:highlight w:val="none"/>
        </w:rPr>
        <w:t>。</w:t>
      </w:r>
    </w:p>
    <w:p w14:paraId="22B6877A">
      <w:pPr>
        <w:numPr>
          <w:ilvl w:val="1"/>
          <w:numId w:val="0"/>
        </w:numPr>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2.我单位在投标期间（招标公告发布之日至中标通知书发出之日），资质条件在“浙江省建筑市场监管公共服务系统 ”上动态核查结果处于“合格”状态，若为“不合格 ”状态，同意按视为主动放弃签订合同处理。</w:t>
      </w:r>
    </w:p>
    <w:p w14:paraId="22B6877B">
      <w:pPr>
        <w:numPr>
          <w:ilvl w:val="1"/>
          <w:numId w:val="0"/>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3.近三年内（2022年1月1日起）我单位发生安全事故，造成人员受伤，受伤程度达到《道路交通事故受伤人员伤残评定》或《职工工伤与职业病致残程度鉴定标准》规定的最低标准的有（   ）起；造成人员死亡的有（  ）起。</w:t>
      </w:r>
    </w:p>
    <w:p w14:paraId="22B6877C">
      <w:pPr>
        <w:numPr>
          <w:ilvl w:val="255"/>
          <w:numId w:val="0"/>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4.承诺在接到采购人通知后派遣人员携带所需设施设备、工具材料、物资等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）小时内</w:t>
      </w:r>
      <w:r>
        <w:rPr>
          <w:rFonts w:hint="eastAsia" w:ascii="仿宋" w:hAnsi="仿宋" w:eastAsia="仿宋" w:cs="仿宋"/>
          <w:color w:val="auto"/>
          <w:sz w:val="24"/>
          <w:highlight w:val="none"/>
        </w:rPr>
        <w:t>到达现场开展检修、维修、应急抢修等养护工作</w:t>
      </w:r>
      <w:r>
        <w:rPr>
          <w:rFonts w:hint="eastAsia" w:ascii="仿宋" w:hAnsi="仿宋" w:eastAsia="仿宋" w:cs="仿宋"/>
          <w:color w:val="auto"/>
          <w:sz w:val="24"/>
          <w:highlight w:val="none"/>
          <w:lang w:eastAsia="zh-CN"/>
        </w:rPr>
        <w:t>。</w:t>
      </w:r>
    </w:p>
    <w:p w14:paraId="22B6877F">
      <w:pPr>
        <w:numPr>
          <w:ilvl w:val="255"/>
          <w:numId w:val="0"/>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2B68780">
      <w:pPr>
        <w:pStyle w:val="2"/>
        <w:rPr>
          <w:color w:val="auto"/>
          <w:highlight w:val="none"/>
        </w:rPr>
      </w:pPr>
    </w:p>
    <w:p w14:paraId="009E4956">
      <w:pPr>
        <w:numPr>
          <w:ilvl w:val="255"/>
          <w:numId w:val="0"/>
        </w:numPr>
        <w:spacing w:line="360" w:lineRule="auto"/>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22B68783">
      <w:pPr>
        <w:wordWrap w:val="0"/>
        <w:jc w:val="righ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日期：</w:t>
      </w:r>
    </w:p>
    <w:p w14:paraId="22B68784">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注：1.如中标后发现供应商提供的说明与事实不符合，可认定供应商提供虚假材料以无效标处理并接受贵方上报监管部门所产生的处罚结果</w:t>
      </w:r>
      <w:r>
        <w:rPr>
          <w:rFonts w:hint="eastAsia" w:ascii="仿宋" w:hAnsi="仿宋" w:eastAsia="仿宋" w:cs="仿宋"/>
          <w:color w:val="auto"/>
          <w:sz w:val="24"/>
          <w:highlight w:val="none"/>
          <w:lang w:eastAsia="zh-CN"/>
        </w:rPr>
        <w:t>。</w:t>
      </w:r>
    </w:p>
    <w:p w14:paraId="22B68785">
      <w:pPr>
        <w:ind w:firstLine="643"/>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2B68786">
      <w:pPr>
        <w:wordWrap w:val="0"/>
        <w:ind w:firstLine="643"/>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（六）商务技术偏离表</w:t>
      </w:r>
      <w:bookmarkEnd w:id="475"/>
      <w:bookmarkEnd w:id="476"/>
      <w:bookmarkEnd w:id="477"/>
      <w:bookmarkEnd w:id="478"/>
    </w:p>
    <w:p w14:paraId="22B68787">
      <w:pPr>
        <w:numPr>
          <w:ilvl w:val="255"/>
          <w:numId w:val="0"/>
        </w:numPr>
        <w:wordWrap w:val="0"/>
        <w:jc w:val="left"/>
        <w:rPr>
          <w:rFonts w:hint="eastAsia" w:ascii="仿宋" w:hAnsi="仿宋" w:eastAsia="仿宋" w:cs="仿宋"/>
          <w:b/>
          <w:color w:val="auto"/>
          <w:kern w:val="0"/>
          <w:sz w:val="32"/>
          <w:szCs w:val="32"/>
          <w:highlight w:val="none"/>
        </w:rPr>
      </w:pPr>
    </w:p>
    <w:p w14:paraId="22B68788">
      <w:pPr>
        <w:numPr>
          <w:ilvl w:val="255"/>
          <w:numId w:val="0"/>
        </w:numPr>
        <w:wordWrap w:val="0"/>
        <w:jc w:val="center"/>
        <w:outlineLvl w:val="2"/>
        <w:rPr>
          <w:rFonts w:hint="eastAsia" w:ascii="仿宋" w:hAnsi="仿宋" w:eastAsia="仿宋" w:cs="仿宋"/>
          <w:b/>
          <w:color w:val="auto"/>
          <w:kern w:val="0"/>
          <w:sz w:val="32"/>
          <w:szCs w:val="32"/>
          <w:highlight w:val="none"/>
        </w:rPr>
      </w:pPr>
      <w:bookmarkStart w:id="479" w:name="_Toc1061"/>
      <w:r>
        <w:rPr>
          <w:rFonts w:hint="eastAsia" w:ascii="仿宋" w:hAnsi="仿宋" w:eastAsia="仿宋" w:cs="仿宋"/>
          <w:b/>
          <w:color w:val="auto"/>
          <w:kern w:val="0"/>
          <w:sz w:val="32"/>
          <w:szCs w:val="32"/>
          <w:highlight w:val="none"/>
        </w:rPr>
        <w:t>商务偏离表</w:t>
      </w:r>
      <w:bookmarkEnd w:id="479"/>
    </w:p>
    <w:p w14:paraId="22B68789">
      <w:pPr>
        <w:numPr>
          <w:ilvl w:val="255"/>
          <w:numId w:val="0"/>
        </w:numPr>
        <w:wordWrap w:val="0"/>
        <w:rPr>
          <w:rFonts w:hint="eastAsia" w:ascii="仿宋" w:hAnsi="仿宋" w:eastAsia="仿宋" w:cs="仿宋"/>
          <w:b/>
          <w:color w:val="auto"/>
          <w:kern w:val="0"/>
          <w:sz w:val="32"/>
          <w:szCs w:val="32"/>
          <w:highlight w:val="none"/>
        </w:rPr>
      </w:pPr>
    </w:p>
    <w:tbl>
      <w:tblPr>
        <w:tblStyle w:val="6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678"/>
        <w:gridCol w:w="4993"/>
        <w:gridCol w:w="1430"/>
      </w:tblGrid>
      <w:tr w14:paraId="22B6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65" w:type="dxa"/>
          </w:tcPr>
          <w:p w14:paraId="22B6878A">
            <w:pPr>
              <w:keepNext w:val="0"/>
              <w:keepLines w:val="0"/>
              <w:suppressLineNumbers w:val="0"/>
              <w:wordWrap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678" w:type="dxa"/>
          </w:tcPr>
          <w:p w14:paraId="22B6878B">
            <w:pPr>
              <w:keepNext w:val="0"/>
              <w:keepLines w:val="0"/>
              <w:suppressLineNumbers w:val="0"/>
              <w:wordWrap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4993" w:type="dxa"/>
          </w:tcPr>
          <w:p w14:paraId="22B6878C">
            <w:pPr>
              <w:keepNext w:val="0"/>
              <w:keepLines w:val="0"/>
              <w:suppressLineNumbers w:val="0"/>
              <w:wordWrap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430" w:type="dxa"/>
          </w:tcPr>
          <w:p w14:paraId="22B6878D">
            <w:pPr>
              <w:keepNext w:val="0"/>
              <w:keepLines w:val="0"/>
              <w:suppressLineNumbers w:val="0"/>
              <w:wordWrap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2B6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5" w:type="dxa"/>
            <w:vAlign w:val="center"/>
          </w:tcPr>
          <w:p w14:paraId="22B6878F">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678" w:type="dxa"/>
            <w:vAlign w:val="center"/>
          </w:tcPr>
          <w:p w14:paraId="22B68790">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993" w:type="dxa"/>
          </w:tcPr>
          <w:p w14:paraId="22B68791">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kern w:val="0"/>
                <w:szCs w:val="21"/>
                <w:highlight w:val="none"/>
              </w:rPr>
            </w:pPr>
          </w:p>
        </w:tc>
        <w:tc>
          <w:tcPr>
            <w:tcW w:w="1430" w:type="dxa"/>
          </w:tcPr>
          <w:p w14:paraId="22B68792">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65" w:type="dxa"/>
            <w:vAlign w:val="center"/>
          </w:tcPr>
          <w:p w14:paraId="22B68794">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678" w:type="dxa"/>
            <w:vAlign w:val="center"/>
          </w:tcPr>
          <w:p w14:paraId="22B68795">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993" w:type="dxa"/>
          </w:tcPr>
          <w:p w14:paraId="22B68796">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kern w:val="0"/>
                <w:szCs w:val="21"/>
                <w:highlight w:val="none"/>
              </w:rPr>
            </w:pPr>
          </w:p>
        </w:tc>
        <w:tc>
          <w:tcPr>
            <w:tcW w:w="1430" w:type="dxa"/>
          </w:tcPr>
          <w:p w14:paraId="22B68797">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65" w:type="dxa"/>
            <w:vAlign w:val="center"/>
          </w:tcPr>
          <w:p w14:paraId="22B68799">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678" w:type="dxa"/>
            <w:vAlign w:val="center"/>
          </w:tcPr>
          <w:p w14:paraId="22B6879A">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993" w:type="dxa"/>
          </w:tcPr>
          <w:p w14:paraId="22B6879B">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kern w:val="0"/>
                <w:szCs w:val="21"/>
                <w:highlight w:val="none"/>
              </w:rPr>
            </w:pPr>
          </w:p>
        </w:tc>
        <w:tc>
          <w:tcPr>
            <w:tcW w:w="1430" w:type="dxa"/>
          </w:tcPr>
          <w:p w14:paraId="22B6879C">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65" w:type="dxa"/>
            <w:vAlign w:val="center"/>
          </w:tcPr>
          <w:p w14:paraId="22B6879E">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678" w:type="dxa"/>
            <w:vAlign w:val="center"/>
          </w:tcPr>
          <w:p w14:paraId="22B6879F">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993" w:type="dxa"/>
          </w:tcPr>
          <w:p w14:paraId="22B687A0">
            <w:pPr>
              <w:keepNext w:val="0"/>
              <w:keepLines w:val="0"/>
              <w:suppressLineNumbers w:val="0"/>
              <w:wordWrap w:val="0"/>
              <w:snapToGrid w:val="0"/>
              <w:spacing w:before="0" w:beforeAutospacing="0" w:after="0" w:afterAutospacing="0" w:line="360" w:lineRule="auto"/>
              <w:ind w:left="0" w:right="0"/>
              <w:rPr>
                <w:rFonts w:hint="eastAsia" w:ascii="仿宋" w:hAnsi="仿宋" w:eastAsia="仿宋" w:cs="仿宋"/>
                <w:b/>
                <w:color w:val="auto"/>
                <w:kern w:val="0"/>
                <w:szCs w:val="21"/>
                <w:highlight w:val="none"/>
              </w:rPr>
            </w:pPr>
          </w:p>
        </w:tc>
        <w:tc>
          <w:tcPr>
            <w:tcW w:w="1430" w:type="dxa"/>
          </w:tcPr>
          <w:p w14:paraId="22B687A1">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65" w:type="dxa"/>
            <w:vAlign w:val="center"/>
          </w:tcPr>
          <w:p w14:paraId="22B687A3">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678" w:type="dxa"/>
            <w:vAlign w:val="center"/>
          </w:tcPr>
          <w:p w14:paraId="22B687A4">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4993" w:type="dxa"/>
          </w:tcPr>
          <w:p w14:paraId="22B687A5">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1430" w:type="dxa"/>
          </w:tcPr>
          <w:p w14:paraId="22B687A6">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bl>
    <w:p w14:paraId="22B687A8">
      <w:pPr>
        <w:wordWrap w:val="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注：1.投标人保证：除商务偏离表列出的偏离外，投标人响应招标文件的全部要求。</w:t>
      </w:r>
    </w:p>
    <w:p w14:paraId="22B687A9">
      <w:pPr>
        <w:wordWrap w:val="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2.未填写的视为响应招标文件的全部要求。</w:t>
      </w:r>
    </w:p>
    <w:p w14:paraId="22B687AA">
      <w:pPr>
        <w:numPr>
          <w:ilvl w:val="255"/>
          <w:numId w:val="0"/>
        </w:numPr>
        <w:wordWrap w:val="0"/>
        <w:jc w:val="left"/>
        <w:rPr>
          <w:rFonts w:hint="eastAsia" w:ascii="仿宋" w:hAnsi="仿宋" w:eastAsia="仿宋" w:cs="仿宋"/>
          <w:b/>
          <w:color w:val="auto"/>
          <w:kern w:val="0"/>
          <w:sz w:val="32"/>
          <w:szCs w:val="32"/>
          <w:highlight w:val="none"/>
        </w:rPr>
      </w:pPr>
    </w:p>
    <w:p w14:paraId="22B687AB">
      <w:pPr>
        <w:numPr>
          <w:ilvl w:val="255"/>
          <w:numId w:val="0"/>
        </w:numPr>
        <w:wordWrap w:val="0"/>
        <w:jc w:val="left"/>
        <w:rPr>
          <w:rFonts w:hint="eastAsia" w:ascii="仿宋" w:hAnsi="仿宋" w:eastAsia="仿宋" w:cs="仿宋"/>
          <w:b/>
          <w:color w:val="auto"/>
          <w:kern w:val="0"/>
          <w:sz w:val="32"/>
          <w:szCs w:val="32"/>
          <w:highlight w:val="none"/>
        </w:rPr>
      </w:pPr>
    </w:p>
    <w:p w14:paraId="22B687AC">
      <w:pPr>
        <w:numPr>
          <w:ilvl w:val="255"/>
          <w:numId w:val="0"/>
        </w:numPr>
        <w:wordWrap w:val="0"/>
        <w:jc w:val="left"/>
        <w:rPr>
          <w:rFonts w:hint="eastAsia" w:ascii="仿宋" w:hAnsi="仿宋" w:eastAsia="仿宋" w:cs="仿宋"/>
          <w:b/>
          <w:color w:val="auto"/>
          <w:kern w:val="0"/>
          <w:sz w:val="32"/>
          <w:szCs w:val="32"/>
          <w:highlight w:val="none"/>
        </w:rPr>
      </w:pPr>
    </w:p>
    <w:p w14:paraId="22B687AD">
      <w:pPr>
        <w:numPr>
          <w:ilvl w:val="255"/>
          <w:numId w:val="0"/>
        </w:numPr>
        <w:wordWrap w:val="0"/>
        <w:jc w:val="left"/>
        <w:rPr>
          <w:rFonts w:hint="eastAsia" w:ascii="仿宋" w:hAnsi="仿宋" w:eastAsia="仿宋" w:cs="仿宋"/>
          <w:b/>
          <w:color w:val="auto"/>
          <w:kern w:val="0"/>
          <w:sz w:val="32"/>
          <w:szCs w:val="32"/>
          <w:highlight w:val="none"/>
        </w:rPr>
      </w:pPr>
    </w:p>
    <w:p w14:paraId="22B687AE">
      <w:pPr>
        <w:numPr>
          <w:ilvl w:val="255"/>
          <w:numId w:val="0"/>
        </w:numPr>
        <w:wordWrap w:val="0"/>
        <w:jc w:val="left"/>
        <w:rPr>
          <w:rFonts w:hint="eastAsia" w:ascii="仿宋" w:hAnsi="仿宋" w:eastAsia="仿宋" w:cs="仿宋"/>
          <w:b/>
          <w:color w:val="auto"/>
          <w:kern w:val="0"/>
          <w:sz w:val="32"/>
          <w:szCs w:val="32"/>
          <w:highlight w:val="none"/>
        </w:rPr>
      </w:pPr>
    </w:p>
    <w:p w14:paraId="22B687AF">
      <w:pPr>
        <w:numPr>
          <w:ilvl w:val="255"/>
          <w:numId w:val="0"/>
        </w:numPr>
        <w:wordWrap w:val="0"/>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技术偏离表</w:t>
      </w:r>
    </w:p>
    <w:p w14:paraId="22B687B0">
      <w:pPr>
        <w:pStyle w:val="61"/>
        <w:numPr>
          <w:ilvl w:val="255"/>
          <w:numId w:val="0"/>
        </w:numPr>
        <w:wordWrap w:val="0"/>
        <w:rPr>
          <w:rFonts w:hint="eastAsia" w:ascii="仿宋" w:hAnsi="仿宋" w:eastAsia="仿宋" w:cs="仿宋"/>
          <w:color w:val="auto"/>
          <w:highlight w:val="none"/>
        </w:rPr>
      </w:pPr>
    </w:p>
    <w:tbl>
      <w:tblPr>
        <w:tblStyle w:val="6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667"/>
        <w:gridCol w:w="5015"/>
        <w:gridCol w:w="1430"/>
      </w:tblGrid>
      <w:tr w14:paraId="22B6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54" w:type="dxa"/>
          </w:tcPr>
          <w:p w14:paraId="22B687B1">
            <w:pPr>
              <w:keepNext w:val="0"/>
              <w:keepLines w:val="0"/>
              <w:suppressLineNumbers w:val="0"/>
              <w:wordWrap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667" w:type="dxa"/>
          </w:tcPr>
          <w:p w14:paraId="22B687B2">
            <w:pPr>
              <w:keepNext w:val="0"/>
              <w:keepLines w:val="0"/>
              <w:suppressLineNumbers w:val="0"/>
              <w:wordWrap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5015" w:type="dxa"/>
          </w:tcPr>
          <w:p w14:paraId="22B687B3">
            <w:pPr>
              <w:keepNext w:val="0"/>
              <w:keepLines w:val="0"/>
              <w:suppressLineNumbers w:val="0"/>
              <w:wordWrap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430" w:type="dxa"/>
          </w:tcPr>
          <w:p w14:paraId="22B687B4">
            <w:pPr>
              <w:keepNext w:val="0"/>
              <w:keepLines w:val="0"/>
              <w:suppressLineNumbers w:val="0"/>
              <w:wordWrap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2B68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54" w:type="dxa"/>
            <w:vAlign w:val="center"/>
          </w:tcPr>
          <w:p w14:paraId="22B687B6">
            <w:pPr>
              <w:keepNext w:val="0"/>
              <w:keepLines w:val="0"/>
              <w:suppressLineNumbers w:val="0"/>
              <w:wordWrap w:val="0"/>
              <w:spacing w:before="0" w:beforeAutospacing="0" w:after="0" w:afterAutospacing="0"/>
              <w:ind w:left="0" w:right="0"/>
              <w:rPr>
                <w:rFonts w:hint="eastAsia" w:ascii="仿宋" w:hAnsi="仿宋" w:eastAsia="仿宋" w:cs="仿宋"/>
                <w:color w:val="auto"/>
                <w:kern w:val="0"/>
                <w:sz w:val="24"/>
                <w:highlight w:val="none"/>
              </w:rPr>
            </w:pPr>
          </w:p>
        </w:tc>
        <w:tc>
          <w:tcPr>
            <w:tcW w:w="1667" w:type="dxa"/>
            <w:vAlign w:val="center"/>
          </w:tcPr>
          <w:p w14:paraId="22B687B7">
            <w:pPr>
              <w:pStyle w:val="25"/>
              <w:keepNext w:val="0"/>
              <w:keepLines w:val="0"/>
              <w:suppressLineNumbers w:val="0"/>
              <w:wordWrap w:val="0"/>
              <w:spacing w:before="0" w:beforeAutospacing="0" w:after="0" w:afterAutospacing="0"/>
              <w:ind w:left="0" w:right="0"/>
              <w:rPr>
                <w:rFonts w:hint="eastAsia" w:ascii="仿宋" w:hAnsi="仿宋" w:eastAsia="仿宋" w:cs="仿宋"/>
                <w:b/>
                <w:color w:val="auto"/>
                <w:kern w:val="0"/>
                <w:sz w:val="32"/>
                <w:szCs w:val="32"/>
                <w:highlight w:val="none"/>
              </w:rPr>
            </w:pPr>
          </w:p>
        </w:tc>
        <w:tc>
          <w:tcPr>
            <w:tcW w:w="5015" w:type="dxa"/>
          </w:tcPr>
          <w:p w14:paraId="22B687B8">
            <w:pPr>
              <w:pStyle w:val="25"/>
              <w:keepNext w:val="0"/>
              <w:keepLines w:val="0"/>
              <w:suppressLineNumbers w:val="0"/>
              <w:wordWrap w:val="0"/>
              <w:spacing w:before="0" w:beforeAutospacing="0" w:after="0" w:afterAutospacing="0"/>
              <w:ind w:left="0" w:right="0"/>
              <w:rPr>
                <w:rFonts w:hint="eastAsia" w:ascii="仿宋" w:hAnsi="仿宋" w:eastAsia="仿宋" w:cs="仿宋"/>
                <w:b/>
                <w:color w:val="auto"/>
                <w:kern w:val="0"/>
                <w:sz w:val="21"/>
                <w:highlight w:val="none"/>
              </w:rPr>
            </w:pPr>
          </w:p>
        </w:tc>
        <w:tc>
          <w:tcPr>
            <w:tcW w:w="1430" w:type="dxa"/>
          </w:tcPr>
          <w:p w14:paraId="22B687B9">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4" w:type="dxa"/>
            <w:vAlign w:val="center"/>
          </w:tcPr>
          <w:p w14:paraId="22B687BB">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667" w:type="dxa"/>
            <w:vAlign w:val="center"/>
          </w:tcPr>
          <w:p w14:paraId="22B687BC">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015" w:type="dxa"/>
          </w:tcPr>
          <w:p w14:paraId="22B687BD">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kern w:val="0"/>
                <w:szCs w:val="21"/>
                <w:highlight w:val="none"/>
              </w:rPr>
            </w:pPr>
          </w:p>
        </w:tc>
        <w:tc>
          <w:tcPr>
            <w:tcW w:w="1430" w:type="dxa"/>
          </w:tcPr>
          <w:p w14:paraId="22B687BE">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54" w:type="dxa"/>
            <w:vAlign w:val="center"/>
          </w:tcPr>
          <w:p w14:paraId="22B687C0">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667" w:type="dxa"/>
            <w:vAlign w:val="center"/>
          </w:tcPr>
          <w:p w14:paraId="22B687C1">
            <w:pPr>
              <w:keepNext w:val="0"/>
              <w:keepLines w:val="0"/>
              <w:suppressLineNumbers w:val="0"/>
              <w:wordWrap w:val="0"/>
              <w:spacing w:before="0" w:beforeAutospacing="0" w:after="0" w:afterAutospacing="0"/>
              <w:ind w:left="0" w:right="0"/>
              <w:jc w:val="center"/>
              <w:rPr>
                <w:rFonts w:hint="eastAsia" w:ascii="仿宋" w:hAnsi="仿宋" w:eastAsia="仿宋" w:cs="仿宋"/>
                <w:b/>
                <w:bCs/>
                <w:color w:val="auto"/>
                <w:sz w:val="24"/>
                <w:highlight w:val="none"/>
              </w:rPr>
            </w:pPr>
          </w:p>
        </w:tc>
        <w:tc>
          <w:tcPr>
            <w:tcW w:w="5015" w:type="dxa"/>
          </w:tcPr>
          <w:p w14:paraId="22B687C2">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Cs w:val="21"/>
                <w:highlight w:val="none"/>
              </w:rPr>
            </w:pPr>
          </w:p>
        </w:tc>
        <w:tc>
          <w:tcPr>
            <w:tcW w:w="1430" w:type="dxa"/>
          </w:tcPr>
          <w:p w14:paraId="22B687C3">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14:paraId="22B6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54" w:type="dxa"/>
          </w:tcPr>
          <w:p w14:paraId="22B687C5">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667" w:type="dxa"/>
          </w:tcPr>
          <w:p w14:paraId="22B687C6">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5015" w:type="dxa"/>
          </w:tcPr>
          <w:p w14:paraId="22B687C7">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1430" w:type="dxa"/>
          </w:tcPr>
          <w:p w14:paraId="22B687C8">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bl>
    <w:p w14:paraId="22B687CA">
      <w:pPr>
        <w:wordWrap w:val="0"/>
        <w:jc w:val="left"/>
        <w:rPr>
          <w:rFonts w:hint="eastAsia" w:ascii="仿宋" w:hAnsi="仿宋" w:eastAsia="仿宋" w:cs="仿宋"/>
          <w:color w:val="auto"/>
          <w:kern w:val="0"/>
          <w:sz w:val="24"/>
          <w:highlight w:val="none"/>
        </w:rPr>
      </w:pPr>
      <w:r>
        <w:rPr>
          <w:rFonts w:hint="eastAsia" w:ascii="仿宋" w:hAnsi="仿宋" w:eastAsia="仿宋" w:cs="仿宋"/>
          <w:color w:val="auto"/>
          <w:highlight w:val="none"/>
        </w:rPr>
        <w:t>注：</w:t>
      </w:r>
      <w:r>
        <w:rPr>
          <w:rFonts w:hint="eastAsia" w:ascii="仿宋" w:hAnsi="仿宋" w:eastAsia="仿宋" w:cs="仿宋"/>
          <w:color w:val="auto"/>
          <w:kern w:val="0"/>
          <w:sz w:val="24"/>
          <w:highlight w:val="none"/>
        </w:rPr>
        <w:t>1.投标人保证：除技术偏离表列出的偏离外，投标人响应招标文件的全部要求。</w:t>
      </w:r>
    </w:p>
    <w:p w14:paraId="22B687CB">
      <w:pPr>
        <w:wordWrap w:val="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2.未填写的视为响应招标文件的全部要求。</w:t>
      </w:r>
    </w:p>
    <w:p w14:paraId="22B687CC">
      <w:pPr>
        <w:pStyle w:val="79"/>
        <w:wordWrap w:val="0"/>
        <w:spacing w:line="360" w:lineRule="auto"/>
        <w:rPr>
          <w:rFonts w:hint="eastAsia" w:ascii="仿宋" w:hAnsi="仿宋" w:eastAsia="仿宋" w:cs="仿宋"/>
          <w:color w:val="auto"/>
          <w:highlight w:val="none"/>
        </w:rPr>
      </w:pPr>
    </w:p>
    <w:p w14:paraId="22B687CD">
      <w:pPr>
        <w:wordWrap w:val="0"/>
        <w:ind w:firstLine="643"/>
        <w:rPr>
          <w:rFonts w:hint="eastAsia" w:ascii="仿宋" w:hAnsi="仿宋" w:eastAsia="仿宋" w:cs="仿宋"/>
          <w:b/>
          <w:color w:val="auto"/>
          <w:kern w:val="0"/>
          <w:sz w:val="32"/>
          <w:szCs w:val="32"/>
          <w:highlight w:val="none"/>
        </w:rPr>
      </w:pPr>
    </w:p>
    <w:p w14:paraId="22B687CE">
      <w:pPr>
        <w:ind w:firstLine="643"/>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2B687CF">
      <w:pPr>
        <w:wordWrap w:val="0"/>
        <w:ind w:firstLine="1911" w:firstLineChars="595"/>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w:t>
      </w:r>
      <w:r>
        <w:rPr>
          <w:rFonts w:hint="eastAsia" w:ascii="仿宋" w:hAnsi="仿宋" w:eastAsia="仿宋" w:cs="仿宋"/>
          <w:b/>
          <w:color w:val="auto"/>
          <w:kern w:val="0"/>
          <w:sz w:val="32"/>
          <w:szCs w:val="32"/>
          <w:highlight w:val="none"/>
          <w:lang w:val="zh-CN"/>
        </w:rPr>
        <w:t>政府采购供应商廉洁自律承诺书</w:t>
      </w:r>
    </w:p>
    <w:p w14:paraId="22B687D0">
      <w:pPr>
        <w:wordWrap w:val="0"/>
        <w:snapToGrid w:val="0"/>
        <w:spacing w:line="360" w:lineRule="auto"/>
        <w:rPr>
          <w:rFonts w:hint="eastAsia" w:ascii="仿宋" w:hAnsi="仿宋" w:eastAsia="仿宋" w:cs="仿宋"/>
          <w:color w:val="auto"/>
          <w:sz w:val="24"/>
          <w:highlight w:val="none"/>
        </w:rPr>
      </w:pPr>
    </w:p>
    <w:p w14:paraId="22B687D1">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杭州市城市水设施和河道保护管理中心、浙江省成套工程有限公司</w:t>
      </w:r>
      <w:r>
        <w:rPr>
          <w:rFonts w:hint="eastAsia" w:ascii="仿宋" w:hAnsi="仿宋" w:eastAsia="仿宋" w:cs="仿宋"/>
          <w:color w:val="auto"/>
          <w:kern w:val="0"/>
          <w:sz w:val="24"/>
          <w:highlight w:val="none"/>
          <w:lang w:val="zh-CN"/>
        </w:rPr>
        <w:t>：</w:t>
      </w:r>
    </w:p>
    <w:p w14:paraId="22B687D2">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22B687D3">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2B687D4">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2B687D5">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2B687D6">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22B687D7">
      <w:pPr>
        <w:wordWrap w:val="0"/>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2B687D8">
      <w:pPr>
        <w:wordWrap w:val="0"/>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2B687D9">
      <w:pPr>
        <w:numPr>
          <w:ilvl w:val="0"/>
          <w:numId w:val="12"/>
        </w:numPr>
        <w:wordWrap w:val="0"/>
        <w:autoSpaceDE w:val="0"/>
        <w:autoSpaceDN w:val="0"/>
        <w:spacing w:line="360" w:lineRule="auto"/>
        <w:ind w:left="481" w:leftChars="229"/>
        <w:jc w:val="left"/>
        <w:rPr>
          <w:rFonts w:hint="eastAsia" w:ascii="仿宋" w:hAnsi="仿宋" w:eastAsia="仿宋" w:cs="仿宋"/>
          <w:color w:val="auto"/>
          <w:sz w:val="24"/>
          <w:highlight w:val="none"/>
          <w:lang w:val="zh-CN"/>
        </w:rPr>
      </w:pPr>
      <w:r>
        <w:rPr>
          <w:rFonts w:hint="eastAsia" w:ascii="仿宋" w:hAnsi="仿宋" w:eastAsia="仿宋" w:cs="仿宋"/>
          <w:color w:val="auto"/>
          <w:kern w:val="0"/>
          <w:sz w:val="24"/>
          <w:highlight w:val="none"/>
          <w:lang w:val="zh-CN"/>
        </w:rPr>
        <w:t>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w:t>
      </w:r>
    </w:p>
    <w:p w14:paraId="22B687DA">
      <w:pPr>
        <w:wordWrap w:val="0"/>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lang w:val="zh-CN"/>
        </w:rPr>
        <w:t>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22B687DB">
      <w:pPr>
        <w:wordWrap w:val="0"/>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进行项目建设或其他经营活动，并通报财政局。由此引起的相应损失均由我单位承担。</w:t>
      </w:r>
    </w:p>
    <w:p w14:paraId="22B687DC">
      <w:pPr>
        <w:wordWrap w:val="0"/>
        <w:autoSpaceDE w:val="0"/>
        <w:autoSpaceDN w:val="0"/>
        <w:spacing w:line="360" w:lineRule="auto"/>
        <w:ind w:left="2"/>
        <w:jc w:val="left"/>
        <w:rPr>
          <w:rFonts w:hint="eastAsia" w:ascii="仿宋" w:hAnsi="仿宋" w:eastAsia="仿宋" w:cs="仿宋"/>
          <w:color w:val="auto"/>
          <w:kern w:val="0"/>
          <w:sz w:val="24"/>
          <w:highlight w:val="none"/>
          <w:lang w:val="zh-CN"/>
        </w:rPr>
      </w:pPr>
    </w:p>
    <w:p w14:paraId="22B687DD">
      <w:pPr>
        <w:wordWrap w:val="0"/>
        <w:autoSpaceDE w:val="0"/>
        <w:autoSpaceDN w:val="0"/>
        <w:spacing w:line="360" w:lineRule="auto"/>
        <w:ind w:left="2"/>
        <w:jc w:val="left"/>
        <w:rPr>
          <w:rFonts w:hint="eastAsia" w:ascii="仿宋" w:hAnsi="仿宋" w:eastAsia="仿宋" w:cs="仿宋"/>
          <w:color w:val="auto"/>
          <w:kern w:val="0"/>
          <w:sz w:val="24"/>
          <w:highlight w:val="none"/>
          <w:lang w:val="zh-CN"/>
        </w:rPr>
      </w:pPr>
    </w:p>
    <w:p w14:paraId="22B687DE">
      <w:pPr>
        <w:wordWrap w:val="0"/>
        <w:autoSpaceDE w:val="0"/>
        <w:autoSpaceDN w:val="0"/>
        <w:spacing w:line="360" w:lineRule="auto"/>
        <w:ind w:left="2"/>
        <w:jc w:val="right"/>
        <w:rPr>
          <w:rFonts w:hint="eastAsia" w:ascii="仿宋" w:hAnsi="仿宋" w:eastAsia="仿宋" w:cs="仿宋"/>
          <w:color w:val="auto"/>
          <w:kern w:val="0"/>
          <w:sz w:val="24"/>
          <w:highlight w:val="none"/>
          <w:lang w:val="zh-CN"/>
        </w:rPr>
      </w:pPr>
    </w:p>
    <w:p w14:paraId="22B687DF">
      <w:pPr>
        <w:autoSpaceDE w:val="0"/>
        <w:autoSpaceDN w:val="0"/>
        <w:spacing w:line="360" w:lineRule="auto"/>
        <w:ind w:right="1120"/>
        <w:jc w:val="righ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                                                         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2B687E0">
      <w:pPr>
        <w:wordWrap w:val="0"/>
        <w:spacing w:line="360" w:lineRule="auto"/>
        <w:ind w:firstLine="482"/>
        <w:jc w:val="center"/>
        <w:rPr>
          <w:rFonts w:hint="eastAsia" w:ascii="仿宋" w:hAnsi="仿宋" w:eastAsia="仿宋" w:cs="仿宋"/>
          <w:b/>
          <w:bCs/>
          <w:color w:val="auto"/>
          <w:sz w:val="24"/>
          <w:highlight w:val="none"/>
        </w:rPr>
      </w:pPr>
    </w:p>
    <w:p w14:paraId="285533BB">
      <w:pPr>
        <w:wordWrap w:val="0"/>
        <w:spacing w:line="360" w:lineRule="auto"/>
        <w:ind w:firstLine="482"/>
        <w:jc w:val="center"/>
        <w:rPr>
          <w:rFonts w:hint="eastAsia" w:ascii="仿宋" w:hAnsi="仿宋" w:eastAsia="仿宋" w:cs="仿宋"/>
          <w:b/>
          <w:bCs/>
          <w:color w:val="auto"/>
          <w:sz w:val="24"/>
          <w:highlight w:val="none"/>
        </w:rPr>
        <w:sectPr>
          <w:pgSz w:w="11905" w:h="16838"/>
          <w:pgMar w:top="652" w:right="1417" w:bottom="680" w:left="1417" w:header="539" w:footer="425" w:gutter="0"/>
          <w:cols w:space="0" w:num="1"/>
          <w:titlePg/>
          <w:docGrid w:linePitch="312" w:charSpace="0"/>
        </w:sectPr>
      </w:pPr>
    </w:p>
    <w:p w14:paraId="22B687E2">
      <w:pPr>
        <w:wordWrap w:val="0"/>
        <w:spacing w:line="360" w:lineRule="auto"/>
        <w:ind w:firstLine="723"/>
        <w:jc w:val="center"/>
        <w:rPr>
          <w:rFonts w:hint="eastAsia" w:ascii="仿宋" w:hAnsi="仿宋" w:eastAsia="仿宋" w:cs="仿宋"/>
          <w:b/>
          <w:color w:val="auto"/>
          <w:kern w:val="0"/>
          <w:sz w:val="36"/>
          <w:szCs w:val="36"/>
          <w:highlight w:val="none"/>
        </w:rPr>
      </w:pPr>
    </w:p>
    <w:p w14:paraId="22B687E3">
      <w:pPr>
        <w:wordWrap w:val="0"/>
        <w:spacing w:line="360" w:lineRule="auto"/>
        <w:ind w:firstLine="723"/>
        <w:jc w:val="center"/>
        <w:outlineLvl w:val="2"/>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22B687E4">
      <w:pPr>
        <w:wordWrap w:val="0"/>
        <w:spacing w:line="360" w:lineRule="auto"/>
        <w:ind w:firstLine="723"/>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2B687E5">
      <w:pPr>
        <w:wordWrap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22B687E6">
      <w:pPr>
        <w:numPr>
          <w:ilvl w:val="255"/>
          <w:numId w:val="0"/>
        </w:numPr>
        <w:adjustRightInd/>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（2）报价情况说明（如供应商报价低于最高限价50%的，应当提交本文档，详细阐述不影响服务质量或者诚信履约的具体原因）………………………………………（页码）</w:t>
      </w:r>
    </w:p>
    <w:p w14:paraId="22B687E7">
      <w:pPr>
        <w:numPr>
          <w:ilvl w:val="255"/>
          <w:numId w:val="0"/>
        </w:numPr>
        <w:adjustRightInd/>
        <w:snapToGrid w:val="0"/>
        <w:spacing w:line="360" w:lineRule="auto"/>
        <w:jc w:val="left"/>
        <w:rPr>
          <w:rFonts w:hint="eastAsia" w:ascii="仿宋" w:hAnsi="仿宋" w:eastAsia="仿宋" w:cs="仿宋"/>
          <w:color w:val="auto"/>
          <w:highlight w:val="none"/>
        </w:rPr>
      </w:pPr>
      <w:r>
        <w:rPr>
          <w:rFonts w:hint="eastAsia" w:ascii="仿宋" w:hAnsi="仿宋" w:eastAsia="仿宋" w:cs="仿宋"/>
          <w:color w:val="auto"/>
          <w:sz w:val="24"/>
          <w:highlight w:val="none"/>
        </w:rPr>
        <w:t>（3）供应商针对报价需要说明的其他文件和说明………………………………（页码）</w:t>
      </w:r>
    </w:p>
    <w:p w14:paraId="22B687E8">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E9">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EA">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EB">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EC">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ED">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EE">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EF">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F0">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F1">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F2">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F3">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F4">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22B687F5">
      <w:pPr>
        <w:wordWrap w:val="0"/>
        <w:snapToGrid w:val="0"/>
        <w:spacing w:line="360" w:lineRule="auto"/>
        <w:ind w:right="480" w:firstLine="643"/>
        <w:jc w:val="center"/>
        <w:rPr>
          <w:rFonts w:hint="eastAsia" w:ascii="仿宋" w:hAnsi="仿宋" w:eastAsia="仿宋" w:cs="仿宋"/>
          <w:b/>
          <w:color w:val="auto"/>
          <w:kern w:val="0"/>
          <w:sz w:val="32"/>
          <w:szCs w:val="32"/>
          <w:highlight w:val="none"/>
        </w:rPr>
      </w:pPr>
    </w:p>
    <w:p w14:paraId="77474DE1">
      <w:pPr>
        <w:pStyle w:val="692"/>
        <w:keepNext w:val="0"/>
        <w:pageBreakBefore w:val="0"/>
        <w:tabs>
          <w:tab w:val="clear" w:pos="720"/>
        </w:tabs>
        <w:wordWrap w:val="0"/>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5" w:h="16838"/>
          <w:pgMar w:top="652" w:right="1417" w:bottom="680" w:left="1417" w:header="539" w:footer="425" w:gutter="0"/>
          <w:cols w:space="0" w:num="1"/>
          <w:titlePg/>
          <w:docGrid w:linePitch="312" w:charSpace="0"/>
        </w:sectPr>
      </w:pPr>
    </w:p>
    <w:p w14:paraId="22B687F7">
      <w:pPr>
        <w:pStyle w:val="692"/>
        <w:keepNext w:val="0"/>
        <w:tabs>
          <w:tab w:val="clear" w:pos="720"/>
        </w:tabs>
        <w:wordWrap w:val="0"/>
        <w:snapToGrid w:val="0"/>
        <w:spacing w:before="120" w:after="120"/>
        <w:ind w:firstLine="643"/>
        <w:outlineLvl w:val="2"/>
        <w:rPr>
          <w:rFonts w:hint="eastAsia" w:ascii="仿宋" w:hAnsi="仿宋" w:eastAsia="仿宋" w:cs="仿宋"/>
          <w:color w:val="auto"/>
          <w:kern w:val="2"/>
          <w:sz w:val="32"/>
          <w:szCs w:val="32"/>
          <w:highlight w:val="none"/>
        </w:rPr>
      </w:pPr>
      <w:bookmarkStart w:id="480" w:name="_Toc11634"/>
      <w:bookmarkStart w:id="481" w:name="_Toc22252"/>
      <w:bookmarkStart w:id="482" w:name="_Toc4192"/>
      <w:bookmarkStart w:id="483" w:name="_Toc10436"/>
      <w:bookmarkStart w:id="484" w:name="_Toc4763"/>
      <w:bookmarkStart w:id="485" w:name="_Toc14192"/>
      <w:bookmarkStart w:id="486" w:name="_Toc7330"/>
      <w:bookmarkStart w:id="487" w:name="_Toc8787"/>
      <w:bookmarkStart w:id="488" w:name="_Toc23456"/>
      <w:r>
        <w:rPr>
          <w:rFonts w:hint="eastAsia" w:ascii="仿宋" w:hAnsi="仿宋" w:eastAsia="仿宋" w:cs="仿宋"/>
          <w:color w:val="auto"/>
          <w:kern w:val="2"/>
          <w:sz w:val="32"/>
          <w:szCs w:val="32"/>
          <w:highlight w:val="none"/>
        </w:rPr>
        <w:t>一、开标一览表（报价表）</w:t>
      </w:r>
      <w:bookmarkEnd w:id="480"/>
      <w:bookmarkEnd w:id="481"/>
      <w:bookmarkEnd w:id="482"/>
      <w:bookmarkEnd w:id="483"/>
      <w:bookmarkEnd w:id="484"/>
      <w:bookmarkEnd w:id="485"/>
      <w:bookmarkEnd w:id="486"/>
      <w:bookmarkEnd w:id="487"/>
      <w:bookmarkEnd w:id="488"/>
    </w:p>
    <w:p w14:paraId="22B687F8">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杭州市城市水设施和河道保护管理中心、浙江省成套工程有限公司</w:t>
      </w:r>
      <w:r>
        <w:rPr>
          <w:rFonts w:hint="eastAsia" w:ascii="仿宋" w:hAnsi="仿宋" w:eastAsia="仿宋" w:cs="仿宋"/>
          <w:color w:val="auto"/>
          <w:kern w:val="0"/>
          <w:sz w:val="24"/>
          <w:highlight w:val="none"/>
          <w:lang w:val="zh-CN"/>
        </w:rPr>
        <w:t>：</w:t>
      </w:r>
    </w:p>
    <w:p w14:paraId="22B687F9">
      <w:pPr>
        <w:wordWrap w:val="0"/>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w:t>
      </w:r>
    </w:p>
    <w:p w14:paraId="22B687FA">
      <w:pPr>
        <w:wordWrap w:val="0"/>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如你方接受本投标，我方承诺按照如下开标一览表（报价表）的价格完成</w:t>
      </w:r>
      <w:r>
        <w:rPr>
          <w:rFonts w:hint="eastAsia" w:ascii="仿宋" w:hAnsi="仿宋" w:eastAsia="仿宋" w:cs="仿宋"/>
          <w:color w:val="auto"/>
          <w:sz w:val="24"/>
          <w:highlight w:val="none"/>
          <w:u w:val="single"/>
          <w:lang w:eastAsia="zh-CN"/>
        </w:rPr>
        <w:t>胜利河船闸、电厂热水河船闸、姚家坝泵站、施家桥闸站、九沙橡胶坝、九沙和睦闸、九沙东湖闸等养护服务采购项目</w:t>
      </w:r>
      <w:r>
        <w:rPr>
          <w:rFonts w:hint="eastAsia" w:ascii="仿宋" w:hAnsi="仿宋" w:eastAsia="仿宋" w:cs="仿宋"/>
          <w:color w:val="auto"/>
          <w:kern w:val="0"/>
          <w:sz w:val="24"/>
          <w:highlight w:val="none"/>
          <w:u w:val="single"/>
          <w:lang w:val="zh-CN"/>
        </w:rPr>
        <w:t>【</w:t>
      </w:r>
      <w:r>
        <w:rPr>
          <w:rFonts w:hint="eastAsia" w:ascii="仿宋" w:hAnsi="仿宋" w:eastAsia="仿宋" w:cs="仿宋"/>
          <w:color w:val="auto"/>
          <w:kern w:val="0"/>
          <w:sz w:val="24"/>
          <w:highlight w:val="none"/>
          <w:u w:val="single"/>
        </w:rPr>
        <w:t>项目</w:t>
      </w:r>
      <w:r>
        <w:rPr>
          <w:rFonts w:hint="eastAsia" w:ascii="仿宋" w:hAnsi="仿宋" w:eastAsia="仿宋" w:cs="仿宋"/>
          <w:color w:val="auto"/>
          <w:kern w:val="0"/>
          <w:sz w:val="24"/>
          <w:highlight w:val="none"/>
          <w:u w:val="single"/>
          <w:lang w:val="zh-CN"/>
        </w:rPr>
        <w:t>编号：</w:t>
      </w:r>
      <w:r>
        <w:rPr>
          <w:rFonts w:hint="eastAsia" w:ascii="仿宋" w:hAnsi="仿宋" w:eastAsia="仿宋" w:cs="仿宋"/>
          <w:color w:val="auto"/>
          <w:kern w:val="0"/>
          <w:sz w:val="24"/>
          <w:highlight w:val="none"/>
          <w:u w:val="single"/>
          <w:lang w:eastAsia="zh-CN"/>
        </w:rPr>
        <w:t>ZJCT6-HD2025-03</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22B687FB">
      <w:pPr>
        <w:wordWrap w:val="0"/>
        <w:spacing w:line="360" w:lineRule="auto"/>
        <w:ind w:firstLine="482"/>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2860"/>
        <w:gridCol w:w="1352"/>
        <w:gridCol w:w="896"/>
        <w:gridCol w:w="1050"/>
        <w:gridCol w:w="822"/>
        <w:gridCol w:w="1320"/>
        <w:gridCol w:w="568"/>
      </w:tblGrid>
      <w:tr w14:paraId="554D6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9" w:type="pct"/>
            <w:vAlign w:val="center"/>
          </w:tcPr>
          <w:p w14:paraId="554D63A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1541" w:type="pct"/>
            <w:vAlign w:val="center"/>
          </w:tcPr>
          <w:p w14:paraId="554D63A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闸站名称</w:t>
            </w:r>
          </w:p>
        </w:tc>
        <w:tc>
          <w:tcPr>
            <w:tcW w:w="729" w:type="pct"/>
            <w:vAlign w:val="center"/>
          </w:tcPr>
          <w:p w14:paraId="554D63A2">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lang w:bidi="ar"/>
              </w:rPr>
              <w:t>定额费用</w:t>
            </w:r>
          </w:p>
          <w:p w14:paraId="554D63A3">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
                <w:bCs/>
                <w:color w:val="auto"/>
                <w:kern w:val="0"/>
                <w:szCs w:val="21"/>
                <w:highlight w:val="none"/>
                <w:lang w:bidi="ar"/>
              </w:rPr>
              <w:t>（元/年）</w:t>
            </w:r>
          </w:p>
        </w:tc>
        <w:tc>
          <w:tcPr>
            <w:tcW w:w="483" w:type="pct"/>
            <w:vAlign w:val="center"/>
          </w:tcPr>
          <w:p w14:paraId="554D63A4">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bidi="ar"/>
              </w:rPr>
              <w:t>下浮率</w:t>
            </w:r>
          </w:p>
          <w:p w14:paraId="554D63A5">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
                <w:bCs/>
                <w:color w:val="auto"/>
                <w:kern w:val="0"/>
                <w:szCs w:val="21"/>
                <w:highlight w:val="none"/>
                <w:lang w:bidi="ar"/>
              </w:rPr>
              <w:t>（%）</w:t>
            </w:r>
          </w:p>
        </w:tc>
        <w:tc>
          <w:tcPr>
            <w:tcW w:w="566" w:type="pct"/>
            <w:vAlign w:val="center"/>
          </w:tcPr>
          <w:p w14:paraId="554D63A6">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年养护费（元/年）</w:t>
            </w:r>
          </w:p>
        </w:tc>
        <w:tc>
          <w:tcPr>
            <w:tcW w:w="443" w:type="pct"/>
            <w:vAlign w:val="center"/>
          </w:tcPr>
          <w:p w14:paraId="554D63A7">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服务期（年）</w:t>
            </w:r>
          </w:p>
        </w:tc>
        <w:tc>
          <w:tcPr>
            <w:tcW w:w="712" w:type="pct"/>
            <w:vAlign w:val="center"/>
          </w:tcPr>
          <w:p w14:paraId="554D63A8">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三年总养护费（元）</w:t>
            </w:r>
          </w:p>
        </w:tc>
        <w:tc>
          <w:tcPr>
            <w:tcW w:w="302" w:type="pct"/>
            <w:vAlign w:val="center"/>
          </w:tcPr>
          <w:p w14:paraId="554D63A9">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备注</w:t>
            </w:r>
          </w:p>
        </w:tc>
      </w:tr>
      <w:tr w14:paraId="554D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9" w:type="pct"/>
            <w:vAlign w:val="center"/>
          </w:tcPr>
          <w:p w14:paraId="554D63A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p>
        </w:tc>
        <w:tc>
          <w:tcPr>
            <w:tcW w:w="1541" w:type="pct"/>
            <w:vAlign w:val="center"/>
          </w:tcPr>
          <w:p w14:paraId="554D63A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p>
        </w:tc>
        <w:tc>
          <w:tcPr>
            <w:tcW w:w="729" w:type="pct"/>
            <w:vAlign w:val="center"/>
          </w:tcPr>
          <w:p w14:paraId="554D63A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w:t>
            </w:r>
          </w:p>
        </w:tc>
        <w:tc>
          <w:tcPr>
            <w:tcW w:w="483" w:type="pct"/>
            <w:vAlign w:val="center"/>
          </w:tcPr>
          <w:p w14:paraId="554D63A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（2）</w:t>
            </w:r>
          </w:p>
        </w:tc>
        <w:tc>
          <w:tcPr>
            <w:tcW w:w="566" w:type="pct"/>
            <w:vAlign w:val="center"/>
          </w:tcPr>
          <w:p w14:paraId="554D63A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（3）</w:t>
            </w:r>
          </w:p>
        </w:tc>
        <w:tc>
          <w:tcPr>
            <w:tcW w:w="443" w:type="pct"/>
            <w:vAlign w:val="center"/>
          </w:tcPr>
          <w:p w14:paraId="554D63B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w:t>
            </w:r>
          </w:p>
        </w:tc>
        <w:tc>
          <w:tcPr>
            <w:tcW w:w="712" w:type="pct"/>
            <w:vAlign w:val="center"/>
          </w:tcPr>
          <w:p w14:paraId="554D63B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（5）</w:t>
            </w:r>
          </w:p>
        </w:tc>
        <w:tc>
          <w:tcPr>
            <w:tcW w:w="302" w:type="pct"/>
            <w:vAlign w:val="center"/>
          </w:tcPr>
          <w:p w14:paraId="554D63B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p>
        </w:tc>
      </w:tr>
      <w:tr w14:paraId="554D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9" w:type="pct"/>
            <w:vMerge w:val="restart"/>
            <w:vAlign w:val="center"/>
          </w:tcPr>
          <w:p w14:paraId="554D63B4">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541" w:type="pct"/>
            <w:shd w:val="clear" w:color="auto" w:fill="auto"/>
            <w:vAlign w:val="center"/>
          </w:tcPr>
          <w:p w14:paraId="554D63B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 w:val="20"/>
                <w:szCs w:val="20"/>
                <w:highlight w:val="none"/>
                <w:lang w:bidi="ar"/>
              </w:rPr>
              <w:t>胜利河船闸</w:t>
            </w:r>
          </w:p>
        </w:tc>
        <w:tc>
          <w:tcPr>
            <w:tcW w:w="729" w:type="pct"/>
            <w:vMerge w:val="restart"/>
            <w:vAlign w:val="center"/>
          </w:tcPr>
          <w:p w14:paraId="554D63B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default" w:ascii="仿宋" w:hAnsi="仿宋" w:eastAsia="仿宋" w:cs="仿宋"/>
                <w:color w:val="auto"/>
                <w:szCs w:val="21"/>
                <w:highlight w:val="none"/>
              </w:rPr>
              <w:t>686748.18</w:t>
            </w:r>
          </w:p>
        </w:tc>
        <w:tc>
          <w:tcPr>
            <w:tcW w:w="483" w:type="pct"/>
            <w:vMerge w:val="restart"/>
            <w:vAlign w:val="center"/>
          </w:tcPr>
          <w:p w14:paraId="554D63B7">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66" w:type="pct"/>
            <w:vMerge w:val="restart"/>
            <w:vAlign w:val="center"/>
          </w:tcPr>
          <w:p w14:paraId="554D63B8">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443" w:type="pct"/>
            <w:vMerge w:val="restart"/>
            <w:vAlign w:val="center"/>
          </w:tcPr>
          <w:p w14:paraId="554D63B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712" w:type="pct"/>
            <w:vMerge w:val="restart"/>
            <w:vAlign w:val="center"/>
          </w:tcPr>
          <w:p w14:paraId="554D63B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02" w:type="pct"/>
            <w:vMerge w:val="restart"/>
            <w:vAlign w:val="center"/>
          </w:tcPr>
          <w:p w14:paraId="554D63B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554D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9" w:type="pct"/>
            <w:vMerge w:val="continue"/>
            <w:vAlign w:val="center"/>
          </w:tcPr>
          <w:p w14:paraId="554D63BD">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1541" w:type="pct"/>
            <w:shd w:val="clear" w:color="auto" w:fill="auto"/>
            <w:vAlign w:val="center"/>
          </w:tcPr>
          <w:p w14:paraId="554D63B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 w:val="20"/>
                <w:szCs w:val="20"/>
                <w:highlight w:val="none"/>
                <w:lang w:bidi="ar"/>
              </w:rPr>
              <w:t>配套的输水廊道进出水闸门</w:t>
            </w:r>
          </w:p>
        </w:tc>
        <w:tc>
          <w:tcPr>
            <w:tcW w:w="729" w:type="pct"/>
            <w:vMerge w:val="continue"/>
            <w:vAlign w:val="center"/>
          </w:tcPr>
          <w:p w14:paraId="554D63B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83" w:type="pct"/>
            <w:vMerge w:val="continue"/>
            <w:vAlign w:val="center"/>
          </w:tcPr>
          <w:p w14:paraId="554D63C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66" w:type="pct"/>
            <w:vMerge w:val="continue"/>
            <w:vAlign w:val="center"/>
          </w:tcPr>
          <w:p w14:paraId="554D63C1">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443" w:type="pct"/>
            <w:vMerge w:val="continue"/>
            <w:vAlign w:val="center"/>
          </w:tcPr>
          <w:p w14:paraId="554D63C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712" w:type="pct"/>
            <w:vMerge w:val="continue"/>
            <w:vAlign w:val="center"/>
          </w:tcPr>
          <w:p w14:paraId="554D63C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02" w:type="pct"/>
            <w:vMerge w:val="continue"/>
            <w:vAlign w:val="center"/>
          </w:tcPr>
          <w:p w14:paraId="554D63C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554D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9" w:type="pct"/>
            <w:vMerge w:val="continue"/>
            <w:vAlign w:val="center"/>
          </w:tcPr>
          <w:p w14:paraId="554D63C6">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1541" w:type="pct"/>
            <w:shd w:val="clear" w:color="auto" w:fill="auto"/>
            <w:vAlign w:val="center"/>
          </w:tcPr>
          <w:p w14:paraId="554D63C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 w:val="20"/>
                <w:szCs w:val="20"/>
                <w:highlight w:val="none"/>
                <w:lang w:bidi="ar"/>
              </w:rPr>
              <w:t>配套的检修闸门（2个）</w:t>
            </w:r>
          </w:p>
        </w:tc>
        <w:tc>
          <w:tcPr>
            <w:tcW w:w="729" w:type="pct"/>
            <w:vMerge w:val="continue"/>
            <w:vAlign w:val="center"/>
          </w:tcPr>
          <w:p w14:paraId="554D63C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83" w:type="pct"/>
            <w:vMerge w:val="continue"/>
            <w:vAlign w:val="center"/>
          </w:tcPr>
          <w:p w14:paraId="554D63C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66" w:type="pct"/>
            <w:vMerge w:val="continue"/>
            <w:vAlign w:val="center"/>
          </w:tcPr>
          <w:p w14:paraId="554D63CA">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443" w:type="pct"/>
            <w:vMerge w:val="continue"/>
            <w:vAlign w:val="center"/>
          </w:tcPr>
          <w:p w14:paraId="554D63C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712" w:type="pct"/>
            <w:vMerge w:val="continue"/>
            <w:vAlign w:val="center"/>
          </w:tcPr>
          <w:p w14:paraId="554D63C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02" w:type="pct"/>
            <w:vMerge w:val="continue"/>
            <w:vAlign w:val="center"/>
          </w:tcPr>
          <w:p w14:paraId="554D63C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554D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9" w:type="pct"/>
            <w:vMerge w:val="restart"/>
            <w:vAlign w:val="center"/>
          </w:tcPr>
          <w:p w14:paraId="554D63CF">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541" w:type="pct"/>
            <w:shd w:val="clear" w:color="auto" w:fill="auto"/>
            <w:vAlign w:val="center"/>
          </w:tcPr>
          <w:p w14:paraId="554D63D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 w:val="20"/>
                <w:szCs w:val="20"/>
                <w:highlight w:val="none"/>
                <w:lang w:bidi="ar"/>
              </w:rPr>
              <w:t>电厂热水河船闸</w:t>
            </w:r>
          </w:p>
        </w:tc>
        <w:tc>
          <w:tcPr>
            <w:tcW w:w="729" w:type="pct"/>
            <w:vMerge w:val="restart"/>
            <w:vAlign w:val="center"/>
          </w:tcPr>
          <w:p w14:paraId="554D63D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default" w:ascii="仿宋" w:hAnsi="仿宋" w:eastAsia="仿宋" w:cs="仿宋"/>
                <w:color w:val="auto"/>
                <w:szCs w:val="21"/>
                <w:highlight w:val="none"/>
              </w:rPr>
              <w:t>423239.52</w:t>
            </w:r>
          </w:p>
        </w:tc>
        <w:tc>
          <w:tcPr>
            <w:tcW w:w="483" w:type="pct"/>
            <w:vMerge w:val="restart"/>
            <w:vAlign w:val="center"/>
          </w:tcPr>
          <w:p w14:paraId="554D63D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66" w:type="pct"/>
            <w:vMerge w:val="restart"/>
            <w:vAlign w:val="center"/>
          </w:tcPr>
          <w:p w14:paraId="554D63D3">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443" w:type="pct"/>
            <w:vMerge w:val="restart"/>
            <w:vAlign w:val="center"/>
          </w:tcPr>
          <w:p w14:paraId="554D63D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712" w:type="pct"/>
            <w:vMerge w:val="restart"/>
            <w:vAlign w:val="center"/>
          </w:tcPr>
          <w:p w14:paraId="554D63D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02" w:type="pct"/>
            <w:vMerge w:val="restart"/>
            <w:vAlign w:val="center"/>
          </w:tcPr>
          <w:p w14:paraId="554D63D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554D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9" w:type="pct"/>
            <w:vMerge w:val="continue"/>
            <w:vAlign w:val="center"/>
          </w:tcPr>
          <w:p w14:paraId="554D63D8">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1541" w:type="pct"/>
            <w:shd w:val="clear" w:color="auto" w:fill="auto"/>
            <w:vAlign w:val="center"/>
          </w:tcPr>
          <w:p w14:paraId="554D63D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 w:val="20"/>
                <w:szCs w:val="20"/>
                <w:highlight w:val="none"/>
                <w:lang w:bidi="ar"/>
              </w:rPr>
              <w:t>配套的输水廊道进出水闸门</w:t>
            </w:r>
          </w:p>
        </w:tc>
        <w:tc>
          <w:tcPr>
            <w:tcW w:w="729" w:type="pct"/>
            <w:vMerge w:val="continue"/>
            <w:vAlign w:val="center"/>
          </w:tcPr>
          <w:p w14:paraId="554D63D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83" w:type="pct"/>
            <w:vMerge w:val="continue"/>
            <w:vAlign w:val="center"/>
          </w:tcPr>
          <w:p w14:paraId="554D63D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66" w:type="pct"/>
            <w:vMerge w:val="continue"/>
            <w:vAlign w:val="center"/>
          </w:tcPr>
          <w:p w14:paraId="554D63DC">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443" w:type="pct"/>
            <w:vMerge w:val="continue"/>
            <w:vAlign w:val="center"/>
          </w:tcPr>
          <w:p w14:paraId="554D63D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712" w:type="pct"/>
            <w:vMerge w:val="continue"/>
            <w:vAlign w:val="center"/>
          </w:tcPr>
          <w:p w14:paraId="554D63D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02" w:type="pct"/>
            <w:vMerge w:val="continue"/>
            <w:vAlign w:val="center"/>
          </w:tcPr>
          <w:p w14:paraId="554D63D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554D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9" w:type="pct"/>
            <w:vMerge w:val="restart"/>
            <w:vAlign w:val="center"/>
          </w:tcPr>
          <w:p w14:paraId="554D63E1">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541" w:type="pct"/>
            <w:shd w:val="clear" w:color="auto" w:fill="auto"/>
            <w:vAlign w:val="center"/>
          </w:tcPr>
          <w:p w14:paraId="554D63E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 w:val="20"/>
                <w:szCs w:val="20"/>
                <w:highlight w:val="none"/>
                <w:lang w:bidi="ar"/>
              </w:rPr>
              <w:t>姚家坝泵站</w:t>
            </w:r>
          </w:p>
        </w:tc>
        <w:tc>
          <w:tcPr>
            <w:tcW w:w="729" w:type="pct"/>
            <w:vMerge w:val="restart"/>
            <w:vAlign w:val="center"/>
          </w:tcPr>
          <w:p w14:paraId="554D63E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default" w:ascii="仿宋" w:hAnsi="仿宋" w:eastAsia="仿宋" w:cs="仿宋"/>
                <w:color w:val="auto"/>
                <w:szCs w:val="21"/>
                <w:highlight w:val="none"/>
              </w:rPr>
              <w:t>474140</w:t>
            </w:r>
          </w:p>
        </w:tc>
        <w:tc>
          <w:tcPr>
            <w:tcW w:w="483" w:type="pct"/>
            <w:vMerge w:val="restart"/>
            <w:vAlign w:val="center"/>
          </w:tcPr>
          <w:p w14:paraId="554D63E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66" w:type="pct"/>
            <w:vMerge w:val="restart"/>
            <w:vAlign w:val="center"/>
          </w:tcPr>
          <w:p w14:paraId="554D63E5">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443" w:type="pct"/>
            <w:vMerge w:val="restart"/>
            <w:vAlign w:val="center"/>
          </w:tcPr>
          <w:p w14:paraId="554D63E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712" w:type="pct"/>
            <w:vMerge w:val="restart"/>
            <w:vAlign w:val="center"/>
          </w:tcPr>
          <w:p w14:paraId="554D63E7">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02" w:type="pct"/>
            <w:vMerge w:val="restart"/>
            <w:vAlign w:val="center"/>
          </w:tcPr>
          <w:p w14:paraId="554D63E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554D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9" w:type="pct"/>
            <w:vMerge w:val="continue"/>
            <w:vAlign w:val="center"/>
          </w:tcPr>
          <w:p w14:paraId="554D63EA">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1541" w:type="pct"/>
            <w:shd w:val="clear" w:color="auto" w:fill="auto"/>
            <w:vAlign w:val="center"/>
          </w:tcPr>
          <w:p w14:paraId="554D63E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 w:val="20"/>
                <w:szCs w:val="20"/>
                <w:highlight w:val="none"/>
                <w:lang w:bidi="ar"/>
              </w:rPr>
              <w:t>配套的泵池进出水检修闸（6个）</w:t>
            </w:r>
          </w:p>
        </w:tc>
        <w:tc>
          <w:tcPr>
            <w:tcW w:w="729" w:type="pct"/>
            <w:vMerge w:val="continue"/>
            <w:vAlign w:val="center"/>
          </w:tcPr>
          <w:p w14:paraId="554D63E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83" w:type="pct"/>
            <w:vMerge w:val="continue"/>
            <w:vAlign w:val="center"/>
          </w:tcPr>
          <w:p w14:paraId="554D63E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66" w:type="pct"/>
            <w:vMerge w:val="continue"/>
            <w:vAlign w:val="center"/>
          </w:tcPr>
          <w:p w14:paraId="554D63EE">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443" w:type="pct"/>
            <w:vMerge w:val="continue"/>
            <w:vAlign w:val="center"/>
          </w:tcPr>
          <w:p w14:paraId="554D63E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712" w:type="pct"/>
            <w:vMerge w:val="continue"/>
            <w:vAlign w:val="center"/>
          </w:tcPr>
          <w:p w14:paraId="554D63F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02" w:type="pct"/>
            <w:vMerge w:val="continue"/>
            <w:vAlign w:val="center"/>
          </w:tcPr>
          <w:p w14:paraId="554D63F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554D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9" w:type="pct"/>
            <w:vMerge w:val="continue"/>
            <w:vAlign w:val="center"/>
          </w:tcPr>
          <w:p w14:paraId="554D63F3">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1541" w:type="pct"/>
            <w:shd w:val="clear" w:color="auto" w:fill="auto"/>
            <w:vAlign w:val="center"/>
          </w:tcPr>
          <w:p w14:paraId="554D63F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 w:val="20"/>
                <w:szCs w:val="20"/>
                <w:highlight w:val="none"/>
                <w:lang w:bidi="ar"/>
              </w:rPr>
              <w:t>配套的节制闸</w:t>
            </w:r>
          </w:p>
        </w:tc>
        <w:tc>
          <w:tcPr>
            <w:tcW w:w="729" w:type="pct"/>
            <w:vMerge w:val="continue"/>
            <w:vAlign w:val="center"/>
          </w:tcPr>
          <w:p w14:paraId="554D63F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83" w:type="pct"/>
            <w:vMerge w:val="continue"/>
            <w:vAlign w:val="center"/>
          </w:tcPr>
          <w:p w14:paraId="554D63F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66" w:type="pct"/>
            <w:vMerge w:val="continue"/>
            <w:vAlign w:val="center"/>
          </w:tcPr>
          <w:p w14:paraId="554D63F7">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443" w:type="pct"/>
            <w:vMerge w:val="continue"/>
            <w:vAlign w:val="center"/>
          </w:tcPr>
          <w:p w14:paraId="554D63F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712" w:type="pct"/>
            <w:vMerge w:val="continue"/>
            <w:vAlign w:val="center"/>
          </w:tcPr>
          <w:p w14:paraId="554D63F9">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02" w:type="pct"/>
            <w:vMerge w:val="continue"/>
            <w:vAlign w:val="center"/>
          </w:tcPr>
          <w:p w14:paraId="554D63F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554D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9" w:type="pct"/>
            <w:vMerge w:val="restart"/>
            <w:vAlign w:val="center"/>
          </w:tcPr>
          <w:p w14:paraId="554D63FC">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541" w:type="pct"/>
            <w:shd w:val="clear" w:color="auto" w:fill="auto"/>
            <w:vAlign w:val="center"/>
          </w:tcPr>
          <w:p w14:paraId="554D63F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 w:val="20"/>
                <w:szCs w:val="20"/>
                <w:highlight w:val="none"/>
                <w:lang w:bidi="ar"/>
              </w:rPr>
              <w:t>施家桥闸站</w:t>
            </w:r>
          </w:p>
        </w:tc>
        <w:tc>
          <w:tcPr>
            <w:tcW w:w="729" w:type="pct"/>
            <w:vMerge w:val="restart"/>
            <w:vAlign w:val="center"/>
          </w:tcPr>
          <w:p w14:paraId="554D63F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default" w:ascii="仿宋" w:hAnsi="仿宋" w:eastAsia="仿宋" w:cs="仿宋"/>
                <w:color w:val="auto"/>
                <w:szCs w:val="21"/>
                <w:highlight w:val="none"/>
              </w:rPr>
              <w:t>459771</w:t>
            </w:r>
          </w:p>
        </w:tc>
        <w:tc>
          <w:tcPr>
            <w:tcW w:w="483" w:type="pct"/>
            <w:vMerge w:val="restart"/>
            <w:vAlign w:val="center"/>
          </w:tcPr>
          <w:p w14:paraId="554D63F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66" w:type="pct"/>
            <w:vMerge w:val="restart"/>
            <w:vAlign w:val="center"/>
          </w:tcPr>
          <w:p w14:paraId="554D6400">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443" w:type="pct"/>
            <w:vMerge w:val="restart"/>
            <w:vAlign w:val="center"/>
          </w:tcPr>
          <w:p w14:paraId="554D640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712" w:type="pct"/>
            <w:vMerge w:val="restart"/>
            <w:vAlign w:val="center"/>
          </w:tcPr>
          <w:p w14:paraId="554D640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02" w:type="pct"/>
            <w:vMerge w:val="restart"/>
            <w:vAlign w:val="center"/>
          </w:tcPr>
          <w:p w14:paraId="554D640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554D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9" w:type="pct"/>
            <w:vMerge w:val="continue"/>
            <w:vAlign w:val="center"/>
          </w:tcPr>
          <w:p w14:paraId="554D6405">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1541" w:type="pct"/>
            <w:shd w:val="clear" w:color="auto" w:fill="auto"/>
            <w:vAlign w:val="center"/>
          </w:tcPr>
          <w:p w14:paraId="554D640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 w:val="20"/>
                <w:szCs w:val="20"/>
                <w:highlight w:val="none"/>
                <w:lang w:bidi="ar"/>
              </w:rPr>
              <w:t>配套的泵池进出水检修闸（3个）</w:t>
            </w:r>
          </w:p>
        </w:tc>
        <w:tc>
          <w:tcPr>
            <w:tcW w:w="729" w:type="pct"/>
            <w:vMerge w:val="continue"/>
            <w:vAlign w:val="center"/>
          </w:tcPr>
          <w:p w14:paraId="554D6407">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83" w:type="pct"/>
            <w:vMerge w:val="continue"/>
            <w:vAlign w:val="center"/>
          </w:tcPr>
          <w:p w14:paraId="554D640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66" w:type="pct"/>
            <w:vMerge w:val="continue"/>
            <w:vAlign w:val="center"/>
          </w:tcPr>
          <w:p w14:paraId="554D6409">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443" w:type="pct"/>
            <w:vMerge w:val="continue"/>
            <w:vAlign w:val="center"/>
          </w:tcPr>
          <w:p w14:paraId="554D640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712" w:type="pct"/>
            <w:vMerge w:val="continue"/>
            <w:vAlign w:val="center"/>
          </w:tcPr>
          <w:p w14:paraId="554D640B">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02" w:type="pct"/>
            <w:vMerge w:val="continue"/>
            <w:vAlign w:val="center"/>
          </w:tcPr>
          <w:p w14:paraId="554D640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554D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9" w:type="pct"/>
            <w:vMerge w:val="continue"/>
            <w:vAlign w:val="center"/>
          </w:tcPr>
          <w:p w14:paraId="554D640E">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1541" w:type="pct"/>
            <w:shd w:val="clear" w:color="auto" w:fill="auto"/>
            <w:vAlign w:val="center"/>
          </w:tcPr>
          <w:p w14:paraId="554D640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 w:val="20"/>
                <w:szCs w:val="20"/>
                <w:highlight w:val="none"/>
                <w:lang w:bidi="ar"/>
              </w:rPr>
              <w:t>配套的节制闸</w:t>
            </w:r>
          </w:p>
        </w:tc>
        <w:tc>
          <w:tcPr>
            <w:tcW w:w="729" w:type="pct"/>
            <w:vMerge w:val="continue"/>
            <w:vAlign w:val="center"/>
          </w:tcPr>
          <w:p w14:paraId="554D641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483" w:type="pct"/>
            <w:vMerge w:val="continue"/>
            <w:vAlign w:val="center"/>
          </w:tcPr>
          <w:p w14:paraId="554D6411">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66" w:type="pct"/>
            <w:vMerge w:val="continue"/>
            <w:vAlign w:val="center"/>
          </w:tcPr>
          <w:p w14:paraId="554D6412">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443" w:type="pct"/>
            <w:vMerge w:val="continue"/>
            <w:vAlign w:val="center"/>
          </w:tcPr>
          <w:p w14:paraId="554D641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712" w:type="pct"/>
            <w:vMerge w:val="continue"/>
            <w:vAlign w:val="center"/>
          </w:tcPr>
          <w:p w14:paraId="554D641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02" w:type="pct"/>
            <w:vMerge w:val="continue"/>
            <w:vAlign w:val="center"/>
          </w:tcPr>
          <w:p w14:paraId="554D641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554D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9" w:type="pct"/>
            <w:vAlign w:val="center"/>
          </w:tcPr>
          <w:p w14:paraId="554D6417">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541" w:type="pct"/>
            <w:vAlign w:val="center"/>
          </w:tcPr>
          <w:p w14:paraId="554D641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九沙橡胶坝</w:t>
            </w:r>
          </w:p>
        </w:tc>
        <w:tc>
          <w:tcPr>
            <w:tcW w:w="729" w:type="pct"/>
            <w:vAlign w:val="center"/>
          </w:tcPr>
          <w:p w14:paraId="554D64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210515.28</w:t>
            </w:r>
          </w:p>
        </w:tc>
        <w:tc>
          <w:tcPr>
            <w:tcW w:w="483" w:type="pct"/>
            <w:vAlign w:val="center"/>
          </w:tcPr>
          <w:p w14:paraId="554D641A">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66" w:type="pct"/>
            <w:vAlign w:val="center"/>
          </w:tcPr>
          <w:p w14:paraId="554D641B">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443" w:type="pct"/>
            <w:vAlign w:val="center"/>
          </w:tcPr>
          <w:p w14:paraId="554D641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712" w:type="pct"/>
            <w:vAlign w:val="center"/>
          </w:tcPr>
          <w:p w14:paraId="554D641D">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02" w:type="pct"/>
            <w:vAlign w:val="center"/>
          </w:tcPr>
          <w:p w14:paraId="554D641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554D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9" w:type="pct"/>
            <w:vAlign w:val="center"/>
          </w:tcPr>
          <w:p w14:paraId="554D6420">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541" w:type="pct"/>
            <w:vAlign w:val="center"/>
          </w:tcPr>
          <w:p w14:paraId="554D642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九沙和睦闸</w:t>
            </w:r>
          </w:p>
        </w:tc>
        <w:tc>
          <w:tcPr>
            <w:tcW w:w="729" w:type="pct"/>
            <w:vAlign w:val="center"/>
          </w:tcPr>
          <w:p w14:paraId="554D64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202832</w:t>
            </w:r>
          </w:p>
        </w:tc>
        <w:tc>
          <w:tcPr>
            <w:tcW w:w="483" w:type="pct"/>
            <w:vAlign w:val="center"/>
          </w:tcPr>
          <w:p w14:paraId="554D642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66" w:type="pct"/>
            <w:vAlign w:val="center"/>
          </w:tcPr>
          <w:p w14:paraId="554D6424">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443" w:type="pct"/>
            <w:vAlign w:val="center"/>
          </w:tcPr>
          <w:p w14:paraId="554D6425">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712" w:type="pct"/>
            <w:vAlign w:val="center"/>
          </w:tcPr>
          <w:p w14:paraId="554D642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02" w:type="pct"/>
            <w:vAlign w:val="center"/>
          </w:tcPr>
          <w:p w14:paraId="554D6427">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554D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9" w:type="pct"/>
            <w:vAlign w:val="center"/>
          </w:tcPr>
          <w:p w14:paraId="554D6429">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541" w:type="pct"/>
            <w:vAlign w:val="center"/>
          </w:tcPr>
          <w:p w14:paraId="554D642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九沙东湖闸</w:t>
            </w:r>
          </w:p>
        </w:tc>
        <w:tc>
          <w:tcPr>
            <w:tcW w:w="729" w:type="pct"/>
            <w:vAlign w:val="center"/>
          </w:tcPr>
          <w:p w14:paraId="554D642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202832</w:t>
            </w:r>
          </w:p>
        </w:tc>
        <w:tc>
          <w:tcPr>
            <w:tcW w:w="483" w:type="pct"/>
            <w:vAlign w:val="center"/>
          </w:tcPr>
          <w:p w14:paraId="554D642C">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566" w:type="pct"/>
            <w:vAlign w:val="center"/>
          </w:tcPr>
          <w:p w14:paraId="554D642D">
            <w:pPr>
              <w:keepNext w:val="0"/>
              <w:keepLines w:val="0"/>
              <w:suppressLineNumbers w:val="0"/>
              <w:adjustRightInd/>
              <w:spacing w:before="0" w:beforeAutospacing="0" w:after="0" w:afterAutospacing="0" w:line="240" w:lineRule="exact"/>
              <w:ind w:left="0" w:right="0"/>
              <w:rPr>
                <w:rFonts w:hint="eastAsia" w:ascii="仿宋" w:hAnsi="仿宋" w:eastAsia="仿宋" w:cs="仿宋"/>
                <w:color w:val="auto"/>
                <w:szCs w:val="21"/>
                <w:highlight w:val="none"/>
              </w:rPr>
            </w:pPr>
          </w:p>
        </w:tc>
        <w:tc>
          <w:tcPr>
            <w:tcW w:w="443" w:type="pct"/>
            <w:vAlign w:val="center"/>
          </w:tcPr>
          <w:p w14:paraId="554D642E">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712" w:type="pct"/>
            <w:vAlign w:val="center"/>
          </w:tcPr>
          <w:p w14:paraId="554D642F">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c>
          <w:tcPr>
            <w:tcW w:w="302" w:type="pct"/>
            <w:vAlign w:val="center"/>
          </w:tcPr>
          <w:p w14:paraId="554D6430">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color w:val="auto"/>
                <w:szCs w:val="21"/>
                <w:highlight w:val="none"/>
              </w:rPr>
            </w:pPr>
          </w:p>
        </w:tc>
      </w:tr>
      <w:tr w14:paraId="554D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pct"/>
            <w:gridSpan w:val="2"/>
            <w:vAlign w:val="center"/>
          </w:tcPr>
          <w:p w14:paraId="554D6432">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合计</w:t>
            </w:r>
          </w:p>
        </w:tc>
        <w:tc>
          <w:tcPr>
            <w:tcW w:w="729" w:type="pct"/>
            <w:vAlign w:val="center"/>
          </w:tcPr>
          <w:p w14:paraId="554D6433">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default" w:ascii="仿宋" w:hAnsi="仿宋" w:eastAsia="仿宋" w:cs="仿宋"/>
                <w:color w:val="auto"/>
                <w:szCs w:val="21"/>
                <w:highlight w:val="none"/>
              </w:rPr>
              <w:t>2660077.98</w:t>
            </w:r>
          </w:p>
        </w:tc>
        <w:tc>
          <w:tcPr>
            <w:tcW w:w="483" w:type="pct"/>
            <w:vAlign w:val="center"/>
          </w:tcPr>
          <w:p w14:paraId="554D6434">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p>
        </w:tc>
        <w:tc>
          <w:tcPr>
            <w:tcW w:w="566" w:type="pct"/>
            <w:vAlign w:val="center"/>
          </w:tcPr>
          <w:p w14:paraId="554D6435">
            <w:pPr>
              <w:keepNext w:val="0"/>
              <w:keepLines w:val="0"/>
              <w:suppressLineNumbers w:val="0"/>
              <w:adjustRightInd/>
              <w:spacing w:before="0" w:beforeAutospacing="0" w:after="0" w:afterAutospacing="0" w:line="240" w:lineRule="exact"/>
              <w:ind w:left="0" w:right="0"/>
              <w:rPr>
                <w:rFonts w:hint="eastAsia" w:ascii="仿宋" w:hAnsi="仿宋" w:eastAsia="仿宋" w:cs="仿宋"/>
                <w:b/>
                <w:color w:val="auto"/>
                <w:szCs w:val="21"/>
                <w:highlight w:val="none"/>
              </w:rPr>
            </w:pPr>
          </w:p>
        </w:tc>
        <w:tc>
          <w:tcPr>
            <w:tcW w:w="443" w:type="pct"/>
            <w:vAlign w:val="center"/>
          </w:tcPr>
          <w:p w14:paraId="554D6436">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3</w:t>
            </w:r>
          </w:p>
        </w:tc>
        <w:tc>
          <w:tcPr>
            <w:tcW w:w="712" w:type="pct"/>
            <w:vAlign w:val="center"/>
          </w:tcPr>
          <w:p w14:paraId="554D6437">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p>
        </w:tc>
        <w:tc>
          <w:tcPr>
            <w:tcW w:w="302" w:type="pct"/>
            <w:vAlign w:val="center"/>
          </w:tcPr>
          <w:p w14:paraId="554D6438">
            <w:pPr>
              <w:keepNext w:val="0"/>
              <w:keepLines w:val="0"/>
              <w:suppressLineNumbers w:val="0"/>
              <w:adjustRightInd/>
              <w:spacing w:before="0" w:beforeAutospacing="0" w:after="0" w:afterAutospacing="0" w:line="240" w:lineRule="exact"/>
              <w:ind w:left="0" w:right="0"/>
              <w:jc w:val="center"/>
              <w:rPr>
                <w:rFonts w:hint="eastAsia" w:ascii="仿宋" w:hAnsi="仿宋" w:eastAsia="仿宋" w:cs="仿宋"/>
                <w:b/>
                <w:color w:val="auto"/>
                <w:szCs w:val="21"/>
                <w:highlight w:val="none"/>
              </w:rPr>
            </w:pPr>
          </w:p>
        </w:tc>
      </w:tr>
      <w:tr w14:paraId="554D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000" w:type="pct"/>
            <w:gridSpan w:val="8"/>
            <w:vAlign w:val="center"/>
          </w:tcPr>
          <w:p w14:paraId="554D643A">
            <w:pPr>
              <w:keepNext w:val="0"/>
              <w:keepLines w:val="0"/>
              <w:suppressLineNumbers w:val="0"/>
              <w:adjustRightInd/>
              <w:spacing w:before="0" w:beforeAutospacing="0" w:after="0" w:afterAutospacing="0" w:line="240" w:lineRule="exact"/>
              <w:ind w:left="0" w:right="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投标总报价（三年）</w:t>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小写：                   大写：</w:t>
            </w:r>
          </w:p>
        </w:tc>
      </w:tr>
    </w:tbl>
    <w:p w14:paraId="4CD1543A">
      <w:pPr>
        <w:wordWrap w:val="0"/>
        <w:snapToGrid w:val="0"/>
        <w:spacing w:line="360" w:lineRule="auto"/>
        <w:jc w:val="left"/>
        <w:rPr>
          <w:rFonts w:hint="eastAsia" w:ascii="仿宋" w:hAnsi="仿宋" w:eastAsia="仿宋" w:cs="仿宋"/>
          <w:b/>
          <w:color w:val="auto"/>
          <w:kern w:val="0"/>
          <w:sz w:val="24"/>
          <w:highlight w:val="none"/>
          <w:lang w:val="zh-CN"/>
        </w:rPr>
      </w:pPr>
    </w:p>
    <w:p w14:paraId="22B68892">
      <w:pPr>
        <w:wordWrap w:val="0"/>
        <w:snapToGrid w:val="0"/>
        <w:spacing w:line="360" w:lineRule="auto"/>
        <w:ind w:left="480" w:firstLine="482"/>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2B68893">
      <w:pPr>
        <w:wordWrap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1、投标人需按本表格式填写，格式、已列内容不得自行更改。若投标人根据以上列明的采购内容需进行分项明细报价，请另行以附件形式提供，格式自拟。</w:t>
      </w:r>
    </w:p>
    <w:p w14:paraId="22B68894">
      <w:pPr>
        <w:wordWrap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ascii="仿宋" w:hAnsi="仿宋" w:eastAsia="仿宋" w:cs="仿宋"/>
          <w:color w:val="auto"/>
          <w:kern w:val="0"/>
          <w:sz w:val="24"/>
          <w:highlight w:val="none"/>
          <w:lang w:val="zh-CN"/>
        </w:rPr>
        <w:t>2、</w:t>
      </w:r>
      <w:r>
        <w:rPr>
          <w:rFonts w:hint="eastAsia" w:ascii="仿宋" w:hAnsi="仿宋" w:eastAsia="仿宋" w:cs="仿宋"/>
          <w:color w:val="auto"/>
          <w:kern w:val="0"/>
          <w:sz w:val="24"/>
          <w:highlight w:val="none"/>
          <w:lang w:val="zh-CN"/>
        </w:rPr>
        <w:t>计算公式：（3）=（1）*[1-（2）]；（5）=（3）*（4）</w:t>
      </w:r>
    </w:p>
    <w:p w14:paraId="22B68895">
      <w:pPr>
        <w:wordWrap w:val="0"/>
        <w:snapToGrid w:val="0"/>
        <w:spacing w:line="360" w:lineRule="auto"/>
        <w:ind w:firstLine="480" w:firstLineChars="200"/>
        <w:jc w:val="left"/>
        <w:rPr>
          <w:rFonts w:hint="eastAsia" w:ascii="仿宋" w:hAnsi="仿宋" w:eastAsia="仿宋" w:cs="仿宋"/>
          <w:b/>
          <w:bCs/>
          <w:color w:val="auto"/>
          <w:kern w:val="0"/>
          <w:sz w:val="24"/>
          <w:highlight w:val="none"/>
          <w:lang w:val="zh-CN"/>
        </w:rPr>
      </w:pPr>
      <w:r>
        <w:rPr>
          <w:rFonts w:ascii="仿宋" w:hAnsi="仿宋" w:eastAsia="仿宋" w:cs="仿宋"/>
          <w:color w:val="auto"/>
          <w:kern w:val="0"/>
          <w:sz w:val="24"/>
          <w:highlight w:val="none"/>
          <w:lang w:val="zh-CN"/>
        </w:rPr>
        <w:t>3、</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单项定额费用为最高单价限价，单年养护费报价不得超过定额费用。</w:t>
      </w:r>
    </w:p>
    <w:p w14:paraId="22B68896">
      <w:pPr>
        <w:wordWrap w:val="0"/>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报价明细表中部分产品、服务单价为零的，视作已包含在总价中</w:t>
      </w:r>
      <w:r>
        <w:rPr>
          <w:rFonts w:hint="eastAsia" w:ascii="仿宋" w:hAnsi="仿宋" w:eastAsia="仿宋" w:cs="仿宋"/>
          <w:bCs/>
          <w:color w:val="auto"/>
          <w:kern w:val="0"/>
          <w:sz w:val="24"/>
          <w:highlight w:val="none"/>
          <w:lang w:val="zh-CN"/>
        </w:rPr>
        <w:t>。</w:t>
      </w:r>
    </w:p>
    <w:p w14:paraId="22B68897">
      <w:pPr>
        <w:wordWrap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、以上表格要求细分项目及报价，在“规格型号（或具体服务）”一栏中，</w:t>
      </w:r>
      <w:r>
        <w:rPr>
          <w:rFonts w:hint="eastAsia" w:ascii="仿宋" w:hAnsi="仿宋" w:eastAsia="仿宋" w:cs="仿宋"/>
          <w:color w:val="auto"/>
          <w:kern w:val="0"/>
          <w:sz w:val="24"/>
          <w:highlight w:val="none"/>
          <w:lang w:val="zh-CN"/>
        </w:rPr>
        <w:sym w:font="Wingdings" w:char="00A8"/>
      </w:r>
      <w:r>
        <w:rPr>
          <w:rFonts w:hint="eastAsia" w:ascii="仿宋" w:hAnsi="仿宋" w:eastAsia="仿宋" w:cs="仿宋"/>
          <w:color w:val="auto"/>
          <w:kern w:val="0"/>
          <w:sz w:val="24"/>
          <w:highlight w:val="none"/>
          <w:lang w:val="zh-CN"/>
        </w:rPr>
        <w:t>货物类项目填写规格型号，</w:t>
      </w:r>
      <w:r>
        <w:rPr>
          <w:rFonts w:hint="eastAsia" w:ascii="仿宋" w:hAnsi="仿宋" w:eastAsia="仿宋" w:cs="仿宋"/>
          <w:color w:val="auto"/>
          <w:kern w:val="0"/>
          <w:sz w:val="24"/>
          <w:highlight w:val="none"/>
          <w:lang w:val="zh-CN"/>
        </w:rPr>
        <w:sym w:font="Wingdings" w:char="00FE"/>
      </w:r>
      <w:r>
        <w:rPr>
          <w:rFonts w:hint="eastAsia" w:ascii="仿宋" w:hAnsi="仿宋" w:eastAsia="仿宋" w:cs="仿宋"/>
          <w:color w:val="auto"/>
          <w:kern w:val="0"/>
          <w:sz w:val="24"/>
          <w:highlight w:val="none"/>
          <w:lang w:val="zh-CN"/>
        </w:rPr>
        <w:t>服务类项目填写具体服务。</w:t>
      </w:r>
    </w:p>
    <w:p w14:paraId="22B68898">
      <w:pPr>
        <w:wordWrap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6</w:t>
      </w:r>
      <w:r>
        <w:rPr>
          <w:rFonts w:hint="eastAsia" w:ascii="仿宋" w:hAnsi="仿宋" w:eastAsia="仿宋" w:cs="仿宋"/>
          <w:color w:val="auto"/>
          <w:kern w:val="0"/>
          <w:sz w:val="24"/>
          <w:highlight w:val="none"/>
          <w:lang w:val="zh-CN"/>
        </w:rPr>
        <w:t>、特别提示：采购代理机构将对项目名称和项目编号，中标供应商名称、地址和中标金额，主要中标标的的名称、规格型号、数量、单价、服务要求等予以公示。</w:t>
      </w:r>
    </w:p>
    <w:p w14:paraId="22B68899">
      <w:pPr>
        <w:pStyle w:val="61"/>
        <w:wordWrap w:val="0"/>
        <w:spacing w:after="0" w:line="360" w:lineRule="auto"/>
        <w:ind w:left="0" w:leftChars="0"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sym w:font="Wingdings" w:char="00FE"/>
      </w:r>
      <w:r>
        <w:rPr>
          <w:rFonts w:hint="eastAsia" w:ascii="仿宋" w:hAnsi="仿宋" w:eastAsia="仿宋" w:cs="仿宋"/>
          <w:color w:val="auto"/>
          <w:kern w:val="0"/>
          <w:sz w:val="24"/>
          <w:szCs w:val="22"/>
          <w:highlight w:val="none"/>
        </w:rPr>
        <w:t>7</w:t>
      </w:r>
      <w:r>
        <w:rPr>
          <w:rFonts w:hint="eastAsia" w:ascii="仿宋" w:hAnsi="仿宋" w:eastAsia="仿宋" w:cs="仿宋"/>
          <w:color w:val="auto"/>
          <w:kern w:val="0"/>
          <w:sz w:val="24"/>
          <w:szCs w:val="22"/>
          <w:highlight w:val="none"/>
          <w:lang w:val="zh-CN"/>
        </w:rPr>
        <w:t>、</w:t>
      </w:r>
      <w:r>
        <w:rPr>
          <w:rFonts w:hint="eastAsia" w:ascii="仿宋" w:hAnsi="仿宋" w:eastAsia="仿宋" w:cs="仿宋"/>
          <w:b/>
          <w:bCs/>
          <w:color w:val="auto"/>
          <w:kern w:val="0"/>
          <w:sz w:val="24"/>
          <w:szCs w:val="22"/>
          <w:highlight w:val="none"/>
          <w:lang w:val="zh-CN"/>
        </w:rPr>
        <w:t>本项目</w:t>
      </w:r>
      <w:r>
        <w:rPr>
          <w:rFonts w:hint="eastAsia" w:ascii="仿宋" w:hAnsi="仿宋" w:eastAsia="仿宋" w:cs="仿宋"/>
          <w:b/>
          <w:bCs/>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依照《中华人民共和国政府采购法》等国家有关规定追究相应责任。</w:t>
      </w:r>
    </w:p>
    <w:p w14:paraId="22B6889A">
      <w:pPr>
        <w:pStyle w:val="61"/>
        <w:wordWrap w:val="0"/>
        <w:spacing w:after="0" w:line="360" w:lineRule="auto"/>
        <w:ind w:left="0" w:leftChars="0" w:firstLine="48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22B6889B">
      <w:pPr>
        <w:pStyle w:val="61"/>
        <w:wordWrap w:val="0"/>
        <w:spacing w:after="0" w:line="360" w:lineRule="auto"/>
        <w:ind w:left="0" w:leftChars="0" w:firstLine="48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p>
    <w:p w14:paraId="22B6889C">
      <w:pPr>
        <w:ind w:firstLine="640"/>
        <w:rPr>
          <w:rFonts w:hint="eastAsia" w:ascii="仿宋" w:hAnsi="仿宋" w:eastAsia="仿宋" w:cs="仿宋"/>
          <w:color w:val="auto"/>
          <w:sz w:val="32"/>
          <w:szCs w:val="32"/>
          <w:highlight w:val="none"/>
        </w:rPr>
      </w:pPr>
      <w:bookmarkStart w:id="489" w:name="_Toc10965"/>
      <w:bookmarkStart w:id="490" w:name="_Toc19744"/>
      <w:bookmarkStart w:id="491" w:name="_Toc16528"/>
      <w:bookmarkStart w:id="492" w:name="_Toc16669"/>
      <w:bookmarkStart w:id="493" w:name="_Toc16525"/>
      <w:bookmarkStart w:id="494" w:name="_Toc26887"/>
      <w:bookmarkStart w:id="495" w:name="_Toc24377"/>
      <w:bookmarkStart w:id="496" w:name="_Toc29327"/>
      <w:bookmarkStart w:id="497" w:name="_Toc15901"/>
      <w:r>
        <w:rPr>
          <w:rFonts w:hint="eastAsia" w:ascii="仿宋" w:hAnsi="仿宋" w:eastAsia="仿宋" w:cs="仿宋"/>
          <w:color w:val="auto"/>
          <w:sz w:val="32"/>
          <w:szCs w:val="32"/>
          <w:highlight w:val="none"/>
        </w:rPr>
        <w:br w:type="page"/>
      </w:r>
    </w:p>
    <w:p w14:paraId="22B6889D">
      <w:pPr>
        <w:pStyle w:val="692"/>
        <w:keepNext w:val="0"/>
        <w:pageBreakBefore w:val="0"/>
        <w:tabs>
          <w:tab w:val="clear" w:pos="720"/>
        </w:tabs>
        <w:snapToGrid w:val="0"/>
        <w:spacing w:before="120" w:after="120"/>
        <w:ind w:firstLine="643"/>
        <w:outlineLvl w:val="2"/>
        <w:rPr>
          <w:rFonts w:hint="eastAsia"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二、投标价格组成明细表</w:t>
      </w:r>
    </w:p>
    <w:tbl>
      <w:tblPr>
        <w:tblStyle w:val="62"/>
        <w:tblW w:w="4895" w:type="pct"/>
        <w:tblInd w:w="-2"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autofit"/>
        <w:tblCellMar>
          <w:top w:w="15" w:type="dxa"/>
          <w:left w:w="15" w:type="dxa"/>
          <w:bottom w:w="15" w:type="dxa"/>
          <w:right w:w="15" w:type="dxa"/>
        </w:tblCellMar>
      </w:tblPr>
      <w:tblGrid>
        <w:gridCol w:w="389"/>
        <w:gridCol w:w="829"/>
        <w:gridCol w:w="417"/>
        <w:gridCol w:w="417"/>
        <w:gridCol w:w="624"/>
        <w:gridCol w:w="417"/>
        <w:gridCol w:w="417"/>
        <w:gridCol w:w="389"/>
        <w:gridCol w:w="389"/>
        <w:gridCol w:w="389"/>
        <w:gridCol w:w="655"/>
        <w:gridCol w:w="655"/>
        <w:gridCol w:w="655"/>
        <w:gridCol w:w="655"/>
        <w:gridCol w:w="656"/>
        <w:gridCol w:w="567"/>
        <w:gridCol w:w="390"/>
      </w:tblGrid>
      <w:tr w14:paraId="554D646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834"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49">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color w:val="auto"/>
                <w:kern w:val="0"/>
                <w:sz w:val="20"/>
                <w:szCs w:val="20"/>
                <w:highlight w:val="none"/>
                <w:lang w:bidi="ar"/>
              </w:rPr>
              <w:t>序号</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4A">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color w:val="auto"/>
                <w:kern w:val="0"/>
                <w:sz w:val="20"/>
                <w:szCs w:val="20"/>
                <w:highlight w:val="none"/>
                <w:lang w:bidi="ar"/>
              </w:rPr>
              <w:t>闸站名称</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4B">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color w:val="auto"/>
                <w:kern w:val="0"/>
                <w:sz w:val="20"/>
                <w:szCs w:val="20"/>
                <w:highlight w:val="none"/>
                <w:lang w:bidi="ar"/>
              </w:rPr>
              <w:t>所在片区</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4C">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color w:val="auto"/>
                <w:kern w:val="0"/>
                <w:sz w:val="20"/>
                <w:szCs w:val="20"/>
                <w:highlight w:val="none"/>
                <w:lang w:bidi="ar"/>
              </w:rPr>
              <w:t>有无管养用房</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4D">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color w:val="auto"/>
                <w:kern w:val="0"/>
                <w:sz w:val="20"/>
                <w:szCs w:val="20"/>
                <w:highlight w:val="none"/>
                <w:lang w:bidi="ar"/>
              </w:rPr>
              <w:t>使用功能</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4E">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color w:val="auto"/>
                <w:kern w:val="0"/>
                <w:sz w:val="20"/>
                <w:szCs w:val="20"/>
                <w:highlight w:val="none"/>
                <w:lang w:bidi="ar"/>
              </w:rPr>
              <w:t>等级</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4F">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color w:val="auto"/>
                <w:kern w:val="0"/>
                <w:sz w:val="20"/>
                <w:szCs w:val="20"/>
                <w:highlight w:val="none"/>
                <w:lang w:bidi="ar"/>
              </w:rPr>
              <w:t>运行模式</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50">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color w:val="auto"/>
                <w:kern w:val="0"/>
                <w:sz w:val="20"/>
                <w:szCs w:val="20"/>
                <w:highlight w:val="none"/>
                <w:lang w:bidi="ar"/>
              </w:rPr>
              <w:t>每班人数</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51">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color w:val="auto"/>
                <w:kern w:val="0"/>
                <w:sz w:val="20"/>
                <w:szCs w:val="20"/>
                <w:highlight w:val="none"/>
                <w:lang w:bidi="ar"/>
              </w:rPr>
              <w:t>运行人员总数</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52">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color w:val="auto"/>
                <w:kern w:val="0"/>
                <w:sz w:val="20"/>
                <w:szCs w:val="20"/>
                <w:highlight w:val="none"/>
                <w:lang w:bidi="ar"/>
              </w:rPr>
              <w:t>班组长</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54">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（1）</w:t>
            </w:r>
          </w:p>
          <w:p w14:paraId="554D6455">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工资总额</w:t>
            </w:r>
          </w:p>
          <w:p w14:paraId="554D6456">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bCs/>
                <w:color w:val="auto"/>
                <w:kern w:val="0"/>
                <w:sz w:val="18"/>
                <w:szCs w:val="18"/>
                <w:highlight w:val="none"/>
              </w:rPr>
              <w:t>（元/年）</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57">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（2）</w:t>
            </w:r>
          </w:p>
          <w:p w14:paraId="554D6458">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维修养护费用</w:t>
            </w:r>
          </w:p>
          <w:p w14:paraId="554D6459">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bCs/>
                <w:color w:val="auto"/>
                <w:kern w:val="0"/>
                <w:sz w:val="18"/>
                <w:szCs w:val="18"/>
                <w:highlight w:val="none"/>
              </w:rPr>
              <w:t>（元/年）</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5A">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（3）</w:t>
            </w:r>
          </w:p>
          <w:p w14:paraId="554D645B">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bCs/>
                <w:color w:val="auto"/>
                <w:kern w:val="0"/>
                <w:sz w:val="18"/>
                <w:szCs w:val="18"/>
                <w:highlight w:val="none"/>
              </w:rPr>
              <w:t>绿化保维费用（元/年）</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5C">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（4）</w:t>
            </w:r>
          </w:p>
          <w:p w14:paraId="554D645D">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bCs/>
                <w:color w:val="auto"/>
                <w:kern w:val="0"/>
                <w:sz w:val="18"/>
                <w:szCs w:val="18"/>
                <w:highlight w:val="none"/>
              </w:rPr>
              <w:t>硬化保维费用（元/年）</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5E">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（5）</w:t>
            </w:r>
          </w:p>
          <w:p w14:paraId="554D645F">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bCs/>
                <w:color w:val="auto"/>
                <w:kern w:val="0"/>
                <w:sz w:val="18"/>
                <w:szCs w:val="18"/>
                <w:highlight w:val="none"/>
              </w:rPr>
              <w:t>航标维护费用（元/年）</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60">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前5项</w:t>
            </w:r>
          </w:p>
          <w:p w14:paraId="554D6461">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运行维护</w:t>
            </w:r>
          </w:p>
          <w:p w14:paraId="554D6462">
            <w:pPr>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小计</w:t>
            </w:r>
          </w:p>
          <w:p w14:paraId="554D6463">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bCs/>
                <w:color w:val="auto"/>
                <w:kern w:val="0"/>
                <w:sz w:val="18"/>
                <w:szCs w:val="18"/>
                <w:highlight w:val="none"/>
              </w:rPr>
              <w:t>（元/年）</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64">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color w:val="auto"/>
                <w:kern w:val="0"/>
                <w:sz w:val="20"/>
                <w:szCs w:val="20"/>
                <w:highlight w:val="none"/>
                <w:lang w:bidi="ar"/>
              </w:rPr>
              <w:t>备注</w:t>
            </w:r>
          </w:p>
        </w:tc>
      </w:tr>
      <w:tr w14:paraId="554D647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04" w:hRule="atLeast"/>
        </w:trPr>
        <w:tc>
          <w:tcPr>
            <w:tcW w:w="218" w:type="pct"/>
            <w:vMerge w:val="restart"/>
            <w:tcBorders>
              <w:top w:val="single" w:color="000000" w:sz="4" w:space="0"/>
              <w:left w:val="single" w:color="000000" w:sz="4" w:space="0"/>
              <w:right w:val="single" w:color="000000" w:sz="4" w:space="0"/>
            </w:tcBorders>
            <w:shd w:val="clear" w:color="auto" w:fill="auto"/>
            <w:vAlign w:val="center"/>
          </w:tcPr>
          <w:p w14:paraId="554D6466">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67">
            <w:pPr>
              <w:keepNext w:val="0"/>
              <w:keepLines w:val="0"/>
              <w:widowControl/>
              <w:suppressLineNumbers w:val="0"/>
              <w:adjustRightInd/>
              <w:spacing w:before="0" w:beforeAutospacing="0" w:after="0" w:afterAutospacing="0"/>
              <w:ind w:left="0" w:right="0"/>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胜利河船闸</w:t>
            </w:r>
          </w:p>
        </w:tc>
        <w:tc>
          <w:tcPr>
            <w:tcW w:w="234" w:type="pct"/>
            <w:vMerge w:val="restart"/>
            <w:tcBorders>
              <w:top w:val="single" w:color="000000" w:sz="4" w:space="0"/>
              <w:left w:val="single" w:color="000000" w:sz="4" w:space="0"/>
              <w:right w:val="single" w:color="000000" w:sz="4" w:space="0"/>
            </w:tcBorders>
            <w:shd w:val="clear" w:color="auto" w:fill="auto"/>
            <w:vAlign w:val="center"/>
          </w:tcPr>
          <w:p w14:paraId="554D6468">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东新石桥片</w:t>
            </w:r>
          </w:p>
        </w:tc>
        <w:tc>
          <w:tcPr>
            <w:tcW w:w="234" w:type="pct"/>
            <w:vMerge w:val="restart"/>
            <w:tcBorders>
              <w:top w:val="single" w:color="000000" w:sz="4" w:space="0"/>
              <w:left w:val="single" w:color="000000" w:sz="4" w:space="0"/>
              <w:right w:val="single" w:color="000000" w:sz="4" w:space="0"/>
            </w:tcBorders>
            <w:shd w:val="clear" w:color="auto" w:fill="auto"/>
            <w:vAlign w:val="center"/>
          </w:tcPr>
          <w:p w14:paraId="554D6469">
            <w:pPr>
              <w:keepNext w:val="0"/>
              <w:keepLines w:val="0"/>
              <w:widowControl/>
              <w:suppressLineNumbers w:val="0"/>
              <w:adjustRightInd/>
              <w:spacing w:before="0" w:beforeAutospacing="0" w:after="0" w:afterAutospacing="0"/>
              <w:ind w:left="0" w:right="0"/>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有</w:t>
            </w:r>
          </w:p>
        </w:tc>
        <w:tc>
          <w:tcPr>
            <w:tcW w:w="350" w:type="pct"/>
            <w:vMerge w:val="restart"/>
            <w:tcBorders>
              <w:top w:val="single" w:color="000000" w:sz="4" w:space="0"/>
              <w:left w:val="single" w:color="000000" w:sz="4" w:space="0"/>
              <w:right w:val="single" w:color="000000" w:sz="4" w:space="0"/>
            </w:tcBorders>
            <w:shd w:val="clear" w:color="auto" w:fill="auto"/>
            <w:vAlign w:val="center"/>
          </w:tcPr>
          <w:p w14:paraId="554D646A">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配水 排涝 通航</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6B">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一</w:t>
            </w:r>
          </w:p>
        </w:tc>
        <w:tc>
          <w:tcPr>
            <w:tcW w:w="234" w:type="pct"/>
            <w:vMerge w:val="restart"/>
            <w:tcBorders>
              <w:top w:val="single" w:color="000000" w:sz="4" w:space="0"/>
              <w:left w:val="single" w:color="000000" w:sz="4" w:space="0"/>
              <w:right w:val="single" w:color="000000" w:sz="4" w:space="0"/>
            </w:tcBorders>
            <w:shd w:val="clear" w:color="auto" w:fill="auto"/>
            <w:vAlign w:val="center"/>
          </w:tcPr>
          <w:p w14:paraId="554D646C">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三班二运转</w:t>
            </w:r>
          </w:p>
        </w:tc>
        <w:tc>
          <w:tcPr>
            <w:tcW w:w="218" w:type="pct"/>
            <w:vMerge w:val="restart"/>
            <w:tcBorders>
              <w:top w:val="single" w:color="000000" w:sz="4" w:space="0"/>
              <w:left w:val="single" w:color="000000" w:sz="4" w:space="0"/>
              <w:right w:val="single" w:color="000000" w:sz="4" w:space="0"/>
            </w:tcBorders>
            <w:shd w:val="clear" w:color="auto" w:fill="auto"/>
            <w:vAlign w:val="center"/>
          </w:tcPr>
          <w:p w14:paraId="554D646D">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p>
        </w:tc>
        <w:tc>
          <w:tcPr>
            <w:tcW w:w="218" w:type="pct"/>
            <w:vMerge w:val="restart"/>
            <w:tcBorders>
              <w:top w:val="single" w:color="000000" w:sz="4" w:space="0"/>
              <w:left w:val="single" w:color="000000" w:sz="4" w:space="0"/>
              <w:right w:val="single" w:color="000000" w:sz="4" w:space="0"/>
            </w:tcBorders>
            <w:shd w:val="clear" w:color="auto" w:fill="auto"/>
            <w:vAlign w:val="center"/>
          </w:tcPr>
          <w:p w14:paraId="554D646E">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9</w:t>
            </w:r>
          </w:p>
        </w:tc>
        <w:tc>
          <w:tcPr>
            <w:tcW w:w="218" w:type="pct"/>
            <w:vMerge w:val="restart"/>
            <w:tcBorders>
              <w:top w:val="single" w:color="000000" w:sz="4" w:space="0"/>
              <w:left w:val="single" w:color="000000" w:sz="4" w:space="0"/>
              <w:right w:val="single" w:color="000000" w:sz="4" w:space="0"/>
            </w:tcBorders>
            <w:shd w:val="clear" w:color="auto" w:fill="auto"/>
            <w:vAlign w:val="center"/>
          </w:tcPr>
          <w:p w14:paraId="554D646F">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367" w:type="pct"/>
            <w:vMerge w:val="restart"/>
            <w:tcBorders>
              <w:top w:val="single" w:color="000000" w:sz="4" w:space="0"/>
              <w:left w:val="single" w:color="000000" w:sz="4" w:space="0"/>
              <w:right w:val="single" w:color="000000" w:sz="4" w:space="0"/>
            </w:tcBorders>
            <w:shd w:val="clear" w:color="auto" w:fill="auto"/>
            <w:vAlign w:val="center"/>
          </w:tcPr>
          <w:p w14:paraId="554D6471">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72">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vMerge w:val="restart"/>
            <w:tcBorders>
              <w:top w:val="single" w:color="000000" w:sz="4" w:space="0"/>
              <w:left w:val="single" w:color="000000" w:sz="4" w:space="0"/>
              <w:right w:val="single" w:color="000000" w:sz="4" w:space="0"/>
            </w:tcBorders>
            <w:shd w:val="clear" w:color="auto" w:fill="auto"/>
            <w:vAlign w:val="center"/>
          </w:tcPr>
          <w:p w14:paraId="554D6473">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vMerge w:val="restart"/>
            <w:tcBorders>
              <w:top w:val="single" w:color="000000" w:sz="4" w:space="0"/>
              <w:left w:val="single" w:color="000000" w:sz="4" w:space="0"/>
              <w:right w:val="single" w:color="000000" w:sz="4" w:space="0"/>
            </w:tcBorders>
            <w:shd w:val="clear" w:color="auto" w:fill="auto"/>
            <w:vAlign w:val="center"/>
          </w:tcPr>
          <w:p w14:paraId="554D6474">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8" w:type="pct"/>
            <w:vMerge w:val="restart"/>
            <w:tcBorders>
              <w:top w:val="single" w:color="000000" w:sz="4" w:space="0"/>
              <w:left w:val="single" w:color="000000" w:sz="4" w:space="0"/>
              <w:right w:val="single" w:color="000000" w:sz="4" w:space="0"/>
            </w:tcBorders>
            <w:shd w:val="clear" w:color="auto" w:fill="auto"/>
            <w:vAlign w:val="center"/>
          </w:tcPr>
          <w:p w14:paraId="554D6475">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18" w:type="pct"/>
            <w:vMerge w:val="restart"/>
            <w:tcBorders>
              <w:top w:val="single" w:color="000000" w:sz="4" w:space="0"/>
              <w:left w:val="single" w:color="000000" w:sz="4" w:space="0"/>
              <w:right w:val="single" w:color="000000" w:sz="4" w:space="0"/>
            </w:tcBorders>
            <w:shd w:val="clear" w:color="auto" w:fill="auto"/>
            <w:vAlign w:val="center"/>
          </w:tcPr>
          <w:p w14:paraId="554D6476">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tcBorders>
              <w:top w:val="single" w:color="000000" w:sz="4" w:space="0"/>
              <w:left w:val="single" w:color="000000" w:sz="4" w:space="0"/>
              <w:bottom w:val="single" w:color="000000" w:sz="4" w:space="0"/>
              <w:right w:val="single" w:color="000000" w:sz="4" w:space="0"/>
            </w:tcBorders>
            <w:vAlign w:val="center"/>
          </w:tcPr>
          <w:p w14:paraId="554D6477">
            <w:pPr>
              <w:keepNext w:val="0"/>
              <w:keepLines w:val="0"/>
              <w:widowControl/>
              <w:suppressLineNumbers w:val="0"/>
              <w:adjustRightInd/>
              <w:spacing w:before="0" w:beforeAutospacing="0" w:after="0" w:afterAutospacing="0"/>
              <w:ind w:left="0" w:right="0"/>
              <w:jc w:val="left"/>
              <w:textAlignment w:val="center"/>
              <w:rPr>
                <w:rFonts w:hint="eastAsia" w:ascii="仿宋" w:hAnsi="仿宋" w:eastAsia="仿宋" w:cs="仿宋"/>
                <w:color w:val="auto"/>
                <w:sz w:val="20"/>
                <w:szCs w:val="20"/>
                <w:highlight w:val="none"/>
              </w:rPr>
            </w:pPr>
          </w:p>
        </w:tc>
      </w:tr>
      <w:tr w14:paraId="554D648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04" w:hRule="atLeast"/>
        </w:trPr>
        <w:tc>
          <w:tcPr>
            <w:tcW w:w="218" w:type="pct"/>
            <w:vMerge w:val="continue"/>
            <w:tcBorders>
              <w:left w:val="single" w:color="000000" w:sz="4" w:space="0"/>
              <w:right w:val="single" w:color="000000" w:sz="4" w:space="0"/>
            </w:tcBorders>
            <w:shd w:val="clear" w:color="auto" w:fill="auto"/>
            <w:vAlign w:val="center"/>
          </w:tcPr>
          <w:p w14:paraId="554D6479">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kern w:val="0"/>
                <w:sz w:val="20"/>
                <w:szCs w:val="20"/>
                <w:highlight w:val="none"/>
                <w:lang w:bidi="ar"/>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7A">
            <w:pPr>
              <w:keepNext w:val="0"/>
              <w:keepLines w:val="0"/>
              <w:widowControl/>
              <w:suppressLineNumbers w:val="0"/>
              <w:adjustRightInd/>
              <w:spacing w:before="0" w:beforeAutospacing="0" w:after="0" w:afterAutospacing="0"/>
              <w:ind w:left="0" w:right="0"/>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配套的输水廊道进出水闸门</w:t>
            </w:r>
          </w:p>
        </w:tc>
        <w:tc>
          <w:tcPr>
            <w:tcW w:w="234" w:type="pct"/>
            <w:vMerge w:val="continue"/>
            <w:tcBorders>
              <w:left w:val="single" w:color="000000" w:sz="4" w:space="0"/>
              <w:right w:val="single" w:color="000000" w:sz="4" w:space="0"/>
            </w:tcBorders>
            <w:shd w:val="clear" w:color="auto" w:fill="auto"/>
            <w:vAlign w:val="center"/>
          </w:tcPr>
          <w:p w14:paraId="554D647B">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34" w:type="pct"/>
            <w:vMerge w:val="continue"/>
            <w:tcBorders>
              <w:left w:val="single" w:color="000000" w:sz="4" w:space="0"/>
              <w:right w:val="single" w:color="000000" w:sz="4" w:space="0"/>
            </w:tcBorders>
            <w:shd w:val="clear" w:color="auto" w:fill="auto"/>
            <w:vAlign w:val="center"/>
          </w:tcPr>
          <w:p w14:paraId="554D647C">
            <w:pPr>
              <w:keepNext w:val="0"/>
              <w:keepLines w:val="0"/>
              <w:widowControl/>
              <w:suppressLineNumbers w:val="0"/>
              <w:adjustRightInd/>
              <w:spacing w:before="0" w:beforeAutospacing="0" w:after="0" w:afterAutospacing="0"/>
              <w:ind w:left="0" w:right="0"/>
              <w:textAlignment w:val="center"/>
              <w:rPr>
                <w:rFonts w:hint="eastAsia" w:ascii="仿宋" w:hAnsi="仿宋" w:eastAsia="仿宋" w:cs="仿宋"/>
                <w:color w:val="auto"/>
                <w:sz w:val="20"/>
                <w:szCs w:val="20"/>
                <w:highlight w:val="none"/>
              </w:rPr>
            </w:pPr>
          </w:p>
        </w:tc>
        <w:tc>
          <w:tcPr>
            <w:tcW w:w="350" w:type="pct"/>
            <w:vMerge w:val="continue"/>
            <w:tcBorders>
              <w:left w:val="single" w:color="000000" w:sz="4" w:space="0"/>
              <w:right w:val="single" w:color="000000" w:sz="4" w:space="0"/>
            </w:tcBorders>
            <w:shd w:val="clear" w:color="auto" w:fill="auto"/>
            <w:vAlign w:val="center"/>
          </w:tcPr>
          <w:p w14:paraId="554D647D">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7E">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三</w:t>
            </w:r>
          </w:p>
        </w:tc>
        <w:tc>
          <w:tcPr>
            <w:tcW w:w="234" w:type="pct"/>
            <w:vMerge w:val="continue"/>
            <w:tcBorders>
              <w:left w:val="single" w:color="000000" w:sz="4" w:space="0"/>
              <w:right w:val="single" w:color="000000" w:sz="4" w:space="0"/>
            </w:tcBorders>
            <w:shd w:val="clear" w:color="auto" w:fill="auto"/>
            <w:vAlign w:val="center"/>
          </w:tcPr>
          <w:p w14:paraId="554D647F">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vMerge w:val="continue"/>
            <w:tcBorders>
              <w:left w:val="single" w:color="000000" w:sz="4" w:space="0"/>
              <w:right w:val="single" w:color="000000" w:sz="4" w:space="0"/>
            </w:tcBorders>
            <w:shd w:val="clear" w:color="auto" w:fill="auto"/>
            <w:vAlign w:val="center"/>
          </w:tcPr>
          <w:p w14:paraId="554D6480">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vMerge w:val="continue"/>
            <w:tcBorders>
              <w:left w:val="single" w:color="000000" w:sz="4" w:space="0"/>
              <w:right w:val="single" w:color="000000" w:sz="4" w:space="0"/>
            </w:tcBorders>
            <w:shd w:val="clear" w:color="auto" w:fill="auto"/>
            <w:vAlign w:val="center"/>
          </w:tcPr>
          <w:p w14:paraId="554D6481">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vMerge w:val="continue"/>
            <w:tcBorders>
              <w:left w:val="single" w:color="000000" w:sz="4" w:space="0"/>
              <w:right w:val="single" w:color="000000" w:sz="4" w:space="0"/>
            </w:tcBorders>
            <w:shd w:val="clear" w:color="auto" w:fill="auto"/>
            <w:vAlign w:val="center"/>
          </w:tcPr>
          <w:p w14:paraId="554D6482">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vMerge w:val="continue"/>
            <w:tcBorders>
              <w:left w:val="single" w:color="000000" w:sz="4" w:space="0"/>
              <w:right w:val="single" w:color="000000" w:sz="4" w:space="0"/>
            </w:tcBorders>
            <w:shd w:val="clear" w:color="auto" w:fill="auto"/>
            <w:vAlign w:val="center"/>
          </w:tcPr>
          <w:p w14:paraId="554D6484">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85">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vMerge w:val="continue"/>
            <w:tcBorders>
              <w:left w:val="single" w:color="000000" w:sz="4" w:space="0"/>
              <w:right w:val="single" w:color="000000" w:sz="4" w:space="0"/>
            </w:tcBorders>
            <w:shd w:val="clear" w:color="auto" w:fill="auto"/>
            <w:vAlign w:val="center"/>
          </w:tcPr>
          <w:p w14:paraId="554D6486">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vMerge w:val="continue"/>
            <w:tcBorders>
              <w:left w:val="single" w:color="000000" w:sz="4" w:space="0"/>
              <w:right w:val="single" w:color="000000" w:sz="4" w:space="0"/>
            </w:tcBorders>
            <w:shd w:val="clear" w:color="auto" w:fill="auto"/>
            <w:vAlign w:val="center"/>
          </w:tcPr>
          <w:p w14:paraId="554D6487">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8" w:type="pct"/>
            <w:vMerge w:val="continue"/>
            <w:tcBorders>
              <w:left w:val="single" w:color="000000" w:sz="4" w:space="0"/>
              <w:right w:val="single" w:color="000000" w:sz="4" w:space="0"/>
            </w:tcBorders>
            <w:shd w:val="clear" w:color="auto" w:fill="auto"/>
            <w:vAlign w:val="center"/>
          </w:tcPr>
          <w:p w14:paraId="554D6488">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18" w:type="pct"/>
            <w:vMerge w:val="continue"/>
            <w:tcBorders>
              <w:left w:val="single" w:color="000000" w:sz="4" w:space="0"/>
              <w:right w:val="single" w:color="000000" w:sz="4" w:space="0"/>
            </w:tcBorders>
            <w:shd w:val="clear" w:color="auto" w:fill="auto"/>
            <w:vAlign w:val="center"/>
          </w:tcPr>
          <w:p w14:paraId="554D6489">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tcBorders>
              <w:top w:val="single" w:color="000000" w:sz="4" w:space="0"/>
              <w:left w:val="single" w:color="000000" w:sz="4" w:space="0"/>
              <w:bottom w:val="single" w:color="000000" w:sz="4" w:space="0"/>
              <w:right w:val="single" w:color="000000" w:sz="4" w:space="0"/>
            </w:tcBorders>
            <w:vAlign w:val="center"/>
          </w:tcPr>
          <w:p w14:paraId="554D648A">
            <w:pPr>
              <w:keepNext w:val="0"/>
              <w:keepLines w:val="0"/>
              <w:widowControl/>
              <w:suppressLineNumbers w:val="0"/>
              <w:adjustRightInd/>
              <w:spacing w:before="0" w:beforeAutospacing="0" w:after="0" w:afterAutospacing="0"/>
              <w:ind w:left="0" w:right="0"/>
              <w:jc w:val="left"/>
              <w:textAlignment w:val="center"/>
              <w:rPr>
                <w:rFonts w:hint="eastAsia" w:ascii="仿宋" w:hAnsi="仿宋" w:eastAsia="仿宋" w:cs="仿宋"/>
                <w:color w:val="auto"/>
                <w:sz w:val="20"/>
                <w:szCs w:val="20"/>
                <w:highlight w:val="none"/>
              </w:rPr>
            </w:pPr>
          </w:p>
        </w:tc>
      </w:tr>
      <w:tr w14:paraId="554D649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9" w:hRule="atLeast"/>
        </w:trPr>
        <w:tc>
          <w:tcPr>
            <w:tcW w:w="218" w:type="pct"/>
            <w:vMerge w:val="continue"/>
            <w:tcBorders>
              <w:left w:val="single" w:color="000000" w:sz="4" w:space="0"/>
              <w:bottom w:val="single" w:color="000000" w:sz="4" w:space="0"/>
              <w:right w:val="single" w:color="000000" w:sz="4" w:space="0"/>
            </w:tcBorders>
            <w:shd w:val="clear" w:color="auto" w:fill="auto"/>
            <w:vAlign w:val="center"/>
          </w:tcPr>
          <w:p w14:paraId="554D648C">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kern w:val="0"/>
                <w:sz w:val="20"/>
                <w:szCs w:val="20"/>
                <w:highlight w:val="none"/>
                <w:lang w:bidi="ar"/>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8D">
            <w:pPr>
              <w:keepNext w:val="0"/>
              <w:keepLines w:val="0"/>
              <w:widowControl/>
              <w:suppressLineNumbers w:val="0"/>
              <w:adjustRightInd/>
              <w:spacing w:before="0" w:beforeAutospacing="0" w:after="0" w:afterAutospacing="0"/>
              <w:ind w:left="0" w:right="0"/>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配套的检修闸门（2个）</w:t>
            </w:r>
          </w:p>
        </w:tc>
        <w:tc>
          <w:tcPr>
            <w:tcW w:w="234" w:type="pct"/>
            <w:vMerge w:val="continue"/>
            <w:tcBorders>
              <w:left w:val="single" w:color="000000" w:sz="4" w:space="0"/>
              <w:bottom w:val="single" w:color="000000" w:sz="4" w:space="0"/>
              <w:right w:val="single" w:color="000000" w:sz="4" w:space="0"/>
            </w:tcBorders>
            <w:shd w:val="clear" w:color="auto" w:fill="auto"/>
            <w:vAlign w:val="center"/>
          </w:tcPr>
          <w:p w14:paraId="554D648E">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34" w:type="pct"/>
            <w:vMerge w:val="continue"/>
            <w:tcBorders>
              <w:left w:val="single" w:color="000000" w:sz="4" w:space="0"/>
              <w:bottom w:val="single" w:color="000000" w:sz="4" w:space="0"/>
              <w:right w:val="single" w:color="000000" w:sz="4" w:space="0"/>
            </w:tcBorders>
            <w:shd w:val="clear" w:color="auto" w:fill="auto"/>
            <w:vAlign w:val="center"/>
          </w:tcPr>
          <w:p w14:paraId="554D648F">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50" w:type="pct"/>
            <w:vMerge w:val="continue"/>
            <w:tcBorders>
              <w:left w:val="single" w:color="000000" w:sz="4" w:space="0"/>
              <w:bottom w:val="single" w:color="000000" w:sz="4" w:space="0"/>
              <w:right w:val="single" w:color="000000" w:sz="4" w:space="0"/>
            </w:tcBorders>
            <w:shd w:val="clear" w:color="auto" w:fill="auto"/>
            <w:vAlign w:val="center"/>
          </w:tcPr>
          <w:p w14:paraId="554D6490">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91">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五</w:t>
            </w:r>
          </w:p>
        </w:tc>
        <w:tc>
          <w:tcPr>
            <w:tcW w:w="234" w:type="pct"/>
            <w:vMerge w:val="continue"/>
            <w:tcBorders>
              <w:left w:val="single" w:color="000000" w:sz="4" w:space="0"/>
              <w:bottom w:val="single" w:color="000000" w:sz="4" w:space="0"/>
              <w:right w:val="single" w:color="000000" w:sz="4" w:space="0"/>
            </w:tcBorders>
            <w:shd w:val="clear" w:color="auto" w:fill="auto"/>
            <w:vAlign w:val="center"/>
          </w:tcPr>
          <w:p w14:paraId="554D6492">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vMerge w:val="continue"/>
            <w:tcBorders>
              <w:left w:val="single" w:color="000000" w:sz="4" w:space="0"/>
              <w:bottom w:val="single" w:color="000000" w:sz="4" w:space="0"/>
              <w:right w:val="single" w:color="000000" w:sz="4" w:space="0"/>
            </w:tcBorders>
            <w:shd w:val="clear" w:color="auto" w:fill="auto"/>
            <w:vAlign w:val="center"/>
          </w:tcPr>
          <w:p w14:paraId="554D6493">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vMerge w:val="continue"/>
            <w:tcBorders>
              <w:left w:val="single" w:color="000000" w:sz="4" w:space="0"/>
              <w:bottom w:val="single" w:color="000000" w:sz="4" w:space="0"/>
              <w:right w:val="single" w:color="000000" w:sz="4" w:space="0"/>
            </w:tcBorders>
            <w:shd w:val="clear" w:color="auto" w:fill="auto"/>
            <w:vAlign w:val="center"/>
          </w:tcPr>
          <w:p w14:paraId="554D6494">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vMerge w:val="continue"/>
            <w:tcBorders>
              <w:left w:val="single" w:color="000000" w:sz="4" w:space="0"/>
              <w:bottom w:val="single" w:color="000000" w:sz="4" w:space="0"/>
              <w:right w:val="single" w:color="000000" w:sz="4" w:space="0"/>
            </w:tcBorders>
            <w:shd w:val="clear" w:color="auto" w:fill="auto"/>
            <w:vAlign w:val="center"/>
          </w:tcPr>
          <w:p w14:paraId="554D6495">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vMerge w:val="continue"/>
            <w:tcBorders>
              <w:left w:val="single" w:color="000000" w:sz="4" w:space="0"/>
              <w:bottom w:val="single" w:color="000000" w:sz="4" w:space="0"/>
              <w:right w:val="single" w:color="000000" w:sz="4" w:space="0"/>
            </w:tcBorders>
            <w:shd w:val="clear" w:color="auto" w:fill="auto"/>
            <w:vAlign w:val="center"/>
          </w:tcPr>
          <w:p w14:paraId="554D6497">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98">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vMerge w:val="continue"/>
            <w:tcBorders>
              <w:left w:val="single" w:color="000000" w:sz="4" w:space="0"/>
              <w:bottom w:val="single" w:color="000000" w:sz="4" w:space="0"/>
              <w:right w:val="single" w:color="000000" w:sz="4" w:space="0"/>
            </w:tcBorders>
            <w:shd w:val="clear" w:color="auto" w:fill="auto"/>
            <w:vAlign w:val="center"/>
          </w:tcPr>
          <w:p w14:paraId="554D6499">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vMerge w:val="continue"/>
            <w:tcBorders>
              <w:left w:val="single" w:color="000000" w:sz="4" w:space="0"/>
              <w:bottom w:val="single" w:color="000000" w:sz="4" w:space="0"/>
              <w:right w:val="single" w:color="000000" w:sz="4" w:space="0"/>
            </w:tcBorders>
            <w:shd w:val="clear" w:color="auto" w:fill="auto"/>
            <w:vAlign w:val="center"/>
          </w:tcPr>
          <w:p w14:paraId="554D649A">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8" w:type="pct"/>
            <w:vMerge w:val="continue"/>
            <w:tcBorders>
              <w:left w:val="single" w:color="000000" w:sz="4" w:space="0"/>
              <w:bottom w:val="single" w:color="000000" w:sz="4" w:space="0"/>
              <w:right w:val="single" w:color="000000" w:sz="4" w:space="0"/>
            </w:tcBorders>
            <w:shd w:val="clear" w:color="auto" w:fill="auto"/>
            <w:vAlign w:val="center"/>
          </w:tcPr>
          <w:p w14:paraId="554D649B">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18" w:type="pct"/>
            <w:vMerge w:val="continue"/>
            <w:tcBorders>
              <w:left w:val="single" w:color="000000" w:sz="4" w:space="0"/>
              <w:bottom w:val="single" w:color="000000" w:sz="4" w:space="0"/>
              <w:right w:val="single" w:color="000000" w:sz="4" w:space="0"/>
            </w:tcBorders>
            <w:shd w:val="clear" w:color="auto" w:fill="auto"/>
            <w:vAlign w:val="center"/>
          </w:tcPr>
          <w:p w14:paraId="554D649C">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tcBorders>
              <w:top w:val="single" w:color="000000" w:sz="4" w:space="0"/>
              <w:left w:val="single" w:color="000000" w:sz="4" w:space="0"/>
              <w:bottom w:val="single" w:color="000000" w:sz="4" w:space="0"/>
              <w:right w:val="single" w:color="000000" w:sz="4" w:space="0"/>
            </w:tcBorders>
            <w:vAlign w:val="center"/>
          </w:tcPr>
          <w:p w14:paraId="554D649D">
            <w:pPr>
              <w:keepNext w:val="0"/>
              <w:keepLines w:val="0"/>
              <w:widowControl/>
              <w:suppressLineNumbers w:val="0"/>
              <w:adjustRightInd/>
              <w:spacing w:before="0" w:beforeAutospacing="0" w:after="0" w:afterAutospacing="0"/>
              <w:ind w:left="0" w:right="0"/>
              <w:jc w:val="left"/>
              <w:textAlignment w:val="center"/>
              <w:rPr>
                <w:rFonts w:hint="eastAsia" w:ascii="仿宋" w:hAnsi="仿宋" w:eastAsia="仿宋" w:cs="仿宋"/>
                <w:color w:val="auto"/>
                <w:sz w:val="20"/>
                <w:szCs w:val="20"/>
                <w:highlight w:val="none"/>
              </w:rPr>
            </w:pPr>
          </w:p>
        </w:tc>
      </w:tr>
      <w:tr w14:paraId="554D64B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04" w:hRule="atLeast"/>
        </w:trPr>
        <w:tc>
          <w:tcPr>
            <w:tcW w:w="218" w:type="pct"/>
            <w:vMerge w:val="restart"/>
            <w:tcBorders>
              <w:top w:val="single" w:color="000000" w:sz="4" w:space="0"/>
              <w:left w:val="single" w:color="000000" w:sz="4" w:space="0"/>
              <w:right w:val="single" w:color="000000" w:sz="4" w:space="0"/>
            </w:tcBorders>
            <w:shd w:val="clear" w:color="auto" w:fill="auto"/>
            <w:vAlign w:val="center"/>
          </w:tcPr>
          <w:p w14:paraId="554D649F">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A0">
            <w:pPr>
              <w:keepNext w:val="0"/>
              <w:keepLines w:val="0"/>
              <w:widowControl/>
              <w:suppressLineNumbers w:val="0"/>
              <w:adjustRightInd/>
              <w:spacing w:before="0" w:beforeAutospacing="0" w:after="0" w:afterAutospacing="0"/>
              <w:ind w:left="0" w:right="0"/>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电厂热水河船闸</w:t>
            </w:r>
          </w:p>
        </w:tc>
        <w:tc>
          <w:tcPr>
            <w:tcW w:w="234" w:type="pct"/>
            <w:vMerge w:val="restart"/>
            <w:tcBorders>
              <w:top w:val="single" w:color="000000" w:sz="4" w:space="0"/>
              <w:left w:val="single" w:color="000000" w:sz="4" w:space="0"/>
              <w:right w:val="single" w:color="000000" w:sz="4" w:space="0"/>
            </w:tcBorders>
            <w:shd w:val="clear" w:color="auto" w:fill="auto"/>
            <w:vAlign w:val="center"/>
          </w:tcPr>
          <w:p w14:paraId="554D64A1">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东新石桥片</w:t>
            </w:r>
          </w:p>
        </w:tc>
        <w:tc>
          <w:tcPr>
            <w:tcW w:w="234" w:type="pct"/>
            <w:vMerge w:val="restart"/>
            <w:tcBorders>
              <w:top w:val="single" w:color="000000" w:sz="4" w:space="0"/>
              <w:left w:val="single" w:color="000000" w:sz="4" w:space="0"/>
              <w:right w:val="single" w:color="000000" w:sz="4" w:space="0"/>
            </w:tcBorders>
            <w:shd w:val="clear" w:color="auto" w:fill="auto"/>
            <w:vAlign w:val="center"/>
          </w:tcPr>
          <w:p w14:paraId="554D64A2">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有</w:t>
            </w:r>
          </w:p>
        </w:tc>
        <w:tc>
          <w:tcPr>
            <w:tcW w:w="350" w:type="pct"/>
            <w:vMerge w:val="restart"/>
            <w:tcBorders>
              <w:top w:val="single" w:color="000000" w:sz="4" w:space="0"/>
              <w:left w:val="single" w:color="000000" w:sz="4" w:space="0"/>
              <w:right w:val="single" w:color="000000" w:sz="4" w:space="0"/>
            </w:tcBorders>
            <w:shd w:val="clear" w:color="auto" w:fill="auto"/>
            <w:vAlign w:val="center"/>
          </w:tcPr>
          <w:p w14:paraId="554D64A3">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配水 排涝 通航</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A4">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三</w:t>
            </w:r>
          </w:p>
        </w:tc>
        <w:tc>
          <w:tcPr>
            <w:tcW w:w="234" w:type="pct"/>
            <w:vMerge w:val="restart"/>
            <w:tcBorders>
              <w:top w:val="single" w:color="000000" w:sz="4" w:space="0"/>
              <w:left w:val="single" w:color="000000" w:sz="4" w:space="0"/>
              <w:right w:val="single" w:color="000000" w:sz="4" w:space="0"/>
            </w:tcBorders>
            <w:shd w:val="clear" w:color="auto" w:fill="auto"/>
            <w:vAlign w:val="center"/>
          </w:tcPr>
          <w:p w14:paraId="554D64A5">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三班二运转</w:t>
            </w:r>
          </w:p>
        </w:tc>
        <w:tc>
          <w:tcPr>
            <w:tcW w:w="218" w:type="pct"/>
            <w:vMerge w:val="restart"/>
            <w:tcBorders>
              <w:top w:val="single" w:color="000000" w:sz="4" w:space="0"/>
              <w:left w:val="single" w:color="000000" w:sz="4" w:space="0"/>
              <w:right w:val="single" w:color="000000" w:sz="4" w:space="0"/>
            </w:tcBorders>
            <w:shd w:val="clear" w:color="auto" w:fill="auto"/>
            <w:vAlign w:val="center"/>
          </w:tcPr>
          <w:p w14:paraId="554D64A6">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18" w:type="pct"/>
            <w:vMerge w:val="restart"/>
            <w:tcBorders>
              <w:top w:val="single" w:color="000000" w:sz="4" w:space="0"/>
              <w:left w:val="single" w:color="000000" w:sz="4" w:space="0"/>
              <w:right w:val="single" w:color="000000" w:sz="4" w:space="0"/>
            </w:tcBorders>
            <w:shd w:val="clear" w:color="auto" w:fill="auto"/>
            <w:vAlign w:val="center"/>
          </w:tcPr>
          <w:p w14:paraId="554D64A7">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6</w:t>
            </w:r>
          </w:p>
        </w:tc>
        <w:tc>
          <w:tcPr>
            <w:tcW w:w="218" w:type="pct"/>
            <w:vMerge w:val="restart"/>
            <w:tcBorders>
              <w:top w:val="single" w:color="000000" w:sz="4" w:space="0"/>
              <w:left w:val="single" w:color="000000" w:sz="4" w:space="0"/>
              <w:right w:val="single" w:color="000000" w:sz="4" w:space="0"/>
            </w:tcBorders>
            <w:shd w:val="clear" w:color="auto" w:fill="auto"/>
            <w:vAlign w:val="center"/>
          </w:tcPr>
          <w:p w14:paraId="554D64A8">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0</w:t>
            </w:r>
          </w:p>
        </w:tc>
        <w:tc>
          <w:tcPr>
            <w:tcW w:w="367" w:type="pct"/>
            <w:vMerge w:val="restart"/>
            <w:tcBorders>
              <w:top w:val="single" w:color="000000" w:sz="4" w:space="0"/>
              <w:left w:val="single" w:color="000000" w:sz="4" w:space="0"/>
              <w:right w:val="single" w:color="000000" w:sz="4" w:space="0"/>
            </w:tcBorders>
            <w:shd w:val="clear" w:color="auto" w:fill="auto"/>
            <w:vAlign w:val="center"/>
          </w:tcPr>
          <w:p w14:paraId="554D64AA">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AB">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vMerge w:val="restart"/>
            <w:tcBorders>
              <w:top w:val="single" w:color="000000" w:sz="4" w:space="0"/>
              <w:left w:val="single" w:color="000000" w:sz="4" w:space="0"/>
              <w:right w:val="single" w:color="000000" w:sz="4" w:space="0"/>
            </w:tcBorders>
            <w:shd w:val="clear" w:color="auto" w:fill="auto"/>
            <w:vAlign w:val="center"/>
          </w:tcPr>
          <w:p w14:paraId="554D64AC">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vMerge w:val="restart"/>
            <w:tcBorders>
              <w:top w:val="single" w:color="000000" w:sz="4" w:space="0"/>
              <w:left w:val="single" w:color="000000" w:sz="4" w:space="0"/>
              <w:right w:val="single" w:color="000000" w:sz="4" w:space="0"/>
            </w:tcBorders>
            <w:shd w:val="clear" w:color="auto" w:fill="auto"/>
            <w:vAlign w:val="center"/>
          </w:tcPr>
          <w:p w14:paraId="554D64AD">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8" w:type="pct"/>
            <w:vMerge w:val="restart"/>
            <w:tcBorders>
              <w:top w:val="single" w:color="000000" w:sz="4" w:space="0"/>
              <w:left w:val="single" w:color="000000" w:sz="4" w:space="0"/>
              <w:right w:val="single" w:color="000000" w:sz="4" w:space="0"/>
            </w:tcBorders>
            <w:shd w:val="clear" w:color="auto" w:fill="auto"/>
            <w:vAlign w:val="center"/>
          </w:tcPr>
          <w:p w14:paraId="554D64AE">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18" w:type="pct"/>
            <w:vMerge w:val="restart"/>
            <w:tcBorders>
              <w:top w:val="single" w:color="000000" w:sz="4" w:space="0"/>
              <w:left w:val="single" w:color="000000" w:sz="4" w:space="0"/>
              <w:right w:val="single" w:color="000000" w:sz="4" w:space="0"/>
            </w:tcBorders>
            <w:shd w:val="clear" w:color="auto" w:fill="auto"/>
            <w:vAlign w:val="center"/>
          </w:tcPr>
          <w:p w14:paraId="554D64AF">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tcBorders>
              <w:top w:val="single" w:color="000000" w:sz="4" w:space="0"/>
              <w:left w:val="single" w:color="000000" w:sz="4" w:space="0"/>
              <w:bottom w:val="single" w:color="000000" w:sz="4" w:space="0"/>
              <w:right w:val="single" w:color="000000" w:sz="4" w:space="0"/>
            </w:tcBorders>
            <w:vAlign w:val="center"/>
          </w:tcPr>
          <w:p w14:paraId="554D64B0">
            <w:pPr>
              <w:keepNext w:val="0"/>
              <w:keepLines w:val="0"/>
              <w:widowControl/>
              <w:suppressLineNumbers w:val="0"/>
              <w:adjustRightInd/>
              <w:spacing w:before="0" w:beforeAutospacing="0" w:after="0" w:afterAutospacing="0"/>
              <w:ind w:left="0" w:right="0"/>
              <w:jc w:val="left"/>
              <w:textAlignment w:val="center"/>
              <w:rPr>
                <w:rFonts w:hint="eastAsia" w:ascii="仿宋" w:hAnsi="仿宋" w:eastAsia="仿宋" w:cs="仿宋"/>
                <w:color w:val="auto"/>
                <w:sz w:val="20"/>
                <w:szCs w:val="20"/>
                <w:highlight w:val="none"/>
              </w:rPr>
            </w:pPr>
          </w:p>
        </w:tc>
      </w:tr>
      <w:tr w14:paraId="554D64C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04" w:hRule="atLeast"/>
        </w:trPr>
        <w:tc>
          <w:tcPr>
            <w:tcW w:w="218" w:type="pct"/>
            <w:vMerge w:val="continue"/>
            <w:tcBorders>
              <w:left w:val="single" w:color="000000" w:sz="4" w:space="0"/>
              <w:bottom w:val="single" w:color="000000" w:sz="4" w:space="0"/>
              <w:right w:val="single" w:color="000000" w:sz="4" w:space="0"/>
            </w:tcBorders>
            <w:shd w:val="clear" w:color="auto" w:fill="auto"/>
            <w:vAlign w:val="center"/>
          </w:tcPr>
          <w:p w14:paraId="554D64B2">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kern w:val="0"/>
                <w:sz w:val="20"/>
                <w:szCs w:val="20"/>
                <w:highlight w:val="none"/>
                <w:lang w:bidi="ar"/>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B3">
            <w:pPr>
              <w:keepNext w:val="0"/>
              <w:keepLines w:val="0"/>
              <w:widowControl/>
              <w:suppressLineNumbers w:val="0"/>
              <w:adjustRightInd/>
              <w:spacing w:before="0" w:beforeAutospacing="0" w:after="0" w:afterAutospacing="0"/>
              <w:ind w:left="0" w:right="0"/>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配套的输水廊道进出水闸门</w:t>
            </w:r>
          </w:p>
        </w:tc>
        <w:tc>
          <w:tcPr>
            <w:tcW w:w="234" w:type="pct"/>
            <w:vMerge w:val="continue"/>
            <w:tcBorders>
              <w:left w:val="single" w:color="000000" w:sz="4" w:space="0"/>
              <w:bottom w:val="single" w:color="000000" w:sz="4" w:space="0"/>
              <w:right w:val="single" w:color="000000" w:sz="4" w:space="0"/>
            </w:tcBorders>
            <w:shd w:val="clear" w:color="auto" w:fill="auto"/>
            <w:vAlign w:val="center"/>
          </w:tcPr>
          <w:p w14:paraId="554D64B4">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34" w:type="pct"/>
            <w:vMerge w:val="continue"/>
            <w:tcBorders>
              <w:left w:val="single" w:color="000000" w:sz="4" w:space="0"/>
              <w:bottom w:val="single" w:color="000000" w:sz="4" w:space="0"/>
              <w:right w:val="single" w:color="000000" w:sz="4" w:space="0"/>
            </w:tcBorders>
            <w:shd w:val="clear" w:color="auto" w:fill="auto"/>
            <w:vAlign w:val="center"/>
          </w:tcPr>
          <w:p w14:paraId="554D64B5">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50" w:type="pct"/>
            <w:vMerge w:val="continue"/>
            <w:tcBorders>
              <w:left w:val="single" w:color="000000" w:sz="4" w:space="0"/>
              <w:bottom w:val="single" w:color="000000" w:sz="4" w:space="0"/>
              <w:right w:val="single" w:color="000000" w:sz="4" w:space="0"/>
            </w:tcBorders>
            <w:shd w:val="clear" w:color="auto" w:fill="auto"/>
            <w:vAlign w:val="center"/>
          </w:tcPr>
          <w:p w14:paraId="554D64B6">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B7">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四</w:t>
            </w:r>
          </w:p>
        </w:tc>
        <w:tc>
          <w:tcPr>
            <w:tcW w:w="234" w:type="pct"/>
            <w:vMerge w:val="continue"/>
            <w:tcBorders>
              <w:left w:val="single" w:color="000000" w:sz="4" w:space="0"/>
              <w:bottom w:val="single" w:color="000000" w:sz="4" w:space="0"/>
              <w:right w:val="single" w:color="000000" w:sz="4" w:space="0"/>
            </w:tcBorders>
            <w:shd w:val="clear" w:color="auto" w:fill="auto"/>
            <w:vAlign w:val="center"/>
          </w:tcPr>
          <w:p w14:paraId="554D64B8">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vMerge w:val="continue"/>
            <w:tcBorders>
              <w:left w:val="single" w:color="000000" w:sz="4" w:space="0"/>
              <w:bottom w:val="single" w:color="000000" w:sz="4" w:space="0"/>
              <w:right w:val="single" w:color="000000" w:sz="4" w:space="0"/>
            </w:tcBorders>
            <w:shd w:val="clear" w:color="auto" w:fill="auto"/>
            <w:vAlign w:val="center"/>
          </w:tcPr>
          <w:p w14:paraId="554D64B9">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vMerge w:val="continue"/>
            <w:tcBorders>
              <w:left w:val="single" w:color="000000" w:sz="4" w:space="0"/>
              <w:bottom w:val="single" w:color="000000" w:sz="4" w:space="0"/>
              <w:right w:val="single" w:color="000000" w:sz="4" w:space="0"/>
            </w:tcBorders>
            <w:shd w:val="clear" w:color="auto" w:fill="auto"/>
            <w:vAlign w:val="center"/>
          </w:tcPr>
          <w:p w14:paraId="554D64BA">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vMerge w:val="continue"/>
            <w:tcBorders>
              <w:left w:val="single" w:color="000000" w:sz="4" w:space="0"/>
              <w:bottom w:val="single" w:color="000000" w:sz="4" w:space="0"/>
              <w:right w:val="single" w:color="000000" w:sz="4" w:space="0"/>
            </w:tcBorders>
            <w:shd w:val="clear" w:color="auto" w:fill="auto"/>
            <w:vAlign w:val="center"/>
          </w:tcPr>
          <w:p w14:paraId="554D64BB">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vMerge w:val="continue"/>
            <w:tcBorders>
              <w:left w:val="single" w:color="000000" w:sz="4" w:space="0"/>
              <w:bottom w:val="single" w:color="000000" w:sz="4" w:space="0"/>
              <w:right w:val="single" w:color="000000" w:sz="4" w:space="0"/>
            </w:tcBorders>
            <w:shd w:val="clear" w:color="auto" w:fill="auto"/>
            <w:vAlign w:val="center"/>
          </w:tcPr>
          <w:p w14:paraId="554D64BD">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BE">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vMerge w:val="continue"/>
            <w:tcBorders>
              <w:left w:val="single" w:color="000000" w:sz="4" w:space="0"/>
              <w:bottom w:val="single" w:color="000000" w:sz="4" w:space="0"/>
              <w:right w:val="single" w:color="000000" w:sz="4" w:space="0"/>
            </w:tcBorders>
            <w:shd w:val="clear" w:color="auto" w:fill="auto"/>
            <w:vAlign w:val="center"/>
          </w:tcPr>
          <w:p w14:paraId="554D64BF">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vMerge w:val="continue"/>
            <w:tcBorders>
              <w:left w:val="single" w:color="000000" w:sz="4" w:space="0"/>
              <w:bottom w:val="single" w:color="000000" w:sz="4" w:space="0"/>
              <w:right w:val="single" w:color="000000" w:sz="4" w:space="0"/>
            </w:tcBorders>
            <w:shd w:val="clear" w:color="auto" w:fill="auto"/>
            <w:vAlign w:val="center"/>
          </w:tcPr>
          <w:p w14:paraId="554D64C0">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8" w:type="pct"/>
            <w:vMerge w:val="continue"/>
            <w:tcBorders>
              <w:left w:val="single" w:color="000000" w:sz="4" w:space="0"/>
              <w:bottom w:val="single" w:color="000000" w:sz="4" w:space="0"/>
              <w:right w:val="single" w:color="000000" w:sz="4" w:space="0"/>
            </w:tcBorders>
            <w:shd w:val="clear" w:color="auto" w:fill="auto"/>
            <w:vAlign w:val="center"/>
          </w:tcPr>
          <w:p w14:paraId="554D64C1">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18" w:type="pct"/>
            <w:vMerge w:val="continue"/>
            <w:tcBorders>
              <w:left w:val="single" w:color="000000" w:sz="4" w:space="0"/>
              <w:bottom w:val="single" w:color="000000" w:sz="4" w:space="0"/>
              <w:right w:val="single" w:color="000000" w:sz="4" w:space="0"/>
            </w:tcBorders>
            <w:shd w:val="clear" w:color="auto" w:fill="auto"/>
            <w:vAlign w:val="center"/>
          </w:tcPr>
          <w:p w14:paraId="554D64C2">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tcBorders>
              <w:top w:val="single" w:color="000000" w:sz="4" w:space="0"/>
              <w:left w:val="single" w:color="000000" w:sz="4" w:space="0"/>
              <w:bottom w:val="single" w:color="000000" w:sz="4" w:space="0"/>
              <w:right w:val="single" w:color="000000" w:sz="4" w:space="0"/>
            </w:tcBorders>
            <w:vAlign w:val="center"/>
          </w:tcPr>
          <w:p w14:paraId="554D64C3">
            <w:pPr>
              <w:keepNext w:val="0"/>
              <w:keepLines w:val="0"/>
              <w:widowControl/>
              <w:suppressLineNumbers w:val="0"/>
              <w:adjustRightInd/>
              <w:spacing w:before="0" w:beforeAutospacing="0" w:after="0" w:afterAutospacing="0"/>
              <w:ind w:left="0" w:right="0"/>
              <w:jc w:val="left"/>
              <w:textAlignment w:val="center"/>
              <w:rPr>
                <w:rFonts w:hint="eastAsia" w:ascii="仿宋" w:hAnsi="仿宋" w:eastAsia="仿宋" w:cs="仿宋"/>
                <w:color w:val="auto"/>
                <w:sz w:val="20"/>
                <w:szCs w:val="20"/>
                <w:highlight w:val="none"/>
              </w:rPr>
            </w:pPr>
          </w:p>
        </w:tc>
      </w:tr>
      <w:tr w14:paraId="554D64D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04" w:hRule="atLeast"/>
        </w:trPr>
        <w:tc>
          <w:tcPr>
            <w:tcW w:w="218" w:type="pct"/>
            <w:vMerge w:val="restart"/>
            <w:tcBorders>
              <w:top w:val="single" w:color="000000" w:sz="4" w:space="0"/>
              <w:left w:val="single" w:color="000000" w:sz="4" w:space="0"/>
              <w:right w:val="single" w:color="000000" w:sz="4" w:space="0"/>
            </w:tcBorders>
            <w:shd w:val="clear" w:color="auto" w:fill="auto"/>
            <w:vAlign w:val="center"/>
          </w:tcPr>
          <w:p w14:paraId="554D64C5">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3</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C6">
            <w:pPr>
              <w:keepNext w:val="0"/>
              <w:keepLines w:val="0"/>
              <w:widowControl/>
              <w:suppressLineNumbers w:val="0"/>
              <w:adjustRightInd/>
              <w:spacing w:before="0" w:beforeAutospacing="0" w:after="0" w:afterAutospacing="0"/>
              <w:ind w:left="0" w:right="0"/>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姚家坝泵站</w:t>
            </w:r>
          </w:p>
        </w:tc>
        <w:tc>
          <w:tcPr>
            <w:tcW w:w="234" w:type="pct"/>
            <w:vMerge w:val="restart"/>
            <w:tcBorders>
              <w:top w:val="single" w:color="000000" w:sz="4" w:space="0"/>
              <w:left w:val="single" w:color="000000" w:sz="4" w:space="0"/>
              <w:right w:val="single" w:color="000000" w:sz="4" w:space="0"/>
            </w:tcBorders>
            <w:shd w:val="clear" w:color="auto" w:fill="auto"/>
            <w:vAlign w:val="center"/>
          </w:tcPr>
          <w:p w14:paraId="554D64C7">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东新石桥片</w:t>
            </w:r>
          </w:p>
        </w:tc>
        <w:tc>
          <w:tcPr>
            <w:tcW w:w="234" w:type="pct"/>
            <w:vMerge w:val="restart"/>
            <w:tcBorders>
              <w:top w:val="single" w:color="000000" w:sz="4" w:space="0"/>
              <w:left w:val="single" w:color="000000" w:sz="4" w:space="0"/>
              <w:right w:val="single" w:color="000000" w:sz="4" w:space="0"/>
            </w:tcBorders>
            <w:shd w:val="clear" w:color="auto" w:fill="auto"/>
            <w:vAlign w:val="center"/>
          </w:tcPr>
          <w:p w14:paraId="554D64C8">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有</w:t>
            </w:r>
          </w:p>
        </w:tc>
        <w:tc>
          <w:tcPr>
            <w:tcW w:w="350" w:type="pct"/>
            <w:vMerge w:val="restart"/>
            <w:tcBorders>
              <w:top w:val="single" w:color="000000" w:sz="4" w:space="0"/>
              <w:left w:val="single" w:color="000000" w:sz="4" w:space="0"/>
              <w:right w:val="single" w:color="000000" w:sz="4" w:space="0"/>
            </w:tcBorders>
            <w:shd w:val="clear" w:color="auto" w:fill="auto"/>
            <w:vAlign w:val="center"/>
          </w:tcPr>
          <w:p w14:paraId="554D64C9">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配水  排涝</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CA">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二</w:t>
            </w:r>
          </w:p>
        </w:tc>
        <w:tc>
          <w:tcPr>
            <w:tcW w:w="234" w:type="pct"/>
            <w:vMerge w:val="restart"/>
            <w:tcBorders>
              <w:top w:val="single" w:color="000000" w:sz="4" w:space="0"/>
              <w:left w:val="single" w:color="000000" w:sz="4" w:space="0"/>
              <w:right w:val="single" w:color="000000" w:sz="4" w:space="0"/>
            </w:tcBorders>
            <w:shd w:val="clear" w:color="auto" w:fill="auto"/>
            <w:vAlign w:val="center"/>
          </w:tcPr>
          <w:p w14:paraId="554D64CB">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三班二运转</w:t>
            </w:r>
          </w:p>
        </w:tc>
        <w:tc>
          <w:tcPr>
            <w:tcW w:w="218" w:type="pct"/>
            <w:vMerge w:val="restart"/>
            <w:tcBorders>
              <w:top w:val="single" w:color="000000" w:sz="4" w:space="0"/>
              <w:left w:val="single" w:color="000000" w:sz="4" w:space="0"/>
              <w:right w:val="single" w:color="000000" w:sz="4" w:space="0"/>
            </w:tcBorders>
            <w:shd w:val="clear" w:color="auto" w:fill="auto"/>
            <w:vAlign w:val="center"/>
          </w:tcPr>
          <w:p w14:paraId="554D64CC">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18" w:type="pct"/>
            <w:vMerge w:val="restart"/>
            <w:tcBorders>
              <w:top w:val="single" w:color="000000" w:sz="4" w:space="0"/>
              <w:left w:val="single" w:color="000000" w:sz="4" w:space="0"/>
              <w:right w:val="single" w:color="000000" w:sz="4" w:space="0"/>
            </w:tcBorders>
            <w:shd w:val="clear" w:color="auto" w:fill="auto"/>
            <w:vAlign w:val="center"/>
          </w:tcPr>
          <w:p w14:paraId="554D64CD">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6</w:t>
            </w:r>
          </w:p>
        </w:tc>
        <w:tc>
          <w:tcPr>
            <w:tcW w:w="218" w:type="pct"/>
            <w:vMerge w:val="restart"/>
            <w:tcBorders>
              <w:top w:val="single" w:color="000000" w:sz="4" w:space="0"/>
              <w:left w:val="single" w:color="000000" w:sz="4" w:space="0"/>
              <w:right w:val="single" w:color="000000" w:sz="4" w:space="0"/>
            </w:tcBorders>
            <w:shd w:val="clear" w:color="auto" w:fill="auto"/>
            <w:vAlign w:val="center"/>
          </w:tcPr>
          <w:p w14:paraId="554D64CE">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367" w:type="pct"/>
            <w:vMerge w:val="restart"/>
            <w:tcBorders>
              <w:top w:val="single" w:color="000000" w:sz="4" w:space="0"/>
              <w:left w:val="single" w:color="000000" w:sz="4" w:space="0"/>
              <w:right w:val="single" w:color="000000" w:sz="4" w:space="0"/>
            </w:tcBorders>
            <w:shd w:val="clear" w:color="auto" w:fill="auto"/>
            <w:vAlign w:val="center"/>
          </w:tcPr>
          <w:p w14:paraId="554D64D0">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D1">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vMerge w:val="restart"/>
            <w:tcBorders>
              <w:top w:val="single" w:color="000000" w:sz="4" w:space="0"/>
              <w:left w:val="single" w:color="000000" w:sz="4" w:space="0"/>
              <w:right w:val="single" w:color="000000" w:sz="4" w:space="0"/>
            </w:tcBorders>
            <w:shd w:val="clear" w:color="auto" w:fill="auto"/>
            <w:vAlign w:val="center"/>
          </w:tcPr>
          <w:p w14:paraId="554D64D2">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vMerge w:val="restart"/>
            <w:tcBorders>
              <w:top w:val="single" w:color="000000" w:sz="4" w:space="0"/>
              <w:left w:val="single" w:color="000000" w:sz="4" w:space="0"/>
              <w:right w:val="single" w:color="000000" w:sz="4" w:space="0"/>
            </w:tcBorders>
            <w:shd w:val="clear" w:color="auto" w:fill="auto"/>
            <w:vAlign w:val="center"/>
          </w:tcPr>
          <w:p w14:paraId="554D64D3">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8" w:type="pct"/>
            <w:vMerge w:val="restart"/>
            <w:tcBorders>
              <w:top w:val="single" w:color="000000" w:sz="4" w:space="0"/>
              <w:left w:val="single" w:color="000000" w:sz="4" w:space="0"/>
              <w:right w:val="single" w:color="000000" w:sz="4" w:space="0"/>
            </w:tcBorders>
            <w:shd w:val="clear" w:color="auto" w:fill="auto"/>
            <w:vAlign w:val="center"/>
          </w:tcPr>
          <w:p w14:paraId="554D64D4">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18" w:type="pct"/>
            <w:vMerge w:val="restart"/>
            <w:tcBorders>
              <w:top w:val="single" w:color="000000" w:sz="4" w:space="0"/>
              <w:left w:val="single" w:color="000000" w:sz="4" w:space="0"/>
              <w:right w:val="single" w:color="000000" w:sz="4" w:space="0"/>
            </w:tcBorders>
            <w:shd w:val="clear" w:color="auto" w:fill="auto"/>
            <w:vAlign w:val="center"/>
          </w:tcPr>
          <w:p w14:paraId="554D64D5">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tcBorders>
              <w:top w:val="single" w:color="000000" w:sz="4" w:space="0"/>
              <w:left w:val="single" w:color="000000" w:sz="4" w:space="0"/>
              <w:bottom w:val="single" w:color="000000" w:sz="4" w:space="0"/>
              <w:right w:val="single" w:color="000000" w:sz="4" w:space="0"/>
            </w:tcBorders>
            <w:vAlign w:val="center"/>
          </w:tcPr>
          <w:p w14:paraId="554D64D6">
            <w:pPr>
              <w:keepNext w:val="0"/>
              <w:keepLines w:val="0"/>
              <w:widowControl/>
              <w:suppressLineNumbers w:val="0"/>
              <w:adjustRightInd/>
              <w:spacing w:before="0" w:beforeAutospacing="0" w:after="0" w:afterAutospacing="0"/>
              <w:ind w:left="0" w:right="0"/>
              <w:jc w:val="left"/>
              <w:textAlignment w:val="center"/>
              <w:rPr>
                <w:rFonts w:hint="eastAsia" w:ascii="仿宋" w:hAnsi="仿宋" w:eastAsia="仿宋" w:cs="仿宋"/>
                <w:color w:val="auto"/>
                <w:sz w:val="20"/>
                <w:szCs w:val="20"/>
                <w:highlight w:val="none"/>
              </w:rPr>
            </w:pPr>
          </w:p>
        </w:tc>
      </w:tr>
      <w:tr w14:paraId="554D64E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04" w:hRule="atLeast"/>
        </w:trPr>
        <w:tc>
          <w:tcPr>
            <w:tcW w:w="218" w:type="pct"/>
            <w:vMerge w:val="continue"/>
            <w:tcBorders>
              <w:left w:val="single" w:color="000000" w:sz="4" w:space="0"/>
              <w:right w:val="single" w:color="000000" w:sz="4" w:space="0"/>
            </w:tcBorders>
            <w:shd w:val="clear" w:color="auto" w:fill="auto"/>
            <w:vAlign w:val="center"/>
          </w:tcPr>
          <w:p w14:paraId="554D64D8">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kern w:val="0"/>
                <w:sz w:val="20"/>
                <w:szCs w:val="20"/>
                <w:highlight w:val="none"/>
                <w:lang w:bidi="ar"/>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D9">
            <w:pPr>
              <w:keepNext w:val="0"/>
              <w:keepLines w:val="0"/>
              <w:widowControl/>
              <w:suppressLineNumbers w:val="0"/>
              <w:adjustRightInd/>
              <w:spacing w:before="0" w:beforeAutospacing="0" w:after="0" w:afterAutospacing="0"/>
              <w:ind w:left="0" w:right="0"/>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配套的泵池进出水检修闸（6个）</w:t>
            </w:r>
          </w:p>
        </w:tc>
        <w:tc>
          <w:tcPr>
            <w:tcW w:w="234" w:type="pct"/>
            <w:vMerge w:val="continue"/>
            <w:tcBorders>
              <w:left w:val="single" w:color="000000" w:sz="4" w:space="0"/>
              <w:right w:val="single" w:color="000000" w:sz="4" w:space="0"/>
            </w:tcBorders>
            <w:shd w:val="clear" w:color="auto" w:fill="auto"/>
            <w:vAlign w:val="center"/>
          </w:tcPr>
          <w:p w14:paraId="554D64DA">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34" w:type="pct"/>
            <w:vMerge w:val="continue"/>
            <w:tcBorders>
              <w:left w:val="single" w:color="000000" w:sz="4" w:space="0"/>
              <w:right w:val="single" w:color="000000" w:sz="4" w:space="0"/>
            </w:tcBorders>
            <w:shd w:val="clear" w:color="auto" w:fill="auto"/>
            <w:vAlign w:val="center"/>
          </w:tcPr>
          <w:p w14:paraId="554D64DB">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50" w:type="pct"/>
            <w:vMerge w:val="continue"/>
            <w:tcBorders>
              <w:left w:val="single" w:color="000000" w:sz="4" w:space="0"/>
              <w:right w:val="single" w:color="000000" w:sz="4" w:space="0"/>
            </w:tcBorders>
            <w:shd w:val="clear" w:color="auto" w:fill="auto"/>
            <w:vAlign w:val="center"/>
          </w:tcPr>
          <w:p w14:paraId="554D64DC">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DD">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五</w:t>
            </w:r>
          </w:p>
        </w:tc>
        <w:tc>
          <w:tcPr>
            <w:tcW w:w="234" w:type="pct"/>
            <w:vMerge w:val="continue"/>
            <w:tcBorders>
              <w:left w:val="single" w:color="000000" w:sz="4" w:space="0"/>
              <w:right w:val="single" w:color="000000" w:sz="4" w:space="0"/>
            </w:tcBorders>
            <w:shd w:val="clear" w:color="auto" w:fill="auto"/>
            <w:vAlign w:val="center"/>
          </w:tcPr>
          <w:p w14:paraId="554D64DE">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vMerge w:val="continue"/>
            <w:tcBorders>
              <w:left w:val="single" w:color="000000" w:sz="4" w:space="0"/>
              <w:right w:val="single" w:color="000000" w:sz="4" w:space="0"/>
            </w:tcBorders>
            <w:shd w:val="clear" w:color="auto" w:fill="auto"/>
            <w:vAlign w:val="center"/>
          </w:tcPr>
          <w:p w14:paraId="554D64DF">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vMerge w:val="continue"/>
            <w:tcBorders>
              <w:left w:val="single" w:color="000000" w:sz="4" w:space="0"/>
              <w:right w:val="single" w:color="000000" w:sz="4" w:space="0"/>
            </w:tcBorders>
            <w:shd w:val="clear" w:color="auto" w:fill="auto"/>
            <w:vAlign w:val="center"/>
          </w:tcPr>
          <w:p w14:paraId="554D64E0">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vMerge w:val="continue"/>
            <w:tcBorders>
              <w:left w:val="single" w:color="000000" w:sz="4" w:space="0"/>
              <w:right w:val="single" w:color="000000" w:sz="4" w:space="0"/>
            </w:tcBorders>
            <w:shd w:val="clear" w:color="auto" w:fill="auto"/>
            <w:vAlign w:val="center"/>
          </w:tcPr>
          <w:p w14:paraId="554D64E1">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vMerge w:val="continue"/>
            <w:tcBorders>
              <w:left w:val="single" w:color="000000" w:sz="4" w:space="0"/>
              <w:right w:val="single" w:color="000000" w:sz="4" w:space="0"/>
            </w:tcBorders>
            <w:shd w:val="clear" w:color="auto" w:fill="auto"/>
            <w:vAlign w:val="center"/>
          </w:tcPr>
          <w:p w14:paraId="554D64E3">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E4">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vMerge w:val="continue"/>
            <w:tcBorders>
              <w:left w:val="single" w:color="000000" w:sz="4" w:space="0"/>
              <w:right w:val="single" w:color="000000" w:sz="4" w:space="0"/>
            </w:tcBorders>
            <w:shd w:val="clear" w:color="auto" w:fill="auto"/>
            <w:vAlign w:val="center"/>
          </w:tcPr>
          <w:p w14:paraId="554D64E5">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vMerge w:val="continue"/>
            <w:tcBorders>
              <w:left w:val="single" w:color="000000" w:sz="4" w:space="0"/>
              <w:right w:val="single" w:color="000000" w:sz="4" w:space="0"/>
            </w:tcBorders>
            <w:shd w:val="clear" w:color="auto" w:fill="auto"/>
            <w:vAlign w:val="center"/>
          </w:tcPr>
          <w:p w14:paraId="554D64E6">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8" w:type="pct"/>
            <w:vMerge w:val="continue"/>
            <w:tcBorders>
              <w:left w:val="single" w:color="000000" w:sz="4" w:space="0"/>
              <w:right w:val="single" w:color="000000" w:sz="4" w:space="0"/>
            </w:tcBorders>
            <w:shd w:val="clear" w:color="auto" w:fill="auto"/>
            <w:vAlign w:val="center"/>
          </w:tcPr>
          <w:p w14:paraId="554D64E7">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18" w:type="pct"/>
            <w:vMerge w:val="continue"/>
            <w:tcBorders>
              <w:left w:val="single" w:color="000000" w:sz="4" w:space="0"/>
              <w:right w:val="single" w:color="000000" w:sz="4" w:space="0"/>
            </w:tcBorders>
            <w:shd w:val="clear" w:color="auto" w:fill="auto"/>
            <w:vAlign w:val="center"/>
          </w:tcPr>
          <w:p w14:paraId="554D64E8">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tcBorders>
              <w:top w:val="single" w:color="000000" w:sz="4" w:space="0"/>
              <w:left w:val="single" w:color="000000" w:sz="4" w:space="0"/>
              <w:bottom w:val="single" w:color="000000" w:sz="4" w:space="0"/>
              <w:right w:val="single" w:color="000000" w:sz="4" w:space="0"/>
            </w:tcBorders>
            <w:vAlign w:val="center"/>
          </w:tcPr>
          <w:p w14:paraId="554D64E9">
            <w:pPr>
              <w:keepNext w:val="0"/>
              <w:keepLines w:val="0"/>
              <w:widowControl/>
              <w:suppressLineNumbers w:val="0"/>
              <w:adjustRightInd/>
              <w:spacing w:before="0" w:beforeAutospacing="0" w:after="0" w:afterAutospacing="0"/>
              <w:ind w:left="0" w:right="0"/>
              <w:jc w:val="left"/>
              <w:textAlignment w:val="center"/>
              <w:rPr>
                <w:rFonts w:hint="eastAsia" w:ascii="仿宋" w:hAnsi="仿宋" w:eastAsia="仿宋" w:cs="仿宋"/>
                <w:color w:val="auto"/>
                <w:sz w:val="20"/>
                <w:szCs w:val="20"/>
                <w:highlight w:val="none"/>
              </w:rPr>
            </w:pPr>
          </w:p>
        </w:tc>
      </w:tr>
      <w:tr w14:paraId="554D64F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04" w:hRule="atLeast"/>
        </w:trPr>
        <w:tc>
          <w:tcPr>
            <w:tcW w:w="218" w:type="pct"/>
            <w:vMerge w:val="continue"/>
            <w:tcBorders>
              <w:left w:val="single" w:color="000000" w:sz="4" w:space="0"/>
              <w:bottom w:val="single" w:color="000000" w:sz="4" w:space="0"/>
              <w:right w:val="single" w:color="000000" w:sz="4" w:space="0"/>
            </w:tcBorders>
            <w:shd w:val="clear" w:color="auto" w:fill="auto"/>
            <w:vAlign w:val="center"/>
          </w:tcPr>
          <w:p w14:paraId="554D64EB">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kern w:val="0"/>
                <w:sz w:val="20"/>
                <w:szCs w:val="20"/>
                <w:highlight w:val="none"/>
                <w:lang w:bidi="ar"/>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EC">
            <w:pPr>
              <w:keepNext w:val="0"/>
              <w:keepLines w:val="0"/>
              <w:widowControl/>
              <w:suppressLineNumbers w:val="0"/>
              <w:adjustRightInd/>
              <w:spacing w:before="0" w:beforeAutospacing="0" w:after="0" w:afterAutospacing="0"/>
              <w:ind w:left="0" w:right="0"/>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配套的节制闸</w:t>
            </w:r>
          </w:p>
        </w:tc>
        <w:tc>
          <w:tcPr>
            <w:tcW w:w="234" w:type="pct"/>
            <w:vMerge w:val="continue"/>
            <w:tcBorders>
              <w:left w:val="single" w:color="000000" w:sz="4" w:space="0"/>
              <w:bottom w:val="single" w:color="000000" w:sz="4" w:space="0"/>
              <w:right w:val="single" w:color="000000" w:sz="4" w:space="0"/>
            </w:tcBorders>
            <w:shd w:val="clear" w:color="auto" w:fill="auto"/>
            <w:vAlign w:val="center"/>
          </w:tcPr>
          <w:p w14:paraId="554D64ED">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34" w:type="pct"/>
            <w:vMerge w:val="continue"/>
            <w:tcBorders>
              <w:left w:val="single" w:color="000000" w:sz="4" w:space="0"/>
              <w:bottom w:val="single" w:color="000000" w:sz="4" w:space="0"/>
              <w:right w:val="single" w:color="000000" w:sz="4" w:space="0"/>
            </w:tcBorders>
            <w:shd w:val="clear" w:color="auto" w:fill="auto"/>
            <w:vAlign w:val="center"/>
          </w:tcPr>
          <w:p w14:paraId="554D64EE">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50" w:type="pct"/>
            <w:vMerge w:val="continue"/>
            <w:tcBorders>
              <w:left w:val="single" w:color="000000" w:sz="4" w:space="0"/>
              <w:bottom w:val="single" w:color="000000" w:sz="4" w:space="0"/>
              <w:right w:val="single" w:color="000000" w:sz="4" w:space="0"/>
            </w:tcBorders>
            <w:shd w:val="clear" w:color="auto" w:fill="auto"/>
            <w:vAlign w:val="center"/>
          </w:tcPr>
          <w:p w14:paraId="554D64EF">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F0">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一</w:t>
            </w:r>
          </w:p>
        </w:tc>
        <w:tc>
          <w:tcPr>
            <w:tcW w:w="234" w:type="pct"/>
            <w:vMerge w:val="continue"/>
            <w:tcBorders>
              <w:left w:val="single" w:color="000000" w:sz="4" w:space="0"/>
              <w:bottom w:val="single" w:color="000000" w:sz="4" w:space="0"/>
              <w:right w:val="single" w:color="000000" w:sz="4" w:space="0"/>
            </w:tcBorders>
            <w:shd w:val="clear" w:color="auto" w:fill="auto"/>
            <w:vAlign w:val="center"/>
          </w:tcPr>
          <w:p w14:paraId="554D64F1">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vMerge w:val="continue"/>
            <w:tcBorders>
              <w:left w:val="single" w:color="000000" w:sz="4" w:space="0"/>
              <w:bottom w:val="single" w:color="000000" w:sz="4" w:space="0"/>
              <w:right w:val="single" w:color="000000" w:sz="4" w:space="0"/>
            </w:tcBorders>
            <w:shd w:val="clear" w:color="auto" w:fill="auto"/>
            <w:vAlign w:val="center"/>
          </w:tcPr>
          <w:p w14:paraId="554D64F2">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vMerge w:val="continue"/>
            <w:tcBorders>
              <w:left w:val="single" w:color="000000" w:sz="4" w:space="0"/>
              <w:bottom w:val="single" w:color="000000" w:sz="4" w:space="0"/>
              <w:right w:val="single" w:color="000000" w:sz="4" w:space="0"/>
            </w:tcBorders>
            <w:shd w:val="clear" w:color="auto" w:fill="auto"/>
            <w:vAlign w:val="center"/>
          </w:tcPr>
          <w:p w14:paraId="554D64F3">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vMerge w:val="continue"/>
            <w:tcBorders>
              <w:left w:val="single" w:color="000000" w:sz="4" w:space="0"/>
              <w:bottom w:val="single" w:color="000000" w:sz="4" w:space="0"/>
              <w:right w:val="single" w:color="000000" w:sz="4" w:space="0"/>
            </w:tcBorders>
            <w:shd w:val="clear" w:color="auto" w:fill="auto"/>
            <w:vAlign w:val="center"/>
          </w:tcPr>
          <w:p w14:paraId="554D64F4">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vMerge w:val="continue"/>
            <w:tcBorders>
              <w:left w:val="single" w:color="000000" w:sz="4" w:space="0"/>
              <w:bottom w:val="single" w:color="000000" w:sz="4" w:space="0"/>
              <w:right w:val="single" w:color="000000" w:sz="4" w:space="0"/>
            </w:tcBorders>
            <w:shd w:val="clear" w:color="auto" w:fill="auto"/>
            <w:vAlign w:val="center"/>
          </w:tcPr>
          <w:p w14:paraId="554D64F6">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F7">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vMerge w:val="continue"/>
            <w:tcBorders>
              <w:left w:val="single" w:color="000000" w:sz="4" w:space="0"/>
              <w:bottom w:val="single" w:color="000000" w:sz="4" w:space="0"/>
              <w:right w:val="single" w:color="000000" w:sz="4" w:space="0"/>
            </w:tcBorders>
            <w:shd w:val="clear" w:color="auto" w:fill="auto"/>
            <w:vAlign w:val="center"/>
          </w:tcPr>
          <w:p w14:paraId="554D64F8">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vMerge w:val="continue"/>
            <w:tcBorders>
              <w:left w:val="single" w:color="000000" w:sz="4" w:space="0"/>
              <w:bottom w:val="single" w:color="000000" w:sz="4" w:space="0"/>
              <w:right w:val="single" w:color="000000" w:sz="4" w:space="0"/>
            </w:tcBorders>
            <w:shd w:val="clear" w:color="auto" w:fill="auto"/>
            <w:vAlign w:val="center"/>
          </w:tcPr>
          <w:p w14:paraId="554D64F9">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8" w:type="pct"/>
            <w:vMerge w:val="continue"/>
            <w:tcBorders>
              <w:left w:val="single" w:color="000000" w:sz="4" w:space="0"/>
              <w:bottom w:val="single" w:color="000000" w:sz="4" w:space="0"/>
              <w:right w:val="single" w:color="000000" w:sz="4" w:space="0"/>
            </w:tcBorders>
            <w:shd w:val="clear" w:color="auto" w:fill="auto"/>
            <w:vAlign w:val="center"/>
          </w:tcPr>
          <w:p w14:paraId="554D64FA">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18" w:type="pct"/>
            <w:vMerge w:val="continue"/>
            <w:tcBorders>
              <w:left w:val="single" w:color="000000" w:sz="4" w:space="0"/>
              <w:bottom w:val="single" w:color="000000" w:sz="4" w:space="0"/>
              <w:right w:val="single" w:color="000000" w:sz="4" w:space="0"/>
            </w:tcBorders>
            <w:shd w:val="clear" w:color="auto" w:fill="auto"/>
            <w:vAlign w:val="center"/>
          </w:tcPr>
          <w:p w14:paraId="554D64FB">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tcBorders>
              <w:top w:val="single" w:color="000000" w:sz="4" w:space="0"/>
              <w:left w:val="single" w:color="000000" w:sz="4" w:space="0"/>
              <w:bottom w:val="single" w:color="000000" w:sz="4" w:space="0"/>
              <w:right w:val="single" w:color="000000" w:sz="4" w:space="0"/>
            </w:tcBorders>
            <w:vAlign w:val="center"/>
          </w:tcPr>
          <w:p w14:paraId="554D64FC">
            <w:pPr>
              <w:keepNext w:val="0"/>
              <w:keepLines w:val="0"/>
              <w:widowControl/>
              <w:suppressLineNumbers w:val="0"/>
              <w:adjustRightInd/>
              <w:spacing w:before="0" w:beforeAutospacing="0" w:after="0" w:afterAutospacing="0"/>
              <w:ind w:left="0" w:right="0"/>
              <w:jc w:val="left"/>
              <w:textAlignment w:val="center"/>
              <w:rPr>
                <w:rFonts w:hint="eastAsia" w:ascii="仿宋" w:hAnsi="仿宋" w:eastAsia="仿宋" w:cs="仿宋"/>
                <w:color w:val="auto"/>
                <w:sz w:val="20"/>
                <w:szCs w:val="20"/>
                <w:highlight w:val="none"/>
              </w:rPr>
            </w:pPr>
          </w:p>
        </w:tc>
      </w:tr>
      <w:tr w14:paraId="554D651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04" w:hRule="atLeast"/>
        </w:trPr>
        <w:tc>
          <w:tcPr>
            <w:tcW w:w="218" w:type="pct"/>
            <w:vMerge w:val="restart"/>
            <w:tcBorders>
              <w:top w:val="single" w:color="000000" w:sz="4" w:space="0"/>
              <w:left w:val="single" w:color="000000" w:sz="4" w:space="0"/>
              <w:right w:val="single" w:color="000000" w:sz="4" w:space="0"/>
            </w:tcBorders>
            <w:shd w:val="clear" w:color="auto" w:fill="auto"/>
            <w:vAlign w:val="center"/>
          </w:tcPr>
          <w:p w14:paraId="554D64FE">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4</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4FF">
            <w:pPr>
              <w:keepNext w:val="0"/>
              <w:keepLines w:val="0"/>
              <w:widowControl/>
              <w:suppressLineNumbers w:val="0"/>
              <w:adjustRightInd/>
              <w:spacing w:before="0" w:beforeAutospacing="0" w:after="0" w:afterAutospacing="0"/>
              <w:ind w:left="0" w:right="0"/>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施家桥闸站</w:t>
            </w:r>
          </w:p>
        </w:tc>
        <w:tc>
          <w:tcPr>
            <w:tcW w:w="234" w:type="pct"/>
            <w:vMerge w:val="restart"/>
            <w:tcBorders>
              <w:top w:val="single" w:color="000000" w:sz="4" w:space="0"/>
              <w:left w:val="single" w:color="000000" w:sz="4" w:space="0"/>
              <w:right w:val="single" w:color="000000" w:sz="4" w:space="0"/>
            </w:tcBorders>
            <w:shd w:val="clear" w:color="auto" w:fill="auto"/>
            <w:vAlign w:val="center"/>
          </w:tcPr>
          <w:p w14:paraId="554D6500">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34" w:type="pct"/>
            <w:vMerge w:val="restart"/>
            <w:tcBorders>
              <w:top w:val="single" w:color="000000" w:sz="4" w:space="0"/>
              <w:left w:val="single" w:color="000000" w:sz="4" w:space="0"/>
              <w:right w:val="single" w:color="000000" w:sz="4" w:space="0"/>
            </w:tcBorders>
            <w:shd w:val="clear" w:color="auto" w:fill="auto"/>
            <w:vAlign w:val="center"/>
          </w:tcPr>
          <w:p w14:paraId="554D6501">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有</w:t>
            </w:r>
          </w:p>
        </w:tc>
        <w:tc>
          <w:tcPr>
            <w:tcW w:w="350" w:type="pct"/>
            <w:vMerge w:val="restart"/>
            <w:tcBorders>
              <w:top w:val="single" w:color="000000" w:sz="4" w:space="0"/>
              <w:left w:val="single" w:color="000000" w:sz="4" w:space="0"/>
              <w:right w:val="single" w:color="000000" w:sz="4" w:space="0"/>
            </w:tcBorders>
            <w:shd w:val="clear" w:color="auto" w:fill="auto"/>
            <w:vAlign w:val="center"/>
          </w:tcPr>
          <w:p w14:paraId="554D6502">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配水  排涝</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503">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二</w:t>
            </w:r>
          </w:p>
        </w:tc>
        <w:tc>
          <w:tcPr>
            <w:tcW w:w="234" w:type="pct"/>
            <w:vMerge w:val="restart"/>
            <w:tcBorders>
              <w:top w:val="single" w:color="000000" w:sz="4" w:space="0"/>
              <w:left w:val="single" w:color="000000" w:sz="4" w:space="0"/>
              <w:right w:val="single" w:color="000000" w:sz="4" w:space="0"/>
            </w:tcBorders>
            <w:shd w:val="clear" w:color="auto" w:fill="auto"/>
            <w:vAlign w:val="center"/>
          </w:tcPr>
          <w:p w14:paraId="554D6504">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三班二运转</w:t>
            </w:r>
          </w:p>
        </w:tc>
        <w:tc>
          <w:tcPr>
            <w:tcW w:w="218" w:type="pct"/>
            <w:vMerge w:val="restart"/>
            <w:tcBorders>
              <w:top w:val="single" w:color="000000" w:sz="4" w:space="0"/>
              <w:left w:val="single" w:color="000000" w:sz="4" w:space="0"/>
              <w:right w:val="single" w:color="000000" w:sz="4" w:space="0"/>
            </w:tcBorders>
            <w:shd w:val="clear" w:color="auto" w:fill="auto"/>
            <w:vAlign w:val="center"/>
          </w:tcPr>
          <w:p w14:paraId="554D6505">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18" w:type="pct"/>
            <w:vMerge w:val="restart"/>
            <w:tcBorders>
              <w:top w:val="single" w:color="000000" w:sz="4" w:space="0"/>
              <w:left w:val="single" w:color="000000" w:sz="4" w:space="0"/>
              <w:right w:val="single" w:color="000000" w:sz="4" w:space="0"/>
            </w:tcBorders>
            <w:shd w:val="clear" w:color="auto" w:fill="auto"/>
            <w:vAlign w:val="center"/>
          </w:tcPr>
          <w:p w14:paraId="554D6506">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6</w:t>
            </w:r>
          </w:p>
        </w:tc>
        <w:tc>
          <w:tcPr>
            <w:tcW w:w="218" w:type="pct"/>
            <w:vMerge w:val="restart"/>
            <w:tcBorders>
              <w:top w:val="single" w:color="000000" w:sz="4" w:space="0"/>
              <w:left w:val="single" w:color="000000" w:sz="4" w:space="0"/>
              <w:right w:val="single" w:color="000000" w:sz="4" w:space="0"/>
            </w:tcBorders>
            <w:shd w:val="clear" w:color="auto" w:fill="auto"/>
            <w:vAlign w:val="center"/>
          </w:tcPr>
          <w:p w14:paraId="554D6507">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367" w:type="pct"/>
            <w:vMerge w:val="restart"/>
            <w:tcBorders>
              <w:top w:val="single" w:color="000000" w:sz="4" w:space="0"/>
              <w:left w:val="single" w:color="000000" w:sz="4" w:space="0"/>
              <w:right w:val="single" w:color="000000" w:sz="4" w:space="0"/>
            </w:tcBorders>
            <w:shd w:val="clear" w:color="auto" w:fill="auto"/>
            <w:vAlign w:val="center"/>
          </w:tcPr>
          <w:p w14:paraId="554D6509">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50A">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vMerge w:val="restart"/>
            <w:tcBorders>
              <w:top w:val="single" w:color="000000" w:sz="4" w:space="0"/>
              <w:left w:val="single" w:color="000000" w:sz="4" w:space="0"/>
              <w:right w:val="single" w:color="000000" w:sz="4" w:space="0"/>
            </w:tcBorders>
            <w:shd w:val="clear" w:color="auto" w:fill="auto"/>
            <w:vAlign w:val="center"/>
          </w:tcPr>
          <w:p w14:paraId="554D650B">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vMerge w:val="restart"/>
            <w:tcBorders>
              <w:top w:val="single" w:color="000000" w:sz="4" w:space="0"/>
              <w:left w:val="single" w:color="000000" w:sz="4" w:space="0"/>
              <w:right w:val="single" w:color="000000" w:sz="4" w:space="0"/>
            </w:tcBorders>
            <w:shd w:val="clear" w:color="auto" w:fill="auto"/>
            <w:vAlign w:val="center"/>
          </w:tcPr>
          <w:p w14:paraId="554D650C">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8" w:type="pct"/>
            <w:vMerge w:val="restart"/>
            <w:tcBorders>
              <w:top w:val="single" w:color="000000" w:sz="4" w:space="0"/>
              <w:left w:val="single" w:color="000000" w:sz="4" w:space="0"/>
              <w:right w:val="single" w:color="000000" w:sz="4" w:space="0"/>
            </w:tcBorders>
            <w:shd w:val="clear" w:color="auto" w:fill="auto"/>
            <w:vAlign w:val="center"/>
          </w:tcPr>
          <w:p w14:paraId="554D650D">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18" w:type="pct"/>
            <w:vMerge w:val="restart"/>
            <w:tcBorders>
              <w:top w:val="single" w:color="000000" w:sz="4" w:space="0"/>
              <w:left w:val="single" w:color="000000" w:sz="4" w:space="0"/>
              <w:right w:val="single" w:color="000000" w:sz="4" w:space="0"/>
            </w:tcBorders>
            <w:shd w:val="clear" w:color="auto" w:fill="auto"/>
            <w:vAlign w:val="center"/>
          </w:tcPr>
          <w:p w14:paraId="554D650E">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tcBorders>
              <w:top w:val="single" w:color="000000" w:sz="4" w:space="0"/>
              <w:left w:val="single" w:color="000000" w:sz="4" w:space="0"/>
              <w:bottom w:val="single" w:color="000000" w:sz="4" w:space="0"/>
              <w:right w:val="single" w:color="000000" w:sz="4" w:space="0"/>
            </w:tcBorders>
            <w:vAlign w:val="center"/>
          </w:tcPr>
          <w:p w14:paraId="554D650F">
            <w:pPr>
              <w:keepNext w:val="0"/>
              <w:keepLines w:val="0"/>
              <w:widowControl/>
              <w:suppressLineNumbers w:val="0"/>
              <w:adjustRightInd/>
              <w:spacing w:before="0" w:beforeAutospacing="0" w:after="0" w:afterAutospacing="0"/>
              <w:ind w:left="0" w:right="0"/>
              <w:jc w:val="left"/>
              <w:textAlignment w:val="center"/>
              <w:rPr>
                <w:rFonts w:hint="eastAsia" w:ascii="仿宋" w:hAnsi="仿宋" w:eastAsia="仿宋" w:cs="仿宋"/>
                <w:color w:val="auto"/>
                <w:sz w:val="20"/>
                <w:szCs w:val="20"/>
                <w:highlight w:val="none"/>
              </w:rPr>
            </w:pPr>
          </w:p>
        </w:tc>
      </w:tr>
      <w:tr w14:paraId="554D652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04" w:hRule="atLeast"/>
        </w:trPr>
        <w:tc>
          <w:tcPr>
            <w:tcW w:w="218" w:type="pct"/>
            <w:vMerge w:val="continue"/>
            <w:tcBorders>
              <w:left w:val="single" w:color="000000" w:sz="4" w:space="0"/>
              <w:right w:val="single" w:color="000000" w:sz="4" w:space="0"/>
            </w:tcBorders>
            <w:shd w:val="clear" w:color="auto" w:fill="auto"/>
            <w:vAlign w:val="center"/>
          </w:tcPr>
          <w:p w14:paraId="554D6511">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kern w:val="0"/>
                <w:sz w:val="20"/>
                <w:szCs w:val="20"/>
                <w:highlight w:val="none"/>
                <w:lang w:bidi="ar"/>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512">
            <w:pPr>
              <w:keepNext w:val="0"/>
              <w:keepLines w:val="0"/>
              <w:widowControl/>
              <w:suppressLineNumbers w:val="0"/>
              <w:adjustRightInd/>
              <w:spacing w:before="0" w:beforeAutospacing="0" w:after="0" w:afterAutospacing="0"/>
              <w:ind w:left="0" w:right="0"/>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配套的泵池进出水检修闸（3个）</w:t>
            </w:r>
          </w:p>
        </w:tc>
        <w:tc>
          <w:tcPr>
            <w:tcW w:w="234" w:type="pct"/>
            <w:vMerge w:val="continue"/>
            <w:tcBorders>
              <w:left w:val="single" w:color="000000" w:sz="4" w:space="0"/>
              <w:right w:val="single" w:color="000000" w:sz="4" w:space="0"/>
            </w:tcBorders>
            <w:shd w:val="clear" w:color="auto" w:fill="auto"/>
            <w:vAlign w:val="center"/>
          </w:tcPr>
          <w:p w14:paraId="554D6513">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34" w:type="pct"/>
            <w:vMerge w:val="continue"/>
            <w:tcBorders>
              <w:left w:val="single" w:color="000000" w:sz="4" w:space="0"/>
              <w:right w:val="single" w:color="000000" w:sz="4" w:space="0"/>
            </w:tcBorders>
            <w:shd w:val="clear" w:color="auto" w:fill="auto"/>
            <w:vAlign w:val="center"/>
          </w:tcPr>
          <w:p w14:paraId="554D6514">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50" w:type="pct"/>
            <w:vMerge w:val="continue"/>
            <w:tcBorders>
              <w:left w:val="single" w:color="000000" w:sz="4" w:space="0"/>
              <w:right w:val="single" w:color="000000" w:sz="4" w:space="0"/>
            </w:tcBorders>
            <w:shd w:val="clear" w:color="auto" w:fill="auto"/>
            <w:vAlign w:val="center"/>
          </w:tcPr>
          <w:p w14:paraId="554D6515">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516">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五</w:t>
            </w:r>
          </w:p>
        </w:tc>
        <w:tc>
          <w:tcPr>
            <w:tcW w:w="234" w:type="pct"/>
            <w:vMerge w:val="continue"/>
            <w:tcBorders>
              <w:left w:val="single" w:color="000000" w:sz="4" w:space="0"/>
              <w:right w:val="single" w:color="000000" w:sz="4" w:space="0"/>
            </w:tcBorders>
            <w:shd w:val="clear" w:color="auto" w:fill="auto"/>
            <w:vAlign w:val="center"/>
          </w:tcPr>
          <w:p w14:paraId="554D6517">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vMerge w:val="continue"/>
            <w:tcBorders>
              <w:left w:val="single" w:color="000000" w:sz="4" w:space="0"/>
              <w:right w:val="single" w:color="000000" w:sz="4" w:space="0"/>
            </w:tcBorders>
            <w:shd w:val="clear" w:color="auto" w:fill="auto"/>
            <w:vAlign w:val="center"/>
          </w:tcPr>
          <w:p w14:paraId="554D6518">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vMerge w:val="continue"/>
            <w:tcBorders>
              <w:left w:val="single" w:color="000000" w:sz="4" w:space="0"/>
              <w:right w:val="single" w:color="000000" w:sz="4" w:space="0"/>
            </w:tcBorders>
            <w:shd w:val="clear" w:color="auto" w:fill="auto"/>
            <w:vAlign w:val="center"/>
          </w:tcPr>
          <w:p w14:paraId="554D6519">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vMerge w:val="continue"/>
            <w:tcBorders>
              <w:left w:val="single" w:color="000000" w:sz="4" w:space="0"/>
              <w:right w:val="single" w:color="000000" w:sz="4" w:space="0"/>
            </w:tcBorders>
            <w:shd w:val="clear" w:color="auto" w:fill="auto"/>
            <w:vAlign w:val="center"/>
          </w:tcPr>
          <w:p w14:paraId="554D651A">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vMerge w:val="continue"/>
            <w:tcBorders>
              <w:left w:val="single" w:color="000000" w:sz="4" w:space="0"/>
              <w:right w:val="single" w:color="000000" w:sz="4" w:space="0"/>
            </w:tcBorders>
            <w:shd w:val="clear" w:color="auto" w:fill="auto"/>
            <w:vAlign w:val="center"/>
          </w:tcPr>
          <w:p w14:paraId="554D651C">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651D">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vMerge w:val="continue"/>
            <w:tcBorders>
              <w:left w:val="single" w:color="000000" w:sz="4" w:space="0"/>
              <w:right w:val="single" w:color="000000" w:sz="4" w:space="0"/>
            </w:tcBorders>
            <w:shd w:val="clear" w:color="auto" w:fill="auto"/>
            <w:vAlign w:val="center"/>
          </w:tcPr>
          <w:p w14:paraId="554D651E">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vMerge w:val="continue"/>
            <w:tcBorders>
              <w:left w:val="single" w:color="000000" w:sz="4" w:space="0"/>
              <w:right w:val="single" w:color="000000" w:sz="4" w:space="0"/>
            </w:tcBorders>
            <w:shd w:val="clear" w:color="auto" w:fill="auto"/>
            <w:vAlign w:val="center"/>
          </w:tcPr>
          <w:p w14:paraId="554D651F">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8" w:type="pct"/>
            <w:vMerge w:val="continue"/>
            <w:tcBorders>
              <w:left w:val="single" w:color="000000" w:sz="4" w:space="0"/>
              <w:right w:val="single" w:color="000000" w:sz="4" w:space="0"/>
            </w:tcBorders>
            <w:shd w:val="clear" w:color="auto" w:fill="auto"/>
            <w:vAlign w:val="center"/>
          </w:tcPr>
          <w:p w14:paraId="554D6520">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18" w:type="pct"/>
            <w:vMerge w:val="continue"/>
            <w:tcBorders>
              <w:left w:val="single" w:color="000000" w:sz="4" w:space="0"/>
              <w:right w:val="single" w:color="000000" w:sz="4" w:space="0"/>
            </w:tcBorders>
            <w:shd w:val="clear" w:color="auto" w:fill="auto"/>
            <w:vAlign w:val="center"/>
          </w:tcPr>
          <w:p w14:paraId="554D6521">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tcBorders>
              <w:top w:val="single" w:color="000000" w:sz="4" w:space="0"/>
              <w:left w:val="single" w:color="000000" w:sz="4" w:space="0"/>
              <w:bottom w:val="single" w:color="000000" w:sz="4" w:space="0"/>
              <w:right w:val="single" w:color="000000" w:sz="4" w:space="0"/>
            </w:tcBorders>
            <w:vAlign w:val="center"/>
          </w:tcPr>
          <w:p w14:paraId="554D6522">
            <w:pPr>
              <w:keepNext w:val="0"/>
              <w:keepLines w:val="0"/>
              <w:widowControl/>
              <w:suppressLineNumbers w:val="0"/>
              <w:adjustRightInd/>
              <w:spacing w:before="0" w:beforeAutospacing="0" w:after="0" w:afterAutospacing="0"/>
              <w:ind w:left="0" w:right="0"/>
              <w:jc w:val="left"/>
              <w:textAlignment w:val="center"/>
              <w:rPr>
                <w:rFonts w:hint="eastAsia" w:ascii="仿宋" w:hAnsi="仿宋" w:eastAsia="仿宋" w:cs="仿宋"/>
                <w:color w:val="auto"/>
                <w:sz w:val="20"/>
                <w:szCs w:val="20"/>
                <w:highlight w:val="none"/>
              </w:rPr>
            </w:pPr>
          </w:p>
        </w:tc>
      </w:tr>
      <w:tr w14:paraId="554D653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04" w:hRule="atLeast"/>
        </w:trPr>
        <w:tc>
          <w:tcPr>
            <w:tcW w:w="218" w:type="pct"/>
            <w:vMerge w:val="continue"/>
            <w:tcBorders>
              <w:left w:val="single" w:color="000000" w:sz="4" w:space="0"/>
              <w:bottom w:val="single" w:color="auto" w:sz="4" w:space="0"/>
              <w:right w:val="single" w:color="000000" w:sz="4" w:space="0"/>
            </w:tcBorders>
            <w:shd w:val="clear" w:color="auto" w:fill="auto"/>
            <w:vAlign w:val="center"/>
          </w:tcPr>
          <w:p w14:paraId="554D6524">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kern w:val="0"/>
                <w:sz w:val="20"/>
                <w:szCs w:val="20"/>
                <w:highlight w:val="none"/>
                <w:lang w:bidi="ar"/>
              </w:rPr>
            </w:pPr>
          </w:p>
        </w:tc>
        <w:tc>
          <w:tcPr>
            <w:tcW w:w="465" w:type="pct"/>
            <w:tcBorders>
              <w:top w:val="single" w:color="000000" w:sz="4" w:space="0"/>
              <w:left w:val="single" w:color="000000" w:sz="4" w:space="0"/>
              <w:bottom w:val="single" w:color="auto" w:sz="4" w:space="0"/>
              <w:right w:val="single" w:color="000000" w:sz="4" w:space="0"/>
            </w:tcBorders>
            <w:shd w:val="clear" w:color="auto" w:fill="auto"/>
            <w:vAlign w:val="center"/>
          </w:tcPr>
          <w:p w14:paraId="554D6525">
            <w:pPr>
              <w:keepNext w:val="0"/>
              <w:keepLines w:val="0"/>
              <w:widowControl/>
              <w:suppressLineNumbers w:val="0"/>
              <w:adjustRightInd/>
              <w:spacing w:before="0" w:beforeAutospacing="0" w:after="0" w:afterAutospacing="0"/>
              <w:ind w:left="0" w:right="0"/>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配套的节制闸</w:t>
            </w:r>
          </w:p>
        </w:tc>
        <w:tc>
          <w:tcPr>
            <w:tcW w:w="234" w:type="pct"/>
            <w:vMerge w:val="continue"/>
            <w:tcBorders>
              <w:left w:val="single" w:color="000000" w:sz="4" w:space="0"/>
              <w:bottom w:val="single" w:color="auto" w:sz="4" w:space="0"/>
              <w:right w:val="single" w:color="000000" w:sz="4" w:space="0"/>
            </w:tcBorders>
            <w:shd w:val="clear" w:color="auto" w:fill="auto"/>
            <w:vAlign w:val="center"/>
          </w:tcPr>
          <w:p w14:paraId="554D6526">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34" w:type="pct"/>
            <w:vMerge w:val="continue"/>
            <w:tcBorders>
              <w:left w:val="single" w:color="000000" w:sz="4" w:space="0"/>
              <w:bottom w:val="single" w:color="auto" w:sz="4" w:space="0"/>
              <w:right w:val="single" w:color="000000" w:sz="4" w:space="0"/>
            </w:tcBorders>
            <w:shd w:val="clear" w:color="auto" w:fill="auto"/>
            <w:vAlign w:val="center"/>
          </w:tcPr>
          <w:p w14:paraId="554D6527">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50" w:type="pct"/>
            <w:vMerge w:val="continue"/>
            <w:tcBorders>
              <w:left w:val="single" w:color="000000" w:sz="4" w:space="0"/>
              <w:bottom w:val="single" w:color="auto" w:sz="4" w:space="0"/>
              <w:right w:val="single" w:color="000000" w:sz="4" w:space="0"/>
            </w:tcBorders>
            <w:shd w:val="clear" w:color="auto" w:fill="auto"/>
            <w:vAlign w:val="center"/>
          </w:tcPr>
          <w:p w14:paraId="554D6528">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34" w:type="pct"/>
            <w:tcBorders>
              <w:top w:val="single" w:color="000000" w:sz="4" w:space="0"/>
              <w:left w:val="single" w:color="000000" w:sz="4" w:space="0"/>
              <w:bottom w:val="single" w:color="auto" w:sz="4" w:space="0"/>
              <w:right w:val="single" w:color="000000" w:sz="4" w:space="0"/>
            </w:tcBorders>
            <w:shd w:val="clear" w:color="auto" w:fill="auto"/>
            <w:vAlign w:val="center"/>
          </w:tcPr>
          <w:p w14:paraId="554D6529">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二</w:t>
            </w:r>
          </w:p>
        </w:tc>
        <w:tc>
          <w:tcPr>
            <w:tcW w:w="234" w:type="pct"/>
            <w:vMerge w:val="continue"/>
            <w:tcBorders>
              <w:left w:val="single" w:color="000000" w:sz="4" w:space="0"/>
              <w:bottom w:val="single" w:color="auto" w:sz="4" w:space="0"/>
              <w:right w:val="single" w:color="000000" w:sz="4" w:space="0"/>
            </w:tcBorders>
            <w:shd w:val="clear" w:color="auto" w:fill="auto"/>
            <w:vAlign w:val="center"/>
          </w:tcPr>
          <w:p w14:paraId="554D652A">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vMerge w:val="continue"/>
            <w:tcBorders>
              <w:left w:val="single" w:color="000000" w:sz="4" w:space="0"/>
              <w:bottom w:val="single" w:color="auto" w:sz="4" w:space="0"/>
              <w:right w:val="single" w:color="000000" w:sz="4" w:space="0"/>
            </w:tcBorders>
            <w:shd w:val="clear" w:color="auto" w:fill="auto"/>
            <w:vAlign w:val="center"/>
          </w:tcPr>
          <w:p w14:paraId="554D652B">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vMerge w:val="continue"/>
            <w:tcBorders>
              <w:left w:val="single" w:color="000000" w:sz="4" w:space="0"/>
              <w:bottom w:val="single" w:color="auto" w:sz="4" w:space="0"/>
              <w:right w:val="single" w:color="000000" w:sz="4" w:space="0"/>
            </w:tcBorders>
            <w:shd w:val="clear" w:color="auto" w:fill="auto"/>
            <w:vAlign w:val="center"/>
          </w:tcPr>
          <w:p w14:paraId="554D652C">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vMerge w:val="continue"/>
            <w:tcBorders>
              <w:left w:val="single" w:color="000000" w:sz="4" w:space="0"/>
              <w:bottom w:val="single" w:color="auto" w:sz="4" w:space="0"/>
              <w:right w:val="single" w:color="000000" w:sz="4" w:space="0"/>
            </w:tcBorders>
            <w:shd w:val="clear" w:color="auto" w:fill="auto"/>
            <w:vAlign w:val="center"/>
          </w:tcPr>
          <w:p w14:paraId="554D652D">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vMerge w:val="continue"/>
            <w:tcBorders>
              <w:left w:val="single" w:color="000000" w:sz="4" w:space="0"/>
              <w:bottom w:val="single" w:color="auto" w:sz="4" w:space="0"/>
              <w:right w:val="single" w:color="000000" w:sz="4" w:space="0"/>
            </w:tcBorders>
            <w:shd w:val="clear" w:color="auto" w:fill="auto"/>
            <w:vAlign w:val="center"/>
          </w:tcPr>
          <w:p w14:paraId="554D652F">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tcBorders>
              <w:top w:val="single" w:color="000000" w:sz="4" w:space="0"/>
              <w:left w:val="single" w:color="000000" w:sz="4" w:space="0"/>
              <w:bottom w:val="single" w:color="auto" w:sz="4" w:space="0"/>
              <w:right w:val="single" w:color="000000" w:sz="4" w:space="0"/>
            </w:tcBorders>
            <w:shd w:val="clear" w:color="auto" w:fill="auto"/>
            <w:vAlign w:val="center"/>
          </w:tcPr>
          <w:p w14:paraId="554D6530">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vMerge w:val="continue"/>
            <w:tcBorders>
              <w:left w:val="single" w:color="000000" w:sz="4" w:space="0"/>
              <w:bottom w:val="single" w:color="auto" w:sz="4" w:space="0"/>
              <w:right w:val="single" w:color="000000" w:sz="4" w:space="0"/>
            </w:tcBorders>
            <w:shd w:val="clear" w:color="auto" w:fill="auto"/>
            <w:vAlign w:val="center"/>
          </w:tcPr>
          <w:p w14:paraId="554D6531">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vMerge w:val="continue"/>
            <w:tcBorders>
              <w:left w:val="single" w:color="000000" w:sz="4" w:space="0"/>
              <w:bottom w:val="single" w:color="auto" w:sz="4" w:space="0"/>
              <w:right w:val="single" w:color="000000" w:sz="4" w:space="0"/>
            </w:tcBorders>
            <w:shd w:val="clear" w:color="auto" w:fill="auto"/>
            <w:vAlign w:val="center"/>
          </w:tcPr>
          <w:p w14:paraId="554D6532">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8" w:type="pct"/>
            <w:vMerge w:val="continue"/>
            <w:tcBorders>
              <w:left w:val="single" w:color="000000" w:sz="4" w:space="0"/>
              <w:bottom w:val="single" w:color="auto" w:sz="4" w:space="0"/>
              <w:right w:val="single" w:color="000000" w:sz="4" w:space="0"/>
            </w:tcBorders>
            <w:shd w:val="clear" w:color="auto" w:fill="auto"/>
            <w:vAlign w:val="center"/>
          </w:tcPr>
          <w:p w14:paraId="554D6533">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18" w:type="pct"/>
            <w:vMerge w:val="continue"/>
            <w:tcBorders>
              <w:left w:val="single" w:color="000000" w:sz="4" w:space="0"/>
              <w:bottom w:val="single" w:color="auto" w:sz="4" w:space="0"/>
              <w:right w:val="single" w:color="000000" w:sz="4" w:space="0"/>
            </w:tcBorders>
            <w:shd w:val="clear" w:color="auto" w:fill="auto"/>
            <w:vAlign w:val="center"/>
          </w:tcPr>
          <w:p w14:paraId="554D6534">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tcBorders>
              <w:top w:val="single" w:color="000000" w:sz="4" w:space="0"/>
              <w:left w:val="single" w:color="000000" w:sz="4" w:space="0"/>
              <w:bottom w:val="single" w:color="auto" w:sz="4" w:space="0"/>
              <w:right w:val="single" w:color="000000" w:sz="4" w:space="0"/>
            </w:tcBorders>
            <w:vAlign w:val="center"/>
          </w:tcPr>
          <w:p w14:paraId="554D6535">
            <w:pPr>
              <w:keepNext w:val="0"/>
              <w:keepLines w:val="0"/>
              <w:widowControl/>
              <w:suppressLineNumbers w:val="0"/>
              <w:adjustRightInd/>
              <w:spacing w:before="0" w:beforeAutospacing="0" w:after="0" w:afterAutospacing="0"/>
              <w:ind w:left="0" w:right="0"/>
              <w:jc w:val="left"/>
              <w:textAlignment w:val="center"/>
              <w:rPr>
                <w:rFonts w:hint="eastAsia" w:ascii="仿宋" w:hAnsi="仿宋" w:eastAsia="仿宋" w:cs="仿宋"/>
                <w:color w:val="auto"/>
                <w:sz w:val="20"/>
                <w:szCs w:val="20"/>
                <w:highlight w:val="none"/>
              </w:rPr>
            </w:pPr>
          </w:p>
        </w:tc>
      </w:tr>
      <w:tr w14:paraId="554D654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04" w:hRule="atLeast"/>
        </w:trPr>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14:paraId="554D6537">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5</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14:paraId="554D6538">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szCs w:val="21"/>
                <w:highlight w:val="none"/>
                <w:lang w:bidi="ar"/>
              </w:rPr>
              <w:t>九沙橡胶坝</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554D6539">
            <w:pPr>
              <w:keepNext w:val="0"/>
              <w:keepLines w:val="0"/>
              <w:suppressLineNumbers w:val="0"/>
              <w:spacing w:before="0" w:beforeAutospacing="0" w:after="0" w:afterAutospacing="0" w:line="260" w:lineRule="atLeast"/>
              <w:ind w:left="0" w:right="0"/>
              <w:rPr>
                <w:rFonts w:hint="eastAsia" w:ascii="仿宋" w:hAnsi="仿宋" w:eastAsia="仿宋" w:cs="仿宋"/>
                <w:color w:val="auto"/>
                <w:sz w:val="20"/>
                <w:szCs w:val="20"/>
                <w:highlight w:val="none"/>
              </w:rPr>
            </w:pPr>
            <w:r>
              <w:rPr>
                <w:rFonts w:hint="eastAsia" w:ascii="仿宋" w:hAnsi="仿宋" w:eastAsia="仿宋" w:cs="仿宋"/>
                <w:color w:val="auto"/>
                <w:szCs w:val="21"/>
                <w:highlight w:val="none"/>
                <w:lang w:bidi="ar"/>
              </w:rPr>
              <w:t>三堡彭埠片</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554D653A">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Cs w:val="21"/>
                <w:highlight w:val="none"/>
                <w:lang w:bidi="ar"/>
              </w:rPr>
              <w:t>有</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54D653B">
            <w:pPr>
              <w:keepNext w:val="0"/>
              <w:keepLines w:val="0"/>
              <w:suppressLineNumbers w:val="0"/>
              <w:spacing w:before="0" w:beforeAutospacing="0" w:after="0" w:afterAutospacing="0" w:line="260" w:lineRule="atLeast"/>
              <w:ind w:left="0" w:right="0"/>
              <w:rPr>
                <w:rFonts w:hint="eastAsia" w:ascii="仿宋" w:hAnsi="仿宋" w:eastAsia="仿宋" w:cs="仿宋"/>
                <w:color w:val="auto"/>
                <w:sz w:val="20"/>
                <w:szCs w:val="20"/>
                <w:highlight w:val="none"/>
              </w:rPr>
            </w:pPr>
            <w:r>
              <w:rPr>
                <w:rFonts w:hint="eastAsia" w:ascii="仿宋" w:hAnsi="仿宋" w:eastAsia="仿宋" w:cs="仿宋"/>
                <w:color w:val="auto"/>
                <w:szCs w:val="21"/>
                <w:highlight w:val="none"/>
                <w:lang w:bidi="ar"/>
              </w:rPr>
              <w:t>排涝、配水</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554D653C">
            <w:pPr>
              <w:keepNext w:val="0"/>
              <w:keepLines w:val="0"/>
              <w:suppressLineNumbers w:val="0"/>
              <w:spacing w:before="0" w:beforeAutospacing="0" w:after="0" w:afterAutospacing="0" w:line="260" w:lineRule="atLeast"/>
              <w:ind w:left="0" w:right="0"/>
              <w:rPr>
                <w:rFonts w:hint="eastAsia" w:ascii="仿宋" w:hAnsi="仿宋" w:eastAsia="仿宋" w:cs="仿宋"/>
                <w:color w:val="auto"/>
                <w:kern w:val="0"/>
                <w:sz w:val="20"/>
                <w:szCs w:val="20"/>
                <w:highlight w:val="none"/>
                <w:lang w:bidi="ar"/>
              </w:rPr>
            </w:pPr>
            <w:r>
              <w:rPr>
                <w:rFonts w:hint="eastAsia" w:ascii="仿宋" w:hAnsi="仿宋" w:eastAsia="仿宋" w:cs="仿宋"/>
                <w:color w:val="auto"/>
                <w:szCs w:val="21"/>
                <w:highlight w:val="none"/>
                <w:lang w:bidi="ar"/>
              </w:rPr>
              <w:t>一级</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554D653D">
            <w:pPr>
              <w:keepNext w:val="0"/>
              <w:keepLines w:val="0"/>
              <w:suppressLineNumbers w:val="0"/>
              <w:spacing w:before="0" w:beforeAutospacing="0" w:after="0" w:afterAutospacing="0" w:line="260" w:lineRule="atLeast"/>
              <w:ind w:left="0" w:right="0"/>
              <w:rPr>
                <w:rFonts w:hint="eastAsia" w:ascii="仿宋" w:hAnsi="仿宋" w:eastAsia="仿宋" w:cs="仿宋"/>
                <w:color w:val="auto"/>
                <w:sz w:val="20"/>
                <w:szCs w:val="20"/>
                <w:highlight w:val="none"/>
              </w:rPr>
            </w:pPr>
            <w:r>
              <w:rPr>
                <w:rFonts w:hint="eastAsia" w:ascii="仿宋" w:hAnsi="仿宋" w:eastAsia="仿宋" w:cs="仿宋"/>
                <w:color w:val="auto"/>
                <w:szCs w:val="21"/>
                <w:highlight w:val="none"/>
                <w:lang w:bidi="ar"/>
              </w:rPr>
              <w:t>三班二运转</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14:paraId="554D653E">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Cs w:val="21"/>
                <w:highlight w:val="none"/>
                <w:lang w:bidi="ar"/>
              </w:rPr>
              <w:t>1</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14:paraId="554D653F">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Cs w:val="21"/>
                <w:highlight w:val="none"/>
                <w:lang w:bidi="ar"/>
              </w:rPr>
              <w:t>3</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14:paraId="554D6540">
            <w:pPr>
              <w:keepNext w:val="0"/>
              <w:keepLines w:val="0"/>
              <w:widowControl/>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kern w:val="0"/>
                <w:sz w:val="18"/>
                <w:szCs w:val="18"/>
                <w:highlight w:val="none"/>
                <w:lang w:bidi="ar"/>
              </w:rPr>
              <w:t>0</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554D6542">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554D6543">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554D6544">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554D6545">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554D6546">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554D6547">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tcBorders>
              <w:top w:val="single" w:color="auto" w:sz="4" w:space="0"/>
              <w:left w:val="single" w:color="auto" w:sz="4" w:space="0"/>
              <w:bottom w:val="single" w:color="auto" w:sz="4" w:space="0"/>
              <w:right w:val="single" w:color="auto" w:sz="4" w:space="0"/>
            </w:tcBorders>
            <w:vAlign w:val="center"/>
          </w:tcPr>
          <w:p w14:paraId="554D6548">
            <w:pPr>
              <w:keepNext w:val="0"/>
              <w:keepLines w:val="0"/>
              <w:widowControl/>
              <w:suppressLineNumbers w:val="0"/>
              <w:adjustRightInd/>
              <w:spacing w:before="0" w:beforeAutospacing="0" w:after="0" w:afterAutospacing="0"/>
              <w:ind w:left="0" w:right="0"/>
              <w:jc w:val="left"/>
              <w:textAlignment w:val="center"/>
              <w:rPr>
                <w:rFonts w:hint="eastAsia" w:ascii="仿宋" w:hAnsi="仿宋" w:eastAsia="仿宋" w:cs="仿宋"/>
                <w:color w:val="auto"/>
                <w:sz w:val="20"/>
                <w:szCs w:val="20"/>
                <w:highlight w:val="none"/>
              </w:rPr>
            </w:pPr>
          </w:p>
        </w:tc>
      </w:tr>
      <w:tr w14:paraId="554D655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04" w:hRule="atLeast"/>
        </w:trPr>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14:paraId="554D654A">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6</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14:paraId="554D654B">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szCs w:val="21"/>
                <w:highlight w:val="none"/>
                <w:lang w:bidi="ar"/>
              </w:rPr>
              <w:t>九沙和睦闸</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554D654C">
            <w:pPr>
              <w:keepNext w:val="0"/>
              <w:keepLines w:val="0"/>
              <w:suppressLineNumbers w:val="0"/>
              <w:spacing w:before="0" w:beforeAutospacing="0" w:after="0" w:afterAutospacing="0" w:line="260" w:lineRule="atLeast"/>
              <w:ind w:left="0" w:right="0"/>
              <w:rPr>
                <w:rFonts w:hint="eastAsia" w:ascii="仿宋" w:hAnsi="仿宋" w:eastAsia="仿宋" w:cs="仿宋"/>
                <w:color w:val="auto"/>
                <w:sz w:val="20"/>
                <w:szCs w:val="20"/>
                <w:highlight w:val="none"/>
              </w:rPr>
            </w:pPr>
            <w:r>
              <w:rPr>
                <w:rFonts w:hint="eastAsia" w:ascii="仿宋" w:hAnsi="仿宋" w:eastAsia="仿宋" w:cs="仿宋"/>
                <w:color w:val="auto"/>
                <w:szCs w:val="21"/>
                <w:highlight w:val="none"/>
                <w:lang w:bidi="ar"/>
              </w:rPr>
              <w:t>丁桥新城片</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554D654D">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Cs w:val="21"/>
                <w:highlight w:val="none"/>
                <w:lang w:bidi="ar"/>
              </w:rPr>
              <w:t>有</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54D654E">
            <w:pPr>
              <w:keepNext w:val="0"/>
              <w:keepLines w:val="0"/>
              <w:suppressLineNumbers w:val="0"/>
              <w:spacing w:before="0" w:beforeAutospacing="0" w:after="0" w:afterAutospacing="0" w:line="260" w:lineRule="atLeast"/>
              <w:ind w:left="0" w:right="0"/>
              <w:rPr>
                <w:rFonts w:hint="eastAsia" w:ascii="仿宋" w:hAnsi="仿宋" w:eastAsia="仿宋" w:cs="仿宋"/>
                <w:color w:val="auto"/>
                <w:sz w:val="20"/>
                <w:szCs w:val="20"/>
                <w:highlight w:val="none"/>
              </w:rPr>
            </w:pPr>
            <w:r>
              <w:rPr>
                <w:rFonts w:hint="eastAsia" w:ascii="仿宋" w:hAnsi="仿宋" w:eastAsia="仿宋" w:cs="仿宋"/>
                <w:color w:val="auto"/>
                <w:szCs w:val="21"/>
                <w:highlight w:val="none"/>
                <w:lang w:bidi="ar"/>
              </w:rPr>
              <w:t>排涝、配水</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554D654F">
            <w:pPr>
              <w:keepNext w:val="0"/>
              <w:keepLines w:val="0"/>
              <w:suppressLineNumbers w:val="0"/>
              <w:spacing w:before="0" w:beforeAutospacing="0" w:after="0" w:afterAutospacing="0" w:line="260" w:lineRule="atLeast"/>
              <w:ind w:left="0" w:right="0"/>
              <w:rPr>
                <w:rFonts w:hint="eastAsia" w:ascii="仿宋" w:hAnsi="仿宋" w:eastAsia="仿宋" w:cs="仿宋"/>
                <w:color w:val="auto"/>
                <w:kern w:val="0"/>
                <w:sz w:val="20"/>
                <w:szCs w:val="20"/>
                <w:highlight w:val="none"/>
                <w:lang w:bidi="ar"/>
              </w:rPr>
            </w:pPr>
            <w:r>
              <w:rPr>
                <w:rFonts w:hint="eastAsia" w:ascii="仿宋" w:hAnsi="仿宋" w:eastAsia="仿宋" w:cs="仿宋"/>
                <w:color w:val="auto"/>
                <w:szCs w:val="21"/>
                <w:highlight w:val="none"/>
                <w:lang w:bidi="ar"/>
              </w:rPr>
              <w:t>一级</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554D6550">
            <w:pPr>
              <w:keepNext w:val="0"/>
              <w:keepLines w:val="0"/>
              <w:suppressLineNumbers w:val="0"/>
              <w:spacing w:before="0" w:beforeAutospacing="0" w:after="0" w:afterAutospacing="0" w:line="260" w:lineRule="atLeast"/>
              <w:ind w:left="0" w:right="0"/>
              <w:rPr>
                <w:rFonts w:hint="eastAsia" w:ascii="仿宋" w:hAnsi="仿宋" w:eastAsia="仿宋" w:cs="仿宋"/>
                <w:color w:val="auto"/>
                <w:sz w:val="20"/>
                <w:szCs w:val="20"/>
                <w:highlight w:val="none"/>
              </w:rPr>
            </w:pPr>
            <w:r>
              <w:rPr>
                <w:rFonts w:hint="eastAsia" w:ascii="仿宋" w:hAnsi="仿宋" w:eastAsia="仿宋" w:cs="仿宋"/>
                <w:color w:val="auto"/>
                <w:szCs w:val="21"/>
                <w:highlight w:val="none"/>
                <w:lang w:bidi="ar"/>
              </w:rPr>
              <w:t>三班二运转</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14:paraId="554D6551">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Cs w:val="21"/>
                <w:highlight w:val="none"/>
                <w:lang w:bidi="ar"/>
              </w:rPr>
              <w:t>1</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14:paraId="554D6552">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Cs w:val="21"/>
                <w:highlight w:val="none"/>
                <w:lang w:bidi="ar"/>
              </w:rPr>
              <w:t>3</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14:paraId="554D6553">
            <w:pPr>
              <w:keepNext w:val="0"/>
              <w:keepLines w:val="0"/>
              <w:widowControl/>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kern w:val="0"/>
                <w:sz w:val="18"/>
                <w:szCs w:val="18"/>
                <w:highlight w:val="none"/>
                <w:lang w:bidi="ar"/>
              </w:rPr>
              <w:t>0</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554D6555">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554D6556">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554D6557">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554D6558">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554D6559">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554D655A">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tcBorders>
              <w:top w:val="single" w:color="auto" w:sz="4" w:space="0"/>
              <w:left w:val="single" w:color="auto" w:sz="4" w:space="0"/>
              <w:bottom w:val="single" w:color="auto" w:sz="4" w:space="0"/>
              <w:right w:val="single" w:color="auto" w:sz="4" w:space="0"/>
            </w:tcBorders>
            <w:vAlign w:val="center"/>
          </w:tcPr>
          <w:p w14:paraId="554D655B">
            <w:pPr>
              <w:keepNext w:val="0"/>
              <w:keepLines w:val="0"/>
              <w:widowControl/>
              <w:suppressLineNumbers w:val="0"/>
              <w:adjustRightInd/>
              <w:spacing w:before="0" w:beforeAutospacing="0" w:after="0" w:afterAutospacing="0"/>
              <w:ind w:left="0" w:right="0"/>
              <w:jc w:val="left"/>
              <w:textAlignment w:val="center"/>
              <w:rPr>
                <w:rFonts w:hint="eastAsia" w:ascii="仿宋" w:hAnsi="仿宋" w:eastAsia="仿宋" w:cs="仿宋"/>
                <w:color w:val="auto"/>
                <w:sz w:val="20"/>
                <w:szCs w:val="20"/>
                <w:highlight w:val="none"/>
              </w:rPr>
            </w:pPr>
          </w:p>
        </w:tc>
      </w:tr>
      <w:tr w14:paraId="554D656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04" w:hRule="atLeast"/>
        </w:trPr>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14:paraId="554D655D">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7</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14:paraId="554D655E">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szCs w:val="21"/>
                <w:highlight w:val="none"/>
                <w:lang w:bidi="ar"/>
              </w:rPr>
              <w:t>九沙东湖闸</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554D655F">
            <w:pPr>
              <w:keepNext w:val="0"/>
              <w:keepLines w:val="0"/>
              <w:suppressLineNumbers w:val="0"/>
              <w:spacing w:before="0" w:beforeAutospacing="0" w:after="0" w:afterAutospacing="0" w:line="260" w:lineRule="atLeast"/>
              <w:ind w:left="0" w:right="0"/>
              <w:rPr>
                <w:rFonts w:hint="eastAsia" w:ascii="仿宋" w:hAnsi="仿宋" w:eastAsia="仿宋" w:cs="仿宋"/>
                <w:color w:val="auto"/>
                <w:sz w:val="20"/>
                <w:szCs w:val="20"/>
                <w:highlight w:val="none"/>
              </w:rPr>
            </w:pPr>
            <w:r>
              <w:rPr>
                <w:rFonts w:hint="eastAsia" w:ascii="仿宋" w:hAnsi="仿宋" w:eastAsia="仿宋" w:cs="仿宋"/>
                <w:color w:val="auto"/>
                <w:szCs w:val="21"/>
                <w:highlight w:val="none"/>
                <w:lang w:bidi="ar"/>
              </w:rPr>
              <w:t>丁桥新城片</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554D6560">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Cs w:val="21"/>
                <w:highlight w:val="none"/>
                <w:lang w:bidi="ar"/>
              </w:rPr>
              <w:t>有</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554D6561">
            <w:pPr>
              <w:keepNext w:val="0"/>
              <w:keepLines w:val="0"/>
              <w:suppressLineNumbers w:val="0"/>
              <w:spacing w:before="0" w:beforeAutospacing="0" w:after="0" w:afterAutospacing="0" w:line="260" w:lineRule="atLeast"/>
              <w:ind w:left="0" w:right="0"/>
              <w:rPr>
                <w:rFonts w:hint="eastAsia" w:ascii="仿宋" w:hAnsi="仿宋" w:eastAsia="仿宋" w:cs="仿宋"/>
                <w:color w:val="auto"/>
                <w:sz w:val="20"/>
                <w:szCs w:val="20"/>
                <w:highlight w:val="none"/>
              </w:rPr>
            </w:pPr>
            <w:r>
              <w:rPr>
                <w:rFonts w:hint="eastAsia" w:ascii="仿宋" w:hAnsi="仿宋" w:eastAsia="仿宋" w:cs="仿宋"/>
                <w:color w:val="auto"/>
                <w:szCs w:val="21"/>
                <w:highlight w:val="none"/>
                <w:lang w:bidi="ar"/>
              </w:rPr>
              <w:t>排涝、配水</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554D6562">
            <w:pPr>
              <w:keepNext w:val="0"/>
              <w:keepLines w:val="0"/>
              <w:suppressLineNumbers w:val="0"/>
              <w:spacing w:before="0" w:beforeAutospacing="0" w:after="0" w:afterAutospacing="0" w:line="260" w:lineRule="atLeast"/>
              <w:ind w:left="0" w:right="0"/>
              <w:rPr>
                <w:rFonts w:hint="eastAsia" w:ascii="仿宋" w:hAnsi="仿宋" w:eastAsia="仿宋" w:cs="仿宋"/>
                <w:color w:val="auto"/>
                <w:kern w:val="0"/>
                <w:sz w:val="20"/>
                <w:szCs w:val="20"/>
                <w:highlight w:val="none"/>
                <w:lang w:bidi="ar"/>
              </w:rPr>
            </w:pPr>
            <w:r>
              <w:rPr>
                <w:rFonts w:hint="eastAsia" w:ascii="仿宋" w:hAnsi="仿宋" w:eastAsia="仿宋" w:cs="仿宋"/>
                <w:color w:val="auto"/>
                <w:szCs w:val="21"/>
                <w:highlight w:val="none"/>
                <w:lang w:bidi="ar"/>
              </w:rPr>
              <w:t>一级</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554D6563">
            <w:pPr>
              <w:keepNext w:val="0"/>
              <w:keepLines w:val="0"/>
              <w:suppressLineNumbers w:val="0"/>
              <w:spacing w:before="0" w:beforeAutospacing="0" w:after="0" w:afterAutospacing="0" w:line="260" w:lineRule="atLeast"/>
              <w:ind w:left="0" w:right="0"/>
              <w:rPr>
                <w:rFonts w:hint="eastAsia" w:ascii="仿宋" w:hAnsi="仿宋" w:eastAsia="仿宋" w:cs="仿宋"/>
                <w:color w:val="auto"/>
                <w:sz w:val="20"/>
                <w:szCs w:val="20"/>
                <w:highlight w:val="none"/>
              </w:rPr>
            </w:pPr>
            <w:r>
              <w:rPr>
                <w:rFonts w:hint="eastAsia" w:ascii="仿宋" w:hAnsi="仿宋" w:eastAsia="仿宋" w:cs="仿宋"/>
                <w:color w:val="auto"/>
                <w:szCs w:val="21"/>
                <w:highlight w:val="none"/>
                <w:lang w:bidi="ar"/>
              </w:rPr>
              <w:t>三班二运转</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14:paraId="554D6564">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Cs w:val="21"/>
                <w:highlight w:val="none"/>
                <w:lang w:bidi="ar"/>
              </w:rPr>
              <w:t>1</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14:paraId="554D6565">
            <w:pPr>
              <w:keepNext w:val="0"/>
              <w:keepLines w:val="0"/>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szCs w:val="21"/>
                <w:highlight w:val="none"/>
                <w:lang w:bidi="ar"/>
              </w:rPr>
              <w:t>3</w:t>
            </w:r>
          </w:p>
        </w:tc>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14:paraId="554D6566">
            <w:pPr>
              <w:keepNext w:val="0"/>
              <w:keepLines w:val="0"/>
              <w:widowControl/>
              <w:suppressLineNumbers w:val="0"/>
              <w:spacing w:before="0" w:beforeAutospacing="0" w:after="0" w:afterAutospacing="0" w:line="260" w:lineRule="atLeast"/>
              <w:ind w:left="0" w:right="0"/>
              <w:jc w:val="center"/>
              <w:rPr>
                <w:rFonts w:hint="eastAsia" w:ascii="仿宋" w:hAnsi="仿宋" w:eastAsia="仿宋" w:cs="仿宋"/>
                <w:color w:val="auto"/>
                <w:sz w:val="20"/>
                <w:szCs w:val="20"/>
                <w:highlight w:val="none"/>
              </w:rPr>
            </w:pPr>
            <w:r>
              <w:rPr>
                <w:rFonts w:hint="eastAsia" w:ascii="仿宋" w:hAnsi="仿宋" w:eastAsia="仿宋" w:cs="仿宋"/>
                <w:color w:val="auto"/>
                <w:kern w:val="0"/>
                <w:sz w:val="18"/>
                <w:szCs w:val="18"/>
                <w:highlight w:val="none"/>
                <w:lang w:bidi="ar"/>
              </w:rPr>
              <w:t>0</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554D6568">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554D6569">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554D656A">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554D656B">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554D656C">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554D656D">
            <w:pPr>
              <w:keepNext w:val="0"/>
              <w:keepLines w:val="0"/>
              <w:widowControl/>
              <w:suppressLineNumbers w:val="0"/>
              <w:adjustRightInd/>
              <w:spacing w:before="0" w:beforeAutospacing="0" w:after="0" w:afterAutospacing="0"/>
              <w:ind w:left="0" w:right="0"/>
              <w:jc w:val="center"/>
              <w:textAlignment w:val="center"/>
              <w:rPr>
                <w:rFonts w:hint="eastAsia" w:ascii="仿宋" w:hAnsi="仿宋" w:eastAsia="仿宋" w:cs="仿宋"/>
                <w:color w:val="auto"/>
                <w:sz w:val="20"/>
                <w:szCs w:val="20"/>
                <w:highlight w:val="none"/>
              </w:rPr>
            </w:pPr>
          </w:p>
        </w:tc>
        <w:tc>
          <w:tcPr>
            <w:tcW w:w="218" w:type="pct"/>
            <w:tcBorders>
              <w:top w:val="single" w:color="auto" w:sz="4" w:space="0"/>
              <w:left w:val="single" w:color="auto" w:sz="4" w:space="0"/>
              <w:bottom w:val="single" w:color="auto" w:sz="4" w:space="0"/>
              <w:right w:val="single" w:color="auto" w:sz="4" w:space="0"/>
            </w:tcBorders>
            <w:vAlign w:val="center"/>
          </w:tcPr>
          <w:p w14:paraId="554D656E">
            <w:pPr>
              <w:keepNext w:val="0"/>
              <w:keepLines w:val="0"/>
              <w:widowControl/>
              <w:suppressLineNumbers w:val="0"/>
              <w:adjustRightInd/>
              <w:spacing w:before="0" w:beforeAutospacing="0" w:after="0" w:afterAutospacing="0"/>
              <w:ind w:left="0" w:right="0"/>
              <w:jc w:val="left"/>
              <w:textAlignment w:val="center"/>
              <w:rPr>
                <w:rFonts w:hint="eastAsia" w:ascii="仿宋" w:hAnsi="仿宋" w:eastAsia="仿宋" w:cs="仿宋"/>
                <w:color w:val="auto"/>
                <w:sz w:val="20"/>
                <w:szCs w:val="20"/>
                <w:highlight w:val="none"/>
              </w:rPr>
            </w:pPr>
          </w:p>
        </w:tc>
      </w:tr>
    </w:tbl>
    <w:p w14:paraId="4ADA5273">
      <w:pPr>
        <w:pStyle w:val="2"/>
        <w:snapToGrid w:val="0"/>
        <w:spacing w:line="300" w:lineRule="auto"/>
        <w:rPr>
          <w:rFonts w:hint="eastAsia" w:ascii="仿宋" w:hAnsi="仿宋" w:eastAsia="仿宋" w:cs="仿宋"/>
          <w:color w:val="auto"/>
          <w:kern w:val="0"/>
          <w:sz w:val="24"/>
          <w:szCs w:val="24"/>
          <w:highlight w:val="none"/>
        </w:rPr>
      </w:pPr>
    </w:p>
    <w:p w14:paraId="22B689C4">
      <w:pPr>
        <w:pStyle w:val="2"/>
        <w:snapToGrid w:val="0"/>
        <w:spacing w:line="30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说明：</w:t>
      </w:r>
    </w:p>
    <w:p w14:paraId="22B689C5">
      <w:pPr>
        <w:snapToGrid w:val="0"/>
        <w:spacing w:line="30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（1）本项目的投标应以人民币报价，投标人报价应是包括为完成本工程项目可能发生的全部费用及成交人的利润和应交纳的税金等一切费用，采购项目不出具联系单。</w:t>
      </w:r>
    </w:p>
    <w:p w14:paraId="22B689C6">
      <w:pPr>
        <w:snapToGrid w:val="0"/>
        <w:spacing w:line="30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计量单位要求一致，该表格式不得擅自进行变更。投标人应注意各单位之间的换算。</w:t>
      </w:r>
    </w:p>
    <w:p w14:paraId="22B689C7">
      <w:pPr>
        <w:pStyle w:val="2"/>
        <w:snapToGrid w:val="0"/>
        <w:spacing w:line="30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（3）表中不得有给予采购人的赠品、回扣或者与本项目采购无关的其他商品、服务。</w:t>
      </w:r>
    </w:p>
    <w:p w14:paraId="22B689C9">
      <w:pPr>
        <w:autoSpaceDE w:val="0"/>
        <w:autoSpaceDN w:val="0"/>
        <w:spacing w:line="360" w:lineRule="auto"/>
        <w:ind w:right="1120"/>
        <w:jc w:val="left"/>
        <w:rPr>
          <w:rFonts w:hint="eastAsia" w:ascii="仿宋_GB2312" w:hAnsi="仿宋_GB2312" w:eastAsia="仿宋_GB2312" w:cs="仿宋_GB2312"/>
          <w:color w:val="auto"/>
          <w:kern w:val="0"/>
          <w:sz w:val="24"/>
          <w:highlight w:val="none"/>
          <w:lang w:val="zh-CN"/>
        </w:rPr>
      </w:pPr>
    </w:p>
    <w:p w14:paraId="22B689CA">
      <w:pPr>
        <w:autoSpaceDE w:val="0"/>
        <w:autoSpaceDN w:val="0"/>
        <w:spacing w:line="360" w:lineRule="auto"/>
        <w:ind w:right="112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14:paraId="22B689CB">
      <w:pPr>
        <w:rPr>
          <w:rFonts w:hint="eastAsia" w:ascii="仿宋" w:hAnsi="仿宋" w:eastAsia="仿宋" w:cs="仿宋"/>
          <w:color w:val="auto"/>
          <w:sz w:val="32"/>
          <w:szCs w:val="32"/>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14:paraId="22B689CC">
      <w:pPr>
        <w:pStyle w:val="692"/>
        <w:keepNext w:val="0"/>
        <w:tabs>
          <w:tab w:val="clear" w:pos="720"/>
        </w:tabs>
        <w:wordWrap w:val="0"/>
        <w:snapToGrid w:val="0"/>
        <w:spacing w:before="120" w:after="120"/>
        <w:ind w:firstLine="643"/>
        <w:outlineLvl w:val="2"/>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sym w:font="Wingdings" w:char="00FE"/>
      </w: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End w:id="489"/>
      <w:bookmarkEnd w:id="490"/>
      <w:bookmarkEnd w:id="491"/>
      <w:bookmarkEnd w:id="492"/>
      <w:bookmarkEnd w:id="493"/>
      <w:bookmarkEnd w:id="494"/>
      <w:bookmarkEnd w:id="495"/>
      <w:bookmarkEnd w:id="496"/>
      <w:bookmarkEnd w:id="497"/>
    </w:p>
    <w:p w14:paraId="22B689CD">
      <w:pPr>
        <w:widowControl/>
        <w:wordWrap w:val="0"/>
        <w:spacing w:line="360" w:lineRule="auto"/>
        <w:ind w:firstLine="120" w:firstLineChars="50"/>
        <w:jc w:val="left"/>
        <w:rPr>
          <w:rFonts w:hint="eastAsia" w:ascii="仿宋" w:hAnsi="仿宋" w:eastAsia="仿宋" w:cs="仿宋"/>
          <w:b/>
          <w:color w:val="auto"/>
          <w:sz w:val="24"/>
          <w:highlight w:val="none"/>
        </w:rPr>
      </w:pPr>
    </w:p>
    <w:p w14:paraId="22B689CE">
      <w:pPr>
        <w:widowControl/>
        <w:wordWrap w:val="0"/>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本项目落实政府采购政策需满足的资格要求为“无”，即本项目未预留份额专门面向中小企业，符合《政府采购促进中小企业发展管理办法》规定的小微企业拟享受价格扣除政策的，需在报价文件中提供中小企业声明函（附件5）。]</w:t>
      </w:r>
    </w:p>
    <w:p w14:paraId="22B689CF">
      <w:pPr>
        <w:widowControl/>
        <w:wordWrap w:val="0"/>
        <w:spacing w:line="360" w:lineRule="auto"/>
        <w:ind w:firstLine="120" w:firstLineChars="50"/>
        <w:jc w:val="left"/>
        <w:rPr>
          <w:rFonts w:hint="eastAsia" w:ascii="仿宋" w:hAnsi="仿宋" w:eastAsia="仿宋" w:cs="仿宋"/>
          <w:b/>
          <w:color w:val="auto"/>
          <w:sz w:val="24"/>
          <w:highlight w:val="none"/>
        </w:rPr>
      </w:pPr>
    </w:p>
    <w:p w14:paraId="22B689D0">
      <w:pPr>
        <w:widowControl/>
        <w:wordWrap w:val="0"/>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为“专门面向中小企业”，即本项目为预留份额专门面向中小企业，符合《政府采购促进中小企业发展管理办法》规定的中小企业应在资格文件部分提供中小企业声明函，报价文件中无需重复提供。]</w:t>
      </w:r>
    </w:p>
    <w:p w14:paraId="22B689D1">
      <w:pPr>
        <w:wordWrap w:val="0"/>
        <w:spacing w:line="360" w:lineRule="auto"/>
        <w:ind w:right="420" w:firstLine="2409" w:firstLineChars="1000"/>
        <w:rPr>
          <w:rFonts w:hint="eastAsia" w:ascii="仿宋" w:hAnsi="仿宋" w:eastAsia="仿宋" w:cs="仿宋"/>
          <w:b/>
          <w:color w:val="auto"/>
          <w:kern w:val="0"/>
          <w:sz w:val="24"/>
          <w:highlight w:val="none"/>
        </w:rPr>
      </w:pPr>
    </w:p>
    <w:p w14:paraId="22B689D2">
      <w:pPr>
        <w:widowControl/>
        <w:wordWrap w:val="0"/>
        <w:spacing w:line="360" w:lineRule="auto"/>
        <w:ind w:firstLine="120" w:firstLineChars="50"/>
        <w:rPr>
          <w:rFonts w:hint="eastAsia" w:ascii="仿宋" w:hAnsi="仿宋" w:eastAsia="仿宋" w:cs="仿宋"/>
          <w:b/>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以联合体形式参加的，提供联合协议（附件6）和中小企业声明函（附件5），联合协议中小微企业合同金额应当达到招标公告载明的比例；如果供应商本身提供所有标的均由小微企业承接的，视同符合了资格条件，无需再与其他小微企业组成联合体参加政府采购活动，无需提供联合协议。]</w:t>
      </w:r>
    </w:p>
    <w:p w14:paraId="22B689D3">
      <w:pPr>
        <w:widowControl/>
        <w:wordWrap w:val="0"/>
        <w:spacing w:line="360" w:lineRule="auto"/>
        <w:ind w:firstLine="120" w:firstLineChars="50"/>
        <w:rPr>
          <w:rFonts w:hint="eastAsia" w:ascii="仿宋" w:hAnsi="仿宋" w:eastAsia="仿宋" w:cs="仿宋"/>
          <w:b/>
          <w:color w:val="auto"/>
          <w:sz w:val="24"/>
          <w:highlight w:val="none"/>
        </w:rPr>
      </w:pPr>
    </w:p>
    <w:p w14:paraId="22B689D4">
      <w:pPr>
        <w:widowControl/>
        <w:wordWrap w:val="0"/>
        <w:spacing w:line="360" w:lineRule="auto"/>
        <w:ind w:firstLine="120" w:firstLineChars="50"/>
        <w:rPr>
          <w:rFonts w:hint="eastAsia" w:ascii="仿宋" w:hAnsi="仿宋" w:eastAsia="仿宋" w:cs="仿宋"/>
          <w:b/>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合同分包的，提供分包意向协议（附件7）和中小企业声明函（附件5），分包意向协议中中小企业合同金额应当达到招标公告载明的比例；如果供应商本身提供所有标的均由中小企业承接，视同符合了资格条件，无需再向中小企业分包，无需提供分包意向协议。]</w:t>
      </w:r>
    </w:p>
    <w:p w14:paraId="22B689D5">
      <w:pPr>
        <w:wordWrap w:val="0"/>
        <w:spacing w:line="360" w:lineRule="auto"/>
        <w:ind w:right="420" w:firstLine="3614" w:firstLineChars="1000"/>
        <w:rPr>
          <w:rFonts w:hint="eastAsia" w:ascii="仿宋" w:hAnsi="仿宋" w:eastAsia="仿宋" w:cs="仿宋"/>
          <w:b/>
          <w:color w:val="auto"/>
          <w:kern w:val="0"/>
          <w:sz w:val="36"/>
          <w:szCs w:val="36"/>
          <w:highlight w:val="none"/>
        </w:rPr>
      </w:pPr>
    </w:p>
    <w:p w14:paraId="22B689D6">
      <w:pPr>
        <w:wordWrap w:val="0"/>
        <w:spacing w:line="360" w:lineRule="auto"/>
        <w:ind w:right="420" w:firstLine="3614" w:firstLineChars="1000"/>
        <w:rPr>
          <w:rFonts w:hint="eastAsia" w:ascii="仿宋" w:hAnsi="仿宋" w:eastAsia="仿宋" w:cs="仿宋"/>
          <w:b/>
          <w:color w:val="auto"/>
          <w:kern w:val="0"/>
          <w:sz w:val="36"/>
          <w:szCs w:val="36"/>
          <w:highlight w:val="none"/>
        </w:rPr>
      </w:pPr>
    </w:p>
    <w:p w14:paraId="22B689D7">
      <w:pPr>
        <w:wordWrap w:val="0"/>
        <w:spacing w:line="360" w:lineRule="auto"/>
        <w:ind w:right="420" w:firstLine="3614" w:firstLineChars="1000"/>
        <w:rPr>
          <w:rFonts w:hint="eastAsia" w:ascii="仿宋" w:hAnsi="仿宋" w:eastAsia="仿宋" w:cs="仿宋"/>
          <w:b/>
          <w:color w:val="auto"/>
          <w:kern w:val="0"/>
          <w:sz w:val="36"/>
          <w:szCs w:val="36"/>
          <w:highlight w:val="none"/>
        </w:rPr>
      </w:pPr>
    </w:p>
    <w:p w14:paraId="105ECB27">
      <w:pPr>
        <w:pStyle w:val="4"/>
        <w:keepNext w:val="0"/>
        <w:keepLines w:val="0"/>
        <w:widowControl/>
        <w:wordWrap w:val="0"/>
        <w:spacing w:before="100" w:beforeAutospacing="1" w:after="100" w:afterAutospacing="1" w:line="360" w:lineRule="auto"/>
        <w:ind w:firstLine="883"/>
        <w:rPr>
          <w:rFonts w:hint="eastAsia" w:ascii="仿宋" w:hAnsi="仿宋" w:eastAsia="仿宋" w:cs="仿宋"/>
          <w:color w:val="auto"/>
          <w:highlight w:val="none"/>
        </w:rPr>
        <w:sectPr>
          <w:footerReference r:id="rId23" w:type="first"/>
          <w:headerReference r:id="rId20" w:type="default"/>
          <w:footerReference r:id="rId21" w:type="default"/>
          <w:footerReference r:id="rId22" w:type="even"/>
          <w:pgSz w:w="11905" w:h="16838"/>
          <w:pgMar w:top="652" w:right="1417" w:bottom="680" w:left="1417" w:header="539" w:footer="425" w:gutter="0"/>
          <w:cols w:space="0" w:num="1"/>
          <w:titlePg/>
          <w:docGrid w:linePitch="312" w:charSpace="0"/>
        </w:sectPr>
      </w:pPr>
      <w:bookmarkStart w:id="498" w:name="_Toc18247"/>
      <w:bookmarkStart w:id="499" w:name="_Toc19385"/>
      <w:bookmarkStart w:id="500" w:name="_Toc11681"/>
      <w:bookmarkStart w:id="501" w:name="_Toc21803"/>
      <w:bookmarkStart w:id="502" w:name="_Toc29548"/>
      <w:bookmarkStart w:id="503" w:name="_Toc465665161"/>
    </w:p>
    <w:p w14:paraId="22B689D9">
      <w:pPr>
        <w:pStyle w:val="4"/>
        <w:keepNext w:val="0"/>
        <w:keepLines w:val="0"/>
        <w:widowControl/>
        <w:wordWrap w:val="0"/>
        <w:spacing w:before="100" w:beforeAutospacing="1" w:after="100" w:afterAutospacing="1" w:line="360" w:lineRule="auto"/>
        <w:ind w:firstLine="883"/>
        <w:rPr>
          <w:rFonts w:hint="eastAsia" w:ascii="仿宋" w:hAnsi="仿宋" w:eastAsia="仿宋" w:cs="仿宋"/>
          <w:color w:val="auto"/>
          <w:highlight w:val="none"/>
        </w:rPr>
      </w:pPr>
      <w:bookmarkStart w:id="504" w:name="_Toc3626"/>
      <w:bookmarkStart w:id="505" w:name="_Toc1812"/>
      <w:bookmarkStart w:id="506" w:name="_Toc1515"/>
      <w:bookmarkStart w:id="507" w:name="_Toc19751"/>
      <w:r>
        <w:rPr>
          <w:rFonts w:hint="eastAsia" w:ascii="仿宋" w:hAnsi="仿宋" w:eastAsia="仿宋" w:cs="仿宋"/>
          <w:color w:val="auto"/>
          <w:highlight w:val="none"/>
        </w:rPr>
        <w:t>附件</w:t>
      </w:r>
      <w:bookmarkEnd w:id="498"/>
      <w:bookmarkEnd w:id="499"/>
      <w:bookmarkEnd w:id="500"/>
      <w:bookmarkEnd w:id="501"/>
      <w:bookmarkEnd w:id="502"/>
      <w:bookmarkEnd w:id="503"/>
      <w:bookmarkEnd w:id="504"/>
      <w:bookmarkEnd w:id="505"/>
      <w:bookmarkEnd w:id="506"/>
      <w:bookmarkEnd w:id="507"/>
    </w:p>
    <w:p w14:paraId="22B689DA">
      <w:pPr>
        <w:wordWrap w:val="0"/>
        <w:spacing w:line="360" w:lineRule="auto"/>
        <w:ind w:firstLine="667"/>
        <w:outlineLvl w:val="0"/>
        <w:rPr>
          <w:rFonts w:hint="eastAsia" w:ascii="仿宋" w:hAnsi="仿宋" w:eastAsia="仿宋" w:cs="仿宋"/>
          <w:b/>
          <w:color w:val="auto"/>
          <w:spacing w:val="6"/>
          <w:sz w:val="32"/>
          <w:szCs w:val="32"/>
          <w:highlight w:val="none"/>
        </w:rPr>
      </w:pPr>
      <w:bookmarkStart w:id="508" w:name="_Toc9886"/>
      <w:bookmarkStart w:id="509" w:name="_Toc27238"/>
      <w:bookmarkStart w:id="510" w:name="_Toc25826"/>
      <w:bookmarkStart w:id="511" w:name="_Toc7886"/>
      <w:bookmarkStart w:id="512" w:name="_Toc16510"/>
      <w:bookmarkStart w:id="513" w:name="_Toc31021"/>
      <w:bookmarkStart w:id="514" w:name="_Toc4640"/>
      <w:bookmarkStart w:id="515" w:name="_Toc7995"/>
      <w:bookmarkStart w:id="516" w:name="_Toc14817"/>
      <w:bookmarkStart w:id="517" w:name="_Toc19435"/>
      <w:bookmarkStart w:id="518" w:name="_Toc24540"/>
      <w:r>
        <w:rPr>
          <w:rFonts w:hint="eastAsia" w:ascii="仿宋" w:hAnsi="仿宋" w:eastAsia="仿宋" w:cs="仿宋"/>
          <w:b/>
          <w:color w:val="auto"/>
          <w:spacing w:val="6"/>
          <w:sz w:val="32"/>
          <w:szCs w:val="32"/>
          <w:highlight w:val="none"/>
        </w:rPr>
        <w:t>附件1：</w:t>
      </w:r>
      <w:bookmarkEnd w:id="508"/>
      <w:bookmarkEnd w:id="509"/>
      <w:bookmarkEnd w:id="510"/>
      <w:bookmarkEnd w:id="511"/>
      <w:bookmarkEnd w:id="512"/>
      <w:bookmarkEnd w:id="513"/>
      <w:bookmarkEnd w:id="514"/>
      <w:bookmarkEnd w:id="515"/>
      <w:bookmarkEnd w:id="516"/>
      <w:bookmarkEnd w:id="517"/>
      <w:bookmarkEnd w:id="518"/>
    </w:p>
    <w:p w14:paraId="22B689DB">
      <w:pPr>
        <w:wordWrap w:val="0"/>
        <w:spacing w:line="360" w:lineRule="auto"/>
        <w:ind w:firstLine="667"/>
        <w:jc w:val="center"/>
        <w:rPr>
          <w:rFonts w:hint="eastAsia" w:ascii="仿宋" w:hAnsi="仿宋" w:eastAsia="仿宋" w:cs="仿宋"/>
          <w:b/>
          <w:color w:val="auto"/>
          <w:spacing w:val="6"/>
          <w:sz w:val="32"/>
          <w:szCs w:val="32"/>
          <w:highlight w:val="none"/>
        </w:rPr>
      </w:pPr>
      <w:bookmarkStart w:id="519" w:name="OLE_LINK13"/>
      <w:bookmarkStart w:id="520" w:name="OLE_LINK14"/>
      <w:r>
        <w:rPr>
          <w:rFonts w:hint="eastAsia" w:ascii="仿宋" w:hAnsi="仿宋" w:eastAsia="仿宋" w:cs="仿宋"/>
          <w:b/>
          <w:color w:val="auto"/>
          <w:spacing w:val="6"/>
          <w:sz w:val="32"/>
          <w:szCs w:val="32"/>
          <w:highlight w:val="none"/>
        </w:rPr>
        <w:t>残疾人福利性单位声明函</w:t>
      </w:r>
    </w:p>
    <w:bookmarkEnd w:id="519"/>
    <w:bookmarkEnd w:id="520"/>
    <w:p w14:paraId="22B689DC">
      <w:pPr>
        <w:wordWrap w:val="0"/>
        <w:spacing w:line="360" w:lineRule="auto"/>
        <w:ind w:firstLine="626"/>
        <w:rPr>
          <w:rFonts w:hint="eastAsia" w:ascii="仿宋" w:hAnsi="仿宋" w:eastAsia="仿宋" w:cs="仿宋"/>
          <w:b/>
          <w:color w:val="auto"/>
          <w:spacing w:val="6"/>
          <w:sz w:val="30"/>
          <w:szCs w:val="30"/>
          <w:highlight w:val="none"/>
        </w:rPr>
      </w:pPr>
    </w:p>
    <w:p w14:paraId="22B689DD">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杭州市城市水设施和河道保护管理中心  </w:t>
      </w:r>
      <w:r>
        <w:rPr>
          <w:rFonts w:hint="eastAsia" w:ascii="仿宋" w:hAnsi="仿宋" w:eastAsia="仿宋" w:cs="仿宋"/>
          <w:color w:val="auto"/>
          <w:sz w:val="24"/>
          <w:highlight w:val="none"/>
        </w:rPr>
        <w:t xml:space="preserve">单位的   </w:t>
      </w:r>
      <w:r>
        <w:rPr>
          <w:rFonts w:hint="eastAsia" w:ascii="仿宋" w:hAnsi="仿宋" w:eastAsia="仿宋" w:cs="仿宋"/>
          <w:color w:val="auto"/>
          <w:sz w:val="24"/>
          <w:highlight w:val="none"/>
          <w:lang w:eastAsia="zh-CN"/>
        </w:rPr>
        <w:t>胜利河船闸、电厂热水河船闸、姚家坝泵站、施家桥闸站、九沙橡胶坝、九沙和睦闸、九沙东湖闸等养护服务采购项目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ZJCT6-HD2025-03</w:t>
      </w:r>
      <w:r>
        <w:rPr>
          <w:rFonts w:hint="eastAsia" w:ascii="仿宋" w:hAnsi="仿宋" w:eastAsia="仿宋" w:cs="仿宋"/>
          <w:color w:val="auto"/>
          <w:sz w:val="24"/>
          <w:highlight w:val="none"/>
        </w:rPr>
        <w:t>】采购活动提供本单位</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制造的货物</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本单位承担工程</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本单位提供服务），或者提供其他残疾人福利性单位制造的货物（不包括使用非残疾人福利性单位注册商标的货物）。</w:t>
      </w:r>
    </w:p>
    <w:p w14:paraId="22B689DE">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2B689DF">
      <w:pPr>
        <w:wordWrap w:val="0"/>
        <w:spacing w:line="360" w:lineRule="auto"/>
        <w:ind w:firstLine="480" w:firstLineChars="200"/>
        <w:rPr>
          <w:rFonts w:hint="eastAsia" w:ascii="仿宋" w:hAnsi="仿宋" w:eastAsia="仿宋" w:cs="仿宋"/>
          <w:color w:val="auto"/>
          <w:sz w:val="24"/>
          <w:highlight w:val="none"/>
        </w:rPr>
      </w:pPr>
    </w:p>
    <w:p w14:paraId="22B689E0">
      <w:pPr>
        <w:wordWrap w:val="0"/>
        <w:spacing w:line="360" w:lineRule="auto"/>
        <w:ind w:firstLine="480" w:firstLineChars="200"/>
        <w:rPr>
          <w:rFonts w:hint="eastAsia" w:ascii="仿宋" w:hAnsi="仿宋" w:eastAsia="仿宋" w:cs="仿宋"/>
          <w:color w:val="auto"/>
          <w:sz w:val="24"/>
          <w:highlight w:val="none"/>
        </w:rPr>
      </w:pPr>
    </w:p>
    <w:p w14:paraId="22B689E1">
      <w:pPr>
        <w:tabs>
          <w:tab w:val="left" w:pos="4860"/>
        </w:tabs>
        <w:wordWrap w:val="0"/>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22B689E2">
      <w:pPr>
        <w:tabs>
          <w:tab w:val="left" w:pos="4860"/>
        </w:tabs>
        <w:wordWrap w:val="0"/>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2B689E3">
      <w:pPr>
        <w:wordWrap w:val="0"/>
        <w:spacing w:line="360" w:lineRule="auto"/>
        <w:ind w:firstLine="480" w:firstLineChars="200"/>
        <w:rPr>
          <w:rFonts w:hint="eastAsia" w:ascii="仿宋" w:hAnsi="仿宋" w:eastAsia="仿宋" w:cs="仿宋"/>
          <w:color w:val="auto"/>
          <w:sz w:val="24"/>
          <w:highlight w:val="none"/>
        </w:rPr>
      </w:pPr>
    </w:p>
    <w:p w14:paraId="22B689E4">
      <w:pPr>
        <w:wordWrap w:val="0"/>
        <w:spacing w:line="360" w:lineRule="auto"/>
        <w:ind w:firstLine="420" w:firstLineChars="200"/>
        <w:rPr>
          <w:rFonts w:hint="eastAsia" w:ascii="仿宋" w:hAnsi="仿宋" w:eastAsia="仿宋" w:cs="仿宋"/>
          <w:color w:val="auto"/>
          <w:highlight w:val="none"/>
        </w:rPr>
      </w:pPr>
    </w:p>
    <w:p w14:paraId="22B689E5">
      <w:pPr>
        <w:wordWrap w:val="0"/>
        <w:spacing w:line="360" w:lineRule="auto"/>
        <w:ind w:firstLine="420" w:firstLineChars="200"/>
        <w:rPr>
          <w:rFonts w:hint="eastAsia" w:ascii="仿宋" w:hAnsi="仿宋" w:eastAsia="仿宋" w:cs="仿宋"/>
          <w:color w:val="auto"/>
          <w:highlight w:val="none"/>
        </w:rPr>
      </w:pPr>
    </w:p>
    <w:p w14:paraId="22B689E6">
      <w:pPr>
        <w:wordWrap w:val="0"/>
        <w:spacing w:line="360" w:lineRule="auto"/>
        <w:ind w:firstLine="420" w:firstLineChars="200"/>
        <w:rPr>
          <w:rFonts w:hint="eastAsia" w:ascii="仿宋" w:hAnsi="仿宋" w:eastAsia="仿宋" w:cs="仿宋"/>
          <w:color w:val="auto"/>
          <w:highlight w:val="none"/>
        </w:rPr>
      </w:pPr>
    </w:p>
    <w:p w14:paraId="22B689E7">
      <w:pPr>
        <w:wordWrap w:val="0"/>
        <w:spacing w:line="360" w:lineRule="auto"/>
        <w:ind w:firstLine="420" w:firstLineChars="200"/>
        <w:rPr>
          <w:rFonts w:hint="eastAsia" w:ascii="仿宋" w:hAnsi="仿宋" w:eastAsia="仿宋" w:cs="仿宋"/>
          <w:color w:val="auto"/>
          <w:highlight w:val="none"/>
        </w:rPr>
      </w:pPr>
    </w:p>
    <w:p w14:paraId="22B689E8">
      <w:pPr>
        <w:wordWrap w:val="0"/>
        <w:spacing w:line="360" w:lineRule="auto"/>
        <w:ind w:firstLine="482"/>
        <w:rPr>
          <w:rFonts w:hint="eastAsia" w:ascii="仿宋" w:hAnsi="仿宋" w:eastAsia="仿宋" w:cs="仿宋"/>
          <w:b/>
          <w:color w:val="auto"/>
          <w:sz w:val="24"/>
          <w:highlight w:val="none"/>
        </w:rPr>
      </w:pPr>
    </w:p>
    <w:p w14:paraId="22B689E9">
      <w:pPr>
        <w:wordWrap w:val="0"/>
        <w:spacing w:line="360" w:lineRule="auto"/>
        <w:ind w:firstLine="482"/>
        <w:rPr>
          <w:rFonts w:hint="eastAsia" w:ascii="仿宋" w:hAnsi="仿宋" w:eastAsia="仿宋" w:cs="仿宋"/>
          <w:b/>
          <w:color w:val="auto"/>
          <w:sz w:val="24"/>
          <w:highlight w:val="none"/>
        </w:rPr>
      </w:pPr>
    </w:p>
    <w:p w14:paraId="22B689EA">
      <w:pPr>
        <w:wordWrap w:val="0"/>
        <w:spacing w:line="360" w:lineRule="auto"/>
        <w:ind w:firstLine="482"/>
        <w:rPr>
          <w:rFonts w:hint="eastAsia" w:ascii="仿宋" w:hAnsi="仿宋" w:eastAsia="仿宋" w:cs="仿宋"/>
          <w:b/>
          <w:color w:val="auto"/>
          <w:sz w:val="24"/>
          <w:highlight w:val="none"/>
        </w:rPr>
      </w:pPr>
    </w:p>
    <w:p w14:paraId="22B689EB">
      <w:pPr>
        <w:wordWrap w:val="0"/>
        <w:spacing w:line="360" w:lineRule="auto"/>
        <w:ind w:firstLine="482"/>
        <w:rPr>
          <w:rFonts w:hint="eastAsia" w:ascii="仿宋" w:hAnsi="仿宋" w:eastAsia="仿宋" w:cs="仿宋"/>
          <w:b/>
          <w:color w:val="auto"/>
          <w:sz w:val="24"/>
          <w:highlight w:val="none"/>
        </w:rPr>
      </w:pPr>
    </w:p>
    <w:p w14:paraId="22B689EC">
      <w:pPr>
        <w:wordWrap w:val="0"/>
        <w:spacing w:line="360" w:lineRule="auto"/>
        <w:ind w:firstLine="482"/>
        <w:rPr>
          <w:rFonts w:hint="eastAsia" w:ascii="仿宋" w:hAnsi="仿宋" w:eastAsia="仿宋" w:cs="仿宋"/>
          <w:b/>
          <w:color w:val="auto"/>
          <w:sz w:val="24"/>
          <w:highlight w:val="none"/>
        </w:rPr>
      </w:pPr>
    </w:p>
    <w:p w14:paraId="22B689ED">
      <w:pPr>
        <w:wordWrap w:val="0"/>
        <w:spacing w:line="360" w:lineRule="auto"/>
        <w:ind w:firstLine="482"/>
        <w:rPr>
          <w:rFonts w:hint="eastAsia" w:ascii="仿宋" w:hAnsi="仿宋" w:eastAsia="仿宋" w:cs="仿宋"/>
          <w:b/>
          <w:color w:val="auto"/>
          <w:sz w:val="24"/>
          <w:highlight w:val="none"/>
        </w:rPr>
      </w:pPr>
    </w:p>
    <w:p w14:paraId="22B689EE">
      <w:pPr>
        <w:wordWrap w:val="0"/>
        <w:spacing w:line="360" w:lineRule="auto"/>
        <w:ind w:firstLine="482"/>
        <w:rPr>
          <w:rFonts w:hint="eastAsia" w:ascii="仿宋" w:hAnsi="仿宋" w:eastAsia="仿宋" w:cs="仿宋"/>
          <w:b/>
          <w:color w:val="auto"/>
          <w:sz w:val="24"/>
          <w:highlight w:val="none"/>
        </w:rPr>
      </w:pPr>
    </w:p>
    <w:p w14:paraId="22B689EF">
      <w:pPr>
        <w:wordWrap w:val="0"/>
        <w:spacing w:line="360" w:lineRule="auto"/>
        <w:ind w:firstLine="482"/>
        <w:rPr>
          <w:rFonts w:hint="eastAsia" w:ascii="仿宋" w:hAnsi="仿宋" w:eastAsia="仿宋" w:cs="仿宋"/>
          <w:b/>
          <w:color w:val="auto"/>
          <w:sz w:val="24"/>
          <w:highlight w:val="none"/>
        </w:rPr>
      </w:pPr>
    </w:p>
    <w:p w14:paraId="22B689F0">
      <w:pPr>
        <w:wordWrap w:val="0"/>
        <w:spacing w:line="360" w:lineRule="auto"/>
        <w:ind w:firstLine="482"/>
        <w:rPr>
          <w:rFonts w:hint="eastAsia" w:ascii="仿宋" w:hAnsi="仿宋" w:eastAsia="仿宋" w:cs="仿宋"/>
          <w:b/>
          <w:color w:val="auto"/>
          <w:sz w:val="24"/>
          <w:highlight w:val="none"/>
        </w:rPr>
      </w:pPr>
    </w:p>
    <w:p w14:paraId="22B689F1">
      <w:pPr>
        <w:wordWrap w:val="0"/>
        <w:ind w:firstLine="667"/>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2B689F2">
      <w:pPr>
        <w:wordWrap w:val="0"/>
        <w:spacing w:line="360" w:lineRule="auto"/>
        <w:ind w:firstLine="667"/>
        <w:jc w:val="left"/>
        <w:outlineLvl w:val="0"/>
        <w:rPr>
          <w:rFonts w:hint="eastAsia" w:ascii="仿宋" w:hAnsi="仿宋" w:eastAsia="仿宋" w:cs="仿宋"/>
          <w:b/>
          <w:color w:val="auto"/>
          <w:spacing w:val="6"/>
          <w:sz w:val="32"/>
          <w:szCs w:val="32"/>
          <w:highlight w:val="none"/>
        </w:rPr>
      </w:pPr>
      <w:bookmarkStart w:id="521" w:name="_Toc16946"/>
      <w:bookmarkStart w:id="522" w:name="_Toc26207"/>
      <w:bookmarkStart w:id="523" w:name="_Toc21976"/>
      <w:bookmarkStart w:id="524" w:name="_Toc10405"/>
      <w:bookmarkStart w:id="525" w:name="_Toc25285"/>
      <w:bookmarkStart w:id="526" w:name="_Toc3891"/>
      <w:bookmarkStart w:id="527" w:name="_Toc22640"/>
      <w:bookmarkStart w:id="528" w:name="_Toc23206"/>
      <w:bookmarkStart w:id="529" w:name="_Toc16744"/>
      <w:bookmarkStart w:id="530" w:name="_Toc19664"/>
      <w:bookmarkStart w:id="531" w:name="_Toc10890"/>
      <w:r>
        <w:rPr>
          <w:rFonts w:hint="eastAsia" w:ascii="仿宋" w:hAnsi="仿宋" w:eastAsia="仿宋" w:cs="仿宋"/>
          <w:b/>
          <w:color w:val="auto"/>
          <w:spacing w:val="6"/>
          <w:sz w:val="32"/>
          <w:szCs w:val="32"/>
          <w:highlight w:val="none"/>
        </w:rPr>
        <w:t>附件2：质疑函范本及制作说明</w:t>
      </w:r>
      <w:bookmarkEnd w:id="521"/>
      <w:bookmarkEnd w:id="522"/>
      <w:bookmarkEnd w:id="523"/>
      <w:bookmarkEnd w:id="524"/>
      <w:bookmarkEnd w:id="525"/>
      <w:bookmarkEnd w:id="526"/>
      <w:bookmarkEnd w:id="527"/>
      <w:bookmarkEnd w:id="528"/>
      <w:bookmarkEnd w:id="529"/>
      <w:bookmarkEnd w:id="530"/>
      <w:bookmarkEnd w:id="531"/>
    </w:p>
    <w:p w14:paraId="22B689F3">
      <w:pPr>
        <w:wordWrap w:val="0"/>
        <w:spacing w:line="360" w:lineRule="auto"/>
        <w:ind w:firstLine="667"/>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2B689F4">
      <w:pPr>
        <w:wordWrap w:val="0"/>
        <w:snapToGrid w:val="0"/>
        <w:spacing w:before="240" w:beforeLine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22B689F5">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22B689F6">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2B689F7">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2B689F8">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2B689F9">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2B689FA">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2B689FB">
      <w:pPr>
        <w:wordWrap w:val="0"/>
        <w:snapToGrid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22B689FC">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2B689FD">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2B689FE">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2B689FF">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2B68A00">
      <w:pPr>
        <w:wordWrap w:val="0"/>
        <w:snapToGrid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2B68A01">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2B68A02">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2B68A03">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2B68A04">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2B68A05">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2B68A06">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2B68A07">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2B68A08">
      <w:pPr>
        <w:wordWrap w:val="0"/>
        <w:snapToGrid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2B68A09">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2B68A0A">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2B68A0B">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2B68A0C">
      <w:pPr>
        <w:wordWrap w:val="0"/>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2B68A0D">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2B68A0E">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22B68A0F">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2B68A10">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2B68A11">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2B68A12">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6.质疑供应商为法人或者其他组织的，质疑函应由法定代表人、主要负责人，或者其授权代表签字或者盖章，并加盖公章。</w:t>
      </w:r>
    </w:p>
    <w:p w14:paraId="22B68A13">
      <w:pPr>
        <w:widowControl/>
        <w:wordWrap w:val="0"/>
        <w:spacing w:line="360" w:lineRule="auto"/>
        <w:ind w:firstLine="600" w:firstLineChars="200"/>
        <w:jc w:val="left"/>
        <w:rPr>
          <w:rFonts w:hint="eastAsia" w:ascii="仿宋" w:hAnsi="仿宋" w:eastAsia="仿宋" w:cs="仿宋"/>
          <w:color w:val="auto"/>
          <w:sz w:val="30"/>
          <w:szCs w:val="30"/>
          <w:highlight w:val="none"/>
        </w:rPr>
      </w:pPr>
    </w:p>
    <w:p w14:paraId="22B68A14">
      <w:pPr>
        <w:wordWrap w:val="0"/>
        <w:spacing w:line="360" w:lineRule="auto"/>
        <w:ind w:firstLine="667"/>
        <w:jc w:val="center"/>
        <w:rPr>
          <w:rFonts w:hint="eastAsia" w:ascii="仿宋" w:hAnsi="仿宋" w:eastAsia="仿宋" w:cs="仿宋"/>
          <w:b/>
          <w:color w:val="auto"/>
          <w:spacing w:val="6"/>
          <w:sz w:val="32"/>
          <w:szCs w:val="32"/>
          <w:highlight w:val="none"/>
        </w:rPr>
      </w:pPr>
    </w:p>
    <w:p w14:paraId="22B68A15">
      <w:pPr>
        <w:wordWrap w:val="0"/>
        <w:spacing w:line="360" w:lineRule="auto"/>
        <w:ind w:firstLine="667"/>
        <w:jc w:val="center"/>
        <w:rPr>
          <w:rFonts w:hint="eastAsia" w:ascii="仿宋" w:hAnsi="仿宋" w:eastAsia="仿宋" w:cs="仿宋"/>
          <w:b/>
          <w:color w:val="auto"/>
          <w:spacing w:val="6"/>
          <w:sz w:val="32"/>
          <w:szCs w:val="32"/>
          <w:highlight w:val="none"/>
        </w:rPr>
      </w:pPr>
    </w:p>
    <w:p w14:paraId="22B68A16">
      <w:pPr>
        <w:wordWrap w:val="0"/>
        <w:spacing w:line="360" w:lineRule="auto"/>
        <w:ind w:firstLine="667"/>
        <w:jc w:val="center"/>
        <w:rPr>
          <w:rFonts w:hint="eastAsia" w:ascii="仿宋" w:hAnsi="仿宋" w:eastAsia="仿宋" w:cs="仿宋"/>
          <w:b/>
          <w:color w:val="auto"/>
          <w:spacing w:val="6"/>
          <w:sz w:val="32"/>
          <w:szCs w:val="32"/>
          <w:highlight w:val="none"/>
        </w:rPr>
      </w:pPr>
    </w:p>
    <w:p w14:paraId="22B68A17">
      <w:pPr>
        <w:wordWrap w:val="0"/>
        <w:spacing w:line="360" w:lineRule="auto"/>
        <w:ind w:firstLine="667"/>
        <w:jc w:val="center"/>
        <w:rPr>
          <w:rFonts w:hint="eastAsia" w:ascii="仿宋" w:hAnsi="仿宋" w:eastAsia="仿宋" w:cs="仿宋"/>
          <w:b/>
          <w:color w:val="auto"/>
          <w:spacing w:val="6"/>
          <w:sz w:val="32"/>
          <w:szCs w:val="32"/>
          <w:highlight w:val="none"/>
        </w:rPr>
      </w:pPr>
    </w:p>
    <w:p w14:paraId="22B68A18">
      <w:pPr>
        <w:wordWrap w:val="0"/>
        <w:spacing w:line="360" w:lineRule="auto"/>
        <w:ind w:firstLine="667"/>
        <w:jc w:val="left"/>
        <w:outlineLvl w:val="0"/>
        <w:rPr>
          <w:rFonts w:hint="eastAsia" w:ascii="仿宋" w:hAnsi="仿宋" w:eastAsia="仿宋" w:cs="仿宋"/>
          <w:b/>
          <w:color w:val="auto"/>
          <w:spacing w:val="6"/>
          <w:sz w:val="32"/>
          <w:szCs w:val="32"/>
          <w:highlight w:val="none"/>
        </w:rPr>
      </w:pPr>
      <w:bookmarkStart w:id="532" w:name="_Toc13719"/>
      <w:bookmarkStart w:id="533" w:name="_Toc15183"/>
      <w:bookmarkStart w:id="534" w:name="_Toc26395"/>
      <w:bookmarkStart w:id="535" w:name="_Toc4759"/>
      <w:bookmarkStart w:id="536" w:name="_Toc5259"/>
      <w:bookmarkStart w:id="537" w:name="_Toc29798"/>
      <w:bookmarkStart w:id="538" w:name="_Toc10932"/>
      <w:bookmarkStart w:id="539" w:name="_Toc23740"/>
      <w:bookmarkStart w:id="540" w:name="_Toc1796"/>
      <w:bookmarkStart w:id="541" w:name="_Toc14739"/>
      <w:bookmarkStart w:id="542" w:name="_Toc19370"/>
      <w:r>
        <w:rPr>
          <w:rFonts w:hint="eastAsia" w:ascii="仿宋" w:hAnsi="仿宋" w:eastAsia="仿宋" w:cs="仿宋"/>
          <w:b/>
          <w:color w:val="auto"/>
          <w:spacing w:val="6"/>
          <w:sz w:val="32"/>
          <w:szCs w:val="32"/>
          <w:highlight w:val="none"/>
        </w:rPr>
        <w:t>附件3：投诉书范本及制作说明</w:t>
      </w:r>
      <w:bookmarkEnd w:id="532"/>
      <w:bookmarkEnd w:id="533"/>
      <w:bookmarkEnd w:id="534"/>
      <w:bookmarkEnd w:id="535"/>
      <w:bookmarkEnd w:id="536"/>
      <w:bookmarkEnd w:id="537"/>
      <w:bookmarkEnd w:id="538"/>
      <w:bookmarkEnd w:id="539"/>
      <w:bookmarkEnd w:id="540"/>
      <w:bookmarkEnd w:id="541"/>
      <w:bookmarkEnd w:id="542"/>
    </w:p>
    <w:p w14:paraId="22B68A19">
      <w:pPr>
        <w:wordWrap w:val="0"/>
        <w:spacing w:line="360" w:lineRule="auto"/>
        <w:ind w:firstLine="482"/>
        <w:jc w:val="center"/>
        <w:rPr>
          <w:rFonts w:hint="eastAsia" w:ascii="仿宋" w:hAnsi="仿宋" w:eastAsia="仿宋" w:cs="仿宋"/>
          <w:b/>
          <w:color w:val="auto"/>
          <w:sz w:val="24"/>
          <w:highlight w:val="none"/>
        </w:rPr>
      </w:pPr>
    </w:p>
    <w:p w14:paraId="22B68A1A">
      <w:pPr>
        <w:wordWrap w:val="0"/>
        <w:spacing w:line="360" w:lineRule="auto"/>
        <w:ind w:firstLine="667"/>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2B68A1B">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2B68A1C">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22B68A1D">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B68A1E">
      <w:pPr>
        <w:tabs>
          <w:tab w:val="left" w:pos="6510"/>
        </w:tabs>
        <w:wordWrap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2B68A1F">
      <w:pPr>
        <w:tabs>
          <w:tab w:val="left" w:pos="6510"/>
        </w:tabs>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2B68A20">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2B68A21">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22B68A22">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B68A23">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B68A24">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B68A25">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2B68A26">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2B68A27">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B68A28">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B68A29">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B68A2A">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2B68A2B">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2B68A2C">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2B68A2D">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B68A2E">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22B68A2F">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2B68A30">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2B68A31">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2B68A32">
      <w:pPr>
        <w:wordWrap w:val="0"/>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22B68A33">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2B68A34">
      <w:pPr>
        <w:wordWrap w:val="0"/>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2B68A35">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2B68A36">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2B68A37">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2B68A38">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2B68A39">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2B68A3A">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2B68A3B">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2B68A3C">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2B68A3D">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2B68A3E">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2B68A3F">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22B68A40">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2B68A41">
      <w:pPr>
        <w:wordWrap w:val="0"/>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22B68A42">
      <w:pPr>
        <w:wordWrap w:val="0"/>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22B68A43">
      <w:pPr>
        <w:wordWrap w:val="0"/>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2B68A44">
      <w:pPr>
        <w:widowControl/>
        <w:wordWrap w:val="0"/>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2B68A45">
      <w:pPr>
        <w:widowControl/>
        <w:wordWrap w:val="0"/>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2B68A46">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2B68A47">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2B68A48">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22B68A49">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2B68A4A">
      <w:pPr>
        <w:widowControl/>
        <w:wordWrap w:val="0"/>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7.投诉人为法人或者其他组织的，投诉书应当由法定代表人、主要负责人，或者其授权代表签字或者盖章，并加盖公章。</w:t>
      </w:r>
    </w:p>
    <w:p w14:paraId="22B68A4B">
      <w:pPr>
        <w:wordWrap w:val="0"/>
        <w:spacing w:line="360" w:lineRule="auto"/>
        <w:ind w:firstLine="482"/>
        <w:rPr>
          <w:rFonts w:hint="eastAsia" w:ascii="仿宋" w:hAnsi="仿宋" w:eastAsia="仿宋" w:cs="仿宋"/>
          <w:b/>
          <w:color w:val="auto"/>
          <w:sz w:val="24"/>
          <w:highlight w:val="none"/>
        </w:rPr>
      </w:pPr>
    </w:p>
    <w:p w14:paraId="22B68A4C">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4D">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4E">
      <w:pPr>
        <w:wordWrap w:val="0"/>
        <w:ind w:firstLine="667"/>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2B68A4F">
      <w:pPr>
        <w:wordWrap w:val="0"/>
        <w:autoSpaceDE w:val="0"/>
        <w:autoSpaceDN w:val="0"/>
        <w:ind w:firstLine="667"/>
        <w:jc w:val="left"/>
        <w:outlineLvl w:val="0"/>
        <w:rPr>
          <w:rFonts w:hint="eastAsia" w:ascii="仿宋" w:hAnsi="仿宋" w:eastAsia="仿宋" w:cs="仿宋"/>
          <w:b/>
          <w:bCs/>
          <w:color w:val="auto"/>
          <w:sz w:val="32"/>
          <w:szCs w:val="32"/>
          <w:highlight w:val="none"/>
        </w:rPr>
      </w:pPr>
      <w:bookmarkStart w:id="543" w:name="_Toc2538"/>
      <w:bookmarkStart w:id="544" w:name="_Toc30199"/>
      <w:bookmarkStart w:id="545" w:name="_Toc25068"/>
      <w:bookmarkStart w:id="546" w:name="_Toc19508"/>
      <w:bookmarkStart w:id="547" w:name="_Toc14277"/>
      <w:bookmarkStart w:id="548" w:name="_Toc2346"/>
      <w:bookmarkStart w:id="549" w:name="_Toc28414"/>
      <w:bookmarkStart w:id="550" w:name="_Toc1784"/>
      <w:bookmarkStart w:id="551" w:name="_Toc31326"/>
      <w:bookmarkStart w:id="552" w:name="_Toc6620"/>
      <w:bookmarkStart w:id="553" w:name="_Toc13943"/>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bookmarkEnd w:id="543"/>
      <w:bookmarkEnd w:id="544"/>
      <w:bookmarkEnd w:id="545"/>
      <w:bookmarkEnd w:id="546"/>
      <w:bookmarkEnd w:id="547"/>
      <w:bookmarkEnd w:id="548"/>
      <w:bookmarkEnd w:id="549"/>
      <w:bookmarkEnd w:id="550"/>
      <w:bookmarkEnd w:id="551"/>
      <w:bookmarkEnd w:id="552"/>
      <w:bookmarkEnd w:id="553"/>
    </w:p>
    <w:p w14:paraId="22B68A50">
      <w:pPr>
        <w:wordWrap w:val="0"/>
        <w:spacing w:line="360" w:lineRule="auto"/>
        <w:rPr>
          <w:rFonts w:hint="eastAsia" w:ascii="仿宋" w:hAnsi="仿宋" w:eastAsia="仿宋" w:cs="仿宋"/>
          <w:color w:val="auto"/>
          <w:sz w:val="24"/>
          <w:highlight w:val="none"/>
          <w:u w:val="single"/>
        </w:rPr>
      </w:pPr>
    </w:p>
    <w:p w14:paraId="22B68A51">
      <w:pPr>
        <w:wordWrap w:val="0"/>
        <w:spacing w:line="360" w:lineRule="auto"/>
        <w:rPr>
          <w:rFonts w:hint="eastAsia" w:ascii="仿宋" w:hAnsi="仿宋" w:eastAsia="仿宋" w:cs="仿宋"/>
          <w:color w:val="auto"/>
          <w:sz w:val="24"/>
          <w:highlight w:val="none"/>
          <w:u w:val="single"/>
        </w:rPr>
      </w:pPr>
    </w:p>
    <w:p w14:paraId="22B68A52">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杭州市城市水设施和河道保护管理中心、浙江省成套工程有限公司</w:t>
      </w:r>
    </w:p>
    <w:p w14:paraId="22B68A53">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u w:val="single"/>
          <w:lang w:eastAsia="zh-CN"/>
        </w:rPr>
        <w:t>胜利河船闸、电厂热水河船闸、姚家坝泵站、施家桥闸站、九沙橡胶坝、九沙和睦闸、九沙东湖闸等养护服务采购项目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ZJCT6-HD2025-03</w:t>
      </w:r>
      <w:r>
        <w:rPr>
          <w:rFonts w:hint="eastAsia" w:ascii="仿宋" w:hAnsi="仿宋" w:eastAsia="仿宋" w:cs="仿宋"/>
          <w:color w:val="auto"/>
          <w:sz w:val="24"/>
          <w:highlight w:val="none"/>
          <w:u w:val="singl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2B68A54">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2B68A55">
      <w:pPr>
        <w:wordWrap w:val="0"/>
        <w:spacing w:line="360" w:lineRule="auto"/>
        <w:ind w:firstLine="480"/>
        <w:rPr>
          <w:rFonts w:hint="eastAsia" w:ascii="仿宋" w:hAnsi="仿宋" w:eastAsia="仿宋" w:cs="仿宋"/>
          <w:color w:val="auto"/>
          <w:sz w:val="24"/>
          <w:highlight w:val="none"/>
        </w:rPr>
      </w:pPr>
    </w:p>
    <w:p w14:paraId="22B68A56">
      <w:pPr>
        <w:wordWrap w:val="0"/>
        <w:spacing w:line="360" w:lineRule="auto"/>
        <w:ind w:firstLine="480"/>
        <w:rPr>
          <w:rFonts w:hint="eastAsia" w:ascii="仿宋" w:hAnsi="仿宋" w:eastAsia="仿宋" w:cs="仿宋"/>
          <w:color w:val="auto"/>
          <w:sz w:val="24"/>
          <w:highlight w:val="none"/>
        </w:rPr>
      </w:pPr>
    </w:p>
    <w:p w14:paraId="22B68A57">
      <w:pPr>
        <w:wordWrap w:val="0"/>
        <w:spacing w:line="360" w:lineRule="auto"/>
        <w:ind w:firstLine="480"/>
        <w:rPr>
          <w:rFonts w:hint="eastAsia" w:ascii="仿宋" w:hAnsi="仿宋" w:eastAsia="仿宋" w:cs="仿宋"/>
          <w:color w:val="auto"/>
          <w:sz w:val="24"/>
          <w:highlight w:val="none"/>
        </w:rPr>
      </w:pPr>
    </w:p>
    <w:p w14:paraId="22B68A58">
      <w:pPr>
        <w:wordWrap w:val="0"/>
        <w:spacing w:line="360" w:lineRule="auto"/>
        <w:ind w:firstLine="480"/>
        <w:rPr>
          <w:rFonts w:hint="eastAsia" w:ascii="仿宋" w:hAnsi="仿宋" w:eastAsia="仿宋" w:cs="仿宋"/>
          <w:color w:val="auto"/>
          <w:sz w:val="24"/>
          <w:highlight w:val="none"/>
        </w:rPr>
      </w:pPr>
    </w:p>
    <w:p w14:paraId="22B68A59">
      <w:pPr>
        <w:wordWrap w:val="0"/>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22B68A5A">
      <w:pPr>
        <w:wordWrap w:val="0"/>
        <w:ind w:right="1440"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2B68A5B">
      <w:pPr>
        <w:wordWrap w:val="0"/>
        <w:ind w:firstLine="482"/>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22B68A5C">
      <w:pPr>
        <w:wordWrap w:val="0"/>
        <w:spacing w:line="360" w:lineRule="auto"/>
        <w:ind w:firstLine="482"/>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22B68A5D">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5E">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5F">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0">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1">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2">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3">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4">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5">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6">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7">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8">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9">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A">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B">
      <w:pPr>
        <w:wordWrap w:val="0"/>
        <w:autoSpaceDE w:val="0"/>
        <w:autoSpaceDN w:val="0"/>
        <w:ind w:firstLine="667"/>
        <w:jc w:val="center"/>
        <w:rPr>
          <w:rFonts w:hint="eastAsia" w:ascii="仿宋" w:hAnsi="仿宋" w:eastAsia="仿宋" w:cs="仿宋"/>
          <w:b/>
          <w:color w:val="auto"/>
          <w:spacing w:val="6"/>
          <w:sz w:val="32"/>
          <w:szCs w:val="32"/>
          <w:highlight w:val="none"/>
        </w:rPr>
      </w:pPr>
    </w:p>
    <w:p w14:paraId="22B68A6C">
      <w:pPr>
        <w:wordWrap w:val="0"/>
        <w:ind w:firstLine="667"/>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2B68A6D">
      <w:pPr>
        <w:wordWrap w:val="0"/>
        <w:autoSpaceDE w:val="0"/>
        <w:autoSpaceDN w:val="0"/>
        <w:ind w:firstLine="667"/>
        <w:outlineLvl w:val="0"/>
        <w:rPr>
          <w:rFonts w:hint="eastAsia" w:ascii="仿宋" w:hAnsi="仿宋" w:eastAsia="仿宋" w:cs="仿宋"/>
          <w:b/>
          <w:bCs/>
          <w:color w:val="auto"/>
          <w:sz w:val="32"/>
          <w:szCs w:val="32"/>
          <w:highlight w:val="none"/>
        </w:rPr>
      </w:pPr>
      <w:bookmarkStart w:id="554" w:name="_Toc18469"/>
      <w:bookmarkStart w:id="555" w:name="_Toc31030"/>
      <w:bookmarkStart w:id="556" w:name="_Toc1904"/>
      <w:bookmarkStart w:id="557" w:name="_Toc23867"/>
      <w:bookmarkStart w:id="558" w:name="_Toc25308"/>
      <w:bookmarkStart w:id="559" w:name="_Toc23962"/>
      <w:bookmarkStart w:id="560" w:name="_Toc17236"/>
      <w:bookmarkStart w:id="561" w:name="_Toc10529"/>
      <w:bookmarkStart w:id="562" w:name="_Toc31302"/>
      <w:bookmarkStart w:id="563" w:name="_Toc13051"/>
      <w:bookmarkStart w:id="564" w:name="_Toc29318"/>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bookmarkEnd w:id="554"/>
      <w:bookmarkEnd w:id="555"/>
      <w:bookmarkEnd w:id="556"/>
      <w:bookmarkEnd w:id="557"/>
      <w:bookmarkEnd w:id="558"/>
      <w:bookmarkEnd w:id="559"/>
      <w:bookmarkEnd w:id="560"/>
      <w:bookmarkEnd w:id="561"/>
      <w:bookmarkEnd w:id="562"/>
      <w:bookmarkEnd w:id="563"/>
      <w:bookmarkEnd w:id="564"/>
    </w:p>
    <w:p w14:paraId="22B68A6E">
      <w:pPr>
        <w:wordWrap w:val="0"/>
        <w:spacing w:line="360" w:lineRule="auto"/>
        <w:jc w:val="center"/>
        <w:rPr>
          <w:rFonts w:hint="eastAsia" w:ascii="仿宋" w:hAnsi="仿宋" w:eastAsia="仿宋" w:cs="仿宋"/>
          <w:color w:val="auto"/>
          <w:sz w:val="24"/>
          <w:highlight w:val="none"/>
          <w:u w:val="single"/>
        </w:rPr>
      </w:pPr>
    </w:p>
    <w:p w14:paraId="22B68A6F">
      <w:pPr>
        <w:wordWrap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Cs/>
          <w:color w:val="auto"/>
          <w:sz w:val="24"/>
          <w:highlight w:val="none"/>
        </w:rPr>
        <w:sym w:font="Wingdings" w:char="00FE"/>
      </w:r>
      <w:r>
        <w:rPr>
          <w:rFonts w:hint="eastAsia" w:ascii="仿宋" w:hAnsi="仿宋" w:eastAsia="仿宋" w:cs="仿宋"/>
          <w:b/>
          <w:color w:val="auto"/>
          <w:sz w:val="32"/>
          <w:szCs w:val="32"/>
          <w:highlight w:val="none"/>
        </w:rPr>
        <w:t>中小企业声明函（服务）</w:t>
      </w:r>
    </w:p>
    <w:p w14:paraId="22B68A70">
      <w:pPr>
        <w:wordWrap w:val="0"/>
        <w:spacing w:line="360" w:lineRule="auto"/>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w:t>
      </w:r>
      <w:r>
        <w:rPr>
          <w:rFonts w:hint="eastAsia" w:ascii="仿宋" w:hAnsi="仿宋" w:eastAsia="仿宋" w:cs="仿宋"/>
          <w:color w:val="auto"/>
          <w:sz w:val="24"/>
          <w:highlight w:val="none"/>
          <w:u w:val="single"/>
        </w:rPr>
        <w:t>（填写单位名称。联合体参加的，联合体所有成员名称）</w:t>
      </w:r>
      <w:r>
        <w:rPr>
          <w:rFonts w:hint="eastAsia" w:ascii="仿宋" w:hAnsi="仿宋" w:eastAsia="仿宋" w:cs="仿宋"/>
          <w:color w:val="auto"/>
          <w:sz w:val="24"/>
          <w:highlight w:val="none"/>
        </w:rPr>
        <w:t xml:space="preserve">参加 </w:t>
      </w:r>
      <w:r>
        <w:rPr>
          <w:rFonts w:hint="eastAsia" w:ascii="仿宋" w:hAnsi="仿宋" w:eastAsia="仿宋" w:cs="仿宋"/>
          <w:color w:val="auto"/>
          <w:sz w:val="24"/>
          <w:highlight w:val="none"/>
          <w:u w:val="single"/>
        </w:rPr>
        <w:t>杭州市城市水设施和河道保护管理中心</w:t>
      </w:r>
      <w:r>
        <w:rPr>
          <w:rFonts w:hint="eastAsia" w:ascii="仿宋" w:hAnsi="仿宋" w:eastAsia="仿宋" w:cs="仿宋"/>
          <w:color w:val="auto"/>
          <w:sz w:val="24"/>
          <w:highlight w:val="none"/>
        </w:rPr>
        <w:t xml:space="preserve"> 的 </w:t>
      </w:r>
      <w:r>
        <w:rPr>
          <w:rFonts w:hint="eastAsia" w:ascii="仿宋" w:hAnsi="仿宋" w:eastAsia="仿宋" w:cs="仿宋"/>
          <w:color w:val="auto"/>
          <w:sz w:val="24"/>
          <w:highlight w:val="none"/>
          <w:u w:val="single"/>
          <w:lang w:eastAsia="zh-CN"/>
        </w:rPr>
        <w:t>胜利河船闸、电厂热水河船闸、姚家坝泵站、施家桥闸站、九沙橡胶坝、九沙和睦闸、九沙东湖闸等养护服务采购项目</w:t>
      </w:r>
      <w:r>
        <w:rPr>
          <w:rFonts w:hint="eastAsia" w:ascii="仿宋" w:hAnsi="仿宋" w:eastAsia="仿宋" w:cs="仿宋"/>
          <w:color w:val="auto"/>
          <w:sz w:val="24"/>
          <w:highlight w:val="none"/>
        </w:rPr>
        <w:t>采购活动，服务全部由符合政策要求的中小企业承接。相关企业（</w:t>
      </w:r>
      <w:r>
        <w:rPr>
          <w:rFonts w:hint="eastAsia" w:ascii="仿宋" w:hAnsi="仿宋" w:eastAsia="仿宋" w:cs="仿宋"/>
          <w:b/>
          <w:bCs/>
          <w:color w:val="auto"/>
          <w:sz w:val="24"/>
          <w:highlight w:val="none"/>
        </w:rPr>
        <w:t>含联合体中的中小企业、签订分包意向协议的中小企业</w:t>
      </w:r>
      <w:r>
        <w:rPr>
          <w:rFonts w:hint="eastAsia" w:ascii="仿宋" w:hAnsi="仿宋" w:eastAsia="仿宋" w:cs="仿宋"/>
          <w:color w:val="auto"/>
          <w:sz w:val="24"/>
          <w:highlight w:val="none"/>
        </w:rPr>
        <w:t>）的具体情况如下：</w:t>
      </w:r>
    </w:p>
    <w:p w14:paraId="22B68A71">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lang w:eastAsia="zh-CN"/>
        </w:rPr>
        <w:t>胜利河船闸、电厂热水河船闸、姚家坝泵站、施家桥闸站、九沙橡胶坝、九沙和睦闸、九沙东湖闸等养护服务采购项目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（填写投标人单位名称）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22B68A7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bidi="ar"/>
        </w:rPr>
        <w:t>若采用联合体形式投标的，联合体成员为中小企业的填写联合体成员的企业情况：</w:t>
      </w:r>
    </w:p>
    <w:p w14:paraId="22B68A73">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胜利河船闸、电厂热水河船闸、姚家坝泵站、施家桥闸站、九沙橡胶坝、九沙和睦闸、九沙东湖闸等养护服务采购项目</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（填写联合体成员企业名称）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22B68A7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3.若</w:t>
      </w:r>
      <w:r>
        <w:rPr>
          <w:rFonts w:hint="eastAsia" w:ascii="仿宋" w:hAnsi="仿宋" w:eastAsia="仿宋" w:cs="仿宋"/>
          <w:color w:val="auto"/>
          <w:sz w:val="24"/>
          <w:highlight w:val="none"/>
          <w:lang w:bidi="ar"/>
        </w:rPr>
        <w:t>中标拟定分包的，分包企业为中小企业的填写分包企业的情况：</w:t>
      </w:r>
    </w:p>
    <w:p w14:paraId="22B68A75">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3.1 </w:t>
      </w:r>
      <w:r>
        <w:rPr>
          <w:rFonts w:hint="eastAsia" w:ascii="仿宋" w:hAnsi="仿宋" w:eastAsia="仿宋" w:cs="仿宋"/>
          <w:color w:val="auto"/>
          <w:kern w:val="0"/>
          <w:sz w:val="24"/>
          <w:highlight w:val="none"/>
          <w:u w:val="single"/>
          <w:lang w:val="zh-CN"/>
        </w:rPr>
        <w:t>市</w:t>
      </w:r>
      <w:r>
        <w:rPr>
          <w:rFonts w:hint="eastAsia" w:ascii="仿宋" w:hAnsi="仿宋" w:eastAsia="仿宋" w:cs="仿宋"/>
          <w:color w:val="auto"/>
          <w:sz w:val="24"/>
          <w:highlight w:val="none"/>
          <w:u w:val="single"/>
          <w:lang w:eastAsia="zh-CN"/>
        </w:rPr>
        <w:t>胜利河船闸、电厂热水河船闸、姚家坝泵站、施家桥闸站、九沙橡胶坝、九沙和睦闸、九沙东湖闸等养护服务采购项目</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（填写分包企业名称）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22B68A76">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3.2 </w:t>
      </w:r>
      <w:r>
        <w:rPr>
          <w:rFonts w:hint="eastAsia" w:ascii="仿宋" w:hAnsi="仿宋" w:eastAsia="仿宋" w:cs="仿宋"/>
          <w:color w:val="auto"/>
          <w:sz w:val="24"/>
          <w:highlight w:val="none"/>
          <w:u w:val="single"/>
          <w:lang w:eastAsia="zh-CN"/>
        </w:rPr>
        <w:t>胜利河船闸、电厂热水河船闸、姚家坝泵站、施家桥闸站、九沙橡胶坝、九沙和睦闸、九沙东湖闸等养护服务采购项目</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（填写分包企业名称）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22B68A77">
      <w:pPr>
        <w:wordWrap w:val="0"/>
        <w:spacing w:line="360" w:lineRule="auto"/>
        <w:ind w:firstLine="480" w:firstLineChars="200"/>
        <w:jc w:val="left"/>
        <w:rPr>
          <w:rFonts w:hint="eastAsia" w:ascii="仿宋" w:hAnsi="仿宋" w:eastAsia="仿宋" w:cs="仿宋"/>
          <w:color w:val="auto"/>
          <w:sz w:val="24"/>
          <w:highlight w:val="none"/>
        </w:rPr>
      </w:pPr>
    </w:p>
    <w:p w14:paraId="22B68A78">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22B68A79">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2B68A7A">
      <w:pPr>
        <w:wordWrap w:val="0"/>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22B68A7B">
      <w:pPr>
        <w:wordWrap w:val="0"/>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22B68A7C">
      <w:pPr>
        <w:wordWrap w:val="0"/>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22B68A7D">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1.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或则未填写具体数据（无上一年度数据除外）的，声明函无效。</w:t>
      </w:r>
    </w:p>
    <w:p w14:paraId="22B68A7E">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2B68A7F">
      <w:pPr>
        <w:wordWrap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3.标的所属行业中小企业划分标准：</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rPr>
        <w:t>其他未列明行业</w:t>
      </w:r>
      <w:r>
        <w:rPr>
          <w:rFonts w:hint="eastAsia" w:ascii="仿宋" w:hAnsi="仿宋" w:eastAsia="仿宋" w:cs="仿宋"/>
          <w:color w:val="auto"/>
          <w:sz w:val="24"/>
          <w:highlight w:val="none"/>
          <w:u w:val="single"/>
        </w:rPr>
        <w:t>（包括科学研究和技术服务业，水利、环境和公共设施管理业，居民服务、修理和其他服务业，社会工作，文化、体育和娱乐业等）。从业人员300人以下的为中小微型企业。</w:t>
      </w:r>
      <w:r>
        <w:rPr>
          <w:rFonts w:hint="eastAsia" w:ascii="仿宋" w:hAnsi="仿宋" w:eastAsia="仿宋" w:cs="仿宋"/>
          <w:b/>
          <w:bCs/>
          <w:color w:val="auto"/>
          <w:sz w:val="24"/>
          <w:highlight w:val="none"/>
          <w:u w:val="single"/>
        </w:rPr>
        <w:t>其中，从业人员100人及以上的为中型企业；从业人员10人及以上的为小型企业；从业人员10人以下的为微型企业</w:t>
      </w:r>
      <w:r>
        <w:rPr>
          <w:rFonts w:hint="eastAsia" w:ascii="仿宋" w:hAnsi="仿宋" w:eastAsia="仿宋" w:cs="仿宋"/>
          <w:color w:val="auto"/>
          <w:sz w:val="24"/>
          <w:highlight w:val="none"/>
          <w:u w:val="single"/>
        </w:rPr>
        <w:t>。</w:t>
      </w:r>
    </w:p>
    <w:p w14:paraId="22B68A80">
      <w:pPr>
        <w:wordWrap w:val="0"/>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4.事业单位、社会组织等非企业单位提供的货物、工程、服务，暂不享受政府采购支持中小企业的相关政策。</w:t>
      </w:r>
    </w:p>
    <w:p w14:paraId="22B68A81">
      <w:pPr>
        <w:pStyle w:val="61"/>
        <w:wordWrap w:val="0"/>
        <w:ind w:firstLine="420"/>
        <w:rPr>
          <w:rFonts w:hint="eastAsia" w:ascii="仿宋" w:hAnsi="仿宋" w:eastAsia="仿宋" w:cs="仿宋"/>
          <w:color w:val="auto"/>
          <w:highlight w:val="none"/>
        </w:rPr>
      </w:pPr>
    </w:p>
    <w:p w14:paraId="22B68A82">
      <w:pPr>
        <w:wordWrap w:val="0"/>
        <w:ind w:firstLine="643"/>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2B68A83">
      <w:pPr>
        <w:wordWrap w:val="0"/>
        <w:snapToGrid w:val="0"/>
        <w:spacing w:before="50" w:after="50" w:line="360" w:lineRule="auto"/>
        <w:ind w:firstLine="643"/>
        <w:outlineLvl w:val="0"/>
        <w:rPr>
          <w:rFonts w:hint="eastAsia" w:ascii="仿宋" w:hAnsi="仿宋" w:eastAsia="仿宋" w:cs="仿宋"/>
          <w:b/>
          <w:color w:val="auto"/>
          <w:kern w:val="0"/>
          <w:sz w:val="32"/>
          <w:szCs w:val="32"/>
          <w:highlight w:val="none"/>
        </w:rPr>
      </w:pPr>
      <w:bookmarkStart w:id="565" w:name="_Toc8013"/>
      <w:bookmarkStart w:id="566" w:name="_Toc15498"/>
      <w:bookmarkStart w:id="567" w:name="_Toc16741"/>
      <w:bookmarkStart w:id="568" w:name="_Toc13984"/>
      <w:bookmarkStart w:id="569" w:name="_Toc15843"/>
      <w:bookmarkStart w:id="570" w:name="_Toc25620"/>
      <w:bookmarkStart w:id="571" w:name="_Toc19779"/>
      <w:bookmarkStart w:id="572" w:name="_Toc28870"/>
      <w:bookmarkStart w:id="573" w:name="_Toc1899"/>
      <w:bookmarkStart w:id="574" w:name="_Toc4068"/>
      <w:bookmarkStart w:id="575" w:name="_Toc2500"/>
      <w:r>
        <w:rPr>
          <w:rFonts w:hint="eastAsia" w:ascii="仿宋" w:hAnsi="仿宋" w:eastAsia="仿宋" w:cs="仿宋"/>
          <w:b/>
          <w:color w:val="auto"/>
          <w:kern w:val="0"/>
          <w:sz w:val="32"/>
          <w:szCs w:val="32"/>
          <w:highlight w:val="none"/>
        </w:rPr>
        <w:t>附件6</w:t>
      </w:r>
      <w:bookmarkEnd w:id="565"/>
      <w:bookmarkEnd w:id="566"/>
      <w:bookmarkEnd w:id="567"/>
      <w:r>
        <w:rPr>
          <w:rFonts w:hint="eastAsia" w:ascii="仿宋" w:hAnsi="仿宋" w:eastAsia="仿宋" w:cs="仿宋"/>
          <w:b/>
          <w:color w:val="auto"/>
          <w:kern w:val="0"/>
          <w:sz w:val="32"/>
          <w:szCs w:val="32"/>
          <w:highlight w:val="none"/>
        </w:rPr>
        <w:t xml:space="preserve"> </w:t>
      </w:r>
      <w:bookmarkEnd w:id="568"/>
      <w:bookmarkEnd w:id="569"/>
      <w:bookmarkEnd w:id="570"/>
      <w:r>
        <w:rPr>
          <w:rFonts w:hint="eastAsia" w:ascii="仿宋" w:hAnsi="仿宋" w:eastAsia="仿宋" w:cs="仿宋"/>
          <w:b/>
          <w:color w:val="auto"/>
          <w:kern w:val="0"/>
          <w:sz w:val="32"/>
          <w:szCs w:val="32"/>
          <w:highlight w:val="none"/>
        </w:rPr>
        <w:t>联合协议</w:t>
      </w:r>
      <w:bookmarkEnd w:id="571"/>
      <w:bookmarkEnd w:id="572"/>
      <w:bookmarkEnd w:id="573"/>
      <w:bookmarkEnd w:id="574"/>
      <w:bookmarkEnd w:id="575"/>
    </w:p>
    <w:p w14:paraId="22B68A84">
      <w:pPr>
        <w:widowControl/>
        <w:wordWrap w:val="0"/>
        <w:spacing w:line="360" w:lineRule="auto"/>
        <w:ind w:firstLine="643" w:firstLineChars="20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14:paraId="22B68A85">
      <w:pPr>
        <w:widowControl/>
        <w:wordWrap w:val="0"/>
        <w:spacing w:line="360" w:lineRule="auto"/>
        <w:ind w:firstLine="482" w:firstLineChars="2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2B68A86">
      <w:pPr>
        <w:wordWrap w:val="0"/>
        <w:snapToGrid w:val="0"/>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u w:val="single"/>
          <w:lang w:eastAsia="zh-CN"/>
        </w:rPr>
        <w:t>胜利河船闸、电厂热水河船闸、姚家坝泵站、施家桥闸站、九沙橡胶坝、九沙和睦闸、九沙东湖闸等养护服务采购项目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ZJCT6-HD2025-03</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 xml:space="preserve">投标。 </w:t>
      </w:r>
      <w:r>
        <w:rPr>
          <w:rFonts w:hint="eastAsia" w:ascii="仿宋" w:hAnsi="仿宋" w:eastAsia="仿宋" w:cs="仿宋"/>
          <w:color w:val="auto"/>
          <w:kern w:val="0"/>
          <w:sz w:val="24"/>
          <w:highlight w:val="none"/>
        </w:rPr>
        <w:t xml:space="preserve">    </w:t>
      </w:r>
    </w:p>
    <w:p w14:paraId="22B68A87">
      <w:pPr>
        <w:wordWrap w:val="0"/>
        <w:snapToGrid w:val="0"/>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（填写联合体成员单位名称）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22B68A88">
      <w:pPr>
        <w:wordWrap w:val="0"/>
        <w:snapToGrid w:val="0"/>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2B68A89">
      <w:pPr>
        <w:wordWrap w:val="0"/>
        <w:snapToGrid w:val="0"/>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三、本项目负责人</w:t>
      </w:r>
      <w:r>
        <w:rPr>
          <w:rFonts w:hint="eastAsia" w:ascii="仿宋" w:hAnsi="仿宋" w:eastAsia="仿宋" w:cs="仿宋"/>
          <w:color w:val="auto"/>
          <w:kern w:val="0"/>
          <w:sz w:val="24"/>
          <w:highlight w:val="none"/>
          <w:u w:val="single"/>
          <w:lang w:val="zh-CN"/>
        </w:rPr>
        <w:t>（</w:t>
      </w:r>
      <w:r>
        <w:rPr>
          <w:rFonts w:hint="eastAsia" w:ascii="仿宋" w:hAnsi="仿宋" w:eastAsia="仿宋" w:cs="仿宋"/>
          <w:color w:val="auto"/>
          <w:kern w:val="0"/>
          <w:sz w:val="24"/>
          <w:highlight w:val="none"/>
          <w:u w:val="single"/>
        </w:rPr>
        <w:t xml:space="preserve">   填写</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 xml:space="preserve">由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填写单位名称）</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方派遣。</w:t>
      </w:r>
    </w:p>
    <w:p w14:paraId="22B68A8A">
      <w:pPr>
        <w:wordWrap w:val="0"/>
        <w:snapToGrid w:val="0"/>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四、</w:t>
      </w:r>
      <w:r>
        <w:rPr>
          <w:rFonts w:hint="eastAsia" w:ascii="仿宋" w:hAnsi="仿宋" w:eastAsia="仿宋" w:cs="仿宋"/>
          <w:color w:val="auto"/>
          <w:kern w:val="0"/>
          <w:sz w:val="24"/>
          <w:highlight w:val="none"/>
          <w:lang w:val="zh-CN"/>
        </w:rPr>
        <w:t>本次联合投标中，分工如下：</w:t>
      </w:r>
      <w:r>
        <w:rPr>
          <w:rFonts w:hint="eastAsia" w:ascii="仿宋" w:hAnsi="仿宋" w:eastAsia="仿宋" w:cs="仿宋"/>
          <w:color w:val="auto"/>
          <w:kern w:val="0"/>
          <w:sz w:val="24"/>
          <w:highlight w:val="none"/>
          <w:u w:val="single"/>
        </w:rPr>
        <w:t>（填写联合体其中一方成员名称）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（填写联合体其中一方成员名称）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22B68A8B">
      <w:pPr>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kern w:val="0"/>
          <w:sz w:val="24"/>
          <w:highlight w:val="none"/>
        </w:rPr>
        <w:t>五</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牵头人</w:t>
      </w:r>
      <w:r>
        <w:rPr>
          <w:rFonts w:hint="eastAsia" w:ascii="仿宋" w:hAnsi="仿宋" w:eastAsia="仿宋" w:cs="仿宋"/>
          <w:color w:val="auto"/>
          <w:sz w:val="24"/>
          <w:highlight w:val="none"/>
        </w:rPr>
        <w:t>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%（不得少于50%），联合体成员合同金额达到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2B68A8C">
      <w:pPr>
        <w:wordWrap w:val="0"/>
        <w:snapToGrid w:val="0"/>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六</w:t>
      </w:r>
      <w:r>
        <w:rPr>
          <w:rFonts w:hint="eastAsia" w:ascii="仿宋" w:hAnsi="仿宋" w:eastAsia="仿宋" w:cs="仿宋"/>
          <w:color w:val="auto"/>
          <w:kern w:val="0"/>
          <w:sz w:val="24"/>
          <w:highlight w:val="none"/>
          <w:lang w:val="zh-CN"/>
        </w:rPr>
        <w:t>、如果中标，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22B68A8D">
      <w:pPr>
        <w:wordWrap w:val="0"/>
        <w:snapToGrid w:val="0"/>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七</w:t>
      </w:r>
      <w:r>
        <w:rPr>
          <w:rFonts w:hint="eastAsia" w:ascii="仿宋" w:hAnsi="仿宋" w:eastAsia="仿宋" w:cs="仿宋"/>
          <w:color w:val="auto"/>
          <w:kern w:val="0"/>
          <w:sz w:val="24"/>
          <w:highlight w:val="none"/>
          <w:lang w:val="zh-CN"/>
        </w:rPr>
        <w:t>、有关本次联合投标的其他事宜：</w:t>
      </w:r>
    </w:p>
    <w:p w14:paraId="22B68A8E">
      <w:pPr>
        <w:wordWrap w:val="0"/>
        <w:snapToGrid w:val="0"/>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2B68A8F">
      <w:pPr>
        <w:wordWrap w:val="0"/>
        <w:snapToGrid w:val="0"/>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2B68A90">
      <w:pPr>
        <w:snapToGrid w:val="0"/>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22B68A91">
      <w:pPr>
        <w:snapToGrid w:val="0"/>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4、其他联合体双方约定的事项：</w:t>
      </w:r>
      <w:r>
        <w:rPr>
          <w:rFonts w:hint="eastAsia" w:ascii="仿宋" w:hAnsi="仿宋" w:eastAsia="仿宋" w:cs="仿宋"/>
          <w:color w:val="auto"/>
          <w:kern w:val="0"/>
          <w:sz w:val="24"/>
          <w:highlight w:val="none"/>
          <w:u w:val="single"/>
          <w:lang w:bidi="ar"/>
        </w:rPr>
        <w:t xml:space="preserve">                             </w:t>
      </w:r>
    </w:p>
    <w:p w14:paraId="22B68A92">
      <w:pPr>
        <w:wordWrap w:val="0"/>
        <w:snapToGrid w:val="0"/>
        <w:spacing w:line="276" w:lineRule="auto"/>
        <w:ind w:firstLine="480"/>
        <w:rPr>
          <w:rFonts w:hint="eastAsia" w:ascii="仿宋" w:hAnsi="仿宋" w:eastAsia="仿宋" w:cs="仿宋"/>
          <w:color w:val="auto"/>
          <w:kern w:val="0"/>
          <w:sz w:val="24"/>
          <w:highlight w:val="none"/>
          <w:lang w:val="zh-CN"/>
        </w:rPr>
      </w:pPr>
    </w:p>
    <w:p w14:paraId="22B68A93">
      <w:pPr>
        <w:wordWrap w:val="0"/>
        <w:spacing w:line="276" w:lineRule="auto"/>
        <w:ind w:right="420"/>
        <w:rPr>
          <w:rFonts w:hint="eastAsia" w:ascii="仿宋" w:hAnsi="仿宋" w:eastAsia="仿宋" w:cs="仿宋"/>
          <w:color w:val="auto"/>
          <w:sz w:val="24"/>
          <w:highlight w:val="none"/>
        </w:rPr>
      </w:pPr>
    </w:p>
    <w:p w14:paraId="22B68A94">
      <w:pPr>
        <w:wordWrap w:val="0"/>
        <w:spacing w:line="276" w:lineRule="auto"/>
        <w:ind w:right="420"/>
        <w:rPr>
          <w:rFonts w:hint="eastAsia" w:ascii="仿宋" w:hAnsi="仿宋" w:eastAsia="仿宋" w:cs="仿宋"/>
          <w:color w:val="auto"/>
          <w:sz w:val="24"/>
          <w:highlight w:val="none"/>
        </w:rPr>
      </w:pPr>
    </w:p>
    <w:p w14:paraId="22B68A95">
      <w:pPr>
        <w:wordWrap w:val="0"/>
        <w:spacing w:line="276"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22B68A96">
      <w:pPr>
        <w:wordWrap w:val="0"/>
        <w:autoSpaceDE w:val="0"/>
        <w:autoSpaceDN w:val="0"/>
        <w:spacing w:line="276" w:lineRule="auto"/>
        <w:ind w:firstLine="480" w:firstLineChars="200"/>
        <w:rPr>
          <w:rFonts w:hint="eastAsia" w:ascii="仿宋" w:hAnsi="仿宋" w:eastAsia="仿宋" w:cs="仿宋"/>
          <w:b/>
          <w:color w:val="auto"/>
          <w:spacing w:val="6"/>
          <w:sz w:val="32"/>
          <w:szCs w:val="32"/>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附项目负责人单位社保缴纳证明。</w:t>
      </w:r>
    </w:p>
    <w:p w14:paraId="22B68A97">
      <w:pPr>
        <w:wordWrap w:val="0"/>
        <w:snapToGrid w:val="0"/>
        <w:spacing w:line="276"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联合体牵头人名称</w:t>
      </w:r>
    </w:p>
    <w:p w14:paraId="22B68A98">
      <w:pPr>
        <w:wordWrap w:val="0"/>
        <w:snapToGrid w:val="0"/>
        <w:spacing w:line="276"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22B68A99">
      <w:pPr>
        <w:wordWrap w:val="0"/>
        <w:snapToGrid w:val="0"/>
        <w:spacing w:line="276"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p>
    <w:p w14:paraId="22B68A9A">
      <w:pPr>
        <w:wordWrap w:val="0"/>
        <w:snapToGrid w:val="0"/>
        <w:spacing w:line="276"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22B68A9B">
      <w:pPr>
        <w:wordWrap w:val="0"/>
        <w:snapToGrid w:val="0"/>
        <w:spacing w:line="276"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2B68A9C">
      <w:pPr>
        <w:wordWrap w:val="0"/>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22B68A9D">
      <w:pPr>
        <w:wordWrap w:val="0"/>
        <w:snapToGrid w:val="0"/>
        <w:spacing w:line="360" w:lineRule="auto"/>
        <w:ind w:firstLine="643"/>
        <w:outlineLvl w:val="0"/>
        <w:rPr>
          <w:rFonts w:hint="eastAsia" w:ascii="仿宋" w:hAnsi="仿宋" w:eastAsia="仿宋" w:cs="仿宋"/>
          <w:b/>
          <w:color w:val="auto"/>
          <w:kern w:val="0"/>
          <w:sz w:val="32"/>
          <w:szCs w:val="32"/>
          <w:highlight w:val="none"/>
        </w:rPr>
      </w:pPr>
      <w:bookmarkStart w:id="576" w:name="_Toc3992"/>
      <w:bookmarkStart w:id="577" w:name="_Toc32513"/>
      <w:bookmarkStart w:id="578" w:name="_Toc30868"/>
      <w:bookmarkStart w:id="579" w:name="_Toc29153"/>
      <w:bookmarkStart w:id="580" w:name="_Toc26897"/>
      <w:bookmarkStart w:id="581" w:name="_Toc3962"/>
      <w:bookmarkStart w:id="582" w:name="_Toc7222"/>
      <w:bookmarkStart w:id="583" w:name="_Toc12928"/>
      <w:bookmarkStart w:id="584" w:name="_Toc1528"/>
      <w:bookmarkStart w:id="585" w:name="_Toc31060"/>
      <w:bookmarkStart w:id="586" w:name="_Toc2793"/>
      <w:r>
        <w:rPr>
          <w:rFonts w:hint="eastAsia" w:ascii="仿宋" w:hAnsi="仿宋" w:eastAsia="仿宋" w:cs="仿宋"/>
          <w:b/>
          <w:color w:val="auto"/>
          <w:kern w:val="0"/>
          <w:sz w:val="32"/>
          <w:szCs w:val="32"/>
          <w:highlight w:val="none"/>
        </w:rPr>
        <w:t>附件7</w:t>
      </w:r>
      <w:bookmarkEnd w:id="576"/>
      <w:bookmarkEnd w:id="577"/>
      <w:bookmarkEnd w:id="578"/>
      <w:r>
        <w:rPr>
          <w:rFonts w:hint="eastAsia" w:ascii="仿宋" w:hAnsi="仿宋" w:eastAsia="仿宋" w:cs="仿宋"/>
          <w:b/>
          <w:color w:val="auto"/>
          <w:kern w:val="0"/>
          <w:sz w:val="32"/>
          <w:szCs w:val="32"/>
          <w:highlight w:val="none"/>
        </w:rPr>
        <w:t xml:space="preserve"> 分包意向协议</w:t>
      </w:r>
      <w:bookmarkEnd w:id="579"/>
      <w:bookmarkEnd w:id="580"/>
      <w:bookmarkEnd w:id="581"/>
      <w:bookmarkEnd w:id="582"/>
      <w:bookmarkEnd w:id="583"/>
      <w:bookmarkEnd w:id="584"/>
      <w:bookmarkEnd w:id="585"/>
      <w:bookmarkEnd w:id="586"/>
    </w:p>
    <w:p w14:paraId="22B68A9E">
      <w:pPr>
        <w:wordWrap w:val="0"/>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22B68A9F">
      <w:pPr>
        <w:wordWrap w:val="0"/>
        <w:snapToGrid w:val="0"/>
        <w:spacing w:line="360" w:lineRule="auto"/>
        <w:ind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（每个分包商单独提供）</w:t>
      </w:r>
    </w:p>
    <w:p w14:paraId="22B68AA0">
      <w:pPr>
        <w:widowControl/>
        <w:wordWrap w:val="0"/>
        <w:spacing w:line="288"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同意将非主体、非关键性的资料制作工作分包。若非主体、非关键性工作已由联合体成员承担的，则不允许分包。分包份额不得超过总包单位。投标人中标后以分包方式履行合同的，提供分包意向协议；不以分包方式履行合同的，则无需提供。）</w:t>
      </w:r>
    </w:p>
    <w:p w14:paraId="22B68AA1">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u w:val="single"/>
          <w:lang w:eastAsia="zh-CN"/>
        </w:rPr>
        <w:t>胜利河船闸、电厂热水河船闸、姚家坝泵站、施家桥闸站、九沙橡胶坝、九沙和睦闸、九沙东湖闸等养护服务采购项目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ZJCT6-HD2025-03</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（填写投标人名称）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2B68AA2">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2B68AA3">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（填写投标人名称）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XX工作内容 </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2B68AA4">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22B68AA5">
      <w:pPr>
        <w:wordWrap w:val="0"/>
        <w:snapToGrid w:val="0"/>
        <w:spacing w:line="288"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22B68AA6">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22B68AA7">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2B68AA8">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22B68AA9">
      <w:pPr>
        <w:wordWrap w:val="0"/>
        <w:snapToGrid w:val="0"/>
        <w:spacing w:line="288"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2B68AAA">
      <w:pPr>
        <w:wordWrap w:val="0"/>
        <w:snapToGrid w:val="0"/>
        <w:spacing w:line="288"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22B68AAB">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2B68AAC">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22B68AAD">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2B68AAE">
      <w:pPr>
        <w:wordWrap w:val="0"/>
        <w:snapToGrid w:val="0"/>
        <w:spacing w:line="288"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22B68AAF">
      <w:pPr>
        <w:wordWrap w:val="0"/>
        <w:snapToGrid w:val="0"/>
        <w:spacing w:line="360" w:lineRule="auto"/>
        <w:ind w:firstLine="720" w:firstLineChars="300"/>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1.中小企业合同金额达到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22B68AB0">
      <w:pPr>
        <w:wordWrap w:val="0"/>
        <w:snapToGrid w:val="0"/>
        <w:spacing w:line="288"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2B68AB1">
      <w:pPr>
        <w:wordWrap w:val="0"/>
        <w:snapToGrid w:val="0"/>
        <w:spacing w:line="288" w:lineRule="auto"/>
        <w:ind w:left="5746" w:leftChars="2622" w:hanging="240" w:hanging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22B68AB2">
      <w:pPr>
        <w:wordWrap w:val="0"/>
        <w:snapToGrid w:val="0"/>
        <w:spacing w:line="288" w:lineRule="auto"/>
        <w:ind w:firstLine="4800" w:firstLineChars="20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22B68AB3">
      <w:pPr>
        <w:wordWrap w:val="0"/>
        <w:snapToGrid w:val="0"/>
        <w:spacing w:line="288"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2B68AB4">
      <w:pPr>
        <w:pStyle w:val="61"/>
        <w:wordWrap w:val="0"/>
        <w:spacing w:after="0" w:line="288" w:lineRule="auto"/>
        <w:ind w:firstLine="48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 xml:space="preserve">                                        日期：  年  月   日</w:t>
      </w:r>
    </w:p>
    <w:p w14:paraId="22B68AB5">
      <w:pPr>
        <w:wordWrap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注：按本格式和要求提供。</w:t>
      </w:r>
    </w:p>
    <w:p w14:paraId="22B68AB6">
      <w:pPr>
        <w:rPr>
          <w:rFonts w:hint="eastAsia" w:ascii="仿宋" w:hAnsi="仿宋" w:eastAsia="仿宋" w:cs="仿宋"/>
          <w:color w:val="auto"/>
          <w:highlight w:val="none"/>
        </w:rPr>
      </w:pPr>
    </w:p>
    <w:p w14:paraId="22B68AB7">
      <w:pPr>
        <w:pStyle w:val="2"/>
        <w:rPr>
          <w:color w:val="auto"/>
          <w:highlight w:val="none"/>
        </w:rPr>
      </w:pPr>
    </w:p>
    <w:sectPr>
      <w:pgSz w:w="11905" w:h="16838"/>
      <w:pgMar w:top="652" w:right="1417" w:bottom="680" w:left="1417" w:header="539" w:footer="425"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93"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40502020204"/>
    <w:charset w:val="00"/>
    <w:family w:val="swiss"/>
    <w:pitch w:val="default"/>
    <w:sig w:usb0="A1002AEF" w:usb1="8000787B" w:usb2="00000008" w:usb3="00000000" w:csb0="600100F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CC">
    <w:pPr>
      <w:pStyle w:val="39"/>
      <w:framePr w:wrap="around" w:vAnchor="text" w:hAnchor="margin" w:xAlign="right" w:y="1"/>
      <w:rPr>
        <w:rStyle w:val="72"/>
      </w:rPr>
    </w:pPr>
    <w:r>
      <w:fldChar w:fldCharType="begin"/>
    </w:r>
    <w:r>
      <w:rPr>
        <w:rStyle w:val="72"/>
      </w:rPr>
      <w:instrText xml:space="preserve">PAGE  </w:instrText>
    </w:r>
    <w:r>
      <w:fldChar w:fldCharType="end"/>
    </w:r>
  </w:p>
  <w:p w14:paraId="22B68ACD">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E1">
    <w:pPr>
      <w:pStyle w:val="39"/>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8AFE">
                          <w:pPr>
                            <w:pStyle w:val="39"/>
                          </w:pPr>
                          <w:r>
                            <w:t xml:space="preserve">第 </w:t>
                          </w:r>
                          <w:r>
                            <w:fldChar w:fldCharType="begin"/>
                          </w:r>
                          <w:r>
                            <w:instrText xml:space="preserve"> PAGE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2B68AFE">
                    <w:pPr>
                      <w:pStyle w:val="39"/>
                    </w:pPr>
                    <w:r>
                      <w:t xml:space="preserve">第 </w:t>
                    </w:r>
                    <w:r>
                      <w:fldChar w:fldCharType="begin"/>
                    </w:r>
                    <w:r>
                      <w:instrText xml:space="preserve"> PAGE  \* MERGEFORMAT </w:instrText>
                    </w:r>
                    <w:r>
                      <w:fldChar w:fldCharType="separate"/>
                    </w:r>
                    <w:r>
                      <w:t>71</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E5">
    <w:pPr>
      <w:pStyle w:val="39"/>
      <w:jc w:val="center"/>
      <w:rPr>
        <w:rFonts w:ascii="仿宋_GB2312" w:eastAsia="仿宋_GB2312"/>
        <w:szCs w:val="24"/>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8B01">
                          <w:pPr>
                            <w:pStyle w:val="39"/>
                          </w:pPr>
                          <w:r>
                            <w:t xml:space="preserve">第 </w:t>
                          </w:r>
                          <w:r>
                            <w:fldChar w:fldCharType="begin"/>
                          </w:r>
                          <w:r>
                            <w:instrText xml:space="preserve"> PAGE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2B68B01">
                    <w:pPr>
                      <w:pStyle w:val="39"/>
                    </w:pPr>
                    <w:r>
                      <w:t xml:space="preserve">第 </w:t>
                    </w:r>
                    <w:r>
                      <w:fldChar w:fldCharType="begin"/>
                    </w:r>
                    <w:r>
                      <w:instrText xml:space="preserve"> PAGE  \* MERGEFORMAT </w:instrText>
                    </w:r>
                    <w:r>
                      <w:fldChar w:fldCharType="separate"/>
                    </w:r>
                    <w:r>
                      <w:t>73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E3">
    <w:pPr>
      <w:pStyle w:val="39"/>
      <w:framePr w:wrap="around" w:vAnchor="text" w:hAnchor="margin" w:xAlign="right" w:y="1"/>
      <w:rPr>
        <w:rStyle w:val="72"/>
      </w:rPr>
    </w:pPr>
    <w:r>
      <w:fldChar w:fldCharType="begin"/>
    </w:r>
    <w:r>
      <w:rPr>
        <w:rStyle w:val="72"/>
      </w:rPr>
      <w:instrText xml:space="preserve">PAGE  </w:instrText>
    </w:r>
    <w:r>
      <w:fldChar w:fldCharType="separate"/>
    </w:r>
    <w:r>
      <w:rPr>
        <w:rStyle w:val="72"/>
      </w:rPr>
      <w:t>35</w:t>
    </w:r>
    <w:r>
      <w:fldChar w:fldCharType="end"/>
    </w:r>
  </w:p>
  <w:p w14:paraId="22B68AE4">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E6">
    <w:pPr>
      <w:pStyle w:val="39"/>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8B00">
                          <w:pPr>
                            <w:pStyle w:val="39"/>
                          </w:pPr>
                          <w:r>
                            <w:t xml:space="preserve">第 </w:t>
                          </w:r>
                          <w:r>
                            <w:fldChar w:fldCharType="begin"/>
                          </w:r>
                          <w:r>
                            <w:instrText xml:space="preserve"> PAGE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2B68B00">
                    <w:pPr>
                      <w:pStyle w:val="39"/>
                    </w:pPr>
                    <w:r>
                      <w:t xml:space="preserve">第 </w:t>
                    </w:r>
                    <w:r>
                      <w:fldChar w:fldCharType="begin"/>
                    </w:r>
                    <w:r>
                      <w:instrText xml:space="preserve"> PAGE  \* MERGEFORMAT </w:instrText>
                    </w:r>
                    <w:r>
                      <w:fldChar w:fldCharType="separate"/>
                    </w:r>
                    <w:r>
                      <w:t>72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CF">
    <w:pPr>
      <w:pStyle w:val="39"/>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1">
    <w:pPr>
      <w:pStyle w:val="39"/>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8AF9">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2B68AF9">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3">
    <w:pPr>
      <w:pStyle w:val="39"/>
      <w:jc w:val="center"/>
      <w:rPr>
        <w:rFonts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8AFB">
                          <w:pPr>
                            <w:pStyle w:val="39"/>
                          </w:pPr>
                          <w:r>
                            <w:t xml:space="preserve">第 </w:t>
                          </w:r>
                          <w:r>
                            <w:fldChar w:fldCharType="begin"/>
                          </w:r>
                          <w:r>
                            <w:instrText xml:space="preserve"> PAGE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2B68AFB">
                    <w:pPr>
                      <w:pStyle w:val="39"/>
                    </w:pPr>
                    <w:r>
                      <w:t xml:space="preserve">第 </w:t>
                    </w:r>
                    <w:r>
                      <w:fldChar w:fldCharType="begin"/>
                    </w:r>
                    <w:r>
                      <w:instrText xml:space="preserve"> PAGE  \* MERGEFORMAT </w:instrText>
                    </w:r>
                    <w:r>
                      <w:fldChar w:fldCharType="separate"/>
                    </w:r>
                    <w:r>
                      <w:t>30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4">
    <w:pPr>
      <w:pStyle w:val="3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8AFA">
                          <w:pPr>
                            <w:pStyle w:val="39"/>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2B68AFA">
                    <w:pPr>
                      <w:pStyle w:val="39"/>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7">
    <w:pPr>
      <w:pStyle w:val="39"/>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8AFD">
                          <w:pPr>
                            <w:pStyle w:val="39"/>
                          </w:pPr>
                          <w:r>
                            <w:t xml:space="preserve">第 </w:t>
                          </w:r>
                          <w:r>
                            <w:fldChar w:fldCharType="begin"/>
                          </w:r>
                          <w:r>
                            <w:instrText xml:space="preserve"> PAGE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2B68AFD">
                    <w:pPr>
                      <w:pStyle w:val="39"/>
                    </w:pPr>
                    <w:r>
                      <w:t xml:space="preserve">第 </w:t>
                    </w:r>
                    <w:r>
                      <w:fldChar w:fldCharType="begin"/>
                    </w:r>
                    <w:r>
                      <w:instrText xml:space="preserve"> PAGE  \* MERGEFORMAT </w:instrText>
                    </w:r>
                    <w:r>
                      <w:fldChar w:fldCharType="separate"/>
                    </w:r>
                    <w:r>
                      <w:t>55</w:t>
                    </w:r>
                    <w:r>
                      <w:fldChar w:fldCharType="end"/>
                    </w:r>
                    <w:r>
                      <w:t xml:space="preserve"> 页</w:t>
                    </w:r>
                  </w:p>
                </w:txbxContent>
              </v:textbox>
            </v:shape>
          </w:pict>
        </mc:Fallback>
      </mc:AlternateContent>
    </w:r>
  </w:p>
  <w:p w14:paraId="22B68AD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A">
    <w:pPr>
      <w:pStyle w:val="39"/>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8AFC">
                          <w:pPr>
                            <w:pStyle w:val="39"/>
                          </w:pPr>
                          <w:r>
                            <w:t xml:space="preserve">第 </w:t>
                          </w:r>
                          <w:r>
                            <w:fldChar w:fldCharType="begin"/>
                          </w:r>
                          <w:r>
                            <w:instrText xml:space="preserve"> PAGE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2B68AFC">
                    <w:pPr>
                      <w:pStyle w:val="39"/>
                    </w:pPr>
                    <w:r>
                      <w:t xml:space="preserve">第 </w:t>
                    </w:r>
                    <w:r>
                      <w:fldChar w:fldCharType="begin"/>
                    </w:r>
                    <w:r>
                      <w:instrText xml:space="preserve"> PAGE  \* MERGEFORMAT </w:instrText>
                    </w:r>
                    <w:r>
                      <w:fldChar w:fldCharType="separate"/>
                    </w:r>
                    <w:r>
                      <w:t>54</w:t>
                    </w:r>
                    <w:r>
                      <w:fldChar w:fldCharType="end"/>
                    </w:r>
                    <w:r>
                      <w:t xml:space="preserve"> 页</w:t>
                    </w:r>
                  </w:p>
                </w:txbxContent>
              </v:textbox>
            </v:shape>
          </w:pict>
        </mc:Fallback>
      </mc:AlternateContent>
    </w:r>
  </w:p>
  <w:p w14:paraId="22B68AD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E">
    <w:pPr>
      <w:pStyle w:val="39"/>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8AFF">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2B68AFF">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22B68AD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CB">
    <w:pPr>
      <w:pStyle w:val="40"/>
      <w:pBdr>
        <w:bottom w:val="none" w:color="auto" w:sz="0" w:space="4"/>
      </w:pBdr>
      <w:jc w:val="right"/>
      <w:rPr>
        <w:rFonts w:ascii="仿宋_GB2312" w:eastAsia="仿宋_GB2312"/>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CE">
    <w:pPr>
      <w:pStyle w:val="40"/>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2">
    <w:pPr>
      <w:pStyle w:val="40"/>
      <w:pBdr>
        <w:bottom w:val="none" w:color="auto" w:sz="0" w:space="1"/>
      </w:pBd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5">
    <w:pPr>
      <w:pStyle w:val="40"/>
      <w:pBdr>
        <w:bottom w:val="none" w:color="auto" w:sz="0" w:space="1"/>
      </w:pBdr>
      <w:rPr>
        <w:rFonts w:ascii="仿宋_GB2312" w:eastAsia="仿宋_GB2312"/>
        <w:b/>
        <w:i/>
        <w:u w:val="single"/>
      </w:rPr>
    </w:pPr>
    <w:r>
      <w:t></w:t>
    </w:r>
    <w:r>
      <w:rPr>
        <w:rFonts w:hint="eastAsia"/>
      </w:rPr>
      <w:t xml:space="preserve">  </w:t>
    </w:r>
  </w:p>
  <w:p w14:paraId="22B68AD6">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9">
    <w:pPr>
      <w:pStyle w:val="40"/>
      <w:pBdr>
        <w:bottom w:val="none" w:color="auto" w:sz="0" w:space="1"/>
      </w:pBd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DC">
    <w:pPr>
      <w:pStyle w:val="40"/>
      <w:pBdr>
        <w:bottom w:val="none" w:color="auto" w:sz="0" w:space="1"/>
      </w:pBdr>
      <w:jc w:val="right"/>
      <w:rPr>
        <w:rFonts w:ascii="仿宋_GB2312" w:eastAsia="仿宋_GB2312"/>
        <w:b/>
        <w:i/>
        <w:u w:val="single"/>
      </w:rPr>
    </w:pPr>
    <w:r>
      <w:rPr>
        <w:rFonts w:hint="eastAsia"/>
      </w:rPr>
      <w:t xml:space="preserve">                                 </w:t>
    </w:r>
  </w:p>
  <w:p w14:paraId="22B68ADD">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E0">
    <w:pPr>
      <w:pStyle w:val="40"/>
      <w:pBdr>
        <w:bottom w:val="none" w:color="auto" w:sz="0" w:space="1"/>
      </w:pBdr>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8AE2">
    <w:pPr>
      <w:pStyle w:val="40"/>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24E00"/>
    <w:multiLevelType w:val="singleLevel"/>
    <w:tmpl w:val="87B24E00"/>
    <w:lvl w:ilvl="0" w:tentative="0">
      <w:start w:val="12"/>
      <w:numFmt w:val="decimal"/>
      <w:suff w:val="space"/>
      <w:lvlText w:val="%1."/>
      <w:lvlJc w:val="left"/>
    </w:lvl>
  </w:abstractNum>
  <w:abstractNum w:abstractNumId="1">
    <w:nsid w:val="A27C5E5B"/>
    <w:multiLevelType w:val="singleLevel"/>
    <w:tmpl w:val="A27C5E5B"/>
    <w:lvl w:ilvl="0" w:tentative="0">
      <w:start w:val="1"/>
      <w:numFmt w:val="decimal"/>
      <w:lvlText w:val="%1."/>
      <w:lvlJc w:val="left"/>
      <w:pPr>
        <w:ind w:left="425" w:hanging="425"/>
      </w:pPr>
      <w:rPr>
        <w:rFonts w:hint="default"/>
      </w:rPr>
    </w:lvl>
  </w:abstractNum>
  <w:abstractNum w:abstractNumId="2">
    <w:nsid w:val="AD2EE9C4"/>
    <w:multiLevelType w:val="singleLevel"/>
    <w:tmpl w:val="AD2EE9C4"/>
    <w:lvl w:ilvl="0" w:tentative="0">
      <w:start w:val="20"/>
      <w:numFmt w:val="decimal"/>
      <w:suff w:val="space"/>
      <w:lvlText w:val="%1."/>
      <w:lvlJc w:val="left"/>
    </w:lvl>
  </w:abstractNum>
  <w:abstractNum w:abstractNumId="3">
    <w:nsid w:val="C6C902EB"/>
    <w:multiLevelType w:val="singleLevel"/>
    <w:tmpl w:val="C6C902EB"/>
    <w:lvl w:ilvl="0" w:tentative="0">
      <w:start w:val="16"/>
      <w:numFmt w:val="decimal"/>
      <w:suff w:val="space"/>
      <w:lvlText w:val="%1."/>
      <w:lvlJc w:val="left"/>
    </w:lvl>
  </w:abstractNum>
  <w:abstractNum w:abstractNumId="4">
    <w:nsid w:val="E5D9C392"/>
    <w:multiLevelType w:val="singleLevel"/>
    <w:tmpl w:val="E5D9C392"/>
    <w:lvl w:ilvl="0" w:tentative="0">
      <w:start w:val="1"/>
      <w:numFmt w:val="decimal"/>
      <w:suff w:val="nothing"/>
      <w:lvlText w:val="（%1）"/>
      <w:lvlJc w:val="left"/>
    </w:lvl>
  </w:abstractNum>
  <w:abstractNum w:abstractNumId="5">
    <w:nsid w:val="EEBCB84E"/>
    <w:multiLevelType w:val="singleLevel"/>
    <w:tmpl w:val="EEBCB84E"/>
    <w:lvl w:ilvl="0" w:tentative="0">
      <w:start w:val="1"/>
      <w:numFmt w:val="chineseCounting"/>
      <w:suff w:val="nothing"/>
      <w:lvlText w:val="%1、"/>
      <w:lvlJc w:val="left"/>
      <w:rPr>
        <w:rFonts w:hint="eastAsia"/>
      </w:rPr>
    </w:lvl>
  </w:abstractNum>
  <w:abstractNum w:abstractNumId="6">
    <w:nsid w:val="FE000763"/>
    <w:multiLevelType w:val="singleLevel"/>
    <w:tmpl w:val="FE000763"/>
    <w:lvl w:ilvl="0" w:tentative="0">
      <w:start w:val="8"/>
      <w:numFmt w:val="decimal"/>
      <w:suff w:val="space"/>
      <w:lvlText w:val="%1."/>
      <w:lvlJc w:val="left"/>
    </w:lvl>
  </w:abstractNum>
  <w:abstractNum w:abstractNumId="7">
    <w:nsid w:val="2138D75A"/>
    <w:multiLevelType w:val="singleLevel"/>
    <w:tmpl w:val="2138D75A"/>
    <w:lvl w:ilvl="0" w:tentative="0">
      <w:start w:val="1"/>
      <w:numFmt w:val="decimal"/>
      <w:lvlText w:val="%1."/>
      <w:lvlJc w:val="left"/>
      <w:pPr>
        <w:ind w:left="425" w:hanging="425"/>
      </w:pPr>
      <w:rPr>
        <w:rFonts w:hint="default"/>
      </w:rPr>
    </w:lvl>
  </w:abstractNum>
  <w:abstractNum w:abstractNumId="8">
    <w:nsid w:val="34238E1B"/>
    <w:multiLevelType w:val="singleLevel"/>
    <w:tmpl w:val="34238E1B"/>
    <w:lvl w:ilvl="0" w:tentative="0">
      <w:start w:val="27"/>
      <w:numFmt w:val="decimal"/>
      <w:suff w:val="space"/>
      <w:lvlText w:val="%1."/>
      <w:lvlJc w:val="left"/>
    </w:lvl>
  </w:abstractNum>
  <w:abstractNum w:abstractNumId="9">
    <w:nsid w:val="7625C79A"/>
    <w:multiLevelType w:val="singleLevel"/>
    <w:tmpl w:val="7625C79A"/>
    <w:lvl w:ilvl="0" w:tentative="0">
      <w:start w:val="2"/>
      <w:numFmt w:val="decimal"/>
      <w:suff w:val="space"/>
      <w:lvlText w:val="%1."/>
      <w:lvlJc w:val="left"/>
    </w:lvl>
  </w:abstractNum>
  <w:abstractNum w:abstractNumId="10">
    <w:nsid w:val="7866F8BE"/>
    <w:multiLevelType w:val="singleLevel"/>
    <w:tmpl w:val="7866F8BE"/>
    <w:lvl w:ilvl="0" w:tentative="0">
      <w:start w:val="1"/>
      <w:numFmt w:val="decimal"/>
      <w:lvlText w:val="%1."/>
      <w:lvlJc w:val="left"/>
      <w:pPr>
        <w:ind w:left="425" w:hanging="425"/>
      </w:pPr>
      <w:rPr>
        <w:rFonts w:hint="default"/>
      </w:rPr>
    </w:lvl>
  </w:abstractNum>
  <w:abstractNum w:abstractNumId="11">
    <w:nsid w:val="792045E3"/>
    <w:multiLevelType w:val="singleLevel"/>
    <w:tmpl w:val="792045E3"/>
    <w:lvl w:ilvl="0" w:tentative="0">
      <w:start w:val="6"/>
      <w:numFmt w:val="chineseCounting"/>
      <w:suff w:val="nothing"/>
      <w:lvlText w:val="%1、"/>
      <w:lvlJc w:val="left"/>
      <w:rPr>
        <w:rFonts w:hint="eastAsia"/>
      </w:rPr>
    </w:lvl>
  </w:abstractNum>
  <w:num w:numId="1">
    <w:abstractNumId w:val="9"/>
  </w:num>
  <w:num w:numId="2">
    <w:abstractNumId w:val="6"/>
  </w:num>
  <w:num w:numId="3">
    <w:abstractNumId w:val="0"/>
  </w:num>
  <w:num w:numId="4">
    <w:abstractNumId w:val="3"/>
  </w:num>
  <w:num w:numId="5">
    <w:abstractNumId w:val="2"/>
  </w:num>
  <w:num w:numId="6">
    <w:abstractNumId w:val="8"/>
  </w:num>
  <w:num w:numId="7">
    <w:abstractNumId w:val="1"/>
  </w:num>
  <w:num w:numId="8">
    <w:abstractNumId w:val="4"/>
  </w:num>
  <w:num w:numId="9">
    <w:abstractNumId w:val="5"/>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210"/>
  <w:drawingGridVerticalSpacing w:val="-794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xMGUzYTBmMGRjMGU3YjFmZTI5YjA2NTVhMWZiZmQifQ=="/>
    <w:docVar w:name="KSO_WPS_MARK_KEY" w:val="4162c88e-7a97-4f8a-914e-66eeeef13e78"/>
  </w:docVars>
  <w:rsids>
    <w:rsidRoot w:val="00172A27"/>
    <w:rsid w:val="00000451"/>
    <w:rsid w:val="0000108B"/>
    <w:rsid w:val="0000133D"/>
    <w:rsid w:val="00001509"/>
    <w:rsid w:val="000032B2"/>
    <w:rsid w:val="0000363B"/>
    <w:rsid w:val="000038DA"/>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91D"/>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240"/>
    <w:rsid w:val="000746CB"/>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A63"/>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0F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342"/>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3C7"/>
    <w:rsid w:val="000E4765"/>
    <w:rsid w:val="000E5B7E"/>
    <w:rsid w:val="000E5FF9"/>
    <w:rsid w:val="000E6AE1"/>
    <w:rsid w:val="000E7142"/>
    <w:rsid w:val="000E7632"/>
    <w:rsid w:val="000E7737"/>
    <w:rsid w:val="000E7739"/>
    <w:rsid w:val="000E77EE"/>
    <w:rsid w:val="000F1604"/>
    <w:rsid w:val="000F1EE7"/>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27A4"/>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CF6"/>
    <w:rsid w:val="001524DC"/>
    <w:rsid w:val="001525E5"/>
    <w:rsid w:val="00153859"/>
    <w:rsid w:val="00153915"/>
    <w:rsid w:val="001539F0"/>
    <w:rsid w:val="00154BBA"/>
    <w:rsid w:val="00155B95"/>
    <w:rsid w:val="00156853"/>
    <w:rsid w:val="00157432"/>
    <w:rsid w:val="00157681"/>
    <w:rsid w:val="00161185"/>
    <w:rsid w:val="001620BA"/>
    <w:rsid w:val="001623AC"/>
    <w:rsid w:val="00162BAA"/>
    <w:rsid w:val="00162CB5"/>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4E"/>
    <w:rsid w:val="00191459"/>
    <w:rsid w:val="00191603"/>
    <w:rsid w:val="0019173E"/>
    <w:rsid w:val="0019174E"/>
    <w:rsid w:val="0019196B"/>
    <w:rsid w:val="001923D5"/>
    <w:rsid w:val="00192991"/>
    <w:rsid w:val="00192E3D"/>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97886"/>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1F"/>
    <w:rsid w:val="001B16F5"/>
    <w:rsid w:val="001B1C1F"/>
    <w:rsid w:val="001B219B"/>
    <w:rsid w:val="001B2703"/>
    <w:rsid w:val="001B3DCD"/>
    <w:rsid w:val="001B4299"/>
    <w:rsid w:val="001B45B9"/>
    <w:rsid w:val="001B46B2"/>
    <w:rsid w:val="001B4725"/>
    <w:rsid w:val="001B48B2"/>
    <w:rsid w:val="001B49DA"/>
    <w:rsid w:val="001B4BA4"/>
    <w:rsid w:val="001B4CA8"/>
    <w:rsid w:val="001B572D"/>
    <w:rsid w:val="001B576E"/>
    <w:rsid w:val="001B5B10"/>
    <w:rsid w:val="001B5E57"/>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6A0"/>
    <w:rsid w:val="00224037"/>
    <w:rsid w:val="002244E4"/>
    <w:rsid w:val="00224D2A"/>
    <w:rsid w:val="00224D8D"/>
    <w:rsid w:val="0022555A"/>
    <w:rsid w:val="002262A5"/>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933"/>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5A"/>
    <w:rsid w:val="002A4868"/>
    <w:rsid w:val="002A4A05"/>
    <w:rsid w:val="002A4EB3"/>
    <w:rsid w:val="002A51D9"/>
    <w:rsid w:val="002A525A"/>
    <w:rsid w:val="002A5968"/>
    <w:rsid w:val="002A5CAB"/>
    <w:rsid w:val="002A5D40"/>
    <w:rsid w:val="002A5DE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881"/>
    <w:rsid w:val="002D0558"/>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463"/>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3D1"/>
    <w:rsid w:val="00374677"/>
    <w:rsid w:val="0037510C"/>
    <w:rsid w:val="00375850"/>
    <w:rsid w:val="0037632F"/>
    <w:rsid w:val="00377B26"/>
    <w:rsid w:val="00381014"/>
    <w:rsid w:val="00381604"/>
    <w:rsid w:val="00381C68"/>
    <w:rsid w:val="00381EC2"/>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271"/>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8F4"/>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27C8"/>
    <w:rsid w:val="003F42FF"/>
    <w:rsid w:val="003F4B48"/>
    <w:rsid w:val="003F4DDC"/>
    <w:rsid w:val="003F56B8"/>
    <w:rsid w:val="003F5F1A"/>
    <w:rsid w:val="003F6327"/>
    <w:rsid w:val="003F70A0"/>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0B"/>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E71"/>
    <w:rsid w:val="00440262"/>
    <w:rsid w:val="004406BF"/>
    <w:rsid w:val="00440814"/>
    <w:rsid w:val="0044105D"/>
    <w:rsid w:val="00441424"/>
    <w:rsid w:val="00442731"/>
    <w:rsid w:val="00442C12"/>
    <w:rsid w:val="00442F4D"/>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AE6"/>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3EE"/>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4C8"/>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8C5"/>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7AA"/>
    <w:rsid w:val="00503B0B"/>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159"/>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BC5"/>
    <w:rsid w:val="00587D7B"/>
    <w:rsid w:val="005904DB"/>
    <w:rsid w:val="005905ED"/>
    <w:rsid w:val="00590D11"/>
    <w:rsid w:val="00591BA6"/>
    <w:rsid w:val="00592825"/>
    <w:rsid w:val="00594437"/>
    <w:rsid w:val="00594B70"/>
    <w:rsid w:val="005963CC"/>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195"/>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82"/>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ADE"/>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83C"/>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1A9"/>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C5B"/>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6F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300"/>
    <w:rsid w:val="0071779C"/>
    <w:rsid w:val="00717808"/>
    <w:rsid w:val="007208A7"/>
    <w:rsid w:val="00720B6A"/>
    <w:rsid w:val="007210F6"/>
    <w:rsid w:val="0072129A"/>
    <w:rsid w:val="0072139F"/>
    <w:rsid w:val="007218AD"/>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5E4"/>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697E"/>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A1F"/>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33E"/>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75C"/>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BCE"/>
    <w:rsid w:val="007E23A1"/>
    <w:rsid w:val="007E259F"/>
    <w:rsid w:val="007E347E"/>
    <w:rsid w:val="007E41A4"/>
    <w:rsid w:val="007E43E3"/>
    <w:rsid w:val="007E54B8"/>
    <w:rsid w:val="007E5D12"/>
    <w:rsid w:val="007E6061"/>
    <w:rsid w:val="007E6420"/>
    <w:rsid w:val="007E677F"/>
    <w:rsid w:val="007E6B25"/>
    <w:rsid w:val="007E6E06"/>
    <w:rsid w:val="007E6F4A"/>
    <w:rsid w:val="007E79CC"/>
    <w:rsid w:val="007F03E1"/>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298"/>
    <w:rsid w:val="007F5382"/>
    <w:rsid w:val="007F55A4"/>
    <w:rsid w:val="007F5D28"/>
    <w:rsid w:val="007F6260"/>
    <w:rsid w:val="007F682B"/>
    <w:rsid w:val="007F78E8"/>
    <w:rsid w:val="007F7F8F"/>
    <w:rsid w:val="00800509"/>
    <w:rsid w:val="0080078E"/>
    <w:rsid w:val="00800B7F"/>
    <w:rsid w:val="008012B1"/>
    <w:rsid w:val="00801D63"/>
    <w:rsid w:val="00802DD1"/>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5138"/>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A02"/>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EF9"/>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34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1B6"/>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33"/>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032"/>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17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966"/>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27C6B"/>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87C"/>
    <w:rsid w:val="00A40E2F"/>
    <w:rsid w:val="00A41819"/>
    <w:rsid w:val="00A41C9A"/>
    <w:rsid w:val="00A41D73"/>
    <w:rsid w:val="00A42406"/>
    <w:rsid w:val="00A433E8"/>
    <w:rsid w:val="00A43A1D"/>
    <w:rsid w:val="00A43AB0"/>
    <w:rsid w:val="00A44854"/>
    <w:rsid w:val="00A44A45"/>
    <w:rsid w:val="00A4617E"/>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2D0"/>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02AD"/>
    <w:rsid w:val="00AD1065"/>
    <w:rsid w:val="00AD159E"/>
    <w:rsid w:val="00AD246E"/>
    <w:rsid w:val="00AD2AB1"/>
    <w:rsid w:val="00AD3132"/>
    <w:rsid w:val="00AD3DA6"/>
    <w:rsid w:val="00AD3F3C"/>
    <w:rsid w:val="00AD447E"/>
    <w:rsid w:val="00AD4B2F"/>
    <w:rsid w:val="00AD4CA1"/>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C7"/>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801"/>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BF4"/>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0D4A"/>
    <w:rsid w:val="00C0234A"/>
    <w:rsid w:val="00C0247B"/>
    <w:rsid w:val="00C035D1"/>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D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5C6"/>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16E"/>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E2F"/>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15AB"/>
    <w:rsid w:val="00CE2E2E"/>
    <w:rsid w:val="00CE3A51"/>
    <w:rsid w:val="00CE41F9"/>
    <w:rsid w:val="00CE57DC"/>
    <w:rsid w:val="00CE59F6"/>
    <w:rsid w:val="00CE66CD"/>
    <w:rsid w:val="00CE6BA9"/>
    <w:rsid w:val="00CE71C3"/>
    <w:rsid w:val="00CE727A"/>
    <w:rsid w:val="00CF029C"/>
    <w:rsid w:val="00CF0AF0"/>
    <w:rsid w:val="00CF157E"/>
    <w:rsid w:val="00CF1631"/>
    <w:rsid w:val="00CF1834"/>
    <w:rsid w:val="00CF1AAA"/>
    <w:rsid w:val="00CF1EC2"/>
    <w:rsid w:val="00CF2879"/>
    <w:rsid w:val="00CF2ACF"/>
    <w:rsid w:val="00CF345B"/>
    <w:rsid w:val="00CF373D"/>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4ABD"/>
    <w:rsid w:val="00D35F2F"/>
    <w:rsid w:val="00D35FC6"/>
    <w:rsid w:val="00D36BB8"/>
    <w:rsid w:val="00D377D4"/>
    <w:rsid w:val="00D401A1"/>
    <w:rsid w:val="00D40217"/>
    <w:rsid w:val="00D40385"/>
    <w:rsid w:val="00D404CE"/>
    <w:rsid w:val="00D40E8F"/>
    <w:rsid w:val="00D412BF"/>
    <w:rsid w:val="00D417C6"/>
    <w:rsid w:val="00D417D0"/>
    <w:rsid w:val="00D42090"/>
    <w:rsid w:val="00D42B0C"/>
    <w:rsid w:val="00D42D6E"/>
    <w:rsid w:val="00D43DEF"/>
    <w:rsid w:val="00D44259"/>
    <w:rsid w:val="00D45C61"/>
    <w:rsid w:val="00D45DDC"/>
    <w:rsid w:val="00D5064C"/>
    <w:rsid w:val="00D50C94"/>
    <w:rsid w:val="00D511E7"/>
    <w:rsid w:val="00D5140D"/>
    <w:rsid w:val="00D517ED"/>
    <w:rsid w:val="00D5251C"/>
    <w:rsid w:val="00D52F56"/>
    <w:rsid w:val="00D539DA"/>
    <w:rsid w:val="00D545D0"/>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A6A"/>
    <w:rsid w:val="00D73CD4"/>
    <w:rsid w:val="00D73F06"/>
    <w:rsid w:val="00D740B2"/>
    <w:rsid w:val="00D74247"/>
    <w:rsid w:val="00D743F1"/>
    <w:rsid w:val="00D744CF"/>
    <w:rsid w:val="00D7456E"/>
    <w:rsid w:val="00D753A9"/>
    <w:rsid w:val="00D755F7"/>
    <w:rsid w:val="00D75DDB"/>
    <w:rsid w:val="00D75E4B"/>
    <w:rsid w:val="00D76D78"/>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A13"/>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099"/>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886"/>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850"/>
    <w:rsid w:val="00E12BDF"/>
    <w:rsid w:val="00E13326"/>
    <w:rsid w:val="00E13D07"/>
    <w:rsid w:val="00E14356"/>
    <w:rsid w:val="00E14961"/>
    <w:rsid w:val="00E14D76"/>
    <w:rsid w:val="00E15183"/>
    <w:rsid w:val="00E15D6C"/>
    <w:rsid w:val="00E1720B"/>
    <w:rsid w:val="00E203DE"/>
    <w:rsid w:val="00E20CE7"/>
    <w:rsid w:val="00E217B1"/>
    <w:rsid w:val="00E222FA"/>
    <w:rsid w:val="00E22768"/>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114"/>
    <w:rsid w:val="00E35A45"/>
    <w:rsid w:val="00E35F7F"/>
    <w:rsid w:val="00E36392"/>
    <w:rsid w:val="00E36B32"/>
    <w:rsid w:val="00E374B4"/>
    <w:rsid w:val="00E37A6F"/>
    <w:rsid w:val="00E37A9C"/>
    <w:rsid w:val="00E40222"/>
    <w:rsid w:val="00E40406"/>
    <w:rsid w:val="00E4082B"/>
    <w:rsid w:val="00E40835"/>
    <w:rsid w:val="00E408EC"/>
    <w:rsid w:val="00E409B5"/>
    <w:rsid w:val="00E40BCB"/>
    <w:rsid w:val="00E418B8"/>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899"/>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70"/>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71"/>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0F"/>
    <w:rsid w:val="00EC7894"/>
    <w:rsid w:val="00EC7A28"/>
    <w:rsid w:val="00EC7B48"/>
    <w:rsid w:val="00ED0151"/>
    <w:rsid w:val="00ED0257"/>
    <w:rsid w:val="00ED071B"/>
    <w:rsid w:val="00ED18B1"/>
    <w:rsid w:val="00ED1ADE"/>
    <w:rsid w:val="00ED1F64"/>
    <w:rsid w:val="00ED3692"/>
    <w:rsid w:val="00ED4A77"/>
    <w:rsid w:val="00ED4B6E"/>
    <w:rsid w:val="00ED5981"/>
    <w:rsid w:val="00ED613A"/>
    <w:rsid w:val="00ED6514"/>
    <w:rsid w:val="00ED66B2"/>
    <w:rsid w:val="00ED71BA"/>
    <w:rsid w:val="00ED728F"/>
    <w:rsid w:val="00ED73A1"/>
    <w:rsid w:val="00ED7CA2"/>
    <w:rsid w:val="00EE04F9"/>
    <w:rsid w:val="00EE05E0"/>
    <w:rsid w:val="00EE0E12"/>
    <w:rsid w:val="00EE13DA"/>
    <w:rsid w:val="00EE1595"/>
    <w:rsid w:val="00EE1E71"/>
    <w:rsid w:val="00EE2087"/>
    <w:rsid w:val="00EE20C2"/>
    <w:rsid w:val="00EE2479"/>
    <w:rsid w:val="00EE292E"/>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EA0"/>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6D8"/>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28D"/>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59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2938"/>
    <w:rsid w:val="00FA35B6"/>
    <w:rsid w:val="00FA3EBC"/>
    <w:rsid w:val="00FA423C"/>
    <w:rsid w:val="00FA44D0"/>
    <w:rsid w:val="00FA4590"/>
    <w:rsid w:val="00FA55A2"/>
    <w:rsid w:val="00FA672F"/>
    <w:rsid w:val="00FA775E"/>
    <w:rsid w:val="00FA7792"/>
    <w:rsid w:val="00FA7AA8"/>
    <w:rsid w:val="00FA7BED"/>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1285"/>
    <w:rsid w:val="011F6449"/>
    <w:rsid w:val="01236AFB"/>
    <w:rsid w:val="019C743E"/>
    <w:rsid w:val="019F7441"/>
    <w:rsid w:val="01A56D1B"/>
    <w:rsid w:val="01B37585"/>
    <w:rsid w:val="01C240D6"/>
    <w:rsid w:val="01D55165"/>
    <w:rsid w:val="01DF6BF8"/>
    <w:rsid w:val="01EB4811"/>
    <w:rsid w:val="01EC2C57"/>
    <w:rsid w:val="02392050"/>
    <w:rsid w:val="02600BBC"/>
    <w:rsid w:val="026B2E25"/>
    <w:rsid w:val="02824D4D"/>
    <w:rsid w:val="028D623B"/>
    <w:rsid w:val="029C2A86"/>
    <w:rsid w:val="02DA6776"/>
    <w:rsid w:val="02DC4B10"/>
    <w:rsid w:val="02DD76CE"/>
    <w:rsid w:val="02F36323"/>
    <w:rsid w:val="02F5619C"/>
    <w:rsid w:val="03222B47"/>
    <w:rsid w:val="0326446A"/>
    <w:rsid w:val="032D5555"/>
    <w:rsid w:val="033301DC"/>
    <w:rsid w:val="0336740B"/>
    <w:rsid w:val="036634D2"/>
    <w:rsid w:val="036916A9"/>
    <w:rsid w:val="03885263"/>
    <w:rsid w:val="03B629A7"/>
    <w:rsid w:val="03C3295C"/>
    <w:rsid w:val="03C75283"/>
    <w:rsid w:val="03DD35E4"/>
    <w:rsid w:val="03FC5F2A"/>
    <w:rsid w:val="04076900"/>
    <w:rsid w:val="041A5A3B"/>
    <w:rsid w:val="0421121E"/>
    <w:rsid w:val="042311BA"/>
    <w:rsid w:val="042B157A"/>
    <w:rsid w:val="043E286E"/>
    <w:rsid w:val="044B421A"/>
    <w:rsid w:val="04596E97"/>
    <w:rsid w:val="045E1648"/>
    <w:rsid w:val="046C5C2A"/>
    <w:rsid w:val="048F763B"/>
    <w:rsid w:val="049E721D"/>
    <w:rsid w:val="049F330E"/>
    <w:rsid w:val="04AA775C"/>
    <w:rsid w:val="04AF1889"/>
    <w:rsid w:val="04F66F48"/>
    <w:rsid w:val="0522318E"/>
    <w:rsid w:val="05251E14"/>
    <w:rsid w:val="052845F3"/>
    <w:rsid w:val="05426454"/>
    <w:rsid w:val="05560C2A"/>
    <w:rsid w:val="0559183C"/>
    <w:rsid w:val="055C1AE9"/>
    <w:rsid w:val="055D2919"/>
    <w:rsid w:val="05A16594"/>
    <w:rsid w:val="05A7762D"/>
    <w:rsid w:val="05D05C61"/>
    <w:rsid w:val="060E5941"/>
    <w:rsid w:val="06110FAF"/>
    <w:rsid w:val="0616772D"/>
    <w:rsid w:val="06493CA7"/>
    <w:rsid w:val="065A6178"/>
    <w:rsid w:val="06623713"/>
    <w:rsid w:val="066F1CF3"/>
    <w:rsid w:val="06930BB8"/>
    <w:rsid w:val="069F3F4E"/>
    <w:rsid w:val="069F594B"/>
    <w:rsid w:val="06B75E22"/>
    <w:rsid w:val="06C748BA"/>
    <w:rsid w:val="06D620B4"/>
    <w:rsid w:val="07245D42"/>
    <w:rsid w:val="07264C62"/>
    <w:rsid w:val="0730481D"/>
    <w:rsid w:val="07602CA8"/>
    <w:rsid w:val="0779354C"/>
    <w:rsid w:val="077A1300"/>
    <w:rsid w:val="07811A43"/>
    <w:rsid w:val="07E3704F"/>
    <w:rsid w:val="07FE23B9"/>
    <w:rsid w:val="08061376"/>
    <w:rsid w:val="080A371B"/>
    <w:rsid w:val="08163393"/>
    <w:rsid w:val="08192019"/>
    <w:rsid w:val="08452D77"/>
    <w:rsid w:val="086173E1"/>
    <w:rsid w:val="086401F8"/>
    <w:rsid w:val="08751CAA"/>
    <w:rsid w:val="087E4C40"/>
    <w:rsid w:val="08D66AD6"/>
    <w:rsid w:val="08DA33A3"/>
    <w:rsid w:val="08E80F13"/>
    <w:rsid w:val="09265ED9"/>
    <w:rsid w:val="09335624"/>
    <w:rsid w:val="0944690F"/>
    <w:rsid w:val="09535675"/>
    <w:rsid w:val="095F057D"/>
    <w:rsid w:val="09630C45"/>
    <w:rsid w:val="09642282"/>
    <w:rsid w:val="096B5FE2"/>
    <w:rsid w:val="09733572"/>
    <w:rsid w:val="09772C16"/>
    <w:rsid w:val="097F75FA"/>
    <w:rsid w:val="098353B5"/>
    <w:rsid w:val="099C619C"/>
    <w:rsid w:val="09A92330"/>
    <w:rsid w:val="09B06B87"/>
    <w:rsid w:val="09BD5DBE"/>
    <w:rsid w:val="09C13146"/>
    <w:rsid w:val="09C851E3"/>
    <w:rsid w:val="09E04166"/>
    <w:rsid w:val="0A0E0E57"/>
    <w:rsid w:val="0A1C0718"/>
    <w:rsid w:val="0A2F27B5"/>
    <w:rsid w:val="0A3E7710"/>
    <w:rsid w:val="0A5B7E63"/>
    <w:rsid w:val="0A627D5C"/>
    <w:rsid w:val="0A67494D"/>
    <w:rsid w:val="0A99714B"/>
    <w:rsid w:val="0AA374A5"/>
    <w:rsid w:val="0AAB7649"/>
    <w:rsid w:val="0ABC5606"/>
    <w:rsid w:val="0AC20964"/>
    <w:rsid w:val="0B30404E"/>
    <w:rsid w:val="0B4C6C14"/>
    <w:rsid w:val="0B537EBF"/>
    <w:rsid w:val="0B5E5DFE"/>
    <w:rsid w:val="0B631A88"/>
    <w:rsid w:val="0B683D45"/>
    <w:rsid w:val="0B7F3F11"/>
    <w:rsid w:val="0B884417"/>
    <w:rsid w:val="0BF6188C"/>
    <w:rsid w:val="0BF73C91"/>
    <w:rsid w:val="0C170175"/>
    <w:rsid w:val="0C571A41"/>
    <w:rsid w:val="0C5C1171"/>
    <w:rsid w:val="0C5E1CBC"/>
    <w:rsid w:val="0C615B50"/>
    <w:rsid w:val="0C812B51"/>
    <w:rsid w:val="0C8445DA"/>
    <w:rsid w:val="0C87121B"/>
    <w:rsid w:val="0CB007AA"/>
    <w:rsid w:val="0CC007F7"/>
    <w:rsid w:val="0CC40A89"/>
    <w:rsid w:val="0CCE74AD"/>
    <w:rsid w:val="0CD53211"/>
    <w:rsid w:val="0CFE707A"/>
    <w:rsid w:val="0D063BDA"/>
    <w:rsid w:val="0D08375F"/>
    <w:rsid w:val="0D184CFB"/>
    <w:rsid w:val="0D4A7419"/>
    <w:rsid w:val="0D7875D9"/>
    <w:rsid w:val="0D827401"/>
    <w:rsid w:val="0D84094E"/>
    <w:rsid w:val="0D8A00E9"/>
    <w:rsid w:val="0D8D589E"/>
    <w:rsid w:val="0DA01C73"/>
    <w:rsid w:val="0DD63300"/>
    <w:rsid w:val="0DF50604"/>
    <w:rsid w:val="0DF65E54"/>
    <w:rsid w:val="0DF702FE"/>
    <w:rsid w:val="0E060E51"/>
    <w:rsid w:val="0E410F89"/>
    <w:rsid w:val="0E5604B2"/>
    <w:rsid w:val="0E6D5D79"/>
    <w:rsid w:val="0E9D0089"/>
    <w:rsid w:val="0EB803EE"/>
    <w:rsid w:val="0EF94D4B"/>
    <w:rsid w:val="0F12144F"/>
    <w:rsid w:val="0F2928DC"/>
    <w:rsid w:val="0F383163"/>
    <w:rsid w:val="0F4958DC"/>
    <w:rsid w:val="0F4E001C"/>
    <w:rsid w:val="0F515DF7"/>
    <w:rsid w:val="0F596BA8"/>
    <w:rsid w:val="0F6248D2"/>
    <w:rsid w:val="0F6600DC"/>
    <w:rsid w:val="0F693536"/>
    <w:rsid w:val="0F7B0511"/>
    <w:rsid w:val="0F7B76D9"/>
    <w:rsid w:val="0F816ACD"/>
    <w:rsid w:val="0F9832DB"/>
    <w:rsid w:val="0FBF3FD2"/>
    <w:rsid w:val="0FBF7FF3"/>
    <w:rsid w:val="10150A56"/>
    <w:rsid w:val="1054157E"/>
    <w:rsid w:val="10646583"/>
    <w:rsid w:val="10770C3A"/>
    <w:rsid w:val="107D4B15"/>
    <w:rsid w:val="108A3C80"/>
    <w:rsid w:val="10A17219"/>
    <w:rsid w:val="10A673BF"/>
    <w:rsid w:val="10AF7152"/>
    <w:rsid w:val="10C26171"/>
    <w:rsid w:val="10F33360"/>
    <w:rsid w:val="10FC16EA"/>
    <w:rsid w:val="110F1D40"/>
    <w:rsid w:val="11266F33"/>
    <w:rsid w:val="115E6AF7"/>
    <w:rsid w:val="116374F7"/>
    <w:rsid w:val="118963A1"/>
    <w:rsid w:val="11916802"/>
    <w:rsid w:val="119B486D"/>
    <w:rsid w:val="11C6522A"/>
    <w:rsid w:val="11CC0423"/>
    <w:rsid w:val="11E104CC"/>
    <w:rsid w:val="11E176FC"/>
    <w:rsid w:val="11E20309"/>
    <w:rsid w:val="12255233"/>
    <w:rsid w:val="12530213"/>
    <w:rsid w:val="12594386"/>
    <w:rsid w:val="126A32DB"/>
    <w:rsid w:val="127723A9"/>
    <w:rsid w:val="12862074"/>
    <w:rsid w:val="1288040F"/>
    <w:rsid w:val="12883966"/>
    <w:rsid w:val="129E45B4"/>
    <w:rsid w:val="12A96255"/>
    <w:rsid w:val="12D22C2E"/>
    <w:rsid w:val="12D81596"/>
    <w:rsid w:val="12FB0490"/>
    <w:rsid w:val="13072A44"/>
    <w:rsid w:val="132E3FF9"/>
    <w:rsid w:val="133B576B"/>
    <w:rsid w:val="135F4BE2"/>
    <w:rsid w:val="139B1A0A"/>
    <w:rsid w:val="139D25C7"/>
    <w:rsid w:val="13BF3CE4"/>
    <w:rsid w:val="141008D8"/>
    <w:rsid w:val="14125FE6"/>
    <w:rsid w:val="144E2788"/>
    <w:rsid w:val="146D271E"/>
    <w:rsid w:val="147337F1"/>
    <w:rsid w:val="147B1ABD"/>
    <w:rsid w:val="14931BE5"/>
    <w:rsid w:val="14982588"/>
    <w:rsid w:val="149A5AD9"/>
    <w:rsid w:val="14A7619D"/>
    <w:rsid w:val="14AA11A2"/>
    <w:rsid w:val="14E26D2C"/>
    <w:rsid w:val="150536C3"/>
    <w:rsid w:val="150C1963"/>
    <w:rsid w:val="151447A0"/>
    <w:rsid w:val="154A6454"/>
    <w:rsid w:val="15611DD0"/>
    <w:rsid w:val="156F6E5A"/>
    <w:rsid w:val="15762120"/>
    <w:rsid w:val="1592490D"/>
    <w:rsid w:val="15C50FB0"/>
    <w:rsid w:val="15CB2875"/>
    <w:rsid w:val="16106893"/>
    <w:rsid w:val="1617552E"/>
    <w:rsid w:val="16331AEA"/>
    <w:rsid w:val="163B6E92"/>
    <w:rsid w:val="1667132F"/>
    <w:rsid w:val="167B4954"/>
    <w:rsid w:val="167E3EB7"/>
    <w:rsid w:val="16822B68"/>
    <w:rsid w:val="16A8729C"/>
    <w:rsid w:val="16AC43D0"/>
    <w:rsid w:val="16B33193"/>
    <w:rsid w:val="16B33777"/>
    <w:rsid w:val="16B8356E"/>
    <w:rsid w:val="16BC70A7"/>
    <w:rsid w:val="16C6339E"/>
    <w:rsid w:val="17125209"/>
    <w:rsid w:val="172C16AC"/>
    <w:rsid w:val="172F2D79"/>
    <w:rsid w:val="17557BEF"/>
    <w:rsid w:val="179C00EE"/>
    <w:rsid w:val="17C0399D"/>
    <w:rsid w:val="17D349C1"/>
    <w:rsid w:val="17EA5838"/>
    <w:rsid w:val="1830729E"/>
    <w:rsid w:val="1870062C"/>
    <w:rsid w:val="18817102"/>
    <w:rsid w:val="18830A15"/>
    <w:rsid w:val="18852B28"/>
    <w:rsid w:val="188B5321"/>
    <w:rsid w:val="18D55226"/>
    <w:rsid w:val="19664E42"/>
    <w:rsid w:val="19786FBD"/>
    <w:rsid w:val="19932372"/>
    <w:rsid w:val="19A20DD5"/>
    <w:rsid w:val="19AE03F1"/>
    <w:rsid w:val="19B032DD"/>
    <w:rsid w:val="19B33B02"/>
    <w:rsid w:val="19B962C2"/>
    <w:rsid w:val="19C80964"/>
    <w:rsid w:val="19CA4296"/>
    <w:rsid w:val="19DA04BD"/>
    <w:rsid w:val="19EB547F"/>
    <w:rsid w:val="1A071A03"/>
    <w:rsid w:val="1A0B04A0"/>
    <w:rsid w:val="1A1F16AE"/>
    <w:rsid w:val="1A3B5C77"/>
    <w:rsid w:val="1A4735B7"/>
    <w:rsid w:val="1A5B175B"/>
    <w:rsid w:val="1A984BAD"/>
    <w:rsid w:val="1AB8220E"/>
    <w:rsid w:val="1ADE66E9"/>
    <w:rsid w:val="1AE4166C"/>
    <w:rsid w:val="1AE85900"/>
    <w:rsid w:val="1AE86A6B"/>
    <w:rsid w:val="1AF06CFB"/>
    <w:rsid w:val="1AF11B8D"/>
    <w:rsid w:val="1B11359C"/>
    <w:rsid w:val="1B2A271F"/>
    <w:rsid w:val="1B4F3BF6"/>
    <w:rsid w:val="1B530544"/>
    <w:rsid w:val="1B5643DD"/>
    <w:rsid w:val="1B713184"/>
    <w:rsid w:val="1BA209CF"/>
    <w:rsid w:val="1BB4777D"/>
    <w:rsid w:val="1BD75AB8"/>
    <w:rsid w:val="1C0459C2"/>
    <w:rsid w:val="1C0B5645"/>
    <w:rsid w:val="1C1B3B4A"/>
    <w:rsid w:val="1C831A57"/>
    <w:rsid w:val="1C88086E"/>
    <w:rsid w:val="1C8C6AE3"/>
    <w:rsid w:val="1CD86393"/>
    <w:rsid w:val="1D266CE1"/>
    <w:rsid w:val="1D3963AF"/>
    <w:rsid w:val="1D602818"/>
    <w:rsid w:val="1D632D08"/>
    <w:rsid w:val="1D660E3D"/>
    <w:rsid w:val="1D6A673C"/>
    <w:rsid w:val="1D9247AE"/>
    <w:rsid w:val="1DB567EC"/>
    <w:rsid w:val="1DCA7323"/>
    <w:rsid w:val="1DD003DE"/>
    <w:rsid w:val="1DF51A98"/>
    <w:rsid w:val="1E37603B"/>
    <w:rsid w:val="1E3D060F"/>
    <w:rsid w:val="1E3F7D2E"/>
    <w:rsid w:val="1E4134E4"/>
    <w:rsid w:val="1E5062B3"/>
    <w:rsid w:val="1E523514"/>
    <w:rsid w:val="1E714A66"/>
    <w:rsid w:val="1E802593"/>
    <w:rsid w:val="1EA703CC"/>
    <w:rsid w:val="1EAF519E"/>
    <w:rsid w:val="1EB202A6"/>
    <w:rsid w:val="1EB7330C"/>
    <w:rsid w:val="1F0A0FF3"/>
    <w:rsid w:val="1F0A2BD4"/>
    <w:rsid w:val="1F2B5C6B"/>
    <w:rsid w:val="1F3604A1"/>
    <w:rsid w:val="1F3A5DE3"/>
    <w:rsid w:val="1F5771FF"/>
    <w:rsid w:val="1F6952A2"/>
    <w:rsid w:val="1F772AAB"/>
    <w:rsid w:val="1F8D6985"/>
    <w:rsid w:val="1F944136"/>
    <w:rsid w:val="1F986864"/>
    <w:rsid w:val="1FAA2EE2"/>
    <w:rsid w:val="1FAC5F93"/>
    <w:rsid w:val="1FAF184C"/>
    <w:rsid w:val="1FB160A1"/>
    <w:rsid w:val="1FC94A03"/>
    <w:rsid w:val="1FE868A9"/>
    <w:rsid w:val="20034907"/>
    <w:rsid w:val="20173E4B"/>
    <w:rsid w:val="204E48BC"/>
    <w:rsid w:val="207C5953"/>
    <w:rsid w:val="208921B3"/>
    <w:rsid w:val="20973DEB"/>
    <w:rsid w:val="209844B3"/>
    <w:rsid w:val="20A16773"/>
    <w:rsid w:val="20A24439"/>
    <w:rsid w:val="20B26522"/>
    <w:rsid w:val="20B44310"/>
    <w:rsid w:val="210229B5"/>
    <w:rsid w:val="21030097"/>
    <w:rsid w:val="210D7DE1"/>
    <w:rsid w:val="211116EB"/>
    <w:rsid w:val="211C715B"/>
    <w:rsid w:val="215356BC"/>
    <w:rsid w:val="216133FC"/>
    <w:rsid w:val="2167460E"/>
    <w:rsid w:val="21746EB6"/>
    <w:rsid w:val="21924C9A"/>
    <w:rsid w:val="21A5330F"/>
    <w:rsid w:val="21B87027"/>
    <w:rsid w:val="21D56769"/>
    <w:rsid w:val="21E52EF3"/>
    <w:rsid w:val="21E855F1"/>
    <w:rsid w:val="21FB5D7B"/>
    <w:rsid w:val="220601CB"/>
    <w:rsid w:val="220B1C3D"/>
    <w:rsid w:val="221B77D7"/>
    <w:rsid w:val="221D1D20"/>
    <w:rsid w:val="22334A87"/>
    <w:rsid w:val="224A1D93"/>
    <w:rsid w:val="22565A1B"/>
    <w:rsid w:val="229A5E96"/>
    <w:rsid w:val="22BE6801"/>
    <w:rsid w:val="22D503AD"/>
    <w:rsid w:val="22E1605C"/>
    <w:rsid w:val="22E51E1F"/>
    <w:rsid w:val="233500BF"/>
    <w:rsid w:val="23377FF7"/>
    <w:rsid w:val="235B7AB5"/>
    <w:rsid w:val="236B425F"/>
    <w:rsid w:val="23836192"/>
    <w:rsid w:val="23901F29"/>
    <w:rsid w:val="239C0061"/>
    <w:rsid w:val="23B20BDF"/>
    <w:rsid w:val="23B908A4"/>
    <w:rsid w:val="23BA47E3"/>
    <w:rsid w:val="23D909ED"/>
    <w:rsid w:val="23D97ECF"/>
    <w:rsid w:val="23E95BEF"/>
    <w:rsid w:val="23FD0064"/>
    <w:rsid w:val="23FD24E3"/>
    <w:rsid w:val="23FD6057"/>
    <w:rsid w:val="240E37A9"/>
    <w:rsid w:val="245375B0"/>
    <w:rsid w:val="24642C0A"/>
    <w:rsid w:val="246F32AE"/>
    <w:rsid w:val="24B22173"/>
    <w:rsid w:val="24B95AD9"/>
    <w:rsid w:val="24BE24DA"/>
    <w:rsid w:val="24CF5825"/>
    <w:rsid w:val="24D663E6"/>
    <w:rsid w:val="24D77F2B"/>
    <w:rsid w:val="24DB1E16"/>
    <w:rsid w:val="25415818"/>
    <w:rsid w:val="258B00E2"/>
    <w:rsid w:val="25A917A6"/>
    <w:rsid w:val="25BE27CC"/>
    <w:rsid w:val="25C26B32"/>
    <w:rsid w:val="25C920A9"/>
    <w:rsid w:val="25F435D2"/>
    <w:rsid w:val="25F74A5C"/>
    <w:rsid w:val="25FC794E"/>
    <w:rsid w:val="2609679C"/>
    <w:rsid w:val="261C7718"/>
    <w:rsid w:val="26213859"/>
    <w:rsid w:val="2628662C"/>
    <w:rsid w:val="262D45DE"/>
    <w:rsid w:val="263B60F2"/>
    <w:rsid w:val="26421B0D"/>
    <w:rsid w:val="264749C3"/>
    <w:rsid w:val="26747CA0"/>
    <w:rsid w:val="26871DAD"/>
    <w:rsid w:val="26A53EF9"/>
    <w:rsid w:val="26A94201"/>
    <w:rsid w:val="26AC274F"/>
    <w:rsid w:val="26B67F49"/>
    <w:rsid w:val="26F54CD0"/>
    <w:rsid w:val="27044A29"/>
    <w:rsid w:val="27070A20"/>
    <w:rsid w:val="271816CB"/>
    <w:rsid w:val="271D34C8"/>
    <w:rsid w:val="272116A0"/>
    <w:rsid w:val="27466D3F"/>
    <w:rsid w:val="27476D19"/>
    <w:rsid w:val="276142BF"/>
    <w:rsid w:val="27783712"/>
    <w:rsid w:val="27907362"/>
    <w:rsid w:val="27A100BC"/>
    <w:rsid w:val="27C44DE4"/>
    <w:rsid w:val="28333E1D"/>
    <w:rsid w:val="28454BD6"/>
    <w:rsid w:val="28455253"/>
    <w:rsid w:val="284E3D85"/>
    <w:rsid w:val="28551971"/>
    <w:rsid w:val="285B1C53"/>
    <w:rsid w:val="289F7086"/>
    <w:rsid w:val="28A31469"/>
    <w:rsid w:val="28AD0616"/>
    <w:rsid w:val="28AD3ACA"/>
    <w:rsid w:val="28B523C7"/>
    <w:rsid w:val="28C32028"/>
    <w:rsid w:val="28CC490F"/>
    <w:rsid w:val="28DE40AA"/>
    <w:rsid w:val="28F45EEB"/>
    <w:rsid w:val="29345E77"/>
    <w:rsid w:val="294C65AD"/>
    <w:rsid w:val="294F28E5"/>
    <w:rsid w:val="29631B1C"/>
    <w:rsid w:val="29806583"/>
    <w:rsid w:val="298505A2"/>
    <w:rsid w:val="298B3C4C"/>
    <w:rsid w:val="29AB289B"/>
    <w:rsid w:val="29BF085A"/>
    <w:rsid w:val="29D67219"/>
    <w:rsid w:val="29F26D24"/>
    <w:rsid w:val="2A15033F"/>
    <w:rsid w:val="2A1662C1"/>
    <w:rsid w:val="2A1C7367"/>
    <w:rsid w:val="2A1F5C2B"/>
    <w:rsid w:val="2A2815FA"/>
    <w:rsid w:val="2A5610E8"/>
    <w:rsid w:val="2A6D6092"/>
    <w:rsid w:val="2A7D76B4"/>
    <w:rsid w:val="2ACB77CC"/>
    <w:rsid w:val="2AD43590"/>
    <w:rsid w:val="2AE92DF1"/>
    <w:rsid w:val="2B153579"/>
    <w:rsid w:val="2B261369"/>
    <w:rsid w:val="2B3D6025"/>
    <w:rsid w:val="2B437463"/>
    <w:rsid w:val="2B7807EE"/>
    <w:rsid w:val="2BBF00EC"/>
    <w:rsid w:val="2BC04E47"/>
    <w:rsid w:val="2BC37CFD"/>
    <w:rsid w:val="2BD5237F"/>
    <w:rsid w:val="2BE31C98"/>
    <w:rsid w:val="2BE536CE"/>
    <w:rsid w:val="2BE758D9"/>
    <w:rsid w:val="2C09049E"/>
    <w:rsid w:val="2C0A653C"/>
    <w:rsid w:val="2C191F85"/>
    <w:rsid w:val="2C873291"/>
    <w:rsid w:val="2CB0513C"/>
    <w:rsid w:val="2CB34CDD"/>
    <w:rsid w:val="2CB66EF8"/>
    <w:rsid w:val="2CCB16E4"/>
    <w:rsid w:val="2CE82D6F"/>
    <w:rsid w:val="2D1F486A"/>
    <w:rsid w:val="2D343236"/>
    <w:rsid w:val="2D503077"/>
    <w:rsid w:val="2D606C7D"/>
    <w:rsid w:val="2D97550D"/>
    <w:rsid w:val="2DD15014"/>
    <w:rsid w:val="2DE85F18"/>
    <w:rsid w:val="2DF72DE4"/>
    <w:rsid w:val="2E0220AF"/>
    <w:rsid w:val="2E372A37"/>
    <w:rsid w:val="2E3D769E"/>
    <w:rsid w:val="2E4525DD"/>
    <w:rsid w:val="2E4B082A"/>
    <w:rsid w:val="2E5D4E86"/>
    <w:rsid w:val="2E5D790B"/>
    <w:rsid w:val="2E9A3C18"/>
    <w:rsid w:val="2EA34E26"/>
    <w:rsid w:val="2EB50842"/>
    <w:rsid w:val="2EBB0FEE"/>
    <w:rsid w:val="2EC63002"/>
    <w:rsid w:val="2ECD0C29"/>
    <w:rsid w:val="2EE03233"/>
    <w:rsid w:val="2EF44200"/>
    <w:rsid w:val="2F0A6B38"/>
    <w:rsid w:val="2F794269"/>
    <w:rsid w:val="2F946CCB"/>
    <w:rsid w:val="2FD25781"/>
    <w:rsid w:val="2FFD7934"/>
    <w:rsid w:val="2FFE2851"/>
    <w:rsid w:val="300967B6"/>
    <w:rsid w:val="301F0C84"/>
    <w:rsid w:val="303E6135"/>
    <w:rsid w:val="30695D8C"/>
    <w:rsid w:val="30733ACD"/>
    <w:rsid w:val="308C3862"/>
    <w:rsid w:val="309379D8"/>
    <w:rsid w:val="30A270F7"/>
    <w:rsid w:val="30DF1478"/>
    <w:rsid w:val="30EB428D"/>
    <w:rsid w:val="30EC586F"/>
    <w:rsid w:val="31133490"/>
    <w:rsid w:val="31360D5D"/>
    <w:rsid w:val="3146752E"/>
    <w:rsid w:val="315471D8"/>
    <w:rsid w:val="317362BD"/>
    <w:rsid w:val="319C6071"/>
    <w:rsid w:val="31AB5907"/>
    <w:rsid w:val="31AC3820"/>
    <w:rsid w:val="31AC537E"/>
    <w:rsid w:val="31C111F3"/>
    <w:rsid w:val="31D10829"/>
    <w:rsid w:val="31E3679B"/>
    <w:rsid w:val="31E732FD"/>
    <w:rsid w:val="31E921A3"/>
    <w:rsid w:val="31FA3F13"/>
    <w:rsid w:val="32195D2C"/>
    <w:rsid w:val="323104BD"/>
    <w:rsid w:val="324B643A"/>
    <w:rsid w:val="32517576"/>
    <w:rsid w:val="328D434A"/>
    <w:rsid w:val="32B36180"/>
    <w:rsid w:val="32BE5C2C"/>
    <w:rsid w:val="32FB6478"/>
    <w:rsid w:val="332054B8"/>
    <w:rsid w:val="33263B3F"/>
    <w:rsid w:val="333C29C6"/>
    <w:rsid w:val="335A2AA0"/>
    <w:rsid w:val="336963EB"/>
    <w:rsid w:val="33816EEB"/>
    <w:rsid w:val="339A5965"/>
    <w:rsid w:val="33AC51E6"/>
    <w:rsid w:val="33BE302F"/>
    <w:rsid w:val="33E06F7D"/>
    <w:rsid w:val="33EB55CD"/>
    <w:rsid w:val="33EC4C02"/>
    <w:rsid w:val="340D2360"/>
    <w:rsid w:val="3410665D"/>
    <w:rsid w:val="34211214"/>
    <w:rsid w:val="342E63AB"/>
    <w:rsid w:val="343B6F1E"/>
    <w:rsid w:val="34401C96"/>
    <w:rsid w:val="344D14A1"/>
    <w:rsid w:val="34950E68"/>
    <w:rsid w:val="34986E94"/>
    <w:rsid w:val="34A727F1"/>
    <w:rsid w:val="34AF62C9"/>
    <w:rsid w:val="34CB4388"/>
    <w:rsid w:val="34E04C25"/>
    <w:rsid w:val="34EF3AF5"/>
    <w:rsid w:val="34FA6E12"/>
    <w:rsid w:val="35177D3B"/>
    <w:rsid w:val="357A2F85"/>
    <w:rsid w:val="358C308A"/>
    <w:rsid w:val="358D5588"/>
    <w:rsid w:val="35A82B78"/>
    <w:rsid w:val="35AA049C"/>
    <w:rsid w:val="35B11087"/>
    <w:rsid w:val="35B97034"/>
    <w:rsid w:val="35E34777"/>
    <w:rsid w:val="360A2C3B"/>
    <w:rsid w:val="363A3B40"/>
    <w:rsid w:val="365302AE"/>
    <w:rsid w:val="36607A0A"/>
    <w:rsid w:val="366E227C"/>
    <w:rsid w:val="366F2E0D"/>
    <w:rsid w:val="367A7102"/>
    <w:rsid w:val="367B6A5C"/>
    <w:rsid w:val="36814A92"/>
    <w:rsid w:val="36827AAB"/>
    <w:rsid w:val="36A74ADA"/>
    <w:rsid w:val="36AD60D5"/>
    <w:rsid w:val="36B224F9"/>
    <w:rsid w:val="36EC0CC9"/>
    <w:rsid w:val="3700605B"/>
    <w:rsid w:val="371976E1"/>
    <w:rsid w:val="371E6696"/>
    <w:rsid w:val="373F410B"/>
    <w:rsid w:val="378E2AF3"/>
    <w:rsid w:val="37B15B33"/>
    <w:rsid w:val="37BE68BC"/>
    <w:rsid w:val="37EE7094"/>
    <w:rsid w:val="38296B3F"/>
    <w:rsid w:val="38296C89"/>
    <w:rsid w:val="383002EB"/>
    <w:rsid w:val="38433B03"/>
    <w:rsid w:val="38463C1A"/>
    <w:rsid w:val="38586797"/>
    <w:rsid w:val="385C64C8"/>
    <w:rsid w:val="387951BA"/>
    <w:rsid w:val="38966328"/>
    <w:rsid w:val="389F5630"/>
    <w:rsid w:val="38B87D9D"/>
    <w:rsid w:val="38BC0149"/>
    <w:rsid w:val="38C973DF"/>
    <w:rsid w:val="38D87D1C"/>
    <w:rsid w:val="38FA6453"/>
    <w:rsid w:val="394E6C03"/>
    <w:rsid w:val="39636459"/>
    <w:rsid w:val="396B7F6C"/>
    <w:rsid w:val="397D5571"/>
    <w:rsid w:val="39B417A9"/>
    <w:rsid w:val="39FC5695"/>
    <w:rsid w:val="3A006D8E"/>
    <w:rsid w:val="3A3651E5"/>
    <w:rsid w:val="3A3A63BC"/>
    <w:rsid w:val="3A55036D"/>
    <w:rsid w:val="3A56271C"/>
    <w:rsid w:val="3A744481"/>
    <w:rsid w:val="3A8C7BEF"/>
    <w:rsid w:val="3A906246"/>
    <w:rsid w:val="3ACB3A3F"/>
    <w:rsid w:val="3AE94234"/>
    <w:rsid w:val="3B00217F"/>
    <w:rsid w:val="3B046D3A"/>
    <w:rsid w:val="3B2349B7"/>
    <w:rsid w:val="3B616CFF"/>
    <w:rsid w:val="3B6259F6"/>
    <w:rsid w:val="3B6B6A15"/>
    <w:rsid w:val="3B720250"/>
    <w:rsid w:val="3B870D7E"/>
    <w:rsid w:val="3B8F24B5"/>
    <w:rsid w:val="3B976654"/>
    <w:rsid w:val="3BA90120"/>
    <w:rsid w:val="3BC01EFC"/>
    <w:rsid w:val="3BCA786A"/>
    <w:rsid w:val="3BCE2065"/>
    <w:rsid w:val="3BD31E2F"/>
    <w:rsid w:val="3BF15831"/>
    <w:rsid w:val="3C014684"/>
    <w:rsid w:val="3C105946"/>
    <w:rsid w:val="3C297A7F"/>
    <w:rsid w:val="3C34279E"/>
    <w:rsid w:val="3C471448"/>
    <w:rsid w:val="3C5850B9"/>
    <w:rsid w:val="3C5F759A"/>
    <w:rsid w:val="3C6C525A"/>
    <w:rsid w:val="3C7637CB"/>
    <w:rsid w:val="3C8F3836"/>
    <w:rsid w:val="3CA86DA1"/>
    <w:rsid w:val="3CB678A5"/>
    <w:rsid w:val="3CCC214C"/>
    <w:rsid w:val="3CCE23CB"/>
    <w:rsid w:val="3CD17D17"/>
    <w:rsid w:val="3D0512A8"/>
    <w:rsid w:val="3D2739F3"/>
    <w:rsid w:val="3D330CF2"/>
    <w:rsid w:val="3D3C7F39"/>
    <w:rsid w:val="3D440F09"/>
    <w:rsid w:val="3D4504A0"/>
    <w:rsid w:val="3D8734BB"/>
    <w:rsid w:val="3D9A11D4"/>
    <w:rsid w:val="3DA16D89"/>
    <w:rsid w:val="3DA364BE"/>
    <w:rsid w:val="3DB42C81"/>
    <w:rsid w:val="3DD5344F"/>
    <w:rsid w:val="3DE041CB"/>
    <w:rsid w:val="3E0D48F6"/>
    <w:rsid w:val="3E1868B4"/>
    <w:rsid w:val="3E306F1E"/>
    <w:rsid w:val="3E377251"/>
    <w:rsid w:val="3E42664B"/>
    <w:rsid w:val="3E5A7334"/>
    <w:rsid w:val="3E7B5D6B"/>
    <w:rsid w:val="3E843E66"/>
    <w:rsid w:val="3E8F51FE"/>
    <w:rsid w:val="3E926F87"/>
    <w:rsid w:val="3E9A59DE"/>
    <w:rsid w:val="3EAF4836"/>
    <w:rsid w:val="3EC33DFA"/>
    <w:rsid w:val="3EC67C9B"/>
    <w:rsid w:val="3ED74DCE"/>
    <w:rsid w:val="3EE63F33"/>
    <w:rsid w:val="3F060E16"/>
    <w:rsid w:val="3F173D45"/>
    <w:rsid w:val="3F1D1096"/>
    <w:rsid w:val="3F2F0234"/>
    <w:rsid w:val="3F6363FE"/>
    <w:rsid w:val="3F756B8F"/>
    <w:rsid w:val="3F95482B"/>
    <w:rsid w:val="3FFD7116"/>
    <w:rsid w:val="4019356B"/>
    <w:rsid w:val="40592157"/>
    <w:rsid w:val="405D5DAD"/>
    <w:rsid w:val="406D3E12"/>
    <w:rsid w:val="406E1CAE"/>
    <w:rsid w:val="40A0133A"/>
    <w:rsid w:val="40BC08F6"/>
    <w:rsid w:val="40C31A53"/>
    <w:rsid w:val="40E750BB"/>
    <w:rsid w:val="40E83499"/>
    <w:rsid w:val="40FF545D"/>
    <w:rsid w:val="410067C8"/>
    <w:rsid w:val="411F7437"/>
    <w:rsid w:val="41284F74"/>
    <w:rsid w:val="4137139D"/>
    <w:rsid w:val="414E562C"/>
    <w:rsid w:val="418F0D2A"/>
    <w:rsid w:val="41B810BD"/>
    <w:rsid w:val="41C007E7"/>
    <w:rsid w:val="41D01505"/>
    <w:rsid w:val="41D4362A"/>
    <w:rsid w:val="41E262A1"/>
    <w:rsid w:val="42095F6E"/>
    <w:rsid w:val="424172D1"/>
    <w:rsid w:val="42474939"/>
    <w:rsid w:val="424C3C57"/>
    <w:rsid w:val="42613FF3"/>
    <w:rsid w:val="42660D96"/>
    <w:rsid w:val="428667D2"/>
    <w:rsid w:val="42891389"/>
    <w:rsid w:val="42920521"/>
    <w:rsid w:val="42975168"/>
    <w:rsid w:val="42A12863"/>
    <w:rsid w:val="42CD1CE0"/>
    <w:rsid w:val="42E1381E"/>
    <w:rsid w:val="42ED6459"/>
    <w:rsid w:val="42FE58DD"/>
    <w:rsid w:val="43174B3D"/>
    <w:rsid w:val="43241E51"/>
    <w:rsid w:val="434B790E"/>
    <w:rsid w:val="4360274F"/>
    <w:rsid w:val="43977AB6"/>
    <w:rsid w:val="43A3342B"/>
    <w:rsid w:val="43AE3A19"/>
    <w:rsid w:val="43C77C27"/>
    <w:rsid w:val="43DE09EE"/>
    <w:rsid w:val="44002FAD"/>
    <w:rsid w:val="44781916"/>
    <w:rsid w:val="449101DD"/>
    <w:rsid w:val="44AD0582"/>
    <w:rsid w:val="44B800F6"/>
    <w:rsid w:val="44DB5F60"/>
    <w:rsid w:val="44DE1391"/>
    <w:rsid w:val="44F240E3"/>
    <w:rsid w:val="451B225C"/>
    <w:rsid w:val="451F3201"/>
    <w:rsid w:val="452410C9"/>
    <w:rsid w:val="45301009"/>
    <w:rsid w:val="45317DFB"/>
    <w:rsid w:val="45436274"/>
    <w:rsid w:val="456D3CE4"/>
    <w:rsid w:val="4579042C"/>
    <w:rsid w:val="457F0571"/>
    <w:rsid w:val="45851176"/>
    <w:rsid w:val="45C63B94"/>
    <w:rsid w:val="45D249E5"/>
    <w:rsid w:val="45F538A0"/>
    <w:rsid w:val="45FB4B4A"/>
    <w:rsid w:val="460E7DA5"/>
    <w:rsid w:val="463257DE"/>
    <w:rsid w:val="46422483"/>
    <w:rsid w:val="464500CB"/>
    <w:rsid w:val="464E5D17"/>
    <w:rsid w:val="4659254A"/>
    <w:rsid w:val="465B0637"/>
    <w:rsid w:val="465E3F0D"/>
    <w:rsid w:val="466A16E6"/>
    <w:rsid w:val="46893F2B"/>
    <w:rsid w:val="469D4D26"/>
    <w:rsid w:val="46BA4EE4"/>
    <w:rsid w:val="46C4686E"/>
    <w:rsid w:val="46E75F49"/>
    <w:rsid w:val="46EB42AF"/>
    <w:rsid w:val="46F21269"/>
    <w:rsid w:val="473723B0"/>
    <w:rsid w:val="477B778F"/>
    <w:rsid w:val="478203EC"/>
    <w:rsid w:val="47B025FA"/>
    <w:rsid w:val="47C73432"/>
    <w:rsid w:val="47D96F7B"/>
    <w:rsid w:val="4809698F"/>
    <w:rsid w:val="4811697D"/>
    <w:rsid w:val="48733940"/>
    <w:rsid w:val="487A3E25"/>
    <w:rsid w:val="488B5503"/>
    <w:rsid w:val="48937E21"/>
    <w:rsid w:val="489A0361"/>
    <w:rsid w:val="48B94FF3"/>
    <w:rsid w:val="48E37AAB"/>
    <w:rsid w:val="48FD4B4C"/>
    <w:rsid w:val="490A68E0"/>
    <w:rsid w:val="491055FE"/>
    <w:rsid w:val="493F5242"/>
    <w:rsid w:val="495F5B3E"/>
    <w:rsid w:val="496F77D7"/>
    <w:rsid w:val="497654FD"/>
    <w:rsid w:val="499C4B8B"/>
    <w:rsid w:val="49B64211"/>
    <w:rsid w:val="49F6167F"/>
    <w:rsid w:val="4A064FA0"/>
    <w:rsid w:val="4A16615C"/>
    <w:rsid w:val="4A3F0A96"/>
    <w:rsid w:val="4A4424D7"/>
    <w:rsid w:val="4A571ACA"/>
    <w:rsid w:val="4A88443C"/>
    <w:rsid w:val="4AAA236F"/>
    <w:rsid w:val="4AB77EE6"/>
    <w:rsid w:val="4AB82D0F"/>
    <w:rsid w:val="4ACE314F"/>
    <w:rsid w:val="4AEB7664"/>
    <w:rsid w:val="4AFD7C19"/>
    <w:rsid w:val="4B0567D1"/>
    <w:rsid w:val="4B236AAE"/>
    <w:rsid w:val="4B2379D7"/>
    <w:rsid w:val="4B4136B7"/>
    <w:rsid w:val="4B456459"/>
    <w:rsid w:val="4B5C6BE0"/>
    <w:rsid w:val="4B707271"/>
    <w:rsid w:val="4B721531"/>
    <w:rsid w:val="4B7F2FBD"/>
    <w:rsid w:val="4B9739F7"/>
    <w:rsid w:val="4BB92D0D"/>
    <w:rsid w:val="4BEE2503"/>
    <w:rsid w:val="4C143962"/>
    <w:rsid w:val="4C245A30"/>
    <w:rsid w:val="4C5155B1"/>
    <w:rsid w:val="4C964049"/>
    <w:rsid w:val="4CB6685F"/>
    <w:rsid w:val="4CC367FE"/>
    <w:rsid w:val="4D077F3C"/>
    <w:rsid w:val="4D123355"/>
    <w:rsid w:val="4D2A3B31"/>
    <w:rsid w:val="4D312C52"/>
    <w:rsid w:val="4D363554"/>
    <w:rsid w:val="4D5B5336"/>
    <w:rsid w:val="4D8F41D8"/>
    <w:rsid w:val="4D905305"/>
    <w:rsid w:val="4D964A72"/>
    <w:rsid w:val="4D9C1254"/>
    <w:rsid w:val="4DC05646"/>
    <w:rsid w:val="4DE54634"/>
    <w:rsid w:val="4DE566F3"/>
    <w:rsid w:val="4DF706F9"/>
    <w:rsid w:val="4E6C5709"/>
    <w:rsid w:val="4E72304A"/>
    <w:rsid w:val="4E793892"/>
    <w:rsid w:val="4E800872"/>
    <w:rsid w:val="4E94015D"/>
    <w:rsid w:val="4EB370CB"/>
    <w:rsid w:val="4EC569ED"/>
    <w:rsid w:val="4ED50EA1"/>
    <w:rsid w:val="4EEC050C"/>
    <w:rsid w:val="4F104EC3"/>
    <w:rsid w:val="4F376B26"/>
    <w:rsid w:val="4F47354A"/>
    <w:rsid w:val="4F53295B"/>
    <w:rsid w:val="4F8B7ADC"/>
    <w:rsid w:val="4F911C54"/>
    <w:rsid w:val="4FE625E0"/>
    <w:rsid w:val="50037267"/>
    <w:rsid w:val="501B67F5"/>
    <w:rsid w:val="501C4F0D"/>
    <w:rsid w:val="5021480F"/>
    <w:rsid w:val="50962ECB"/>
    <w:rsid w:val="50A02C9E"/>
    <w:rsid w:val="50A42E38"/>
    <w:rsid w:val="50A4577F"/>
    <w:rsid w:val="50B73D1F"/>
    <w:rsid w:val="50BD5BC9"/>
    <w:rsid w:val="50C11EEE"/>
    <w:rsid w:val="50C866AA"/>
    <w:rsid w:val="50CB47D7"/>
    <w:rsid w:val="50D66C31"/>
    <w:rsid w:val="50E2040B"/>
    <w:rsid w:val="50E97CFC"/>
    <w:rsid w:val="50FA4028"/>
    <w:rsid w:val="510D65B7"/>
    <w:rsid w:val="511157AB"/>
    <w:rsid w:val="511C66F4"/>
    <w:rsid w:val="51333D03"/>
    <w:rsid w:val="513407BB"/>
    <w:rsid w:val="5142540C"/>
    <w:rsid w:val="515413CF"/>
    <w:rsid w:val="518832C8"/>
    <w:rsid w:val="519D31E6"/>
    <w:rsid w:val="51A0432A"/>
    <w:rsid w:val="51A86090"/>
    <w:rsid w:val="51B7396D"/>
    <w:rsid w:val="51B7477A"/>
    <w:rsid w:val="52170CBE"/>
    <w:rsid w:val="5220355B"/>
    <w:rsid w:val="522E4CC3"/>
    <w:rsid w:val="5244713B"/>
    <w:rsid w:val="52615633"/>
    <w:rsid w:val="52977FD4"/>
    <w:rsid w:val="52A25790"/>
    <w:rsid w:val="52A96B6F"/>
    <w:rsid w:val="52B21DD4"/>
    <w:rsid w:val="52B45975"/>
    <w:rsid w:val="52D94AA4"/>
    <w:rsid w:val="52EA3A62"/>
    <w:rsid w:val="52EA4E4F"/>
    <w:rsid w:val="52F50BB8"/>
    <w:rsid w:val="52FA12FF"/>
    <w:rsid w:val="53097272"/>
    <w:rsid w:val="53544462"/>
    <w:rsid w:val="53801D8B"/>
    <w:rsid w:val="539262C5"/>
    <w:rsid w:val="5397158E"/>
    <w:rsid w:val="53A416DB"/>
    <w:rsid w:val="54013861"/>
    <w:rsid w:val="542515A2"/>
    <w:rsid w:val="54487265"/>
    <w:rsid w:val="544D6070"/>
    <w:rsid w:val="54605E1E"/>
    <w:rsid w:val="5473672B"/>
    <w:rsid w:val="548643F7"/>
    <w:rsid w:val="54B3506A"/>
    <w:rsid w:val="54CA0D16"/>
    <w:rsid w:val="54D20290"/>
    <w:rsid w:val="54DD4057"/>
    <w:rsid w:val="54E7490F"/>
    <w:rsid w:val="550377CD"/>
    <w:rsid w:val="550764A4"/>
    <w:rsid w:val="550B2BF6"/>
    <w:rsid w:val="550F3998"/>
    <w:rsid w:val="55214EB5"/>
    <w:rsid w:val="552C0CBC"/>
    <w:rsid w:val="55342E96"/>
    <w:rsid w:val="55354CFB"/>
    <w:rsid w:val="55364EFD"/>
    <w:rsid w:val="555D4828"/>
    <w:rsid w:val="556059CD"/>
    <w:rsid w:val="5562483A"/>
    <w:rsid w:val="55653950"/>
    <w:rsid w:val="557645ED"/>
    <w:rsid w:val="557A4C8B"/>
    <w:rsid w:val="558931E1"/>
    <w:rsid w:val="55923347"/>
    <w:rsid w:val="55925180"/>
    <w:rsid w:val="55983B1B"/>
    <w:rsid w:val="55A014EF"/>
    <w:rsid w:val="55A8376B"/>
    <w:rsid w:val="55DC29B6"/>
    <w:rsid w:val="55DD4241"/>
    <w:rsid w:val="55F25755"/>
    <w:rsid w:val="5618423F"/>
    <w:rsid w:val="562404F8"/>
    <w:rsid w:val="566B6D1E"/>
    <w:rsid w:val="56796849"/>
    <w:rsid w:val="567D7CFD"/>
    <w:rsid w:val="56A60C14"/>
    <w:rsid w:val="56A872DD"/>
    <w:rsid w:val="56BC2FA6"/>
    <w:rsid w:val="56E31D66"/>
    <w:rsid w:val="56EE1A85"/>
    <w:rsid w:val="57032A2C"/>
    <w:rsid w:val="570F5219"/>
    <w:rsid w:val="57150236"/>
    <w:rsid w:val="571F7486"/>
    <w:rsid w:val="5741255F"/>
    <w:rsid w:val="575D12B5"/>
    <w:rsid w:val="57610A87"/>
    <w:rsid w:val="577B1140"/>
    <w:rsid w:val="577B7F21"/>
    <w:rsid w:val="577F181B"/>
    <w:rsid w:val="57921984"/>
    <w:rsid w:val="579737F0"/>
    <w:rsid w:val="57AB7B30"/>
    <w:rsid w:val="57AF5251"/>
    <w:rsid w:val="57B01489"/>
    <w:rsid w:val="57B26373"/>
    <w:rsid w:val="57B63F04"/>
    <w:rsid w:val="57CD20C2"/>
    <w:rsid w:val="57D03845"/>
    <w:rsid w:val="57D573DB"/>
    <w:rsid w:val="57D675AB"/>
    <w:rsid w:val="57D95FDD"/>
    <w:rsid w:val="57E5652D"/>
    <w:rsid w:val="57EC54BC"/>
    <w:rsid w:val="57F85B5E"/>
    <w:rsid w:val="585B44F2"/>
    <w:rsid w:val="58917D2F"/>
    <w:rsid w:val="5894085C"/>
    <w:rsid w:val="589648E3"/>
    <w:rsid w:val="58AE4F0C"/>
    <w:rsid w:val="58B85899"/>
    <w:rsid w:val="58C36E39"/>
    <w:rsid w:val="58C90A05"/>
    <w:rsid w:val="58D43660"/>
    <w:rsid w:val="58E363A9"/>
    <w:rsid w:val="59226049"/>
    <w:rsid w:val="59254A57"/>
    <w:rsid w:val="592E25D7"/>
    <w:rsid w:val="595E1678"/>
    <w:rsid w:val="596263D3"/>
    <w:rsid w:val="596D5BD4"/>
    <w:rsid w:val="597C5567"/>
    <w:rsid w:val="597E0ADA"/>
    <w:rsid w:val="597E3DD8"/>
    <w:rsid w:val="59B650A0"/>
    <w:rsid w:val="59C141BA"/>
    <w:rsid w:val="59C52C01"/>
    <w:rsid w:val="59DC694C"/>
    <w:rsid w:val="59EB2389"/>
    <w:rsid w:val="59F80043"/>
    <w:rsid w:val="5A09252F"/>
    <w:rsid w:val="5A0B2778"/>
    <w:rsid w:val="5A2A7C7B"/>
    <w:rsid w:val="5A3E2560"/>
    <w:rsid w:val="5A5D3B6E"/>
    <w:rsid w:val="5A637A76"/>
    <w:rsid w:val="5A6A482A"/>
    <w:rsid w:val="5A6D33BA"/>
    <w:rsid w:val="5A792B1F"/>
    <w:rsid w:val="5A81078E"/>
    <w:rsid w:val="5A874767"/>
    <w:rsid w:val="5AAD6F28"/>
    <w:rsid w:val="5ACB5048"/>
    <w:rsid w:val="5AD10710"/>
    <w:rsid w:val="5AD63A24"/>
    <w:rsid w:val="5B070568"/>
    <w:rsid w:val="5B2E1A1D"/>
    <w:rsid w:val="5B843A1C"/>
    <w:rsid w:val="5B873E3F"/>
    <w:rsid w:val="5B9E500B"/>
    <w:rsid w:val="5BD164BB"/>
    <w:rsid w:val="5BD445A4"/>
    <w:rsid w:val="5C02690E"/>
    <w:rsid w:val="5C196DA7"/>
    <w:rsid w:val="5C220A3A"/>
    <w:rsid w:val="5C2603CB"/>
    <w:rsid w:val="5C2A048C"/>
    <w:rsid w:val="5C677E17"/>
    <w:rsid w:val="5C6C4CCA"/>
    <w:rsid w:val="5C6E0D96"/>
    <w:rsid w:val="5C80234E"/>
    <w:rsid w:val="5C8A680C"/>
    <w:rsid w:val="5CA55DCD"/>
    <w:rsid w:val="5D0C4701"/>
    <w:rsid w:val="5D0F0395"/>
    <w:rsid w:val="5D221076"/>
    <w:rsid w:val="5D397964"/>
    <w:rsid w:val="5D491257"/>
    <w:rsid w:val="5D5A391C"/>
    <w:rsid w:val="5D5A4321"/>
    <w:rsid w:val="5D5F10C0"/>
    <w:rsid w:val="5D891B7B"/>
    <w:rsid w:val="5D8B7162"/>
    <w:rsid w:val="5DA94ECA"/>
    <w:rsid w:val="5DAD38EE"/>
    <w:rsid w:val="5E006862"/>
    <w:rsid w:val="5E0207B9"/>
    <w:rsid w:val="5E09582C"/>
    <w:rsid w:val="5E13292D"/>
    <w:rsid w:val="5E1834A1"/>
    <w:rsid w:val="5E1E4087"/>
    <w:rsid w:val="5E261785"/>
    <w:rsid w:val="5E4A7017"/>
    <w:rsid w:val="5E552BBA"/>
    <w:rsid w:val="5E611C10"/>
    <w:rsid w:val="5E87356C"/>
    <w:rsid w:val="5EFC7377"/>
    <w:rsid w:val="5F040D40"/>
    <w:rsid w:val="5F06174D"/>
    <w:rsid w:val="5F071B9D"/>
    <w:rsid w:val="5F13300F"/>
    <w:rsid w:val="5F13CAE5"/>
    <w:rsid w:val="5F1C5A05"/>
    <w:rsid w:val="5F3A3602"/>
    <w:rsid w:val="5F57701B"/>
    <w:rsid w:val="5F6277C6"/>
    <w:rsid w:val="5F660ABA"/>
    <w:rsid w:val="5F6D0B1D"/>
    <w:rsid w:val="5F8D0B82"/>
    <w:rsid w:val="5FC3334C"/>
    <w:rsid w:val="5FCC5339"/>
    <w:rsid w:val="5FE078E0"/>
    <w:rsid w:val="5FE34A5B"/>
    <w:rsid w:val="5FFE1E36"/>
    <w:rsid w:val="60232584"/>
    <w:rsid w:val="60326087"/>
    <w:rsid w:val="604C7CC3"/>
    <w:rsid w:val="60576DBD"/>
    <w:rsid w:val="60674F9A"/>
    <w:rsid w:val="607330CE"/>
    <w:rsid w:val="607A419E"/>
    <w:rsid w:val="60825176"/>
    <w:rsid w:val="609F2AC4"/>
    <w:rsid w:val="60B65B72"/>
    <w:rsid w:val="60E03D35"/>
    <w:rsid w:val="60FA2EE8"/>
    <w:rsid w:val="60FE42AA"/>
    <w:rsid w:val="61054A27"/>
    <w:rsid w:val="610A52BC"/>
    <w:rsid w:val="611349E8"/>
    <w:rsid w:val="611D2366"/>
    <w:rsid w:val="61421856"/>
    <w:rsid w:val="614E5DAA"/>
    <w:rsid w:val="615227C4"/>
    <w:rsid w:val="61654E3F"/>
    <w:rsid w:val="617678F3"/>
    <w:rsid w:val="6182292A"/>
    <w:rsid w:val="619117A1"/>
    <w:rsid w:val="61937B14"/>
    <w:rsid w:val="619F7F92"/>
    <w:rsid w:val="61ED1160"/>
    <w:rsid w:val="61F94C26"/>
    <w:rsid w:val="62000E56"/>
    <w:rsid w:val="62227AC4"/>
    <w:rsid w:val="624F3E49"/>
    <w:rsid w:val="62632286"/>
    <w:rsid w:val="62716C4E"/>
    <w:rsid w:val="62851EC8"/>
    <w:rsid w:val="62885958"/>
    <w:rsid w:val="62C84B2A"/>
    <w:rsid w:val="62D83031"/>
    <w:rsid w:val="62F40B65"/>
    <w:rsid w:val="62FC2CFE"/>
    <w:rsid w:val="63024505"/>
    <w:rsid w:val="63133CBC"/>
    <w:rsid w:val="632A7EA5"/>
    <w:rsid w:val="633F0CD0"/>
    <w:rsid w:val="635B1DB5"/>
    <w:rsid w:val="63711FED"/>
    <w:rsid w:val="63880DDC"/>
    <w:rsid w:val="638D750D"/>
    <w:rsid w:val="63AC6CC0"/>
    <w:rsid w:val="63D45E62"/>
    <w:rsid w:val="64055776"/>
    <w:rsid w:val="64240056"/>
    <w:rsid w:val="643E143A"/>
    <w:rsid w:val="64523490"/>
    <w:rsid w:val="64525048"/>
    <w:rsid w:val="645A7CF9"/>
    <w:rsid w:val="648B6EEF"/>
    <w:rsid w:val="64C158BF"/>
    <w:rsid w:val="64CE2EAA"/>
    <w:rsid w:val="64E61C88"/>
    <w:rsid w:val="653173FB"/>
    <w:rsid w:val="653C3090"/>
    <w:rsid w:val="65421E67"/>
    <w:rsid w:val="654900FB"/>
    <w:rsid w:val="654B52DC"/>
    <w:rsid w:val="6583677A"/>
    <w:rsid w:val="65854376"/>
    <w:rsid w:val="658767BE"/>
    <w:rsid w:val="65892531"/>
    <w:rsid w:val="65F8345E"/>
    <w:rsid w:val="66195831"/>
    <w:rsid w:val="662E75B1"/>
    <w:rsid w:val="66342C2E"/>
    <w:rsid w:val="663E784C"/>
    <w:rsid w:val="663F6041"/>
    <w:rsid w:val="665B62E7"/>
    <w:rsid w:val="668B6A45"/>
    <w:rsid w:val="669F7E18"/>
    <w:rsid w:val="66B01071"/>
    <w:rsid w:val="66BF7F84"/>
    <w:rsid w:val="66D95049"/>
    <w:rsid w:val="66FD1138"/>
    <w:rsid w:val="67156BBE"/>
    <w:rsid w:val="67272539"/>
    <w:rsid w:val="672F3F24"/>
    <w:rsid w:val="673E055F"/>
    <w:rsid w:val="67551CE3"/>
    <w:rsid w:val="6772060E"/>
    <w:rsid w:val="67A22552"/>
    <w:rsid w:val="67B22DCC"/>
    <w:rsid w:val="67B67C39"/>
    <w:rsid w:val="67BE71AA"/>
    <w:rsid w:val="67D16BCF"/>
    <w:rsid w:val="67D40535"/>
    <w:rsid w:val="67D90273"/>
    <w:rsid w:val="67DE5875"/>
    <w:rsid w:val="67E55852"/>
    <w:rsid w:val="67EB1AB4"/>
    <w:rsid w:val="67FA1285"/>
    <w:rsid w:val="68263E9E"/>
    <w:rsid w:val="68464DC5"/>
    <w:rsid w:val="68551F4F"/>
    <w:rsid w:val="687705BA"/>
    <w:rsid w:val="687C10C9"/>
    <w:rsid w:val="68840C16"/>
    <w:rsid w:val="688549D0"/>
    <w:rsid w:val="68876EFB"/>
    <w:rsid w:val="68884654"/>
    <w:rsid w:val="689F444F"/>
    <w:rsid w:val="68B96DBB"/>
    <w:rsid w:val="68CA2805"/>
    <w:rsid w:val="68D321AA"/>
    <w:rsid w:val="68E937A3"/>
    <w:rsid w:val="69230C63"/>
    <w:rsid w:val="693E15D3"/>
    <w:rsid w:val="69627681"/>
    <w:rsid w:val="696F140C"/>
    <w:rsid w:val="6977531D"/>
    <w:rsid w:val="69CC2BFF"/>
    <w:rsid w:val="69FD55B8"/>
    <w:rsid w:val="6A0B1C62"/>
    <w:rsid w:val="6A206786"/>
    <w:rsid w:val="6A21712D"/>
    <w:rsid w:val="6A2406C8"/>
    <w:rsid w:val="6A42336B"/>
    <w:rsid w:val="6A4A0458"/>
    <w:rsid w:val="6A7D274A"/>
    <w:rsid w:val="6AB00311"/>
    <w:rsid w:val="6ADE0BD1"/>
    <w:rsid w:val="6AE96859"/>
    <w:rsid w:val="6AED41DD"/>
    <w:rsid w:val="6B147746"/>
    <w:rsid w:val="6B2460A8"/>
    <w:rsid w:val="6B24787C"/>
    <w:rsid w:val="6B573233"/>
    <w:rsid w:val="6B5B6274"/>
    <w:rsid w:val="6B6001CE"/>
    <w:rsid w:val="6B6E4E2E"/>
    <w:rsid w:val="6B935D53"/>
    <w:rsid w:val="6BAD2F42"/>
    <w:rsid w:val="6BBF5E5E"/>
    <w:rsid w:val="6BD86FC5"/>
    <w:rsid w:val="6BDD2706"/>
    <w:rsid w:val="6BFD39ED"/>
    <w:rsid w:val="6C07131A"/>
    <w:rsid w:val="6C196F71"/>
    <w:rsid w:val="6C226FCB"/>
    <w:rsid w:val="6C31226F"/>
    <w:rsid w:val="6C552F0B"/>
    <w:rsid w:val="6C7A3314"/>
    <w:rsid w:val="6C857ADE"/>
    <w:rsid w:val="6C8C67B7"/>
    <w:rsid w:val="6C9D166B"/>
    <w:rsid w:val="6C9D744C"/>
    <w:rsid w:val="6CB520C0"/>
    <w:rsid w:val="6CD91762"/>
    <w:rsid w:val="6D08572F"/>
    <w:rsid w:val="6D167928"/>
    <w:rsid w:val="6D26299B"/>
    <w:rsid w:val="6D2F659C"/>
    <w:rsid w:val="6D4772EC"/>
    <w:rsid w:val="6D8141C3"/>
    <w:rsid w:val="6D8E2C9C"/>
    <w:rsid w:val="6D9078AF"/>
    <w:rsid w:val="6D9E2FAE"/>
    <w:rsid w:val="6DAA3FEF"/>
    <w:rsid w:val="6DB42FEB"/>
    <w:rsid w:val="6DC0172B"/>
    <w:rsid w:val="6DCB690C"/>
    <w:rsid w:val="6DD41A5B"/>
    <w:rsid w:val="6DF43C2E"/>
    <w:rsid w:val="6DF456B4"/>
    <w:rsid w:val="6DF51CA3"/>
    <w:rsid w:val="6E011CE3"/>
    <w:rsid w:val="6E24348E"/>
    <w:rsid w:val="6E25722B"/>
    <w:rsid w:val="6E6E43D9"/>
    <w:rsid w:val="6E8335BD"/>
    <w:rsid w:val="6E8C5C36"/>
    <w:rsid w:val="6E8E12EF"/>
    <w:rsid w:val="6E972936"/>
    <w:rsid w:val="6ED446C5"/>
    <w:rsid w:val="6F046601"/>
    <w:rsid w:val="6F2A7D94"/>
    <w:rsid w:val="6F4B2014"/>
    <w:rsid w:val="6F8331F1"/>
    <w:rsid w:val="6FAE1A09"/>
    <w:rsid w:val="6FD75BF8"/>
    <w:rsid w:val="7015480C"/>
    <w:rsid w:val="70323603"/>
    <w:rsid w:val="707723D0"/>
    <w:rsid w:val="70951DFF"/>
    <w:rsid w:val="70C51DCF"/>
    <w:rsid w:val="70CD6084"/>
    <w:rsid w:val="70F5661B"/>
    <w:rsid w:val="70FA031E"/>
    <w:rsid w:val="71283699"/>
    <w:rsid w:val="71345422"/>
    <w:rsid w:val="71360107"/>
    <w:rsid w:val="713B688E"/>
    <w:rsid w:val="713F1BFA"/>
    <w:rsid w:val="7170522D"/>
    <w:rsid w:val="71805602"/>
    <w:rsid w:val="71BA07C5"/>
    <w:rsid w:val="71D23226"/>
    <w:rsid w:val="71D43752"/>
    <w:rsid w:val="71EE501B"/>
    <w:rsid w:val="71F1796A"/>
    <w:rsid w:val="72154626"/>
    <w:rsid w:val="72262B5D"/>
    <w:rsid w:val="72283FF7"/>
    <w:rsid w:val="722E7212"/>
    <w:rsid w:val="723A0474"/>
    <w:rsid w:val="723F6B0D"/>
    <w:rsid w:val="725923E4"/>
    <w:rsid w:val="72864BF7"/>
    <w:rsid w:val="729023FC"/>
    <w:rsid w:val="729A44D9"/>
    <w:rsid w:val="72A423C8"/>
    <w:rsid w:val="72AD22E1"/>
    <w:rsid w:val="72B372E1"/>
    <w:rsid w:val="731735E6"/>
    <w:rsid w:val="731742D0"/>
    <w:rsid w:val="73191DB6"/>
    <w:rsid w:val="733E7BCC"/>
    <w:rsid w:val="73472C17"/>
    <w:rsid w:val="734A7401"/>
    <w:rsid w:val="73810A2E"/>
    <w:rsid w:val="73BF3123"/>
    <w:rsid w:val="73C0646E"/>
    <w:rsid w:val="73E059CF"/>
    <w:rsid w:val="742222F5"/>
    <w:rsid w:val="74476126"/>
    <w:rsid w:val="746066F5"/>
    <w:rsid w:val="74706664"/>
    <w:rsid w:val="747F3682"/>
    <w:rsid w:val="749C4185"/>
    <w:rsid w:val="74DC4AE7"/>
    <w:rsid w:val="75067759"/>
    <w:rsid w:val="752E6DCD"/>
    <w:rsid w:val="75374EE7"/>
    <w:rsid w:val="754D7094"/>
    <w:rsid w:val="7551380D"/>
    <w:rsid w:val="75600BE5"/>
    <w:rsid w:val="7564475C"/>
    <w:rsid w:val="756615CF"/>
    <w:rsid w:val="7583797F"/>
    <w:rsid w:val="758E3908"/>
    <w:rsid w:val="75C17DA8"/>
    <w:rsid w:val="75D20F1D"/>
    <w:rsid w:val="75DA2C18"/>
    <w:rsid w:val="75E713C0"/>
    <w:rsid w:val="75EE03DC"/>
    <w:rsid w:val="75F54412"/>
    <w:rsid w:val="76125E91"/>
    <w:rsid w:val="761422CC"/>
    <w:rsid w:val="761D08E0"/>
    <w:rsid w:val="765D347C"/>
    <w:rsid w:val="76787555"/>
    <w:rsid w:val="76826699"/>
    <w:rsid w:val="76C87133"/>
    <w:rsid w:val="76CD08D5"/>
    <w:rsid w:val="76D127D4"/>
    <w:rsid w:val="76D465EE"/>
    <w:rsid w:val="76DB4B92"/>
    <w:rsid w:val="77017403"/>
    <w:rsid w:val="77052AA4"/>
    <w:rsid w:val="77136511"/>
    <w:rsid w:val="77340A39"/>
    <w:rsid w:val="77351FD0"/>
    <w:rsid w:val="77472422"/>
    <w:rsid w:val="777F31F2"/>
    <w:rsid w:val="77930DBD"/>
    <w:rsid w:val="77D1700D"/>
    <w:rsid w:val="77EC04CC"/>
    <w:rsid w:val="77EF5AEB"/>
    <w:rsid w:val="77F83E94"/>
    <w:rsid w:val="781A1DFC"/>
    <w:rsid w:val="781F193B"/>
    <w:rsid w:val="785B221E"/>
    <w:rsid w:val="78775729"/>
    <w:rsid w:val="7887263B"/>
    <w:rsid w:val="78A42DB0"/>
    <w:rsid w:val="78A656AB"/>
    <w:rsid w:val="78B2245C"/>
    <w:rsid w:val="78E172CC"/>
    <w:rsid w:val="78EA1D1F"/>
    <w:rsid w:val="78F93394"/>
    <w:rsid w:val="7904172F"/>
    <w:rsid w:val="790F7E27"/>
    <w:rsid w:val="792A231A"/>
    <w:rsid w:val="79316829"/>
    <w:rsid w:val="79440551"/>
    <w:rsid w:val="79715C01"/>
    <w:rsid w:val="797E66A9"/>
    <w:rsid w:val="79A97383"/>
    <w:rsid w:val="79D21CD2"/>
    <w:rsid w:val="79DD2640"/>
    <w:rsid w:val="79E27E8B"/>
    <w:rsid w:val="79F850CE"/>
    <w:rsid w:val="79FD443C"/>
    <w:rsid w:val="7A1D1975"/>
    <w:rsid w:val="7A3E5150"/>
    <w:rsid w:val="7A4670D6"/>
    <w:rsid w:val="7A4C24CB"/>
    <w:rsid w:val="7A4F2AA8"/>
    <w:rsid w:val="7A534B63"/>
    <w:rsid w:val="7A615382"/>
    <w:rsid w:val="7A67303B"/>
    <w:rsid w:val="7A8065CF"/>
    <w:rsid w:val="7AAB1D04"/>
    <w:rsid w:val="7ABA4368"/>
    <w:rsid w:val="7AD05746"/>
    <w:rsid w:val="7B113533"/>
    <w:rsid w:val="7B257FFD"/>
    <w:rsid w:val="7B343476"/>
    <w:rsid w:val="7B3F7158"/>
    <w:rsid w:val="7B5A2978"/>
    <w:rsid w:val="7B5A7E4C"/>
    <w:rsid w:val="7B667AF9"/>
    <w:rsid w:val="7B7468F8"/>
    <w:rsid w:val="7B7D4202"/>
    <w:rsid w:val="7B8D5F80"/>
    <w:rsid w:val="7BB6739F"/>
    <w:rsid w:val="7BEE0103"/>
    <w:rsid w:val="7C0A0FE4"/>
    <w:rsid w:val="7C254906"/>
    <w:rsid w:val="7C590818"/>
    <w:rsid w:val="7C7037C2"/>
    <w:rsid w:val="7C764345"/>
    <w:rsid w:val="7C7C10F6"/>
    <w:rsid w:val="7C853BEA"/>
    <w:rsid w:val="7C881368"/>
    <w:rsid w:val="7CE27788"/>
    <w:rsid w:val="7CE56A95"/>
    <w:rsid w:val="7CF91FAF"/>
    <w:rsid w:val="7D0C32F1"/>
    <w:rsid w:val="7D0F408D"/>
    <w:rsid w:val="7D491C6C"/>
    <w:rsid w:val="7D5429C0"/>
    <w:rsid w:val="7D6E6D43"/>
    <w:rsid w:val="7D8B2C3C"/>
    <w:rsid w:val="7DAC3CA8"/>
    <w:rsid w:val="7DB57A34"/>
    <w:rsid w:val="7DD2306B"/>
    <w:rsid w:val="7DD77101"/>
    <w:rsid w:val="7DE1284F"/>
    <w:rsid w:val="7DE60973"/>
    <w:rsid w:val="7DE75AA1"/>
    <w:rsid w:val="7DEE5506"/>
    <w:rsid w:val="7DEF0916"/>
    <w:rsid w:val="7DFFECEA"/>
    <w:rsid w:val="7E0368A3"/>
    <w:rsid w:val="7E1E5218"/>
    <w:rsid w:val="7E6B60AA"/>
    <w:rsid w:val="7E9A4E1F"/>
    <w:rsid w:val="7EA7723A"/>
    <w:rsid w:val="7EF56FBB"/>
    <w:rsid w:val="7F0768EB"/>
    <w:rsid w:val="7F143BEC"/>
    <w:rsid w:val="7F1A7159"/>
    <w:rsid w:val="7F715AF2"/>
    <w:rsid w:val="7F886E69"/>
    <w:rsid w:val="7F8932D6"/>
    <w:rsid w:val="7F8F7E3F"/>
    <w:rsid w:val="7F977A1B"/>
    <w:rsid w:val="7FF87E3A"/>
    <w:rsid w:val="88A0D0E6"/>
    <w:rsid w:val="BB7FA927"/>
    <w:rsid w:val="F5FFD31F"/>
    <w:rsid w:val="FFFAD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next w:val="3"/>
    <w:link w:val="124"/>
    <w:autoRedefine/>
    <w:qFormat/>
    <w:uiPriority w:val="0"/>
    <w:rPr>
      <w:rFonts w:ascii="宋体" w:hAnsi="Courier New" w:cs="Arial"/>
      <w:snapToGrid w:val="0"/>
      <w:szCs w:val="21"/>
    </w:rPr>
  </w:style>
  <w:style w:type="paragraph" w:styleId="3">
    <w:name w:val="Date"/>
    <w:basedOn w:val="1"/>
    <w:next w:val="1"/>
    <w:link w:val="180"/>
    <w:autoRedefine/>
    <w:qFormat/>
    <w:uiPriority w:val="0"/>
    <w:pPr>
      <w:ind w:left="100" w:leftChars="2500"/>
    </w:pPr>
    <w:rPr>
      <w:rFonts w:ascii="宋体"/>
      <w:sz w:val="24"/>
      <w:szCs w:val="21"/>
      <w:lang w:val="zh-CN"/>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8"/>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1"/>
    <w:autoRedefine/>
    <w:qFormat/>
    <w:uiPriority w:val="0"/>
    <w:pPr>
      <w:shd w:val="clear" w:color="auto" w:fill="000080"/>
    </w:pPr>
  </w:style>
  <w:style w:type="paragraph" w:styleId="21">
    <w:name w:val="annotation text"/>
    <w:basedOn w:val="1"/>
    <w:link w:val="343"/>
    <w:autoRedefine/>
    <w:qFormat/>
    <w:uiPriority w:val="99"/>
    <w:pPr>
      <w:jc w:val="left"/>
    </w:pPr>
  </w:style>
  <w:style w:type="paragraph" w:styleId="22">
    <w:name w:val="Salutation"/>
    <w:basedOn w:val="1"/>
    <w:next w:val="1"/>
    <w:link w:val="297"/>
    <w:autoRedefine/>
    <w:qFormat/>
    <w:uiPriority w:val="0"/>
    <w:rPr>
      <w:rFonts w:ascii="仿宋_GB2312" w:eastAsia="仿宋_GB2312"/>
      <w:sz w:val="28"/>
      <w:szCs w:val="20"/>
    </w:rPr>
  </w:style>
  <w:style w:type="paragraph" w:styleId="23">
    <w:name w:val="Body Text 3"/>
    <w:basedOn w:val="1"/>
    <w:link w:val="32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17"/>
    <w:link w:val="264"/>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39"/>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7"/>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link w:val="95"/>
    <w:autoRedefine/>
    <w:qFormat/>
    <w:uiPriority w:val="0"/>
    <w:rPr>
      <w:b/>
      <w:bCs/>
    </w:rPr>
  </w:style>
  <w:style w:type="paragraph" w:styleId="60">
    <w:name w:val="Body Text First Indent"/>
    <w:basedOn w:val="25"/>
    <w:next w:val="50"/>
    <w:link w:val="320"/>
    <w:autoRedefine/>
    <w:qFormat/>
    <w:uiPriority w:val="0"/>
    <w:pPr>
      <w:ind w:firstLine="420"/>
    </w:pPr>
    <w:rPr>
      <w:rFonts w:hAnsi="Calibri"/>
      <w:szCs w:val="20"/>
    </w:rPr>
  </w:style>
  <w:style w:type="paragraph" w:styleId="61">
    <w:name w:val="Body Text First Indent 2"/>
    <w:basedOn w:val="26"/>
    <w:next w:val="1"/>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Normal]"/>
    <w:autoRedefine/>
    <w:qFormat/>
    <w:uiPriority w:val="0"/>
    <w:rPr>
      <w:rFonts w:ascii="宋体" w:hAnsi="宋体" w:eastAsia="宋体" w:cs="Times New Roman"/>
      <w:sz w:val="24"/>
      <w:szCs w:val="22"/>
      <w:lang w:val="zh-CN" w:eastAsia="zh-CN" w:bidi="ar-SA"/>
    </w:rPr>
  </w:style>
  <w:style w:type="paragraph" w:customStyle="1" w:styleId="8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9"/>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5"/>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
    <w:autoRedefine/>
    <w:qFormat/>
    <w:uiPriority w:val="0"/>
    <w:rPr>
      <w:rFonts w:ascii="宋体"/>
      <w:kern w:val="2"/>
      <w:sz w:val="24"/>
      <w:szCs w:val="21"/>
      <w:lang w:val="zh-CN"/>
    </w:rPr>
  </w:style>
  <w:style w:type="character" w:customStyle="1" w:styleId="181">
    <w:name w:val="标题 9 字符"/>
    <w:link w:val="12"/>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20"/>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31"/>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7"/>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8"/>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表段落1"/>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6"/>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4"/>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8"/>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6"/>
    <w:autoRedefine/>
    <w:qFormat/>
    <w:uiPriority w:val="0"/>
    <w:rPr>
      <w:rFonts w:ascii="黑体" w:hAnsi="Courier New" w:eastAsia="黑体"/>
    </w:rPr>
  </w:style>
  <w:style w:type="character" w:customStyle="1" w:styleId="301">
    <w:name w:val="正文文本 2 字符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7"/>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10"/>
    <w:autoRedefine/>
    <w:qFormat/>
    <w:uiPriority w:val="0"/>
    <w:rPr>
      <w:b/>
      <w:bCs/>
      <w:kern w:val="2"/>
      <w:sz w:val="24"/>
      <w:szCs w:val="24"/>
    </w:rPr>
  </w:style>
  <w:style w:type="character" w:customStyle="1" w:styleId="307">
    <w:name w:val="正文文本缩进 2 字符"/>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7"/>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3"/>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autoRedefine/>
    <w:qFormat/>
    <w:uiPriority w:val="0"/>
    <w:rPr>
      <w:kern w:val="2"/>
      <w:sz w:val="21"/>
      <w:szCs w:val="24"/>
    </w:rPr>
  </w:style>
  <w:style w:type="character" w:customStyle="1" w:styleId="344">
    <w:name w:val="签名 字符"/>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1"/>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7"/>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438"/>
    <w:next w:val="438"/>
    <w:autoRedefine/>
    <w:qFormat/>
    <w:uiPriority w:val="0"/>
    <w:pPr>
      <w:autoSpaceDE w:val="0"/>
      <w:autoSpaceDN w:val="0"/>
      <w:spacing w:before="566" w:after="544" w:line="566" w:lineRule="atLeast"/>
      <w:ind w:firstLine="419" w:firstLineChars="200"/>
    </w:pPr>
    <w:rPr>
      <w:rFonts w:ascii="Arial" w:hAnsi="Arial"/>
      <w:color w:val="000000"/>
      <w:spacing w:val="565"/>
      <w:kern w:val="0"/>
      <w:sz w:val="54"/>
      <w:szCs w:val="54"/>
    </w:rPr>
  </w:style>
  <w:style w:type="paragraph" w:customStyle="1" w:styleId="438">
    <w:name w:val="第一部分"/>
    <w:basedOn w:val="1"/>
    <w:autoRedefine/>
    <w:qFormat/>
    <w:uiPriority w:val="0"/>
    <w:pPr>
      <w:jc w:val="center"/>
    </w:pPr>
    <w:rPr>
      <w:b/>
      <w:sz w:val="36"/>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next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6"/>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8"/>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autoRedefine/>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2"/>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4"/>
    <w:autoRedefine/>
    <w:qFormat/>
    <w:uiPriority w:val="0"/>
    <w:pPr>
      <w:tabs>
        <w:tab w:val="left" w:pos="840"/>
      </w:tabs>
      <w:adjustRightInd/>
      <w:ind w:left="840" w:hanging="420"/>
    </w:pPr>
  </w:style>
  <w:style w:type="paragraph" w:customStyle="1" w:styleId="626">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69">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6"/>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40"/>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4"/>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0"/>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8"/>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autoRedefine/>
    <w:qFormat/>
    <w:uiPriority w:val="0"/>
    <w:pPr>
      <w:tabs>
        <w:tab w:val="left" w:pos="1080"/>
      </w:tabs>
      <w:ind w:left="1080" w:hanging="1080"/>
    </w:pPr>
  </w:style>
  <w:style w:type="paragraph" w:customStyle="1" w:styleId="896">
    <w:name w:val="数字标题1"/>
    <w:basedOn w:val="4"/>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3"/>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7"/>
    <w:autoRedefine/>
    <w:qFormat/>
    <w:uiPriority w:val="0"/>
    <w:rPr>
      <w:kern w:val="2"/>
      <w:sz w:val="21"/>
      <w:szCs w:val="24"/>
      <w:lang w:val="zh-CN"/>
    </w:rPr>
  </w:style>
  <w:style w:type="character" w:customStyle="1" w:styleId="932">
    <w:name w:val="无间隔 字符"/>
    <w:link w:val="483"/>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大标题"/>
    <w:basedOn w:val="437"/>
    <w:autoRedefine/>
    <w:qFormat/>
    <w:uiPriority w:val="0"/>
    <w:rPr>
      <w:szCs w:val="36"/>
    </w:rPr>
  </w:style>
  <w:style w:type="paragraph" w:customStyle="1" w:styleId="964">
    <w:name w:val="WPSOffice手动目录 1"/>
    <w:autoRedefine/>
    <w:qFormat/>
    <w:uiPriority w:val="0"/>
    <w:rPr>
      <w:rFonts w:ascii="Times New Roman" w:hAnsi="Times New Roman" w:eastAsia="宋体" w:cs="Times New Roman"/>
      <w:lang w:val="en-US" w:eastAsia="zh-CN" w:bidi="ar-SA"/>
    </w:rPr>
  </w:style>
  <w:style w:type="paragraph" w:customStyle="1" w:styleId="965">
    <w:name w:val="Style1"/>
    <w:autoRedefine/>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966">
    <w:name w:val="Body text|1"/>
    <w:basedOn w:val="1"/>
    <w:autoRedefine/>
    <w:qFormat/>
    <w:uiPriority w:val="0"/>
    <w:pPr>
      <w:spacing w:line="480" w:lineRule="auto"/>
      <w:ind w:firstLine="140"/>
    </w:pPr>
    <w:rPr>
      <w:rFonts w:ascii="宋体" w:hAnsi="宋体" w:cs="宋体"/>
      <w:sz w:val="22"/>
      <w:szCs w:val="22"/>
      <w:lang w:val="zh-TW" w:eastAsia="zh-TW" w:bidi="zh-TW"/>
    </w:rPr>
  </w:style>
  <w:style w:type="character" w:customStyle="1" w:styleId="967">
    <w:name w:val="标题 2 字符1"/>
    <w:autoRedefine/>
    <w:qFormat/>
    <w:uiPriority w:val="0"/>
    <w:rPr>
      <w:rFonts w:ascii="Arial" w:hAnsi="Arial" w:eastAsia="宋体"/>
      <w:b/>
      <w:bCs/>
      <w:kern w:val="2"/>
      <w:sz w:val="28"/>
      <w:szCs w:val="32"/>
      <w:lang w:val="en-US" w:eastAsia="zh-CN" w:bidi="ar-SA"/>
    </w:rPr>
  </w:style>
  <w:style w:type="paragraph" w:customStyle="1" w:styleId="968">
    <w:name w:val="正文内容"/>
    <w:basedOn w:val="1"/>
    <w:autoRedefine/>
    <w:qFormat/>
    <w:uiPriority w:val="0"/>
    <w:pPr>
      <w:spacing w:line="400" w:lineRule="exact"/>
      <w:ind w:firstLine="560" w:firstLineChars="200"/>
    </w:pPr>
    <w:rPr>
      <w:rFonts w:ascii="宋体" w:hAnsi="宋体" w:cs="黑体"/>
      <w:color w:val="000000"/>
      <w:sz w:val="28"/>
      <w:szCs w:val="28"/>
    </w:rPr>
  </w:style>
  <w:style w:type="table" w:customStyle="1" w:styleId="969">
    <w:name w:val="Table Normal"/>
    <w:autoRedefine/>
    <w:semiHidden/>
    <w:unhideWhenUsed/>
    <w:qFormat/>
    <w:uiPriority w:val="0"/>
    <w:tblPr>
      <w:tblCellMar>
        <w:top w:w="0" w:type="dxa"/>
        <w:left w:w="0" w:type="dxa"/>
        <w:bottom w:w="0" w:type="dxa"/>
        <w:right w:w="0" w:type="dxa"/>
      </w:tblCellMar>
    </w:tblPr>
  </w:style>
  <w:style w:type="paragraph" w:customStyle="1" w:styleId="970">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971">
    <w:name w:val="列表段落2"/>
    <w:basedOn w:val="1"/>
    <w:autoRedefine/>
    <w:qFormat/>
    <w:uiPriority w:val="34"/>
    <w:pPr>
      <w:spacing w:line="360" w:lineRule="auto"/>
      <w:ind w:firstLine="200" w:firstLineChars="200"/>
    </w:pPr>
    <w:rPr>
      <w:rFonts w:eastAsia="楷体_GB2312" w:cs="Lucida Sans"/>
      <w:sz w:val="24"/>
    </w:rPr>
  </w:style>
  <w:style w:type="paragraph" w:customStyle="1" w:styleId="97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89</Pages>
  <Words>50363</Words>
  <Characters>52738</Characters>
  <Lines>1</Lines>
  <Paragraphs>1</Paragraphs>
  <TotalTime>23</TotalTime>
  <ScaleCrop>false</ScaleCrop>
  <LinksUpToDate>false</LinksUpToDate>
  <CharactersWithSpaces>57810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2023-05-05T09:25:00Z</dcterms:created>
  <dc:creator>玥</dc:creator>
  <cp:lastModifiedBy>NTKO</cp:lastModifiedBy>
  <cp:lastPrinted>2024-11-27T01:30:00Z</cp:lastPrinted>
  <dcterms:modified xsi:type="dcterms:W3CDTF">2025-01-08T06:59:14Z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16590FC0106E445CA19812A820185CAE_13</vt:lpwstr>
  </property>
  <property fmtid="{D5CDD505-2E9C-101B-9397-08002B2CF9AE}" pid="5" name="KSOTemplateDocerSaveRecord">
    <vt:lpwstr>eyJoZGlkIjoiNzIxMGUzYTBmMGRjMGU3YjFmZTI5YjA2NTVhMWZiZmQiLCJ1c2VySWQiOiI0MzYzOTc2MDAifQ==</vt:lpwstr>
  </property>
</Properties>
</file>