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7FAF">
      <w:pPr>
        <w:wordWrap w:val="0"/>
        <w:spacing w:line="360" w:lineRule="auto"/>
        <w:ind w:firstLine="482"/>
        <w:jc w:val="center"/>
        <w:rPr>
          <w:rFonts w:hint="eastAsia" w:ascii="仿宋" w:hAnsi="仿宋" w:eastAsia="仿宋" w:cs="仿宋"/>
          <w:b/>
          <w:color w:val="auto"/>
          <w:sz w:val="24"/>
          <w:highlight w:val="none"/>
        </w:rPr>
      </w:pPr>
    </w:p>
    <w:p w14:paraId="22B67FB0">
      <w:pPr>
        <w:wordWrap w:val="0"/>
        <w:adjustRightInd/>
        <w:spacing w:line="360" w:lineRule="auto"/>
        <w:ind w:firstLine="883"/>
        <w:jc w:val="center"/>
        <w:rPr>
          <w:rFonts w:hint="eastAsia" w:ascii="仿宋" w:hAnsi="仿宋" w:eastAsia="仿宋" w:cs="仿宋"/>
          <w:b/>
          <w:color w:val="auto"/>
          <w:sz w:val="44"/>
          <w:szCs w:val="44"/>
          <w:highlight w:val="none"/>
        </w:rPr>
      </w:pPr>
    </w:p>
    <w:p w14:paraId="22B67FB1">
      <w:pPr>
        <w:wordWrap w:val="0"/>
        <w:spacing w:line="360" w:lineRule="auto"/>
        <w:ind w:firstLine="883"/>
        <w:jc w:val="center"/>
        <w:rPr>
          <w:rFonts w:hint="eastAsia" w:ascii="仿宋" w:hAnsi="仿宋" w:eastAsia="仿宋" w:cs="仿宋"/>
          <w:b/>
          <w:color w:val="auto"/>
          <w:sz w:val="44"/>
          <w:szCs w:val="44"/>
          <w:highlight w:val="none"/>
        </w:rPr>
      </w:pPr>
    </w:p>
    <w:p w14:paraId="22B67FB2">
      <w:pPr>
        <w:wordWrap w:val="0"/>
        <w:ind w:firstLine="723"/>
        <w:jc w:val="center"/>
        <w:outlineLvl w:val="0"/>
        <w:rPr>
          <w:rFonts w:hint="eastAsia"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bookmarkStart w:id="0" w:name="_Toc361"/>
      <w:r>
        <w:rPr>
          <w:rFonts w:hint="eastAsia" w:ascii="仿宋" w:hAnsi="仿宋" w:eastAsia="仿宋" w:cs="仿宋"/>
          <w:b/>
          <w:color w:val="auto"/>
          <w:sz w:val="72"/>
          <w:szCs w:val="72"/>
          <w:highlight w:val="none"/>
        </w:rPr>
        <w:t>政府采购公开招标文件</w:t>
      </w:r>
      <w:bookmarkEnd w:id="0"/>
    </w:p>
    <w:p w14:paraId="22B67FB3">
      <w:pPr>
        <w:widowControl/>
        <w:wordWrap w:val="0"/>
        <w:ind w:firstLine="883"/>
        <w:jc w:val="center"/>
        <w:rPr>
          <w:rFonts w:hint="eastAsia" w:ascii="仿宋" w:hAnsi="仿宋" w:eastAsia="仿宋" w:cs="仿宋"/>
          <w:b/>
          <w:color w:val="auto"/>
          <w:sz w:val="44"/>
          <w:szCs w:val="44"/>
          <w:highlight w:val="none"/>
        </w:rPr>
      </w:pPr>
    </w:p>
    <w:p w14:paraId="22B67FB4">
      <w:pPr>
        <w:widowControl/>
        <w:wordWrap w:val="0"/>
        <w:ind w:firstLine="883"/>
        <w:jc w:val="center"/>
        <w:rPr>
          <w:rFonts w:hint="eastAsia" w:ascii="仿宋" w:hAnsi="仿宋" w:eastAsia="仿宋" w:cs="仿宋"/>
          <w:b/>
          <w:color w:val="auto"/>
          <w:sz w:val="44"/>
          <w:szCs w:val="44"/>
          <w:highlight w:val="none"/>
        </w:rPr>
      </w:pPr>
    </w:p>
    <w:p w14:paraId="22B67FB5">
      <w:pPr>
        <w:widowControl/>
        <w:wordWrap w:val="0"/>
        <w:ind w:firstLine="883"/>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2B67FB6">
      <w:pPr>
        <w:pStyle w:val="58"/>
        <w:ind w:firstLine="482"/>
        <w:rPr>
          <w:rFonts w:hint="eastAsia" w:ascii="仿宋" w:hAnsi="仿宋" w:eastAsia="仿宋" w:cs="仿宋"/>
          <w:color w:val="auto"/>
          <w:highlight w:val="none"/>
        </w:rPr>
      </w:pPr>
    </w:p>
    <w:tbl>
      <w:tblPr>
        <w:tblStyle w:val="62"/>
        <w:tblpPr w:leftFromText="180" w:rightFromText="180" w:vertAnchor="text" w:horzAnchor="page" w:tblpX="2004" w:tblpY="441"/>
        <w:tblOverlap w:val="never"/>
        <w:tblW w:w="7686" w:type="dxa"/>
        <w:tblInd w:w="0" w:type="dxa"/>
        <w:tblLayout w:type="fixed"/>
        <w:tblCellMar>
          <w:top w:w="0" w:type="dxa"/>
          <w:left w:w="108" w:type="dxa"/>
          <w:bottom w:w="0" w:type="dxa"/>
          <w:right w:w="108" w:type="dxa"/>
        </w:tblCellMar>
      </w:tblPr>
      <w:tblGrid>
        <w:gridCol w:w="1926"/>
        <w:gridCol w:w="5760"/>
      </w:tblGrid>
      <w:tr w14:paraId="22B67FB9">
        <w:tblPrEx>
          <w:tblCellMar>
            <w:top w:w="0" w:type="dxa"/>
            <w:left w:w="108" w:type="dxa"/>
            <w:bottom w:w="0" w:type="dxa"/>
            <w:right w:w="108" w:type="dxa"/>
          </w:tblCellMar>
        </w:tblPrEx>
        <w:trPr>
          <w:trHeight w:val="1213" w:hRule="atLeast"/>
        </w:trPr>
        <w:tc>
          <w:tcPr>
            <w:tcW w:w="1926" w:type="dxa"/>
            <w:vAlign w:val="center"/>
          </w:tcPr>
          <w:p w14:paraId="22B67FB7">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760" w:type="dxa"/>
            <w:vAlign w:val="center"/>
          </w:tcPr>
          <w:p w14:paraId="22B67FB8">
            <w:pPr>
              <w:pStyle w:val="3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古荡公园泵站、古荡湾（水）闸、冯家港船闸等养护服务采购项目</w:t>
            </w:r>
          </w:p>
        </w:tc>
      </w:tr>
      <w:tr w14:paraId="22B67FBC">
        <w:tblPrEx>
          <w:tblCellMar>
            <w:top w:w="0" w:type="dxa"/>
            <w:left w:w="108" w:type="dxa"/>
            <w:bottom w:w="0" w:type="dxa"/>
            <w:right w:w="108" w:type="dxa"/>
          </w:tblCellMar>
        </w:tblPrEx>
        <w:trPr>
          <w:trHeight w:val="1213" w:hRule="atLeast"/>
        </w:trPr>
        <w:tc>
          <w:tcPr>
            <w:tcW w:w="1926" w:type="dxa"/>
            <w:vAlign w:val="center"/>
          </w:tcPr>
          <w:p w14:paraId="22B67FBA">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760" w:type="dxa"/>
            <w:vAlign w:val="center"/>
          </w:tcPr>
          <w:p w14:paraId="22B67FBB">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ZJCT6-HD2025-02</w:t>
            </w:r>
          </w:p>
        </w:tc>
      </w:tr>
    </w:tbl>
    <w:p w14:paraId="22B67FBD">
      <w:pPr>
        <w:wordWrap w:val="0"/>
        <w:spacing w:line="440" w:lineRule="exact"/>
        <w:ind w:firstLine="482"/>
        <w:jc w:val="center"/>
        <w:rPr>
          <w:rFonts w:hint="eastAsia" w:ascii="仿宋" w:hAnsi="仿宋" w:eastAsia="仿宋" w:cs="仿宋"/>
          <w:b/>
          <w:color w:val="auto"/>
          <w:sz w:val="24"/>
          <w:highlight w:val="none"/>
        </w:rPr>
      </w:pPr>
    </w:p>
    <w:p w14:paraId="22B67FBE">
      <w:pPr>
        <w:wordWrap w:val="0"/>
        <w:spacing w:line="440" w:lineRule="exact"/>
        <w:jc w:val="center"/>
        <w:rPr>
          <w:rFonts w:hint="eastAsia" w:ascii="仿宋" w:hAnsi="仿宋" w:eastAsia="仿宋" w:cs="仿宋"/>
          <w:color w:val="auto"/>
          <w:kern w:val="0"/>
          <w:sz w:val="24"/>
          <w:highlight w:val="none"/>
        </w:rPr>
      </w:pPr>
    </w:p>
    <w:p w14:paraId="22B67FBF">
      <w:pPr>
        <w:wordWrap w:val="0"/>
        <w:spacing w:line="440" w:lineRule="exact"/>
        <w:jc w:val="center"/>
        <w:rPr>
          <w:rFonts w:hint="eastAsia" w:ascii="仿宋" w:hAnsi="仿宋" w:eastAsia="仿宋" w:cs="仿宋"/>
          <w:color w:val="auto"/>
          <w:sz w:val="24"/>
          <w:highlight w:val="none"/>
        </w:rPr>
      </w:pPr>
    </w:p>
    <w:p w14:paraId="22B67FC0">
      <w:pPr>
        <w:wordWrap w:val="0"/>
        <w:spacing w:line="440" w:lineRule="exact"/>
        <w:jc w:val="center"/>
        <w:rPr>
          <w:rFonts w:hint="eastAsia" w:ascii="仿宋" w:hAnsi="仿宋" w:eastAsia="仿宋" w:cs="仿宋"/>
          <w:color w:val="auto"/>
          <w:sz w:val="24"/>
          <w:highlight w:val="none"/>
        </w:rPr>
      </w:pPr>
    </w:p>
    <w:p w14:paraId="22B67FC1">
      <w:pPr>
        <w:wordWrap w:val="0"/>
        <w:spacing w:line="440" w:lineRule="exact"/>
        <w:jc w:val="center"/>
        <w:rPr>
          <w:rFonts w:hint="eastAsia" w:ascii="仿宋" w:hAnsi="仿宋" w:eastAsia="仿宋" w:cs="仿宋"/>
          <w:color w:val="auto"/>
          <w:sz w:val="24"/>
          <w:highlight w:val="none"/>
        </w:rPr>
      </w:pPr>
    </w:p>
    <w:p w14:paraId="22B67FC2">
      <w:pPr>
        <w:wordWrap w:val="0"/>
        <w:spacing w:line="440" w:lineRule="exact"/>
        <w:jc w:val="center"/>
        <w:rPr>
          <w:rFonts w:hint="eastAsia" w:ascii="仿宋" w:hAnsi="仿宋" w:eastAsia="仿宋" w:cs="仿宋"/>
          <w:color w:val="auto"/>
          <w:sz w:val="24"/>
          <w:highlight w:val="none"/>
        </w:rPr>
      </w:pPr>
    </w:p>
    <w:p w14:paraId="22B67FC3">
      <w:pPr>
        <w:pStyle w:val="79"/>
        <w:wordWrap w:val="0"/>
        <w:spacing w:line="440" w:lineRule="exact"/>
        <w:rPr>
          <w:rFonts w:hint="eastAsia" w:ascii="仿宋" w:hAnsi="仿宋" w:eastAsia="仿宋" w:cs="仿宋"/>
          <w:color w:val="auto"/>
          <w:szCs w:val="24"/>
          <w:highlight w:val="none"/>
        </w:rPr>
      </w:pPr>
    </w:p>
    <w:p w14:paraId="22B67FC4">
      <w:pPr>
        <w:pStyle w:val="79"/>
        <w:wordWrap w:val="0"/>
        <w:spacing w:line="440" w:lineRule="exact"/>
        <w:rPr>
          <w:rFonts w:hint="eastAsia" w:ascii="仿宋" w:hAnsi="仿宋" w:eastAsia="仿宋" w:cs="仿宋"/>
          <w:color w:val="auto"/>
          <w:szCs w:val="24"/>
          <w:highlight w:val="none"/>
        </w:rPr>
      </w:pPr>
    </w:p>
    <w:p w14:paraId="22B67FC5">
      <w:pPr>
        <w:pStyle w:val="79"/>
        <w:wordWrap w:val="0"/>
        <w:spacing w:line="440" w:lineRule="exact"/>
        <w:rPr>
          <w:rFonts w:hint="eastAsia" w:ascii="仿宋" w:hAnsi="仿宋" w:eastAsia="仿宋" w:cs="仿宋"/>
          <w:color w:val="auto"/>
          <w:szCs w:val="24"/>
          <w:highlight w:val="none"/>
        </w:rPr>
      </w:pPr>
    </w:p>
    <w:p w14:paraId="22B67FC6">
      <w:pPr>
        <w:pStyle w:val="79"/>
        <w:wordWrap w:val="0"/>
        <w:spacing w:line="440" w:lineRule="exact"/>
        <w:rPr>
          <w:rFonts w:hint="eastAsia" w:ascii="仿宋" w:hAnsi="仿宋" w:eastAsia="仿宋" w:cs="仿宋"/>
          <w:color w:val="auto"/>
          <w:szCs w:val="24"/>
          <w:highlight w:val="none"/>
        </w:rPr>
      </w:pPr>
    </w:p>
    <w:p w14:paraId="22B67FC7">
      <w:pPr>
        <w:pStyle w:val="79"/>
        <w:wordWrap w:val="0"/>
        <w:spacing w:line="440" w:lineRule="exact"/>
        <w:rPr>
          <w:rFonts w:hint="eastAsia" w:ascii="仿宋" w:hAnsi="仿宋" w:eastAsia="仿宋" w:cs="仿宋"/>
          <w:color w:val="auto"/>
          <w:szCs w:val="24"/>
          <w:highlight w:val="none"/>
        </w:rPr>
      </w:pPr>
    </w:p>
    <w:p w14:paraId="22B67FC8">
      <w:pPr>
        <w:pStyle w:val="79"/>
        <w:wordWrap w:val="0"/>
        <w:spacing w:line="440" w:lineRule="exact"/>
        <w:rPr>
          <w:rFonts w:hint="eastAsia" w:ascii="仿宋" w:hAnsi="仿宋" w:eastAsia="仿宋" w:cs="仿宋"/>
          <w:color w:val="auto"/>
          <w:szCs w:val="24"/>
          <w:highlight w:val="none"/>
        </w:rPr>
      </w:pPr>
    </w:p>
    <w:tbl>
      <w:tblPr>
        <w:tblStyle w:val="62"/>
        <w:tblW w:w="9157" w:type="dxa"/>
        <w:jc w:val="center"/>
        <w:tblLayout w:type="fixed"/>
        <w:tblCellMar>
          <w:top w:w="0" w:type="dxa"/>
          <w:left w:w="108" w:type="dxa"/>
          <w:bottom w:w="0" w:type="dxa"/>
          <w:right w:w="108" w:type="dxa"/>
        </w:tblCellMar>
      </w:tblPr>
      <w:tblGrid>
        <w:gridCol w:w="2247"/>
        <w:gridCol w:w="6910"/>
      </w:tblGrid>
      <w:tr w14:paraId="22B67FCC">
        <w:tblPrEx>
          <w:tblCellMar>
            <w:top w:w="0" w:type="dxa"/>
            <w:left w:w="108" w:type="dxa"/>
            <w:bottom w:w="0" w:type="dxa"/>
            <w:right w:w="108" w:type="dxa"/>
          </w:tblCellMar>
        </w:tblPrEx>
        <w:trPr>
          <w:trHeight w:val="858" w:hRule="atLeast"/>
          <w:jc w:val="center"/>
        </w:trPr>
        <w:tc>
          <w:tcPr>
            <w:tcW w:w="2247" w:type="dxa"/>
            <w:vAlign w:val="center"/>
          </w:tcPr>
          <w:p w14:paraId="22B67FCA">
            <w:pPr>
              <w:keepNext w:val="0"/>
              <w:keepLines w:val="0"/>
              <w:suppressLineNumbers w:val="0"/>
              <w:wordWrap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采</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购</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人：</w:t>
            </w:r>
          </w:p>
        </w:tc>
        <w:tc>
          <w:tcPr>
            <w:tcW w:w="6910" w:type="dxa"/>
            <w:vAlign w:val="center"/>
          </w:tcPr>
          <w:p w14:paraId="22B67FCB">
            <w:pPr>
              <w:pStyle w:val="3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杭州市城市水设施和河道保护管理中心</w:t>
            </w:r>
          </w:p>
        </w:tc>
      </w:tr>
      <w:tr w14:paraId="22B67FCF">
        <w:tblPrEx>
          <w:tblCellMar>
            <w:top w:w="0" w:type="dxa"/>
            <w:left w:w="108" w:type="dxa"/>
            <w:bottom w:w="0" w:type="dxa"/>
            <w:right w:w="108" w:type="dxa"/>
          </w:tblCellMar>
        </w:tblPrEx>
        <w:trPr>
          <w:trHeight w:val="943" w:hRule="atLeast"/>
          <w:jc w:val="center"/>
        </w:trPr>
        <w:tc>
          <w:tcPr>
            <w:tcW w:w="2247" w:type="dxa"/>
            <w:vAlign w:val="center"/>
          </w:tcPr>
          <w:p w14:paraId="22B67FCD">
            <w:pPr>
              <w:keepNext w:val="0"/>
              <w:keepLines w:val="0"/>
              <w:suppressLineNumbers w:val="0"/>
              <w:wordWrap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910" w:type="dxa"/>
            <w:vAlign w:val="center"/>
          </w:tcPr>
          <w:p w14:paraId="22B67FCE">
            <w:pPr>
              <w:pStyle w:val="3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浙江省成套工程有限公司</w:t>
            </w:r>
          </w:p>
        </w:tc>
      </w:tr>
      <w:tr w14:paraId="22B67FD2">
        <w:tblPrEx>
          <w:tblCellMar>
            <w:top w:w="0" w:type="dxa"/>
            <w:left w:w="108" w:type="dxa"/>
            <w:bottom w:w="0" w:type="dxa"/>
            <w:right w:w="108" w:type="dxa"/>
          </w:tblCellMar>
        </w:tblPrEx>
        <w:trPr>
          <w:trHeight w:val="929" w:hRule="atLeast"/>
          <w:jc w:val="center"/>
        </w:trPr>
        <w:tc>
          <w:tcPr>
            <w:tcW w:w="2247" w:type="dxa"/>
            <w:vAlign w:val="center"/>
          </w:tcPr>
          <w:p w14:paraId="22B67FD0">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910" w:type="dxa"/>
            <w:vAlign w:val="center"/>
          </w:tcPr>
          <w:p w14:paraId="22B67FD1">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eastAsia="zh-CN"/>
              </w:rPr>
              <w:t>八</w:t>
            </w:r>
            <w:r>
              <w:rPr>
                <w:rFonts w:hint="eastAsia" w:ascii="仿宋" w:hAnsi="仿宋" w:eastAsia="仿宋" w:cs="仿宋"/>
                <w:b/>
                <w:bCs/>
                <w:color w:val="auto"/>
                <w:sz w:val="36"/>
                <w:szCs w:val="36"/>
                <w:highlight w:val="none"/>
              </w:rPr>
              <w:t>日</w:t>
            </w:r>
          </w:p>
        </w:tc>
      </w:tr>
    </w:tbl>
    <w:p w14:paraId="3859A14E">
      <w:pPr>
        <w:wordWrap w:val="0"/>
        <w:spacing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22B67FD4">
      <w:pPr>
        <w:pStyle w:val="58"/>
        <w:ind w:firstLine="482"/>
        <w:rPr>
          <w:rFonts w:hint="eastAsia" w:ascii="仿宋" w:hAnsi="仿宋" w:eastAsia="仿宋" w:cs="仿宋"/>
          <w:color w:val="auto"/>
          <w:highlight w:val="none"/>
        </w:rPr>
      </w:pPr>
    </w:p>
    <w:p w14:paraId="22B67FD5">
      <w:pPr>
        <w:wordWrap w:val="0"/>
        <w:spacing w:line="360" w:lineRule="auto"/>
        <w:ind w:firstLine="723"/>
        <w:jc w:val="center"/>
        <w:rPr>
          <w:rFonts w:hint="eastAsia" w:ascii="仿宋" w:hAnsi="仿宋" w:eastAsia="仿宋" w:cs="仿宋"/>
          <w:b/>
          <w:bCs/>
          <w:color w:val="auto"/>
          <w:sz w:val="36"/>
          <w:szCs w:val="36"/>
          <w:highlight w:val="none"/>
        </w:rPr>
      </w:pPr>
      <w:bookmarkStart w:id="1" w:name="_Hlt91233176"/>
      <w:bookmarkEnd w:id="1"/>
      <w:bookmarkStart w:id="2" w:name="_Toc91899869"/>
      <w:r>
        <w:rPr>
          <w:rFonts w:hint="eastAsia" w:ascii="仿宋" w:hAnsi="仿宋" w:eastAsia="仿宋" w:cs="仿宋"/>
          <w:b/>
          <w:bCs/>
          <w:color w:val="auto"/>
          <w:sz w:val="36"/>
          <w:szCs w:val="36"/>
          <w:highlight w:val="none"/>
        </w:rPr>
        <w:t>目录</w:t>
      </w:r>
    </w:p>
    <w:sdt>
      <w:sdtPr>
        <w:rPr>
          <w:rFonts w:ascii="宋体" w:hAnsi="宋体"/>
          <w:color w:val="auto"/>
          <w:highlight w:val="none"/>
        </w:rPr>
        <w:id w:val="147456608"/>
        <w15:color w:val="DBDBDB"/>
        <w:docPartObj>
          <w:docPartGallery w:val="Table of Contents"/>
          <w:docPartUnique/>
        </w:docPartObj>
      </w:sdtPr>
      <w:sdtEndPr>
        <w:rPr>
          <w:rFonts w:ascii="仿宋" w:hAnsi="仿宋" w:eastAsia="仿宋" w:cs="仿宋"/>
          <w:color w:val="auto"/>
          <w:highlight w:val="none"/>
        </w:rPr>
      </w:sdtEndPr>
      <w:sdtContent>
        <w:p w14:paraId="22B67FD6">
          <w:pPr>
            <w:jc w:val="center"/>
            <w:rPr>
              <w:color w:val="auto"/>
              <w:highlight w:val="none"/>
            </w:rPr>
          </w:pPr>
        </w:p>
        <w:p w14:paraId="22B67FD7">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40"/>
              <w:szCs w:val="28"/>
              <w:highlight w:val="none"/>
            </w:rPr>
            <w:fldChar w:fldCharType="begin"/>
          </w:r>
          <w:r>
            <w:rPr>
              <w:rFonts w:hint="eastAsia" w:ascii="仿宋" w:hAnsi="仿宋" w:eastAsia="仿宋" w:cs="仿宋"/>
              <w:color w:val="auto"/>
              <w:sz w:val="40"/>
              <w:szCs w:val="28"/>
              <w:highlight w:val="none"/>
            </w:rPr>
            <w:instrText xml:space="preserve">TOC \o "1-1" \h \u </w:instrText>
          </w:r>
          <w:r>
            <w:rPr>
              <w:rFonts w:hint="eastAsia" w:ascii="仿宋" w:hAnsi="仿宋" w:eastAsia="仿宋" w:cs="仿宋"/>
              <w:color w:val="auto"/>
              <w:sz w:val="40"/>
              <w:szCs w:val="28"/>
              <w:highlight w:val="none"/>
            </w:rPr>
            <w:fldChar w:fldCharType="separate"/>
          </w:r>
          <w:r>
            <w:rPr>
              <w:color w:val="auto"/>
              <w:highlight w:val="none"/>
            </w:rPr>
            <w:fldChar w:fldCharType="begin"/>
          </w:r>
          <w:r>
            <w:rPr>
              <w:color w:val="auto"/>
              <w:highlight w:val="none"/>
            </w:rPr>
            <w:instrText xml:space="preserve"> HYPERLINK \l "_Toc20941"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8">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"_Toc15530"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_Toc15530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9">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"_Toc32166" </w:instrText>
          </w:r>
          <w:r>
            <w:rPr>
              <w:color w:val="auto"/>
              <w:highlight w:val="none"/>
            </w:rPr>
            <w:fldChar w:fldCharType="separate"/>
          </w:r>
          <w:r>
            <w:rPr>
              <w:rFonts w:hint="eastAsia" w:ascii="仿宋" w:hAnsi="仿宋" w:eastAsia="仿宋" w:cs="仿宋"/>
              <w:color w:val="auto"/>
              <w:sz w:val="28"/>
              <w:szCs w:val="52"/>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_Toc32166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A">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hint="eastAsia" w:ascii="仿宋" w:hAnsi="仿宋" w:eastAsia="仿宋" w:cs="仿宋"/>
              <w:color w:val="auto"/>
              <w:sz w:val="28"/>
              <w:szCs w:val="52"/>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B">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"_Toc15911" </w:instrText>
          </w:r>
          <w:r>
            <w:rPr>
              <w:color w:val="auto"/>
              <w:highlight w:val="none"/>
            </w:rPr>
            <w:fldChar w:fldCharType="separate"/>
          </w:r>
          <w:r>
            <w:rPr>
              <w:rFonts w:hint="eastAsia" w:ascii="仿宋" w:hAnsi="仿宋" w:eastAsia="仿宋" w:cs="仿宋"/>
              <w:color w:val="auto"/>
              <w:sz w:val="28"/>
              <w:szCs w:val="52"/>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C">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"_Toc28848"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_Toc28848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D">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"_Toc1515" </w:instrText>
          </w:r>
          <w:r>
            <w:rPr>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46CD09">
          <w:pPr>
            <w:pStyle w:val="964"/>
            <w:tabs>
              <w:tab w:val="right" w:leader="dot" w:pos="9071"/>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另附：</w:t>
          </w:r>
        </w:p>
        <w:p w14:paraId="575EE6DD">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杭州城市河道相关船闸/水闸、泵站及配套闸门基本情况表</w:t>
          </w:r>
        </w:p>
        <w:p w14:paraId="1E950F6A">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附件2城市河道闸站运行维护管理规范</w:t>
          </w:r>
        </w:p>
        <w:p w14:paraId="633BC3F3">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附件3杭州市城市河道养护人员作业行为规范（试行）</w:t>
          </w:r>
        </w:p>
        <w:p w14:paraId="06F9F247">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附件4杭州市市管河道闸站长效管理考核实施细则</w:t>
          </w:r>
        </w:p>
        <w:p w14:paraId="56D36D61">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附件5杭州市城市河道相关闸站运行维护费用（简明）</w:t>
          </w:r>
        </w:p>
        <w:p w14:paraId="30830118">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附件6杭州市城市河道相关闸站等级划分</w:t>
          </w:r>
        </w:p>
        <w:p w14:paraId="15219D57">
          <w:pPr>
            <w:pStyle w:val="964"/>
            <w:tabs>
              <w:tab w:val="right" w:leader="dot" w:pos="9071"/>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附件7杭州市城市河道相关闸站运行维护费用（组成）</w:t>
          </w:r>
        </w:p>
        <w:p w14:paraId="22B67FDF">
          <w:pPr>
            <w:wordWrap w:val="0"/>
            <w:spacing w:line="360" w:lineRule="auto"/>
            <w:ind w:firstLine="640"/>
            <w:rPr>
              <w:rFonts w:hint="eastAsia" w:ascii="仿宋" w:hAnsi="仿宋" w:eastAsia="仿宋" w:cs="仿宋"/>
              <w:color w:val="auto"/>
              <w:highlight w:val="none"/>
            </w:rPr>
          </w:pPr>
          <w:r>
            <w:rPr>
              <w:rFonts w:hint="eastAsia" w:ascii="仿宋" w:hAnsi="仿宋" w:eastAsia="仿宋" w:cs="仿宋"/>
              <w:color w:val="auto"/>
              <w:sz w:val="32"/>
              <w:szCs w:val="40"/>
              <w:highlight w:val="none"/>
            </w:rPr>
            <w:fldChar w:fldCharType="end"/>
          </w:r>
        </w:p>
      </w:sdtContent>
    </w:sdt>
    <w:p w14:paraId="22B67FE0">
      <w:pPr>
        <w:pStyle w:val="32"/>
        <w:rPr>
          <w:color w:val="auto"/>
          <w:highlight w:val="none"/>
        </w:rPr>
      </w:pPr>
    </w:p>
    <w:p w14:paraId="22B67FE1">
      <w:pPr>
        <w:wordWrap w:val="0"/>
        <w:spacing w:line="360" w:lineRule="auto"/>
        <w:ind w:firstLine="549" w:firstLineChars="229"/>
        <w:rPr>
          <w:rFonts w:hint="eastAsia" w:ascii="仿宋" w:hAnsi="仿宋" w:eastAsia="仿宋" w:cs="仿宋"/>
          <w:color w:val="auto"/>
          <w:sz w:val="24"/>
          <w:highlight w:val="none"/>
        </w:rPr>
      </w:pPr>
    </w:p>
    <w:p w14:paraId="22B67FE2">
      <w:pPr>
        <w:wordWrap w:val="0"/>
        <w:spacing w:line="360" w:lineRule="auto"/>
        <w:ind w:firstLine="549" w:firstLineChars="229"/>
        <w:rPr>
          <w:rFonts w:hint="eastAsia" w:ascii="仿宋" w:hAnsi="仿宋" w:eastAsia="仿宋" w:cs="仿宋"/>
          <w:color w:val="auto"/>
          <w:sz w:val="24"/>
          <w:highlight w:val="none"/>
        </w:rPr>
      </w:pPr>
    </w:p>
    <w:p w14:paraId="22B67FE3">
      <w:pPr>
        <w:wordWrap w:val="0"/>
        <w:spacing w:line="360" w:lineRule="auto"/>
        <w:ind w:firstLine="549" w:firstLineChars="229"/>
        <w:rPr>
          <w:rFonts w:hint="eastAsia" w:ascii="仿宋" w:hAnsi="仿宋" w:eastAsia="仿宋" w:cs="仿宋"/>
          <w:color w:val="auto"/>
          <w:sz w:val="24"/>
          <w:highlight w:val="none"/>
        </w:rPr>
      </w:pPr>
    </w:p>
    <w:p w14:paraId="22B67FE4">
      <w:pPr>
        <w:wordWrap w:val="0"/>
        <w:spacing w:line="360" w:lineRule="auto"/>
        <w:rPr>
          <w:rFonts w:hint="eastAsia" w:ascii="仿宋" w:hAnsi="仿宋" w:eastAsia="仿宋" w:cs="仿宋"/>
          <w:color w:val="auto"/>
          <w:sz w:val="24"/>
          <w:highlight w:val="none"/>
        </w:rPr>
      </w:pPr>
    </w:p>
    <w:bookmarkEnd w:id="2"/>
    <w:p w14:paraId="264056E5">
      <w:pPr>
        <w:wordWrap w:val="0"/>
        <w:adjustRightInd/>
        <w:spacing w:line="360" w:lineRule="auto"/>
        <w:ind w:firstLine="723"/>
        <w:jc w:val="center"/>
        <w:rPr>
          <w:rFonts w:hint="eastAsia"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3" w:name="_Hlt74707423"/>
      <w:bookmarkEnd w:id="3"/>
      <w:bookmarkStart w:id="4" w:name="_Hlt74649545"/>
      <w:bookmarkEnd w:id="4"/>
      <w:bookmarkStart w:id="5" w:name="_Hlt74728647"/>
      <w:bookmarkEnd w:id="5"/>
      <w:bookmarkStart w:id="6" w:name="_Hlt74729822"/>
      <w:bookmarkEnd w:id="6"/>
      <w:bookmarkStart w:id="7" w:name="_Toc18065"/>
      <w:bookmarkStart w:id="8" w:name="_Toc12153"/>
      <w:bookmarkStart w:id="9" w:name="_Toc20857"/>
      <w:bookmarkStart w:id="10" w:name="_Toc31815"/>
      <w:bookmarkStart w:id="11" w:name="_Toc14735"/>
      <w:bookmarkStart w:id="12" w:name="_Toc597"/>
      <w:bookmarkStart w:id="13" w:name="_Toc22995"/>
      <w:bookmarkStart w:id="14" w:name="第二部分"/>
      <w:bookmarkStart w:id="15" w:name="_Toc91899870"/>
      <w:bookmarkStart w:id="16" w:name="_Toc91899871"/>
    </w:p>
    <w:p w14:paraId="22B67FE6">
      <w:pPr>
        <w:wordWrap w:val="0"/>
        <w:adjustRightInd/>
        <w:spacing w:line="360" w:lineRule="auto"/>
        <w:ind w:firstLine="723"/>
        <w:jc w:val="center"/>
        <w:outlineLvl w:val="0"/>
        <w:rPr>
          <w:rFonts w:hint="eastAsia" w:ascii="仿宋" w:hAnsi="仿宋" w:eastAsia="仿宋" w:cs="仿宋"/>
          <w:b/>
          <w:color w:val="auto"/>
          <w:sz w:val="36"/>
          <w:szCs w:val="20"/>
          <w:highlight w:val="none"/>
        </w:rPr>
      </w:pPr>
      <w:bookmarkStart w:id="17" w:name="_Toc15208"/>
      <w:bookmarkStart w:id="18" w:name="_Toc20941"/>
      <w:r>
        <w:rPr>
          <w:rFonts w:hint="eastAsia" w:ascii="仿宋" w:hAnsi="仿宋" w:eastAsia="仿宋" w:cs="仿宋"/>
          <w:b/>
          <w:color w:val="auto"/>
          <w:sz w:val="36"/>
          <w:szCs w:val="20"/>
          <w:highlight w:val="none"/>
        </w:rPr>
        <w:t>第一部分 招标公告</w:t>
      </w:r>
      <w:bookmarkEnd w:id="7"/>
      <w:bookmarkEnd w:id="8"/>
      <w:bookmarkEnd w:id="9"/>
      <w:bookmarkEnd w:id="10"/>
      <w:bookmarkEnd w:id="11"/>
      <w:bookmarkEnd w:id="12"/>
      <w:bookmarkEnd w:id="13"/>
      <w:bookmarkEnd w:id="17"/>
      <w:bookmarkEnd w:id="18"/>
    </w:p>
    <w:p w14:paraId="22B67FE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B67FE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2</w:t>
      </w:r>
      <w:r>
        <w:rPr>
          <w:rStyle w:val="76"/>
          <w:rFonts w:hint="eastAsia" w:ascii="仿宋" w:hAnsi="仿宋" w:eastAsia="仿宋" w:cs="仿宋"/>
          <w:snapToGrid/>
          <w:color w:val="auto"/>
          <w:kern w:val="2"/>
          <w:sz w:val="24"/>
          <w:szCs w:val="24"/>
          <w:highlight w:val="none"/>
        </w:rPr>
        <w:t xml:space="preserve">月 </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日9点30分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2B67FE9">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2B67FEA">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ZJCT6-HD2025-02</w:t>
      </w:r>
    </w:p>
    <w:p w14:paraId="22B67FEB">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9" w:name="_Hlk91669529"/>
      <w:r>
        <w:rPr>
          <w:rFonts w:hint="eastAsia" w:ascii="仿宋" w:hAnsi="仿宋" w:eastAsia="仿宋" w:cs="仿宋"/>
          <w:color w:val="auto"/>
          <w:sz w:val="24"/>
          <w:highlight w:val="none"/>
          <w:lang w:eastAsia="zh-CN"/>
        </w:rPr>
        <w:t>古荡公园泵站、古荡湾（水）闸、冯家港船闸等养护服务采购项目</w:t>
      </w:r>
    </w:p>
    <w:bookmarkEnd w:id="19"/>
    <w:p w14:paraId="22B67FEC">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11322271.92</w:t>
      </w:r>
    </w:p>
    <w:p w14:paraId="22B67FED">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最高限价（元）：</w:t>
      </w:r>
      <w:r>
        <w:rPr>
          <w:rFonts w:hint="eastAsia" w:ascii="仿宋" w:hAnsi="仿宋" w:eastAsia="仿宋" w:cs="仿宋"/>
          <w:color w:val="auto"/>
          <w:sz w:val="24"/>
          <w:highlight w:val="none"/>
          <w:lang w:eastAsia="zh-CN"/>
        </w:rPr>
        <w:t>11322271.92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3774090.64</w:t>
      </w:r>
      <w:r>
        <w:rPr>
          <w:rFonts w:hint="eastAsia" w:ascii="仿宋" w:hAnsi="仿宋" w:eastAsia="仿宋" w:cs="仿宋"/>
          <w:color w:val="auto"/>
          <w:sz w:val="24"/>
          <w:highlight w:val="none"/>
        </w:rPr>
        <w:t>元/年）</w:t>
      </w:r>
    </w:p>
    <w:p w14:paraId="22B67FEE">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中小企业政策：</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预留</w:t>
      </w:r>
    </w:p>
    <w:p w14:paraId="22B67FEF">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运西片</w:t>
      </w:r>
      <w:r>
        <w:rPr>
          <w:rFonts w:hint="eastAsia" w:ascii="仿宋" w:hAnsi="仿宋" w:eastAsia="仿宋" w:cs="仿宋"/>
          <w:color w:val="auto"/>
          <w:sz w:val="24"/>
          <w:highlight w:val="none"/>
        </w:rPr>
        <w:t>闸站（包括</w:t>
      </w:r>
      <w:r>
        <w:rPr>
          <w:rFonts w:hint="eastAsia" w:ascii="仿宋" w:hAnsi="仿宋" w:eastAsia="仿宋" w:cs="仿宋"/>
          <w:color w:val="auto"/>
          <w:sz w:val="24"/>
          <w:highlight w:val="none"/>
          <w:lang w:eastAsia="zh-CN"/>
        </w:rPr>
        <w:t>古荡公园泵站、古荡湾（水）闸、冯家港船闸、莲花港船闸、紫金港船闸、蒋村港船闸、五常港船闸、蓬驾桥泵站8个闸站</w:t>
      </w:r>
      <w:r>
        <w:rPr>
          <w:rFonts w:hint="eastAsia" w:ascii="仿宋" w:hAnsi="仿宋" w:eastAsia="仿宋" w:cs="仿宋"/>
          <w:color w:val="auto"/>
          <w:sz w:val="24"/>
          <w:highlight w:val="none"/>
        </w:rPr>
        <w:t>）养护服务，包括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采购人委托的</w:t>
      </w:r>
      <w:r>
        <w:rPr>
          <w:rFonts w:hint="eastAsia" w:ascii="仿宋" w:hAnsi="仿宋" w:eastAsia="仿宋" w:cs="仿宋"/>
          <w:color w:val="auto"/>
          <w:sz w:val="24"/>
          <w:highlight w:val="none"/>
          <w:lang w:eastAsia="zh-CN"/>
        </w:rPr>
        <w:t>其他工作</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14:paraId="22B67FF0">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kern w:val="0"/>
          <w:sz w:val="24"/>
          <w:highlight w:val="none"/>
        </w:rPr>
        <w:t>三年。合同一年一签，年履约验收通过的则续签次年养护合同。</w:t>
      </w:r>
    </w:p>
    <w:p w14:paraId="22B67FF1">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22B67FF2">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2B67FF3">
      <w:pPr>
        <w:wordWrap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B67FF4">
      <w:pPr>
        <w:pStyle w:val="2"/>
        <w:keepNext w:val="0"/>
        <w:keepLines w:val="0"/>
        <w:ind w:left="0" w:firstLine="482" w:firstLineChars="200"/>
        <w:rPr>
          <w:rFonts w:hint="eastAsia" w:ascii="仿宋" w:eastAsia="仿宋" w:cs="仿宋"/>
          <w:snapToGrid w:val="0"/>
          <w:color w:val="auto"/>
          <w:kern w:val="28"/>
          <w:sz w:val="24"/>
          <w:szCs w:val="20"/>
          <w:highlight w:val="none"/>
        </w:rPr>
      </w:pPr>
      <w:r>
        <w:rPr>
          <w:rFonts w:hint="eastAsia" w:ascii="仿宋" w:eastAsia="仿宋" w:cs="仿宋"/>
          <w:snapToGrid w:val="0"/>
          <w:color w:val="auto"/>
          <w:kern w:val="28"/>
          <w:sz w:val="24"/>
          <w:szCs w:val="20"/>
          <w:highlight w:val="none"/>
        </w:rPr>
        <w:t>2.</w:t>
      </w:r>
      <w:r>
        <w:rPr>
          <w:rFonts w:hint="eastAsia" w:ascii="仿宋" w:eastAsia="仿宋" w:cs="仿宋"/>
          <w:color w:val="auto"/>
          <w:sz w:val="24"/>
          <w:highlight w:val="none"/>
        </w:rPr>
        <w:t>若联合体参加投标的，联合体成员均应满足资格要求，联合体成员不多于2个，项目负责人由牵头人派遣，并</w:t>
      </w:r>
      <w:r>
        <w:rPr>
          <w:rFonts w:hint="eastAsia" w:ascii="仿宋" w:eastAsia="仿宋" w:cs="仿宋"/>
          <w:snapToGrid w:val="0"/>
          <w:color w:val="auto"/>
          <w:kern w:val="28"/>
          <w:sz w:val="24"/>
          <w:szCs w:val="20"/>
          <w:highlight w:val="none"/>
        </w:rPr>
        <w:t>提供联合协议。</w:t>
      </w:r>
    </w:p>
    <w:p w14:paraId="22B67FF5">
      <w:pPr>
        <w:wordWrap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2B67FF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22B67FF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2B67FF8">
      <w:pPr>
        <w:wordWrap w:val="0"/>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22B67FF9">
      <w:pPr>
        <w:wordWrap w:val="0"/>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22B67FFA">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22B67FFB">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22B67FFC">
      <w:pPr>
        <w:numPr>
          <w:ilvl w:val="255"/>
          <w:numId w:val="0"/>
        </w:numPr>
        <w:spacing w:line="360" w:lineRule="auto"/>
        <w:ind w:right="6"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4.本项目的特定资格要求：（1）</w:t>
      </w:r>
      <w:r>
        <w:rPr>
          <w:rFonts w:hint="eastAsia" w:ascii="仿宋" w:hAnsi="仿宋" w:eastAsia="仿宋" w:cs="仿宋"/>
          <w:color w:val="auto"/>
          <w:sz w:val="24"/>
          <w:highlight w:val="none"/>
          <w:u w:val="single"/>
        </w:rPr>
        <w:t>投标人应具备市政公用工程施工总承包三级（含）以上或水利水电施工总承包三级（含）以上资质</w:t>
      </w:r>
      <w:r>
        <w:rPr>
          <w:rFonts w:hint="eastAsia" w:ascii="仿宋" w:hAnsi="仿宋" w:eastAsia="仿宋" w:cs="仿宋"/>
          <w:color w:val="auto"/>
          <w:spacing w:val="16"/>
          <w:sz w:val="24"/>
          <w:highlight w:val="none"/>
          <w:u w:val="single"/>
        </w:rPr>
        <w:t>（提供</w:t>
      </w:r>
      <w:r>
        <w:rPr>
          <w:rFonts w:hint="eastAsia" w:ascii="仿宋" w:hAnsi="仿宋" w:eastAsia="仿宋" w:cs="仿宋"/>
          <w:color w:val="auto"/>
          <w:spacing w:val="-7"/>
          <w:sz w:val="24"/>
          <w:highlight w:val="none"/>
          <w:u w:val="single"/>
        </w:rPr>
        <w:t>投标截止日当周或前一周</w:t>
      </w:r>
      <w:r>
        <w:rPr>
          <w:rFonts w:hint="eastAsia" w:ascii="仿宋" w:hAnsi="仿宋" w:eastAsia="仿宋" w:cs="仿宋"/>
          <w:color w:val="auto"/>
          <w:spacing w:val="-3"/>
          <w:sz w:val="24"/>
          <w:highlight w:val="none"/>
          <w:u w:val="single"/>
        </w:rPr>
        <w:t>对应资质在“浙江省建筑市场监管公</w:t>
      </w:r>
      <w:r>
        <w:rPr>
          <w:rFonts w:hint="eastAsia" w:ascii="仿宋" w:hAnsi="仿宋" w:eastAsia="仿宋" w:cs="仿宋"/>
          <w:color w:val="auto"/>
          <w:spacing w:val="-4"/>
          <w:sz w:val="24"/>
          <w:highlight w:val="none"/>
          <w:u w:val="single"/>
        </w:rPr>
        <w:t>共服务系</w:t>
      </w:r>
      <w:r>
        <w:rPr>
          <w:rFonts w:hint="eastAsia" w:ascii="仿宋" w:hAnsi="仿宋" w:eastAsia="仿宋" w:cs="仿宋"/>
          <w:color w:val="auto"/>
          <w:spacing w:val="-7"/>
          <w:sz w:val="24"/>
          <w:highlight w:val="none"/>
          <w:u w:val="single"/>
        </w:rPr>
        <w:t>统”上资质动态核查结果处于“合格”状态的核查证明）</w:t>
      </w:r>
      <w:r>
        <w:rPr>
          <w:rFonts w:hint="eastAsia" w:ascii="仿宋" w:hAnsi="仿宋" w:eastAsia="仿宋" w:cs="仿宋"/>
          <w:color w:val="auto"/>
          <w:sz w:val="24"/>
          <w:highlight w:val="none"/>
          <w:u w:val="single"/>
        </w:rPr>
        <w:t>。</w:t>
      </w:r>
    </w:p>
    <w:p w14:paraId="22B67FFD">
      <w:pPr>
        <w:numPr>
          <w:ilvl w:val="255"/>
          <w:numId w:val="0"/>
        </w:numPr>
        <w:wordWrap w:val="0"/>
        <w:spacing w:line="360" w:lineRule="auto"/>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67FFE">
      <w:pPr>
        <w:widowControl/>
        <w:wordWrap w:val="0"/>
        <w:adjustRightInd/>
        <w:spacing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2B67FFF">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月 </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2B68000">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B68001">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2B68002">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2B68003">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2B68004">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日9点30分00秒</w:t>
      </w:r>
      <w:r>
        <w:rPr>
          <w:rFonts w:hint="eastAsia" w:ascii="仿宋" w:hAnsi="仿宋" w:eastAsia="仿宋" w:cs="仿宋"/>
          <w:color w:val="auto"/>
          <w:sz w:val="24"/>
          <w:highlight w:val="none"/>
        </w:rPr>
        <w:t>（北京时间）</w:t>
      </w:r>
    </w:p>
    <w:p w14:paraId="22B68005">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2B68006">
      <w:pPr>
        <w:wordWrap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日9点30分00秒</w:t>
      </w:r>
    </w:p>
    <w:p w14:paraId="22B68007">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2B6800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现场组织地点：</w:t>
      </w:r>
      <w:r>
        <w:rPr>
          <w:rFonts w:hint="eastAsia" w:ascii="仿宋" w:hAnsi="仿宋" w:eastAsia="仿宋" w:cs="仿宋"/>
          <w:color w:val="auto"/>
          <w:sz w:val="24"/>
          <w:highlight w:val="none"/>
          <w:u w:val="single"/>
        </w:rPr>
        <w:t xml:space="preserve">  杭州市古墩路701号紫金广场A座15楼评标室  </w:t>
      </w:r>
      <w:r>
        <w:rPr>
          <w:rFonts w:hint="eastAsia" w:ascii="仿宋" w:hAnsi="仿宋" w:eastAsia="仿宋" w:cs="仿宋"/>
          <w:color w:val="auto"/>
          <w:sz w:val="24"/>
          <w:highlight w:val="none"/>
        </w:rPr>
        <w:t>。</w:t>
      </w:r>
    </w:p>
    <w:p w14:paraId="22B68009">
      <w:pPr>
        <w:wordWrap w:val="0"/>
        <w:spacing w:line="360" w:lineRule="auto"/>
        <w:ind w:firstLine="482"/>
        <w:rPr>
          <w:color w:val="auto"/>
          <w:highlight w:val="none"/>
        </w:rPr>
      </w:pPr>
      <w:r>
        <w:rPr>
          <w:rFonts w:hint="eastAsia" w:ascii="仿宋" w:hAnsi="仿宋" w:eastAsia="仿宋" w:cs="仿宋"/>
          <w:b/>
          <w:color w:val="auto"/>
          <w:sz w:val="24"/>
          <w:highlight w:val="none"/>
        </w:rPr>
        <w:t>五、采购意向公开链接</w:t>
      </w:r>
    </w:p>
    <w:p w14:paraId="22B6800A">
      <w:pPr>
        <w:pStyle w:val="32"/>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https://zfcg.czt.zj.gov.cn/site/detail?parentId=600007&amp;articleId=j57JfdV27MhSGVYm575xvQ%3D%3D</w:t>
      </w:r>
    </w:p>
    <w:p w14:paraId="22B6800B">
      <w:pPr>
        <w:wordWrap w:val="0"/>
        <w:spacing w:line="360" w:lineRule="auto"/>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2B6800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2B6800D">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2B6800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B6800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6801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B6801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p>
    <w:p w14:paraId="22B68012">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22B68013">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2B68014">
      <w:pPr>
        <w:spacing w:line="360" w:lineRule="auto"/>
        <w:ind w:firstLine="480" w:firstLineChars="200"/>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rPr>
        <w:t>杭州市城市水设施和河道保护管理中心</w:t>
      </w:r>
    </w:p>
    <w:p w14:paraId="22B68015">
      <w:pPr>
        <w:wordWrap w:val="0"/>
        <w:spacing w:line="360" w:lineRule="auto"/>
        <w:ind w:firstLine="480" w:firstLineChars="200"/>
        <w:jc w:val="left"/>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址：杭州市体育场路231号</w:t>
      </w:r>
    </w:p>
    <w:p w14:paraId="22B68016">
      <w:pPr>
        <w:wordWrap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项目联系人（询问）：俞</w:t>
      </w:r>
      <w:r>
        <w:rPr>
          <w:rFonts w:hint="eastAsia" w:ascii="仿宋" w:hAnsi="仿宋" w:eastAsia="仿宋" w:cs="仿宋"/>
          <w:color w:val="auto"/>
          <w:sz w:val="24"/>
          <w:highlight w:val="none"/>
          <w:lang w:val="zh-TW" w:eastAsia="zh-CN"/>
        </w:rPr>
        <w:t>工</w:t>
      </w:r>
    </w:p>
    <w:p w14:paraId="22B68017">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项目联系方式（询问）：85866260</w:t>
      </w:r>
    </w:p>
    <w:p w14:paraId="22B68018">
      <w:pPr>
        <w:wordWrap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质疑联系人：吴</w:t>
      </w:r>
      <w:r>
        <w:rPr>
          <w:rFonts w:hint="eastAsia" w:ascii="仿宋" w:hAnsi="仿宋" w:eastAsia="仿宋" w:cs="仿宋"/>
          <w:color w:val="auto"/>
          <w:sz w:val="24"/>
          <w:highlight w:val="none"/>
          <w:lang w:val="zh-TW" w:eastAsia="zh-CN"/>
        </w:rPr>
        <w:t>工</w:t>
      </w:r>
    </w:p>
    <w:p w14:paraId="22B68019">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质疑联系方式 ：85866213</w:t>
      </w:r>
    </w:p>
    <w:p w14:paraId="22B6801A">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2B6801B">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rPr>
        <w:t>浙江省成套工程有限公司</w:t>
      </w:r>
      <w:r>
        <w:rPr>
          <w:rFonts w:hint="eastAsia" w:ascii="仿宋" w:hAnsi="仿宋" w:eastAsia="仿宋" w:cs="仿宋"/>
          <w:color w:val="auto"/>
          <w:sz w:val="24"/>
          <w:highlight w:val="none"/>
          <w:lang w:val="zh-TW" w:eastAsia="zh-TW"/>
        </w:rPr>
        <w:t> 　　　　　　　　　　　</w:t>
      </w:r>
    </w:p>
    <w:p w14:paraId="22B6801C">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rPr>
        <w:t xml:space="preserve">杭州市西湖区古墩路701号紫金广场A座12楼   </w:t>
      </w:r>
      <w:r>
        <w:rPr>
          <w:rFonts w:hint="eastAsia" w:ascii="仿宋" w:hAnsi="仿宋" w:eastAsia="仿宋" w:cs="仿宋"/>
          <w:color w:val="auto"/>
          <w:sz w:val="24"/>
          <w:highlight w:val="none"/>
          <w:lang w:val="zh-TW" w:eastAsia="zh-TW"/>
        </w:rPr>
        <w:t>　</w:t>
      </w:r>
    </w:p>
    <w:p w14:paraId="22B6801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rPr>
        <w:t xml:space="preserve">吕婷、杨钰沛、朱旭文  </w:t>
      </w:r>
    </w:p>
    <w:p w14:paraId="22B6801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rPr>
        <w:t>85152323</w:t>
      </w:r>
    </w:p>
    <w:p w14:paraId="22B6801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rPr>
        <w:t xml:space="preserve"> 韩飞</w:t>
      </w:r>
    </w:p>
    <w:p w14:paraId="22B6802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rPr>
        <w:t xml:space="preserve"> 88955383</w:t>
      </w:r>
    </w:p>
    <w:p w14:paraId="22B68021">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22B6802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址：杭州市上城区清泰街549号城建综合大楼11楼（快递仅限ems或顺丰）　　　　传  真： /　   </w:t>
      </w:r>
    </w:p>
    <w:p w14:paraId="22B6802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14:paraId="22B6802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22B6802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22B6802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205F5A9">
      <w:pPr>
        <w:wordWrap w:val="0"/>
        <w:spacing w:line="360" w:lineRule="auto"/>
        <w:ind w:firstLine="480" w:firstLineChars="200"/>
        <w:rPr>
          <w:rFonts w:hint="eastAsia" w:ascii="仿宋" w:hAnsi="仿宋" w:eastAsia="仿宋" w:cs="仿宋"/>
          <w:color w:val="auto"/>
          <w:sz w:val="24"/>
          <w:highlight w:val="none"/>
        </w:rPr>
        <w:sectPr>
          <w:footerReference r:id="rId8" w:type="default"/>
          <w:pgSz w:w="11905" w:h="16838"/>
          <w:pgMar w:top="652" w:right="1417" w:bottom="680" w:left="1417" w:header="539" w:footer="425" w:gutter="0"/>
          <w:pgNumType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22B68028">
      <w:pPr>
        <w:wordWrap w:val="0"/>
        <w:adjustRightInd/>
        <w:spacing w:line="360" w:lineRule="auto"/>
        <w:ind w:firstLine="723"/>
        <w:jc w:val="center"/>
        <w:outlineLvl w:val="0"/>
        <w:rPr>
          <w:rFonts w:hint="eastAsia" w:ascii="仿宋" w:hAnsi="仿宋" w:eastAsia="仿宋" w:cs="仿宋"/>
          <w:b/>
          <w:color w:val="auto"/>
          <w:sz w:val="36"/>
          <w:szCs w:val="20"/>
          <w:highlight w:val="none"/>
        </w:rPr>
      </w:pPr>
      <w:bookmarkStart w:id="20" w:name="_Toc29805"/>
      <w:bookmarkStart w:id="21" w:name="_Toc24511"/>
      <w:bookmarkStart w:id="22" w:name="_Toc25593"/>
      <w:bookmarkStart w:id="23" w:name="_Toc27972"/>
      <w:bookmarkStart w:id="24" w:name="_Toc15530"/>
      <w:bookmarkStart w:id="25" w:name="_Toc24964"/>
      <w:bookmarkStart w:id="26" w:name="_Toc30254"/>
      <w:bookmarkStart w:id="27" w:name="_Toc26106"/>
      <w:bookmarkStart w:id="28" w:name="_Toc19539"/>
      <w:r>
        <w:rPr>
          <w:rFonts w:hint="eastAsia" w:ascii="仿宋" w:hAnsi="仿宋" w:eastAsia="仿宋" w:cs="仿宋"/>
          <w:b/>
          <w:color w:val="auto"/>
          <w:sz w:val="36"/>
          <w:szCs w:val="20"/>
          <w:highlight w:val="none"/>
        </w:rPr>
        <w:t>第二部分</w:t>
      </w:r>
      <w:bookmarkEnd w:id="14"/>
      <w:r>
        <w:rPr>
          <w:rFonts w:hint="eastAsia" w:ascii="仿宋" w:hAnsi="仿宋" w:eastAsia="仿宋" w:cs="仿宋"/>
          <w:b/>
          <w:color w:val="auto"/>
          <w:sz w:val="36"/>
          <w:szCs w:val="20"/>
          <w:highlight w:val="none"/>
        </w:rPr>
        <w:t xml:space="preserve"> 投标人须知</w:t>
      </w:r>
      <w:bookmarkEnd w:id="15"/>
      <w:bookmarkEnd w:id="20"/>
      <w:bookmarkEnd w:id="21"/>
      <w:bookmarkEnd w:id="22"/>
      <w:bookmarkEnd w:id="23"/>
      <w:bookmarkEnd w:id="24"/>
      <w:bookmarkEnd w:id="25"/>
      <w:bookmarkEnd w:id="26"/>
      <w:bookmarkEnd w:id="27"/>
      <w:bookmarkEnd w:id="28"/>
    </w:p>
    <w:p w14:paraId="22B68029">
      <w:pPr>
        <w:wordWrap w:val="0"/>
        <w:snapToGrid w:val="0"/>
        <w:spacing w:line="360" w:lineRule="auto"/>
        <w:ind w:firstLine="643"/>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16"/>
      </w:tblGrid>
      <w:tr w14:paraId="22B6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2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22B6802B">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vAlign w:val="center"/>
          </w:tcPr>
          <w:p w14:paraId="22B6802C">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2B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2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vAlign w:val="center"/>
          </w:tcPr>
          <w:p w14:paraId="22B6802F">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vAlign w:val="center"/>
          </w:tcPr>
          <w:p w14:paraId="22B6803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2B6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vAlign w:val="center"/>
          </w:tcPr>
          <w:p w14:paraId="22B6803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vAlign w:val="center"/>
          </w:tcPr>
          <w:p w14:paraId="22B68034">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古荡公园泵站、古荡湾（水）闸、冯家港船闸等养护服务采购项目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w:t>
            </w:r>
            <w:r>
              <w:rPr>
                <w:rFonts w:hint="eastAsia" w:ascii="仿宋" w:hAnsi="仿宋" w:eastAsia="仿宋" w:cs="仿宋"/>
                <w:color w:val="auto"/>
                <w:kern w:val="0"/>
                <w:sz w:val="24"/>
                <w:highlight w:val="none"/>
              </w:rPr>
              <w:t>行业；</w:t>
            </w:r>
          </w:p>
          <w:p w14:paraId="22B68035">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tc>
      </w:tr>
      <w:tr w14:paraId="22B6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7">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vAlign w:val="center"/>
          </w:tcPr>
          <w:p w14:paraId="22B6803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22B6803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进口产品（服务项目不适用）</w:t>
            </w:r>
          </w:p>
        </w:tc>
        <w:tc>
          <w:tcPr>
            <w:tcW w:w="6216" w:type="dxa"/>
            <w:vAlign w:val="center"/>
          </w:tcPr>
          <w:p w14:paraId="22B6803A">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22B6803B">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22B6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vAlign w:val="center"/>
          </w:tcPr>
          <w:p w14:paraId="22B6803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vAlign w:val="center"/>
          </w:tcPr>
          <w:p w14:paraId="22B6803F">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single"/>
              </w:rPr>
              <w:t>“检测”</w:t>
            </w:r>
            <w:r>
              <w:rPr>
                <w:rFonts w:hint="eastAsia" w:ascii="仿宋" w:hAnsi="仿宋" w:eastAsia="仿宋" w:cs="仿宋"/>
                <w:color w:val="auto"/>
                <w:sz w:val="24"/>
                <w:highlight w:val="none"/>
              </w:rPr>
              <w:t>工作分包。（若非主体、非关键性工作已由联合体成员承担的，则不允许分包。）</w:t>
            </w:r>
          </w:p>
          <w:p w14:paraId="22B6804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22B6804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default" w:ascii="仿宋" w:hAnsi="仿宋" w:eastAsia="仿宋" w:cs="仿宋"/>
                <w:color w:val="auto"/>
                <w:sz w:val="24"/>
                <w:highlight w:val="none"/>
                <w:lang w:bidi="ar"/>
              </w:rPr>
              <w:sym w:font="Wingdings" w:char="00FE"/>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eastAsia="zh-CN" w:bidi="ar"/>
              </w:rPr>
              <w:t>中小</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eastAsia="zh-CN" w:bidi="ar"/>
              </w:rPr>
              <w:t>中小</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22B6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4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vAlign w:val="center"/>
          </w:tcPr>
          <w:p w14:paraId="22B68044">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vAlign w:val="center"/>
          </w:tcPr>
          <w:p w14:paraId="22B68045">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2B6804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22B6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22B6804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22B6804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vAlign w:val="center"/>
          </w:tcPr>
          <w:p w14:paraId="22B6804A">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16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2B6804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2B6804C">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4D">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4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2B6804F">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5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2B6805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B68052">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2B6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22B68054">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2B68055">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vAlign w:val="center"/>
          </w:tcPr>
          <w:p w14:paraId="22B6805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71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2B6805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2B68058">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22B68059">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22B6805A">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2B6805B">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2B6805C">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22B6805D">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22B6805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B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restart"/>
            <w:vAlign w:val="center"/>
          </w:tcPr>
          <w:p w14:paraId="22B68060">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22B68061">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22B6806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p>
        </w:tc>
        <w:tc>
          <w:tcPr>
            <w:tcW w:w="6216" w:type="dxa"/>
            <w:vAlign w:val="center"/>
          </w:tcPr>
          <w:p w14:paraId="22B68063">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B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continue"/>
            <w:vAlign w:val="center"/>
          </w:tcPr>
          <w:p w14:paraId="22B68065">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p>
        </w:tc>
        <w:tc>
          <w:tcPr>
            <w:tcW w:w="1843" w:type="dxa"/>
            <w:vMerge w:val="continue"/>
            <w:vAlign w:val="center"/>
          </w:tcPr>
          <w:p w14:paraId="22B68066">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p>
        </w:tc>
        <w:tc>
          <w:tcPr>
            <w:tcW w:w="6216" w:type="dxa"/>
            <w:vAlign w:val="center"/>
          </w:tcPr>
          <w:p w14:paraId="22B6806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2B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6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22B6806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r>
              <w:rPr>
                <w:rFonts w:hint="eastAsia" w:ascii="仿宋" w:hAnsi="仿宋" w:eastAsia="仿宋" w:cs="仿宋"/>
                <w:b/>
                <w:color w:val="auto"/>
                <w:sz w:val="24"/>
                <w:highlight w:val="none"/>
                <w:lang w:bidi="ar"/>
              </w:rPr>
              <w:t>（服务项目不适用）</w:t>
            </w:r>
          </w:p>
        </w:tc>
        <w:tc>
          <w:tcPr>
            <w:tcW w:w="6216" w:type="dxa"/>
            <w:vAlign w:val="center"/>
          </w:tcPr>
          <w:p w14:paraId="22B6806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22B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6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22B6806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vAlign w:val="center"/>
          </w:tcPr>
          <w:p w14:paraId="22B6806F">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有关本项目实施所需的所有费用（含税费）均计入报价，包括但不限于</w:t>
            </w:r>
            <w:r>
              <w:rPr>
                <w:rFonts w:hint="eastAsia" w:ascii="仿宋" w:hAnsi="仿宋" w:eastAsia="仿宋" w:cs="仿宋"/>
                <w:color w:val="auto"/>
                <w:kern w:val="0"/>
                <w:sz w:val="24"/>
                <w:highlight w:val="none"/>
                <w:lang w:bidi="ar"/>
              </w:rPr>
              <w:t>工资总额、维护费用、个案费用（绿化保维、硬化保维、航标保维）等，具体详见采购需求。</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保障职工休息休假权利；为签订一年（含）以上劳动合同制职工缴纳住房公积金。</w:t>
            </w:r>
          </w:p>
          <w:p w14:paraId="22B68070">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22B68071">
            <w:pPr>
              <w:keepNext w:val="0"/>
              <w:keepLines w:val="0"/>
              <w:widowControl/>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22B68072">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2B68073">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22B68074">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22B68075">
            <w:pPr>
              <w:keepNext w:val="0"/>
              <w:keepLines w:val="0"/>
              <w:suppressLineNumbers w:val="0"/>
              <w:wordWrap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2B6807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22B6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7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22B6807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2B6807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vAlign w:val="center"/>
          </w:tcPr>
          <w:p w14:paraId="22B6807B">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B6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trPr>
        <w:tc>
          <w:tcPr>
            <w:tcW w:w="629" w:type="dxa"/>
            <w:vAlign w:val="center"/>
          </w:tcPr>
          <w:p w14:paraId="22B6807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22B6807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22B6807F">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vAlign w:val="center"/>
          </w:tcPr>
          <w:p w14:paraId="22B68080">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杭州市西湖区古墩路701号紫金广场A座12楼1208室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rPr>
              <w:t xml:space="preserve">杨钰沛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85152323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14:paraId="22B6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trPr>
        <w:tc>
          <w:tcPr>
            <w:tcW w:w="629" w:type="dxa"/>
            <w:vAlign w:val="center"/>
          </w:tcPr>
          <w:p w14:paraId="22B6808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22B6808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16" w:type="dxa"/>
            <w:vAlign w:val="center"/>
          </w:tcPr>
          <w:p w14:paraId="22B68084">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按《关于杭州市招标代理服务收费管理有关问题的通知》（杭价费[2003]148号）文件服务类型收费标准的70%收取，收费基数为中标价÷3。采购代理服务费由中标供应商在领取中标通知书时支付。由于中标供应商原因导致重新采购的，应当承担支付代理费和专家评审费等费用在内的赔偿责任。</w:t>
            </w:r>
          </w:p>
          <w:p w14:paraId="22B68085">
            <w:pPr>
              <w:pStyle w:val="32"/>
              <w:keepNext w:val="0"/>
              <w:keepLines w:val="0"/>
              <w:suppressLineNumbers w:val="0"/>
              <w:wordWrap w:val="0"/>
              <w:spacing w:before="0" w:beforeAutospacing="0" w:after="0" w:afterAutospacing="0" w:line="36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2.投标文件存在下列情况之一的，视为撤回：</w:t>
            </w:r>
          </w:p>
          <w:p w14:paraId="22B68086">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14:paraId="22B68087">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14:paraId="22B68088">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14:paraId="22B68089">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3.政采云平台如对电子化开标及评审程序有调整的，按调整后的程序操作。</w:t>
            </w:r>
          </w:p>
          <w:p w14:paraId="22B6808A">
            <w:pPr>
              <w:pStyle w:val="32"/>
              <w:keepNext w:val="0"/>
              <w:keepLines w:val="0"/>
              <w:suppressLineNumbers w:val="0"/>
              <w:wordWrap w:val="0"/>
              <w:spacing w:before="0" w:beforeAutospacing="0" w:after="0" w:afterAutospacing="0" w:line="360" w:lineRule="exact"/>
              <w:ind w:left="0" w:right="0"/>
              <w:rPr>
                <w:rFonts w:hint="eastAsia" w:ascii="仿宋" w:hAnsi="仿宋" w:eastAsia="仿宋" w:cs="仿宋"/>
                <w:b/>
                <w:color w:val="auto"/>
                <w:sz w:val="24"/>
                <w:szCs w:val="24"/>
                <w:highlight w:val="none"/>
              </w:rPr>
            </w:pPr>
            <w:bookmarkStart w:id="29" w:name="_Hlk96025558"/>
            <w:r>
              <w:rPr>
                <w:rFonts w:hint="eastAsia" w:ascii="仿宋" w:hAnsi="仿宋" w:eastAsia="仿宋" w:cs="仿宋"/>
                <w:color w:val="auto"/>
                <w:sz w:val="24"/>
                <w:szCs w:val="24"/>
                <w:highlight w:val="none"/>
              </w:rPr>
              <w:t>4.</w:t>
            </w:r>
            <w:bookmarkEnd w:id="29"/>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tr w14:paraId="22B6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trPr>
        <w:tc>
          <w:tcPr>
            <w:tcW w:w="629" w:type="dxa"/>
            <w:vAlign w:val="center"/>
          </w:tcPr>
          <w:p w14:paraId="22B6808C">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bookmarkStart w:id="30" w:name="_Toc164416483"/>
            <w:bookmarkStart w:id="31" w:name="第三部分"/>
            <w:r>
              <w:rPr>
                <w:rFonts w:hint="eastAsia" w:ascii="仿宋" w:hAnsi="仿宋" w:eastAsia="仿宋" w:cs="仿宋"/>
                <w:color w:val="auto"/>
                <w:sz w:val="24"/>
                <w:highlight w:val="none"/>
              </w:rPr>
              <w:t>14</w:t>
            </w:r>
          </w:p>
        </w:tc>
        <w:tc>
          <w:tcPr>
            <w:tcW w:w="1843" w:type="dxa"/>
            <w:vAlign w:val="center"/>
          </w:tcPr>
          <w:p w14:paraId="22B6808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特别提醒</w:t>
            </w:r>
          </w:p>
        </w:tc>
        <w:tc>
          <w:tcPr>
            <w:tcW w:w="6216" w:type="dxa"/>
            <w:vAlign w:val="center"/>
          </w:tcPr>
          <w:p w14:paraId="22B6808E">
            <w:pPr>
              <w:keepNext w:val="0"/>
              <w:keepLines w:val="0"/>
              <w:suppressLineNumbers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（1）政采云平台项目采购系统目前获取并在开标（开启）阶段展示投标（响应）供应商投标客户端制作投标（响应）文件的 IP、MAC、设备硬件等信息，并对 IP、MAC 、投标手机号等信息重复的供应商进行标红。</w:t>
            </w:r>
          </w:p>
          <w:p w14:paraId="22B68090">
            <w:pPr>
              <w:keepNext w:val="0"/>
              <w:keepLines w:val="0"/>
              <w:suppressLineNumbers w:val="0"/>
              <w:snapToGri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（注：投标手机号是上传投标文件时的手机号信息。每次上传记录均获取）。</w:t>
            </w:r>
          </w:p>
        </w:tc>
      </w:tr>
      <w:bookmarkEnd w:id="16"/>
    </w:tbl>
    <w:p w14:paraId="22B68092">
      <w:pPr>
        <w:wordWrap w:val="0"/>
        <w:ind w:firstLine="643"/>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22B68093">
      <w:pPr>
        <w:wordWrap w:val="0"/>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B68094">
      <w:pPr>
        <w:wordWrap w:val="0"/>
        <w:snapToGrid w:val="0"/>
        <w:spacing w:line="360" w:lineRule="auto"/>
        <w:ind w:firstLine="482"/>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22B68095">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B68096">
      <w:pPr>
        <w:numPr>
          <w:ilvl w:val="0"/>
          <w:numId w:val="1"/>
        </w:numPr>
        <w:wordWrap w:val="0"/>
        <w:adjustRightInd/>
        <w:spacing w:line="360" w:lineRule="auto"/>
        <w:ind w:firstLine="482"/>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22B6809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2B6809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2B6809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2B6809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2B6809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B6809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2B6809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791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22B6809E">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2B6809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22B680A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B680A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22B680A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22B680A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B680A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B680A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2B680A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B680A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2B680A8">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B680A9">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2B680AA">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2B680A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14:paraId="22B680A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2B680A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B680A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2B680A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2B680B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22B680B1">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2B680B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2B680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2B680B4">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2B680B5">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680B6">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22B680B7">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680B8">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22B680B9">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2B680BA">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B680BB">
      <w:pPr>
        <w:pStyle w:val="15"/>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2B680BC">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22B680BD">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22B680BE">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2B680BF">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22B680C0">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22B680C1">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22B680C2">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22B680C3">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22B680C4">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22B680C5">
      <w:pPr>
        <w:pStyle w:val="888"/>
        <w:shd w:val="clear" w:color="auto" w:fill="FFFFFF"/>
        <w:wordWrap w:val="0"/>
        <w:snapToGrid w:val="0"/>
        <w:spacing w:before="0" w:beforeAutospacing="0" w:after="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2B680C6">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B680C7">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14:paraId="22B680C8">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2B680C9">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22B680CA">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22B680CB">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2B680CC">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2B680CD">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2B680CE">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2B680CF">
      <w:pPr>
        <w:pStyle w:val="888"/>
        <w:widowControl w:val="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2B680D0">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2B680D1">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2B680D2">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2B680D3">
      <w:pPr>
        <w:pStyle w:val="130"/>
        <w:wordWrap w:val="0"/>
        <w:snapToGrid w:val="0"/>
        <w:spacing w:before="0"/>
        <w:ind w:firstLine="360"/>
        <w:rPr>
          <w:rFonts w:hint="eastAsia" w:ascii="仿宋" w:hAnsi="仿宋" w:eastAsia="仿宋" w:cs="仿宋"/>
          <w:color w:val="auto"/>
          <w:sz w:val="18"/>
          <w:szCs w:val="18"/>
          <w:highlight w:val="none"/>
        </w:rPr>
      </w:pPr>
    </w:p>
    <w:p w14:paraId="22B680D4">
      <w:pPr>
        <w:wordWrap w:val="0"/>
        <w:adjustRightInd/>
        <w:spacing w:line="360" w:lineRule="auto"/>
        <w:ind w:firstLine="643"/>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2B680D5">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2B680D6">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2B680D7">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2B680D8">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B680D9">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2B680DA">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2B680DB">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B680DC">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2B680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2B680DE">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2B680DF">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14:paraId="22B680E0">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B680E1">
      <w:pPr>
        <w:pStyle w:val="23"/>
        <w:wordWrap w:val="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2B680E2">
      <w:pPr>
        <w:wordWrap w:val="0"/>
        <w:adjustRightInd/>
        <w:spacing w:line="360" w:lineRule="auto"/>
        <w:ind w:firstLine="602"/>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2B680E3">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2B680E4">
      <w:pPr>
        <w:wordWrap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2B680E5">
      <w:pPr>
        <w:pStyle w:val="32"/>
        <w:numPr>
          <w:ilvl w:val="0"/>
          <w:numId w:val="2"/>
        </w:numPr>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2B680E6">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2B680E7">
      <w:pPr>
        <w:pStyle w:val="32"/>
        <w:numPr>
          <w:ilvl w:val="0"/>
          <w:numId w:val="2"/>
        </w:numPr>
        <w:wordWrap w:val="0"/>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22B680E8">
      <w:pPr>
        <w:pStyle w:val="15"/>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2B680E9">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2B680EA">
      <w:pPr>
        <w:wordWrap w:val="0"/>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2B680EB">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2B680EC">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2B680ED">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11.1.1供应商（联合体参加的指联合体双方）的营业执照或者其他由国家相关部门出具的具有独立承担民事责任能力的证明文件；        </w:t>
      </w:r>
    </w:p>
    <w:p w14:paraId="22B680EE">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22B680EF">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22B680F0">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22B680F1">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22B680F2">
      <w:pPr>
        <w:wordWrap w:val="0"/>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22B680F3">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2B680F4">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22B680F5">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22B680F6">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2B680F7">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2B680F8">
      <w:pPr>
        <w:wordWrap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22B680F9">
      <w:pPr>
        <w:wordWrap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2B680FA">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2B680FB">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p>
    <w:p w14:paraId="22B680FC">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11.3.3报价情况说明（如供应商报价低于最高限价50%的，应当提交本文档，详细阐述不影响服务质量或者诚信履约的具体原因）；</w:t>
      </w:r>
    </w:p>
    <w:p w14:paraId="22B680FD">
      <w:pPr>
        <w:wordWrap w:val="0"/>
        <w:spacing w:line="360" w:lineRule="auto"/>
        <w:ind w:firstLine="960" w:firstLine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11.3.4供应商针对报价需要说明的其他文件和说明（格式自拟）。</w:t>
      </w:r>
    </w:p>
    <w:p w14:paraId="22B680FE">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2B680FF">
      <w:pPr>
        <w:wordWrap w:val="0"/>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22B68100">
      <w:pPr>
        <w:pStyle w:val="130"/>
        <w:numPr>
          <w:ilvl w:val="0"/>
          <w:numId w:val="3"/>
        </w:numPr>
        <w:wordWrap w:val="0"/>
        <w:snapToGrid w:val="0"/>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22B6810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B68102">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B68103">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B68104">
      <w:pPr>
        <w:numPr>
          <w:ilvl w:val="0"/>
          <w:numId w:val="3"/>
        </w:numPr>
        <w:wordWrap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22B68105">
      <w:pPr>
        <w:pStyle w:val="130"/>
        <w:wordWrap w:val="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2B68106">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B68107">
      <w:pPr>
        <w:pStyle w:val="130"/>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2B68108">
      <w:pPr>
        <w:pStyle w:val="130"/>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2B68109">
      <w:pPr>
        <w:pStyle w:val="130"/>
        <w:wordWrap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B6810A">
      <w:pPr>
        <w:pStyle w:val="130"/>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B6810B">
      <w:pPr>
        <w:pStyle w:val="130"/>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2B6810C">
      <w:pPr>
        <w:pStyle w:val="3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22B6810D">
      <w:pPr>
        <w:pStyle w:val="32"/>
        <w:wordWrap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14:paraId="22B6810E">
      <w:pPr>
        <w:pStyle w:val="32"/>
        <w:wordWrap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22B6810F">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B68110">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2B68111">
      <w:pPr>
        <w:pStyle w:val="32"/>
        <w:wordWrap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2B68112">
      <w:pPr>
        <w:pStyle w:val="130"/>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22B68113">
      <w:pPr>
        <w:pStyle w:val="24"/>
        <w:wordWrap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22B68114">
      <w:pPr>
        <w:pStyle w:val="130"/>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22B68115">
      <w:pPr>
        <w:wordWrap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B68116">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2B68117">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2B68118">
      <w:pPr>
        <w:pStyle w:val="130"/>
        <w:wordWrap w:val="0"/>
        <w:spacing w:before="0"/>
        <w:ind w:firstLine="643"/>
        <w:rPr>
          <w:rFonts w:hint="eastAsia" w:ascii="仿宋" w:hAnsi="仿宋" w:eastAsia="仿宋" w:cs="仿宋"/>
          <w:b/>
          <w:color w:val="auto"/>
          <w:sz w:val="32"/>
          <w:highlight w:val="none"/>
        </w:rPr>
      </w:pPr>
    </w:p>
    <w:p w14:paraId="22B68119">
      <w:pPr>
        <w:pStyle w:val="130"/>
        <w:wordWrap w:val="0"/>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2B6811A">
      <w:pPr>
        <w:pStyle w:val="557"/>
        <w:wordWrap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2B6811B">
      <w:pPr>
        <w:pStyle w:val="557"/>
        <w:wordWrap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2B6811C">
      <w:pPr>
        <w:pStyle w:val="557"/>
        <w:wordWrap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2B6811D">
      <w:pPr>
        <w:pStyle w:val="557"/>
        <w:wordWrap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2B6811E">
      <w:pPr>
        <w:pStyle w:val="557"/>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14:paraId="22B6811F">
      <w:pPr>
        <w:pStyle w:val="557"/>
        <w:wordWrap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22B68120">
      <w:pPr>
        <w:pStyle w:val="130"/>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22B68121">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2B68122">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2B68123">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22B68124">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22B68125">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2B68126">
      <w:pPr>
        <w:pStyle w:val="130"/>
        <w:numPr>
          <w:ilvl w:val="0"/>
          <w:numId w:val="5"/>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22B68127">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2B68128">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2B68129">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2B6812A">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2B6812B">
      <w:pPr>
        <w:pStyle w:val="130"/>
        <w:wordWrap w:val="0"/>
        <w:spacing w:before="0"/>
        <w:ind w:firstLine="0" w:firstLineChars="0"/>
        <w:rPr>
          <w:rFonts w:hint="eastAsia" w:ascii="仿宋" w:hAnsi="仿宋" w:eastAsia="仿宋" w:cs="仿宋"/>
          <w:color w:val="auto"/>
          <w:kern w:val="0"/>
          <w:szCs w:val="24"/>
          <w:highlight w:val="none"/>
        </w:rPr>
      </w:pPr>
    </w:p>
    <w:p w14:paraId="22B6812C">
      <w:pPr>
        <w:wordWrap w:val="0"/>
        <w:snapToGrid w:val="0"/>
        <w:spacing w:line="360" w:lineRule="auto"/>
        <w:ind w:firstLine="723"/>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2B6812D">
      <w:pPr>
        <w:wordWrap w:val="0"/>
        <w:spacing w:line="360" w:lineRule="auto"/>
        <w:ind w:firstLine="241" w:firstLineChars="100"/>
        <w:rPr>
          <w:rFonts w:hint="eastAsia" w:ascii="仿宋" w:hAnsi="仿宋" w:eastAsia="仿宋" w:cs="仿宋"/>
          <w:b/>
          <w:color w:val="auto"/>
          <w:sz w:val="24"/>
          <w:highlight w:val="none"/>
        </w:rPr>
      </w:pPr>
      <w:bookmarkStart w:id="3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2B6812E">
      <w:pPr>
        <w:wordWrap w:val="0"/>
        <w:spacing w:line="360" w:lineRule="auto"/>
        <w:ind w:firstLine="482"/>
        <w:rPr>
          <w:rFonts w:hint="eastAsia" w:ascii="仿宋" w:hAnsi="仿宋" w:eastAsia="仿宋" w:cs="仿宋"/>
          <w:b/>
          <w:color w:val="auto"/>
          <w:sz w:val="24"/>
          <w:highlight w:val="none"/>
        </w:rPr>
      </w:pPr>
    </w:p>
    <w:p w14:paraId="22B6812F">
      <w:pPr>
        <w:wordWrap w:val="0"/>
        <w:snapToGrid w:val="0"/>
        <w:spacing w:line="360" w:lineRule="auto"/>
        <w:ind w:firstLine="723"/>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2B68130">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2B68131">
      <w:pPr>
        <w:pStyle w:val="130"/>
        <w:wordWrap w:val="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22B68132">
      <w:pPr>
        <w:pStyle w:val="130"/>
        <w:wordWrap w:val="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2B68133">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2B68134">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B68135">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2B68136">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24.由于中标供应商原因导致重新采购的，应当承担支付代理费和专家评审费等费用在内的赔偿责任。</w:t>
      </w:r>
    </w:p>
    <w:p w14:paraId="22B68137">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2B68138">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22B68139">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合同的签订</w:t>
      </w:r>
    </w:p>
    <w:p w14:paraId="22B6813A">
      <w:pPr>
        <w:widowControl/>
        <w:shd w:val="clear" w:color="auto" w:fill="FFFFFF"/>
        <w:wordWrap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B6813B">
      <w:pPr>
        <w:pStyle w:val="130"/>
        <w:wordWrap w:val="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2B6813C">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22B6813D">
      <w:pPr>
        <w:pStyle w:val="130"/>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22B6813E">
      <w:pPr>
        <w:pStyle w:val="130"/>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22B6813F">
      <w:pPr>
        <w:pStyle w:val="24"/>
        <w:numPr>
          <w:ilvl w:val="0"/>
          <w:numId w:val="6"/>
        </w:numPr>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履约保证金</w:t>
      </w:r>
    </w:p>
    <w:p w14:paraId="22B68140">
      <w:pPr>
        <w:tabs>
          <w:tab w:val="left" w:pos="0"/>
        </w:tabs>
        <w:wordWrap w:val="0"/>
        <w:spacing w:line="360" w:lineRule="auto"/>
        <w:ind w:firstLine="48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B68141">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B68142">
      <w:pPr>
        <w:numPr>
          <w:ilvl w:val="0"/>
          <w:numId w:val="6"/>
        </w:numPr>
        <w:tabs>
          <w:tab w:val="left" w:pos="0"/>
        </w:tabs>
        <w:wordWrap w:val="0"/>
        <w:spacing w:line="360" w:lineRule="auto"/>
        <w:ind w:left="479" w:hanging="479" w:hanging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22B68143">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2B68144">
      <w:pPr>
        <w:wordWrap w:val="0"/>
        <w:snapToGrid w:val="0"/>
        <w:spacing w:line="360" w:lineRule="auto"/>
        <w:ind w:firstLine="3357" w:firstLineChars="1045"/>
        <w:rPr>
          <w:rFonts w:hint="eastAsia" w:ascii="仿宋" w:hAnsi="仿宋" w:eastAsia="仿宋" w:cs="仿宋"/>
          <w:b/>
          <w:color w:val="auto"/>
          <w:sz w:val="32"/>
          <w:highlight w:val="none"/>
        </w:rPr>
      </w:pPr>
    </w:p>
    <w:p w14:paraId="22B68145">
      <w:pPr>
        <w:wordWrap w:val="0"/>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2B68146">
      <w:pPr>
        <w:pStyle w:val="130"/>
        <w:wordWrap w:val="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2B68147">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22B68148">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22B68149">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22B6814A">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22B6814B">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22B6814C">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2B6814D">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2B6814E">
      <w:pPr>
        <w:pStyle w:val="24"/>
        <w:wordWrap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 验收</w:t>
      </w:r>
    </w:p>
    <w:p w14:paraId="22B6814F">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B68150">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22B68151">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B68152">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B68153">
      <w:pPr>
        <w:tabs>
          <w:tab w:val="left" w:pos="0"/>
        </w:tabs>
        <w:spacing w:line="360" w:lineRule="auto"/>
        <w:ind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32"/>
    <w:p w14:paraId="25147637">
      <w:pPr>
        <w:tabs>
          <w:tab w:val="left" w:pos="0"/>
        </w:tabs>
        <w:wordWrap w:val="0"/>
        <w:spacing w:line="360" w:lineRule="auto"/>
        <w:ind w:firstLine="480"/>
        <w:rPr>
          <w:rFonts w:hint="eastAsia"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33" w:name="_Hlt68072998"/>
      <w:bookmarkEnd w:id="33"/>
      <w:bookmarkStart w:id="34" w:name="_Hlt68072990"/>
      <w:bookmarkEnd w:id="34"/>
      <w:bookmarkStart w:id="35" w:name="_Hlt68057669"/>
      <w:bookmarkEnd w:id="35"/>
      <w:bookmarkStart w:id="36" w:name="_Hlt68403820"/>
      <w:bookmarkEnd w:id="36"/>
      <w:bookmarkStart w:id="37" w:name="_Hlt74714665"/>
      <w:bookmarkEnd w:id="37"/>
      <w:bookmarkStart w:id="38" w:name="_Hlt75236101"/>
      <w:bookmarkEnd w:id="38"/>
      <w:bookmarkStart w:id="39" w:name="_Hlt74730295"/>
      <w:bookmarkEnd w:id="39"/>
      <w:bookmarkStart w:id="40" w:name="_Hlt75236290"/>
      <w:bookmarkEnd w:id="40"/>
      <w:bookmarkStart w:id="41" w:name="_Hlt74707468"/>
      <w:bookmarkEnd w:id="41"/>
      <w:bookmarkStart w:id="42" w:name="_Hlt75236011"/>
      <w:bookmarkEnd w:id="42"/>
      <w:bookmarkStart w:id="43" w:name="_Hlt68073093"/>
      <w:bookmarkEnd w:id="43"/>
      <w:bookmarkStart w:id="44" w:name="_Hlt74729768"/>
      <w:bookmarkEnd w:id="44"/>
    </w:p>
    <w:bookmarkEnd w:id="30"/>
    <w:bookmarkEnd w:id="31"/>
    <w:p w14:paraId="22B68155">
      <w:pPr>
        <w:wordWrap w:val="0"/>
        <w:spacing w:line="360" w:lineRule="auto"/>
        <w:ind w:firstLine="723"/>
        <w:jc w:val="center"/>
        <w:outlineLvl w:val="0"/>
        <w:rPr>
          <w:rFonts w:hint="eastAsia" w:ascii="仿宋" w:hAnsi="仿宋" w:eastAsia="仿宋" w:cs="仿宋"/>
          <w:b/>
          <w:color w:val="auto"/>
          <w:sz w:val="36"/>
          <w:szCs w:val="36"/>
          <w:highlight w:val="none"/>
        </w:rPr>
      </w:pPr>
      <w:bookmarkStart w:id="45" w:name="_Toc15452"/>
      <w:bookmarkStart w:id="46" w:name="_Toc377"/>
      <w:bookmarkStart w:id="47" w:name="_Toc32166"/>
      <w:bookmarkStart w:id="48" w:name="_Toc135"/>
      <w:bookmarkStart w:id="49" w:name="_Toc10476"/>
      <w:bookmarkStart w:id="50" w:name="_Toc16672"/>
      <w:bookmarkStart w:id="51" w:name="_Toc17637"/>
      <w:bookmarkStart w:id="52" w:name="_Toc8370"/>
      <w:bookmarkStart w:id="53" w:name="_Toc23290"/>
      <w:bookmarkStart w:id="54" w:name="第四部分"/>
      <w:r>
        <w:rPr>
          <w:rFonts w:hint="eastAsia" w:ascii="仿宋" w:hAnsi="仿宋" w:eastAsia="仿宋" w:cs="仿宋"/>
          <w:b/>
          <w:color w:val="auto"/>
          <w:sz w:val="36"/>
          <w:szCs w:val="36"/>
          <w:highlight w:val="none"/>
        </w:rPr>
        <w:t>第三部分 采购需求</w:t>
      </w:r>
      <w:bookmarkEnd w:id="45"/>
      <w:bookmarkEnd w:id="46"/>
      <w:bookmarkEnd w:id="47"/>
      <w:bookmarkEnd w:id="48"/>
      <w:bookmarkEnd w:id="49"/>
      <w:bookmarkEnd w:id="50"/>
      <w:bookmarkEnd w:id="51"/>
      <w:bookmarkEnd w:id="52"/>
      <w:bookmarkEnd w:id="53"/>
    </w:p>
    <w:p w14:paraId="22B68156">
      <w:pPr>
        <w:spacing w:line="360" w:lineRule="auto"/>
        <w:ind w:firstLine="480" w:firstLineChars="200"/>
        <w:rPr>
          <w:rFonts w:hint="eastAsia" w:ascii="仿宋" w:hAnsi="仿宋" w:eastAsia="仿宋" w:cs="仿宋"/>
          <w:color w:val="auto"/>
          <w:sz w:val="24"/>
          <w:highlight w:val="none"/>
        </w:rPr>
      </w:pPr>
      <w:bookmarkStart w:id="55" w:name="_Hlk87540067"/>
      <w:bookmarkStart w:id="56" w:name="_Toc169952210"/>
      <w:bookmarkStart w:id="57" w:name="_Toc5794"/>
      <w:bookmarkStart w:id="58" w:name="_Toc17094"/>
      <w:bookmarkStart w:id="59" w:name="_Toc23824"/>
      <w:bookmarkStart w:id="60" w:name="_Toc12173"/>
      <w:bookmarkStart w:id="61" w:name="_Toc28895"/>
      <w:bookmarkStart w:id="62" w:name="_Toc6657"/>
      <w:bookmarkStart w:id="63" w:name="_Toc24799"/>
      <w:bookmarkStart w:id="64" w:name="_Toc22598"/>
      <w:r>
        <w:rPr>
          <w:rFonts w:hint="eastAsia" w:ascii="仿宋" w:hAnsi="仿宋" w:eastAsia="仿宋" w:cs="仿宋"/>
          <w:color w:val="auto"/>
          <w:sz w:val="24"/>
          <w:highlight w:val="none"/>
        </w:rPr>
        <w:t>一、</w:t>
      </w:r>
      <w:r>
        <w:rPr>
          <w:rFonts w:hint="eastAsia" w:ascii="仿宋" w:hAnsi="仿宋" w:eastAsia="仿宋" w:cs="仿宋"/>
          <w:b/>
          <w:bCs/>
          <w:color w:val="auto"/>
          <w:sz w:val="24"/>
          <w:highlight w:val="none"/>
        </w:rPr>
        <w:t>采购范围及内容</w:t>
      </w:r>
    </w:p>
    <w:p w14:paraId="22B681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运西片</w:t>
      </w:r>
      <w:r>
        <w:rPr>
          <w:rFonts w:hint="eastAsia" w:ascii="仿宋" w:hAnsi="仿宋" w:eastAsia="仿宋" w:cs="仿宋"/>
          <w:color w:val="auto"/>
          <w:sz w:val="24"/>
          <w:highlight w:val="none"/>
        </w:rPr>
        <w:t>闸站（包括</w:t>
      </w:r>
      <w:r>
        <w:rPr>
          <w:rFonts w:hint="eastAsia" w:ascii="仿宋" w:hAnsi="仿宋" w:eastAsia="仿宋" w:cs="仿宋"/>
          <w:color w:val="auto"/>
          <w:sz w:val="24"/>
          <w:highlight w:val="none"/>
          <w:lang w:eastAsia="zh-CN"/>
        </w:rPr>
        <w:t>古荡公园泵站、古荡湾（水）闸、冯家港船闸、莲花港船闸、紫金港船闸、蒋村港船闸、五常港船闸、蓬驾桥泵站8个闸站</w:t>
      </w:r>
      <w:r>
        <w:rPr>
          <w:rFonts w:hint="eastAsia" w:ascii="仿宋" w:hAnsi="仿宋" w:eastAsia="仿宋" w:cs="仿宋"/>
          <w:color w:val="auto"/>
          <w:sz w:val="24"/>
          <w:highlight w:val="none"/>
        </w:rPr>
        <w:t>）养护服务，包括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采购人委托的</w:t>
      </w:r>
      <w:r>
        <w:rPr>
          <w:rFonts w:hint="eastAsia" w:ascii="仿宋" w:hAnsi="仿宋" w:eastAsia="仿宋" w:cs="仿宋"/>
          <w:color w:val="auto"/>
          <w:sz w:val="24"/>
          <w:highlight w:val="none"/>
          <w:lang w:eastAsia="zh-CN"/>
        </w:rPr>
        <w:t>其他工作</w:t>
      </w:r>
      <w:r>
        <w:rPr>
          <w:rFonts w:hint="eastAsia" w:ascii="仿宋" w:hAnsi="仿宋" w:eastAsia="仿宋" w:cs="仿宋"/>
          <w:color w:val="auto"/>
          <w:sz w:val="24"/>
          <w:highlight w:val="none"/>
        </w:rPr>
        <w:t>。</w:t>
      </w:r>
    </w:p>
    <w:p w14:paraId="22B681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养护设施基本情况，详见《杭州城市河道相关船闸/水闸、泵站及配套闸门基本情况表》（详见附件1）。</w:t>
      </w:r>
    </w:p>
    <w:p w14:paraId="22B6815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
          <w:bCs/>
          <w:color w:val="auto"/>
          <w:sz w:val="24"/>
          <w:highlight w:val="none"/>
        </w:rPr>
        <w:t>养护工作执行规范</w:t>
      </w:r>
    </w:p>
    <w:p w14:paraId="22B681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《城市河道闸站运行维护管理规范》（详见附件2）</w:t>
      </w:r>
    </w:p>
    <w:p w14:paraId="22B681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《杭州市城市河道养护人员作业行为规范（试行）》（详见附件3）</w:t>
      </w:r>
    </w:p>
    <w:p w14:paraId="22B6815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三、养护管理基本要求</w:t>
      </w:r>
    </w:p>
    <w:p w14:paraId="22B681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闸站养护服务范围包括日常运行、维护、岁修等。运行、维护、岁修等日常养护技术要求根据《城市河道闸站运行维护管理规范》（详见附件2）执行。做到“一闸一方案”，各个闸站应在投标文件中分别提供具有针对性的养护保障措施。</w:t>
      </w:r>
    </w:p>
    <w:p w14:paraId="22B68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2.明确认识闸站范围，严禁在闸站范围出现乱堆杂物、乱停车辆、停靠船只、种植非园林绿化植物等现象。</w:t>
      </w:r>
    </w:p>
    <w:p w14:paraId="22B681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3.本项目中所有闸站均为重要闸站，应执行24小时值守制度。按要求落实闸站范围巡查巡检，做好闸站巡查日常报送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人值守的重要闸站白天（6点-20点）每2小时巡查并平台报送情况，晚上(20点-次日6点)至少2次平台报送情况（须包括：上下游水位及透明度（白天）、闸门开启度、水泵运行台数及流量，设备检查是否正常，现场照片及闸门出水、泵站出水小视频（白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，及时发现运行过程中的异常情况、违章违规的侵占情况、许可相关的施工情况及其它可能的窃盗情况；关注水位变化，发现配水水位异常，应及时处置并上报。</w:t>
      </w:r>
    </w:p>
    <w:p w14:paraId="22B681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设备发生故障时，应按照《城市河道闸站运行维护管理规范》（详见附件2）、《杭州市市管河道闸站长效管理考核实施细则》（详见附件4）规定的时间及时修复，做好维修记录并上报采购人确认备案。岁修和大修宜安排在冬季进行，应在每年4月15日前完成。</w:t>
      </w:r>
    </w:p>
    <w:p w14:paraId="22B68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闸站大修、改造、改善、抢修期间，运行人员应做好现场安全监督和协调工作，负责保护非工程实施范围内设施设备免遭损坏，如有损坏应通知施工单位及时进行维修，并上报采购人。同时充分利用大修、抢修时机开展其它必要的维修维护工作。</w:t>
      </w:r>
    </w:p>
    <w:p w14:paraId="22B681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闸站运行及设施安全管理。运行时须有专人值守，健全值班制度，有效应对各类重要事件，针对防汛防台、抗雪防冻、工程抢险、突发事件应急处理及重大活动保障等能够及时响应、有效处理。若发生重要事件未第一时间到达现场妥善处理或有人员脱岗等失职情况的，予以警告，累计二次警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有权单方提前解除合同。</w:t>
      </w:r>
    </w:p>
    <w:p w14:paraId="22B681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7.人员用电安全管理。应规范设置、使用各类用电设备及线路，严禁私接乱拉电源、私自对外接电，应经审查后方可对外接电。</w:t>
      </w:r>
    </w:p>
    <w:p w14:paraId="22B681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闸站消防安全管理。闸站范围内不得存放易燃、易爆物品及其他杂物；消防设备应严格根据消防要求及灭火对象进行科学合理配置，并定期对灭火器材性能进行检查，超过使用年限的应及时予以更换；值班人员应熟悉消防器材的安放地点和使用方法。</w:t>
      </w:r>
    </w:p>
    <w:p w14:paraId="22B68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9.位于居民区附近的闸站，如因运行管理等问题遭到投诉，运行人员应及时向居民进行解释说明；如闸站需进行非常规运行并可能对居民造成一定影响时，应提前向居民告知说明。</w:t>
      </w:r>
    </w:p>
    <w:p w14:paraId="22B681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10.船只进出船闸期间，闸站运行人员应至少有1人在室外进行监督管理，并通过无线设备与指挥、操作人员保持沟通联系。</w:t>
      </w:r>
    </w:p>
    <w:p w14:paraId="22B681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11.加强档案资料管理。每座闸站的运行、保养和维修维护应有年度、月度及每日记录，例行、定期保养和维护维修等通过智慧平台规范填报，妥善保管、使用</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提供的竣工资料图纸；原则上原始竣工资料图纸应统一保管，复印一套用于闸站现场。合同期满后（未续签），原始竣工资料图纸必须交回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，并承担缺损责任。及时跟新“一站一卡”即《杭州城市河道相关船闸/水闸、泵站及配套闸门基本情况表》（详见附件1），新中标单位应复核相关数据并补充完善。</w:t>
      </w:r>
    </w:p>
    <w:p w14:paraId="22B681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12.涉及</w:t>
      </w:r>
      <w:bookmarkStart w:id="65" w:name="_Hlk184288056"/>
      <w:r>
        <w:rPr>
          <w:rFonts w:hint="eastAsia" w:ascii="仿宋" w:hAnsi="仿宋" w:eastAsia="仿宋" w:cs="仿宋"/>
          <w:color w:val="auto"/>
          <w:sz w:val="24"/>
          <w:highlight w:val="none"/>
        </w:rPr>
        <w:t>闸站大修、改造、改善</w:t>
      </w:r>
      <w:bookmarkEnd w:id="65"/>
      <w:r>
        <w:rPr>
          <w:rFonts w:hint="eastAsia" w:ascii="仿宋" w:hAnsi="仿宋" w:eastAsia="仿宋" w:cs="仿宋"/>
          <w:color w:val="auto"/>
          <w:sz w:val="24"/>
          <w:highlight w:val="none"/>
        </w:rPr>
        <w:t>等项目，应及时记录变动内容，滚动修改《杭州市城市河道相关泵站及配套闸门、船闸/水闸基本情况表》（详见附件1），合同期满后（未续签）交回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，并作为最终支付费用的凭证之一。</w:t>
      </w:r>
    </w:p>
    <w:p w14:paraId="22B681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ascii="仿宋" w:hAnsi="仿宋" w:eastAsia="仿宋" w:cs="仿宋"/>
          <w:color w:val="auto"/>
          <w:sz w:val="24"/>
          <w:highlight w:val="none"/>
        </w:rPr>
        <w:t>.</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单位开展的数字化改造、设施设备新建、改建、抢修等项目，</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应无条件配合，并按要求配置相关技术支撑队伍、专业运行操作人员，同时，按照</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管理要求参与对接、管理、验收等工作。</w:t>
      </w:r>
    </w:p>
    <w:p w14:paraId="22B68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要求，派专业技术人员参与各闸泵站新建、改建、抢修等项目的图纸会审、中间检查及竣工验收检查等相关技术工作。</w:t>
      </w:r>
    </w:p>
    <w:p w14:paraId="22B6816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要求，协助</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组织开展闸站相关的各类宣传工作及技能比武、培训演练等活动。</w:t>
      </w:r>
    </w:p>
    <w:p w14:paraId="22B6816C">
      <w:p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、养护人员配备要求</w:t>
      </w:r>
    </w:p>
    <w:p w14:paraId="7C55F0E7">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本项目配备的</w:t>
      </w:r>
      <w:r>
        <w:rPr>
          <w:rFonts w:hint="eastAsia" w:ascii="仿宋" w:hAnsi="仿宋" w:eastAsia="仿宋" w:cs="仿宋"/>
          <w:color w:val="auto"/>
          <w:highlight w:val="none"/>
          <w:lang w:bidi="ar"/>
        </w:rPr>
        <w:t>养护人员由</w:t>
      </w:r>
      <w:r>
        <w:rPr>
          <w:rFonts w:hint="eastAsia" w:ascii="仿宋" w:hAnsi="仿宋" w:eastAsia="仿宋" w:cs="仿宋"/>
          <w:color w:val="auto"/>
          <w:highlight w:val="none"/>
        </w:rPr>
        <w:t>项目管理班组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现场运行班组、维保专业班组三部分组成。</w:t>
      </w:r>
    </w:p>
    <w:p w14:paraId="4DE10676">
      <w:pPr>
        <w:pStyle w:val="57"/>
        <w:autoSpaceDE/>
        <w:autoSpaceDN/>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highlight w:val="none"/>
          <w:lang w:bidi="ar"/>
        </w:rPr>
        <w:t>（一）</w:t>
      </w:r>
      <w:r>
        <w:rPr>
          <w:rFonts w:hint="eastAsia" w:ascii="仿宋" w:hAnsi="仿宋" w:eastAsia="仿宋" w:cs="仿宋"/>
          <w:color w:val="auto"/>
          <w:sz w:val="24"/>
          <w:highlight w:val="none"/>
        </w:rPr>
        <w:t>项目管理班组人员要求</w:t>
      </w:r>
    </w:p>
    <w:p w14:paraId="4B33ED85">
      <w:pPr>
        <w:pStyle w:val="57"/>
        <w:autoSpaceDE/>
        <w:autoSpaceDN/>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1.项目负责人：1名，应具有水利类或市政类工程师（中级）及以上职称。项目负责人可兼任</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班组岗位。</w:t>
      </w:r>
    </w:p>
    <w:p w14:paraId="0956C725">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2.项目管理班组技术人员:不少于2人。其中具有机电类、信息化（计算机）类（中级）及以上工程师职称的专业技术人员各1名（一人持多证算一名）。项目管理班组技术人员可兼任</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班组岗位。</w:t>
      </w:r>
    </w:p>
    <w:p w14:paraId="6D8B6160">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现场运行班组人员</w:t>
      </w:r>
      <w:r>
        <w:rPr>
          <w:rFonts w:hint="eastAsia" w:ascii="仿宋" w:hAnsi="仿宋" w:eastAsia="仿宋" w:cs="仿宋"/>
          <w:color w:val="auto"/>
          <w:highlight w:val="none"/>
          <w:lang w:bidi="ar"/>
        </w:rPr>
        <w:t>要求</w:t>
      </w:r>
    </w:p>
    <w:p w14:paraId="2CAC426F">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bidi="ar"/>
        </w:rPr>
        <w:t>1.现场运行班组人员配置应按照《杭州市城市河道相关闸站运行维护费用（组成）》（详见附件7）中设定的各闸站人员配比标准执行</w:t>
      </w:r>
      <w:r>
        <w:rPr>
          <w:rFonts w:hint="eastAsia" w:ascii="仿宋" w:hAnsi="仿宋" w:eastAsia="仿宋" w:cs="仿宋"/>
          <w:color w:val="auto"/>
          <w:highlight w:val="none"/>
          <w:lang w:eastAsia="zh-CN" w:bidi="ar"/>
        </w:rPr>
        <w:t>。▲本项目要求人数不少于59人，投标文件中提供投标截止月上溯3个月（含投标截止日当月，共4个月中任意连续3个月）在投标人的社保缴纳证明（开标前20天内投标人所属社保机构出具的加盖印章的单位或个人专用社保证明）。</w:t>
      </w:r>
    </w:p>
    <w:tbl>
      <w:tblPr>
        <w:tblStyle w:val="62"/>
        <w:tblpPr w:leftFromText="180" w:rightFromText="180" w:vertAnchor="text" w:horzAnchor="page" w:tblpX="1418" w:tblpY="56"/>
        <w:tblOverlap w:val="never"/>
        <w:tblW w:w="46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12"/>
        <w:gridCol w:w="758"/>
        <w:gridCol w:w="758"/>
        <w:gridCol w:w="1133"/>
        <w:gridCol w:w="758"/>
        <w:gridCol w:w="758"/>
        <w:gridCol w:w="722"/>
        <w:gridCol w:w="706"/>
        <w:gridCol w:w="706"/>
      </w:tblGrid>
      <w:tr w14:paraId="2C83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pct"/>
            <w:tcBorders>
              <w:top w:val="single" w:color="auto" w:sz="4" w:space="0"/>
              <w:left w:val="single" w:color="auto" w:sz="4" w:space="0"/>
              <w:bottom w:val="single" w:color="auto" w:sz="4" w:space="0"/>
              <w:right w:val="single" w:color="auto" w:sz="4" w:space="0"/>
            </w:tcBorders>
            <w:vAlign w:val="center"/>
          </w:tcPr>
          <w:p w14:paraId="2C83F0F7">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序号</w:t>
            </w:r>
          </w:p>
        </w:tc>
        <w:tc>
          <w:tcPr>
            <w:tcW w:w="882" w:type="pct"/>
            <w:tcBorders>
              <w:top w:val="single" w:color="auto" w:sz="4" w:space="0"/>
              <w:left w:val="single" w:color="auto" w:sz="4" w:space="0"/>
              <w:bottom w:val="single" w:color="auto" w:sz="4" w:space="0"/>
              <w:right w:val="single" w:color="auto" w:sz="4" w:space="0"/>
            </w:tcBorders>
            <w:vAlign w:val="center"/>
          </w:tcPr>
          <w:p w14:paraId="2C83F0F8">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闸站名称</w:t>
            </w:r>
          </w:p>
        </w:tc>
        <w:tc>
          <w:tcPr>
            <w:tcW w:w="442" w:type="pct"/>
            <w:tcBorders>
              <w:top w:val="single" w:color="auto" w:sz="4" w:space="0"/>
              <w:left w:val="single" w:color="auto" w:sz="4" w:space="0"/>
              <w:bottom w:val="single" w:color="auto" w:sz="4" w:space="0"/>
              <w:right w:val="single" w:color="auto" w:sz="4" w:space="0"/>
            </w:tcBorders>
            <w:vAlign w:val="center"/>
          </w:tcPr>
          <w:p w14:paraId="2C83F0F9">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所在</w:t>
            </w:r>
          </w:p>
          <w:p w14:paraId="2C83F0FA">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片区</w:t>
            </w:r>
          </w:p>
        </w:tc>
        <w:tc>
          <w:tcPr>
            <w:tcW w:w="442" w:type="pct"/>
            <w:tcBorders>
              <w:top w:val="single" w:color="auto" w:sz="4" w:space="0"/>
              <w:left w:val="single" w:color="auto" w:sz="4" w:space="0"/>
              <w:bottom w:val="single" w:color="auto" w:sz="4" w:space="0"/>
              <w:right w:val="single" w:color="auto" w:sz="4" w:space="0"/>
            </w:tcBorders>
            <w:vAlign w:val="center"/>
          </w:tcPr>
          <w:p w14:paraId="2C83F0FB">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有无管养用房</w:t>
            </w:r>
          </w:p>
        </w:tc>
        <w:tc>
          <w:tcPr>
            <w:tcW w:w="661" w:type="pct"/>
            <w:tcBorders>
              <w:top w:val="single" w:color="auto" w:sz="4" w:space="0"/>
              <w:left w:val="single" w:color="auto" w:sz="4" w:space="0"/>
              <w:bottom w:val="single" w:color="auto" w:sz="4" w:space="0"/>
              <w:right w:val="single" w:color="auto" w:sz="4" w:space="0"/>
            </w:tcBorders>
            <w:vAlign w:val="center"/>
          </w:tcPr>
          <w:p w14:paraId="2C83F0FC">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使用</w:t>
            </w:r>
          </w:p>
          <w:p w14:paraId="2C83F0FD">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功能</w:t>
            </w:r>
          </w:p>
        </w:tc>
        <w:tc>
          <w:tcPr>
            <w:tcW w:w="442" w:type="pct"/>
            <w:tcBorders>
              <w:top w:val="single" w:color="auto" w:sz="4" w:space="0"/>
              <w:left w:val="single" w:color="auto" w:sz="4" w:space="0"/>
              <w:bottom w:val="single" w:color="auto" w:sz="4" w:space="0"/>
              <w:right w:val="single" w:color="auto" w:sz="4" w:space="0"/>
            </w:tcBorders>
            <w:vAlign w:val="center"/>
          </w:tcPr>
          <w:p w14:paraId="2C83F0FE">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等级</w:t>
            </w:r>
          </w:p>
        </w:tc>
        <w:tc>
          <w:tcPr>
            <w:tcW w:w="442" w:type="pct"/>
            <w:tcBorders>
              <w:top w:val="single" w:color="auto" w:sz="4" w:space="0"/>
              <w:left w:val="single" w:color="auto" w:sz="4" w:space="0"/>
              <w:bottom w:val="single" w:color="auto" w:sz="4" w:space="0"/>
              <w:right w:val="single" w:color="auto" w:sz="4" w:space="0"/>
            </w:tcBorders>
            <w:vAlign w:val="center"/>
          </w:tcPr>
          <w:p w14:paraId="2C83F0FF">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运行</w:t>
            </w:r>
          </w:p>
          <w:p w14:paraId="2C83F100">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模式</w:t>
            </w:r>
          </w:p>
        </w:tc>
        <w:tc>
          <w:tcPr>
            <w:tcW w:w="416" w:type="pct"/>
            <w:tcBorders>
              <w:top w:val="single" w:color="auto" w:sz="4" w:space="0"/>
              <w:left w:val="single" w:color="auto" w:sz="4" w:space="0"/>
              <w:bottom w:val="single" w:color="auto" w:sz="4" w:space="0"/>
              <w:right w:val="single" w:color="auto" w:sz="4" w:space="0"/>
            </w:tcBorders>
            <w:vAlign w:val="center"/>
          </w:tcPr>
          <w:p w14:paraId="2C83F101">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每班人数</w:t>
            </w:r>
          </w:p>
        </w:tc>
        <w:tc>
          <w:tcPr>
            <w:tcW w:w="412" w:type="pct"/>
            <w:tcBorders>
              <w:top w:val="single" w:color="auto" w:sz="4" w:space="0"/>
              <w:left w:val="single" w:color="auto" w:sz="4" w:space="0"/>
              <w:bottom w:val="single" w:color="auto" w:sz="4" w:space="0"/>
              <w:right w:val="single" w:color="auto" w:sz="4" w:space="0"/>
            </w:tcBorders>
            <w:vAlign w:val="center"/>
          </w:tcPr>
          <w:p w14:paraId="2C83F102">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运行人员总数</w:t>
            </w:r>
          </w:p>
        </w:tc>
        <w:tc>
          <w:tcPr>
            <w:tcW w:w="412" w:type="pct"/>
            <w:tcBorders>
              <w:top w:val="single" w:color="auto" w:sz="4" w:space="0"/>
              <w:left w:val="single" w:color="auto" w:sz="4" w:space="0"/>
              <w:bottom w:val="single" w:color="auto" w:sz="4" w:space="0"/>
              <w:right w:val="single" w:color="auto" w:sz="4" w:space="0"/>
            </w:tcBorders>
            <w:vAlign w:val="center"/>
          </w:tcPr>
          <w:p w14:paraId="2C83F103">
            <w:pPr>
              <w:keepNext w:val="0"/>
              <w:keepLines w:val="0"/>
              <w:widowControl/>
              <w:suppressLineNumbers w:val="0"/>
              <w:adjustRightInd/>
              <w:spacing w:before="0" w:beforeAutospacing="0" w:after="0" w:afterAutospacing="0" w:line="260" w:lineRule="atLeast"/>
              <w:ind w:left="0" w:right="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班组长</w:t>
            </w:r>
          </w:p>
        </w:tc>
      </w:tr>
      <w:tr w14:paraId="2C8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0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66" w:name="_Toc19117"/>
            <w:bookmarkStart w:id="67" w:name="_Toc16748"/>
            <w:bookmarkStart w:id="68" w:name="_Toc1179"/>
            <w:r>
              <w:rPr>
                <w:rFonts w:hint="eastAsia" w:ascii="仿宋" w:hAnsi="仿宋" w:eastAsia="仿宋" w:cs="仿宋"/>
                <w:color w:val="auto"/>
                <w:highlight w:val="none"/>
              </w:rPr>
              <w:t>1</w:t>
            </w:r>
            <w:bookmarkEnd w:id="66"/>
            <w:bookmarkEnd w:id="67"/>
            <w:bookmarkEnd w:id="68"/>
          </w:p>
        </w:tc>
        <w:tc>
          <w:tcPr>
            <w:tcW w:w="882" w:type="pct"/>
            <w:tcBorders>
              <w:top w:val="single" w:color="auto" w:sz="4" w:space="0"/>
              <w:left w:val="single" w:color="auto" w:sz="4" w:space="0"/>
              <w:bottom w:val="single" w:color="auto" w:sz="4" w:space="0"/>
              <w:right w:val="single" w:color="auto" w:sz="4" w:space="0"/>
            </w:tcBorders>
            <w:vAlign w:val="center"/>
          </w:tcPr>
          <w:p w14:paraId="2C83F10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古荡公园泵站</w:t>
            </w:r>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0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69" w:name="_Toc20515"/>
            <w:bookmarkStart w:id="70" w:name="_Toc4313"/>
            <w:bookmarkStart w:id="71" w:name="_Toc4229"/>
            <w:r>
              <w:rPr>
                <w:rFonts w:hint="eastAsia" w:ascii="仿宋" w:hAnsi="仿宋" w:eastAsia="仿宋" w:cs="仿宋"/>
                <w:color w:val="auto"/>
                <w:highlight w:val="none"/>
              </w:rPr>
              <w:t>运西老城片</w:t>
            </w:r>
            <w:bookmarkEnd w:id="69"/>
            <w:bookmarkEnd w:id="70"/>
            <w:bookmarkEnd w:id="71"/>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0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有</w:t>
            </w:r>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0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72" w:name="_Toc13310"/>
            <w:bookmarkStart w:id="73" w:name="_Toc10006"/>
            <w:bookmarkStart w:id="74" w:name="_Toc15001"/>
            <w:r>
              <w:rPr>
                <w:rFonts w:hint="eastAsia" w:ascii="仿宋" w:hAnsi="仿宋" w:eastAsia="仿宋" w:cs="仿宋"/>
                <w:color w:val="auto"/>
                <w:highlight w:val="none"/>
              </w:rPr>
              <w:t>排涝、配水</w:t>
            </w:r>
            <w:bookmarkEnd w:id="72"/>
            <w:bookmarkEnd w:id="73"/>
            <w:bookmarkEnd w:id="74"/>
          </w:p>
        </w:tc>
        <w:tc>
          <w:tcPr>
            <w:tcW w:w="442" w:type="pct"/>
            <w:tcBorders>
              <w:top w:val="single" w:color="auto" w:sz="4" w:space="0"/>
              <w:left w:val="single" w:color="auto" w:sz="4" w:space="0"/>
              <w:bottom w:val="single" w:color="auto" w:sz="4" w:space="0"/>
              <w:right w:val="single" w:color="auto" w:sz="4" w:space="0"/>
            </w:tcBorders>
            <w:vAlign w:val="center"/>
          </w:tcPr>
          <w:p w14:paraId="2C83F10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75" w:name="_Toc32204"/>
            <w:bookmarkStart w:id="76" w:name="_Toc26868"/>
            <w:bookmarkStart w:id="77" w:name="_Toc32310"/>
            <w:r>
              <w:rPr>
                <w:rFonts w:hint="eastAsia" w:ascii="仿宋" w:hAnsi="仿宋" w:eastAsia="仿宋" w:cs="仿宋"/>
                <w:color w:val="auto"/>
                <w:highlight w:val="none"/>
              </w:rPr>
              <w:t>四级</w:t>
            </w:r>
            <w:bookmarkEnd w:id="75"/>
            <w:bookmarkEnd w:id="76"/>
            <w:bookmarkEnd w:id="77"/>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0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78" w:name="_Toc623"/>
            <w:bookmarkStart w:id="79" w:name="_Toc6002"/>
            <w:bookmarkStart w:id="80" w:name="_Toc20972"/>
            <w:r>
              <w:rPr>
                <w:rFonts w:hint="eastAsia" w:ascii="仿宋" w:hAnsi="仿宋" w:eastAsia="仿宋" w:cs="仿宋"/>
                <w:color w:val="auto"/>
                <w:highlight w:val="none"/>
              </w:rPr>
              <w:t>三班二运转</w:t>
            </w:r>
            <w:bookmarkEnd w:id="78"/>
            <w:bookmarkEnd w:id="79"/>
            <w:bookmarkEnd w:id="80"/>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0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81" w:name="_Toc17865"/>
            <w:bookmarkStart w:id="82" w:name="_Toc7027"/>
            <w:bookmarkStart w:id="83" w:name="_Toc8557"/>
            <w:r>
              <w:rPr>
                <w:rFonts w:hint="eastAsia" w:ascii="仿宋" w:hAnsi="仿宋" w:eastAsia="仿宋" w:cs="仿宋"/>
                <w:color w:val="auto"/>
                <w:highlight w:val="none"/>
              </w:rPr>
              <w:t>1</w:t>
            </w:r>
            <w:bookmarkEnd w:id="81"/>
            <w:bookmarkEnd w:id="82"/>
            <w:bookmarkEnd w:id="83"/>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0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84" w:name="_Toc26496"/>
            <w:bookmarkStart w:id="85" w:name="_Toc26201"/>
            <w:bookmarkStart w:id="86" w:name="_Toc10276"/>
            <w:r>
              <w:rPr>
                <w:rFonts w:hint="eastAsia" w:ascii="仿宋" w:hAnsi="仿宋" w:eastAsia="仿宋" w:cs="仿宋"/>
                <w:color w:val="auto"/>
                <w:highlight w:val="none"/>
              </w:rPr>
              <w:t>3</w:t>
            </w:r>
            <w:bookmarkEnd w:id="84"/>
            <w:bookmarkEnd w:id="85"/>
            <w:bookmarkEnd w:id="86"/>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0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87" w:name="_Toc29913"/>
            <w:bookmarkStart w:id="88" w:name="_Toc1069"/>
            <w:bookmarkStart w:id="89" w:name="_Toc11666"/>
            <w:r>
              <w:rPr>
                <w:rFonts w:hint="eastAsia" w:ascii="仿宋" w:hAnsi="仿宋" w:eastAsia="仿宋" w:cs="仿宋"/>
                <w:color w:val="auto"/>
                <w:highlight w:val="none"/>
              </w:rPr>
              <w:t>0</w:t>
            </w:r>
            <w:bookmarkEnd w:id="87"/>
            <w:bookmarkEnd w:id="88"/>
            <w:bookmarkEnd w:id="89"/>
          </w:p>
        </w:tc>
      </w:tr>
      <w:tr w14:paraId="2C83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1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1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90" w:name="_Toc15544"/>
            <w:bookmarkStart w:id="91" w:name="_Toc19535"/>
            <w:bookmarkStart w:id="92" w:name="_Toc22411"/>
            <w:r>
              <w:rPr>
                <w:rFonts w:hint="eastAsia" w:ascii="仿宋" w:hAnsi="仿宋" w:eastAsia="仿宋" w:cs="仿宋"/>
                <w:color w:val="auto"/>
                <w:highlight w:val="none"/>
              </w:rPr>
              <w:t>配套的泵池拍门（2个）</w:t>
            </w:r>
            <w:bookmarkEnd w:id="90"/>
            <w:bookmarkEnd w:id="91"/>
            <w:bookmarkEnd w:id="92"/>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1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1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1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1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93" w:name="_Toc15261"/>
            <w:bookmarkStart w:id="94" w:name="_Toc25478"/>
            <w:bookmarkStart w:id="95" w:name="_Toc676"/>
            <w:r>
              <w:rPr>
                <w:rFonts w:hint="eastAsia" w:ascii="仿宋" w:hAnsi="仿宋" w:eastAsia="仿宋" w:cs="仿宋"/>
                <w:color w:val="auto"/>
                <w:highlight w:val="none"/>
              </w:rPr>
              <w:t>五级</w:t>
            </w:r>
            <w:bookmarkEnd w:id="93"/>
            <w:bookmarkEnd w:id="94"/>
            <w:bookmarkEnd w:id="95"/>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1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1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1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1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1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1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96" w:name="_Toc8230"/>
            <w:bookmarkStart w:id="97" w:name="_Toc11600"/>
            <w:bookmarkStart w:id="98" w:name="_Toc11523"/>
            <w:r>
              <w:rPr>
                <w:rFonts w:hint="eastAsia" w:ascii="仿宋" w:hAnsi="仿宋" w:eastAsia="仿宋" w:cs="仿宋"/>
                <w:color w:val="auto"/>
                <w:highlight w:val="none"/>
              </w:rPr>
              <w:t>配套的1座节制闸</w:t>
            </w:r>
            <w:bookmarkEnd w:id="96"/>
            <w:bookmarkEnd w:id="97"/>
            <w:bookmarkEnd w:id="98"/>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2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2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2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2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99" w:name="_Toc26627"/>
            <w:bookmarkStart w:id="100" w:name="_Toc25236"/>
            <w:bookmarkStart w:id="101" w:name="_Toc29006"/>
            <w:r>
              <w:rPr>
                <w:rFonts w:hint="eastAsia" w:ascii="仿宋" w:hAnsi="仿宋" w:eastAsia="仿宋" w:cs="仿宋"/>
                <w:color w:val="auto"/>
                <w:highlight w:val="none"/>
              </w:rPr>
              <w:t>二级</w:t>
            </w:r>
            <w:bookmarkEnd w:id="99"/>
            <w:bookmarkEnd w:id="100"/>
            <w:bookmarkEnd w:id="101"/>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2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2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2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2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tcBorders>
              <w:top w:val="single" w:color="auto" w:sz="4" w:space="0"/>
              <w:left w:val="single" w:color="auto" w:sz="4" w:space="0"/>
              <w:bottom w:val="single" w:color="auto" w:sz="4" w:space="0"/>
              <w:right w:val="single" w:color="auto" w:sz="4" w:space="0"/>
            </w:tcBorders>
            <w:vAlign w:val="center"/>
          </w:tcPr>
          <w:p w14:paraId="2C83F12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02" w:name="_Toc14246"/>
            <w:bookmarkStart w:id="103" w:name="_Toc26882"/>
            <w:bookmarkStart w:id="104" w:name="_Toc32574"/>
            <w:r>
              <w:rPr>
                <w:rFonts w:hint="eastAsia" w:ascii="仿宋" w:hAnsi="仿宋" w:eastAsia="仿宋" w:cs="仿宋"/>
                <w:color w:val="auto"/>
                <w:highlight w:val="none"/>
              </w:rPr>
              <w:t>2</w:t>
            </w:r>
            <w:bookmarkEnd w:id="102"/>
            <w:bookmarkEnd w:id="103"/>
            <w:bookmarkEnd w:id="104"/>
          </w:p>
        </w:tc>
        <w:tc>
          <w:tcPr>
            <w:tcW w:w="882" w:type="pct"/>
            <w:tcBorders>
              <w:top w:val="single" w:color="auto" w:sz="4" w:space="0"/>
              <w:left w:val="single" w:color="auto" w:sz="4" w:space="0"/>
              <w:bottom w:val="single" w:color="auto" w:sz="4" w:space="0"/>
              <w:right w:val="single" w:color="auto" w:sz="4" w:space="0"/>
            </w:tcBorders>
            <w:vAlign w:val="center"/>
          </w:tcPr>
          <w:p w14:paraId="2C83F12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05" w:name="_Toc5603"/>
            <w:bookmarkStart w:id="106" w:name="_Toc12729"/>
            <w:bookmarkStart w:id="107" w:name="_Toc1684"/>
            <w:r>
              <w:rPr>
                <w:rFonts w:hint="eastAsia" w:ascii="仿宋" w:hAnsi="仿宋" w:eastAsia="仿宋" w:cs="仿宋"/>
                <w:color w:val="auto"/>
                <w:highlight w:val="none"/>
              </w:rPr>
              <w:t>古荡湾（水）闸</w:t>
            </w:r>
            <w:bookmarkEnd w:id="105"/>
            <w:bookmarkEnd w:id="106"/>
            <w:bookmarkEnd w:id="107"/>
          </w:p>
        </w:tc>
        <w:tc>
          <w:tcPr>
            <w:tcW w:w="442" w:type="pct"/>
            <w:tcBorders>
              <w:top w:val="single" w:color="auto" w:sz="4" w:space="0"/>
              <w:left w:val="single" w:color="auto" w:sz="4" w:space="0"/>
              <w:bottom w:val="single" w:color="auto" w:sz="4" w:space="0"/>
              <w:right w:val="single" w:color="auto" w:sz="4" w:space="0"/>
            </w:tcBorders>
            <w:vAlign w:val="center"/>
          </w:tcPr>
          <w:p w14:paraId="2C83F12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08" w:name="_Toc649"/>
            <w:bookmarkStart w:id="109" w:name="_Toc3802"/>
            <w:bookmarkStart w:id="110" w:name="_Toc4093"/>
            <w:r>
              <w:rPr>
                <w:rFonts w:hint="eastAsia" w:ascii="仿宋" w:hAnsi="仿宋" w:eastAsia="仿宋" w:cs="仿宋"/>
                <w:color w:val="auto"/>
                <w:highlight w:val="none"/>
              </w:rPr>
              <w:t>运西老城片</w:t>
            </w:r>
            <w:bookmarkEnd w:id="108"/>
            <w:bookmarkEnd w:id="109"/>
            <w:bookmarkEnd w:id="110"/>
          </w:p>
        </w:tc>
        <w:tc>
          <w:tcPr>
            <w:tcW w:w="442" w:type="pct"/>
            <w:tcBorders>
              <w:top w:val="single" w:color="auto" w:sz="4" w:space="0"/>
              <w:left w:val="single" w:color="auto" w:sz="4" w:space="0"/>
              <w:bottom w:val="single" w:color="auto" w:sz="4" w:space="0"/>
              <w:right w:val="single" w:color="auto" w:sz="4" w:space="0"/>
            </w:tcBorders>
            <w:vAlign w:val="center"/>
          </w:tcPr>
          <w:p w14:paraId="2C83F12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11" w:name="_Toc7111"/>
            <w:bookmarkStart w:id="112" w:name="_Toc5383"/>
            <w:r>
              <w:rPr>
                <w:rFonts w:hint="eastAsia" w:ascii="仿宋" w:hAnsi="仿宋" w:eastAsia="仿宋" w:cs="仿宋"/>
                <w:color w:val="auto"/>
                <w:highlight w:val="none"/>
              </w:rPr>
              <w:t>有</w:t>
            </w:r>
            <w:bookmarkEnd w:id="111"/>
            <w:bookmarkEnd w:id="112"/>
          </w:p>
        </w:tc>
        <w:tc>
          <w:tcPr>
            <w:tcW w:w="661" w:type="pct"/>
            <w:tcBorders>
              <w:top w:val="single" w:color="auto" w:sz="4" w:space="0"/>
              <w:left w:val="single" w:color="auto" w:sz="4" w:space="0"/>
              <w:bottom w:val="single" w:color="auto" w:sz="4" w:space="0"/>
              <w:right w:val="single" w:color="auto" w:sz="4" w:space="0"/>
            </w:tcBorders>
            <w:vAlign w:val="center"/>
          </w:tcPr>
          <w:p w14:paraId="2C83F12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13" w:name="_Toc27054"/>
            <w:bookmarkStart w:id="114" w:name="_Toc13180"/>
            <w:bookmarkStart w:id="115" w:name="_Toc21930"/>
            <w:r>
              <w:rPr>
                <w:rFonts w:hint="eastAsia" w:ascii="仿宋" w:hAnsi="仿宋" w:eastAsia="仿宋" w:cs="仿宋"/>
                <w:color w:val="auto"/>
                <w:highlight w:val="none"/>
              </w:rPr>
              <w:t>排涝、配水</w:t>
            </w:r>
            <w:bookmarkEnd w:id="113"/>
            <w:bookmarkEnd w:id="114"/>
            <w:bookmarkEnd w:id="115"/>
          </w:p>
        </w:tc>
        <w:tc>
          <w:tcPr>
            <w:tcW w:w="442" w:type="pct"/>
            <w:tcBorders>
              <w:top w:val="single" w:color="auto" w:sz="4" w:space="0"/>
              <w:left w:val="single" w:color="auto" w:sz="4" w:space="0"/>
              <w:bottom w:val="single" w:color="auto" w:sz="4" w:space="0"/>
              <w:right w:val="single" w:color="auto" w:sz="4" w:space="0"/>
            </w:tcBorders>
            <w:vAlign w:val="center"/>
          </w:tcPr>
          <w:p w14:paraId="2C83F12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16" w:name="_Toc12319"/>
            <w:bookmarkStart w:id="117" w:name="_Toc26397"/>
            <w:bookmarkStart w:id="118" w:name="_Toc22898"/>
            <w:r>
              <w:rPr>
                <w:rFonts w:hint="eastAsia" w:ascii="仿宋" w:hAnsi="仿宋" w:eastAsia="仿宋" w:cs="仿宋"/>
                <w:color w:val="auto"/>
                <w:highlight w:val="none"/>
              </w:rPr>
              <w:t>二级</w:t>
            </w:r>
            <w:bookmarkEnd w:id="116"/>
            <w:bookmarkEnd w:id="117"/>
            <w:bookmarkEnd w:id="118"/>
          </w:p>
        </w:tc>
        <w:tc>
          <w:tcPr>
            <w:tcW w:w="442" w:type="pct"/>
            <w:tcBorders>
              <w:top w:val="single" w:color="auto" w:sz="4" w:space="0"/>
              <w:left w:val="single" w:color="auto" w:sz="4" w:space="0"/>
              <w:bottom w:val="single" w:color="auto" w:sz="4" w:space="0"/>
              <w:right w:val="single" w:color="auto" w:sz="4" w:space="0"/>
            </w:tcBorders>
            <w:vAlign w:val="center"/>
          </w:tcPr>
          <w:p w14:paraId="2C83F13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19" w:name="_Toc1379"/>
            <w:bookmarkStart w:id="120" w:name="_Toc17818"/>
            <w:bookmarkStart w:id="121" w:name="_Toc25033"/>
            <w:r>
              <w:rPr>
                <w:rFonts w:hint="eastAsia" w:ascii="仿宋" w:hAnsi="仿宋" w:eastAsia="仿宋" w:cs="仿宋"/>
                <w:color w:val="auto"/>
                <w:highlight w:val="none"/>
              </w:rPr>
              <w:t>三班二运转</w:t>
            </w:r>
            <w:bookmarkEnd w:id="119"/>
            <w:bookmarkEnd w:id="120"/>
            <w:bookmarkEnd w:id="121"/>
          </w:p>
        </w:tc>
        <w:tc>
          <w:tcPr>
            <w:tcW w:w="416" w:type="pct"/>
            <w:tcBorders>
              <w:top w:val="single" w:color="auto" w:sz="4" w:space="0"/>
              <w:left w:val="single" w:color="auto" w:sz="4" w:space="0"/>
              <w:bottom w:val="single" w:color="auto" w:sz="4" w:space="0"/>
              <w:right w:val="single" w:color="auto" w:sz="4" w:space="0"/>
            </w:tcBorders>
            <w:vAlign w:val="center"/>
          </w:tcPr>
          <w:p w14:paraId="2C83F13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22" w:name="_Toc22724"/>
            <w:bookmarkStart w:id="123" w:name="_Toc2775"/>
            <w:bookmarkStart w:id="124" w:name="_Toc15752"/>
            <w:r>
              <w:rPr>
                <w:rFonts w:hint="eastAsia" w:ascii="仿宋" w:hAnsi="仿宋" w:eastAsia="仿宋" w:cs="仿宋"/>
                <w:color w:val="auto"/>
                <w:highlight w:val="none"/>
              </w:rPr>
              <w:t>1</w:t>
            </w:r>
            <w:bookmarkEnd w:id="122"/>
            <w:bookmarkEnd w:id="123"/>
            <w:bookmarkEnd w:id="124"/>
          </w:p>
        </w:tc>
        <w:tc>
          <w:tcPr>
            <w:tcW w:w="412" w:type="pct"/>
            <w:tcBorders>
              <w:top w:val="single" w:color="auto" w:sz="4" w:space="0"/>
              <w:left w:val="single" w:color="auto" w:sz="4" w:space="0"/>
              <w:bottom w:val="single" w:color="auto" w:sz="4" w:space="0"/>
              <w:right w:val="single" w:color="auto" w:sz="4" w:space="0"/>
            </w:tcBorders>
            <w:vAlign w:val="center"/>
          </w:tcPr>
          <w:p w14:paraId="2C83F13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25" w:name="_Toc6409"/>
            <w:bookmarkStart w:id="126" w:name="_Toc1783"/>
            <w:bookmarkStart w:id="127" w:name="_Toc3448"/>
            <w:r>
              <w:rPr>
                <w:rFonts w:hint="eastAsia" w:ascii="仿宋" w:hAnsi="仿宋" w:eastAsia="仿宋" w:cs="仿宋"/>
                <w:color w:val="auto"/>
                <w:highlight w:val="none"/>
              </w:rPr>
              <w:t>3</w:t>
            </w:r>
            <w:bookmarkEnd w:id="125"/>
            <w:bookmarkEnd w:id="126"/>
            <w:bookmarkEnd w:id="127"/>
          </w:p>
        </w:tc>
        <w:tc>
          <w:tcPr>
            <w:tcW w:w="412" w:type="pct"/>
            <w:tcBorders>
              <w:top w:val="single" w:color="auto" w:sz="4" w:space="0"/>
              <w:left w:val="single" w:color="auto" w:sz="4" w:space="0"/>
              <w:bottom w:val="single" w:color="auto" w:sz="4" w:space="0"/>
              <w:right w:val="single" w:color="auto" w:sz="4" w:space="0"/>
            </w:tcBorders>
            <w:vAlign w:val="center"/>
          </w:tcPr>
          <w:p w14:paraId="2C83F13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28" w:name="_Toc14203"/>
            <w:bookmarkStart w:id="129" w:name="_Toc14728"/>
            <w:bookmarkStart w:id="130" w:name="_Toc28984"/>
            <w:r>
              <w:rPr>
                <w:rFonts w:hint="eastAsia" w:ascii="仿宋" w:hAnsi="仿宋" w:eastAsia="仿宋" w:cs="仿宋"/>
                <w:color w:val="auto"/>
                <w:highlight w:val="none"/>
              </w:rPr>
              <w:t>0</w:t>
            </w:r>
            <w:bookmarkEnd w:id="128"/>
            <w:bookmarkEnd w:id="129"/>
            <w:bookmarkEnd w:id="130"/>
          </w:p>
        </w:tc>
      </w:tr>
      <w:tr w14:paraId="2C83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3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31" w:name="_Toc21198"/>
            <w:bookmarkStart w:id="132" w:name="_Toc23673"/>
            <w:bookmarkStart w:id="133" w:name="_Toc5862"/>
            <w:r>
              <w:rPr>
                <w:rFonts w:hint="eastAsia" w:ascii="仿宋" w:hAnsi="仿宋" w:eastAsia="仿宋" w:cs="仿宋"/>
                <w:color w:val="auto"/>
                <w:highlight w:val="none"/>
              </w:rPr>
              <w:t>3</w:t>
            </w:r>
            <w:bookmarkEnd w:id="131"/>
            <w:bookmarkEnd w:id="132"/>
            <w:bookmarkEnd w:id="133"/>
          </w:p>
        </w:tc>
        <w:tc>
          <w:tcPr>
            <w:tcW w:w="882" w:type="pct"/>
            <w:tcBorders>
              <w:top w:val="single" w:color="auto" w:sz="4" w:space="0"/>
              <w:left w:val="single" w:color="auto" w:sz="4" w:space="0"/>
              <w:bottom w:val="single" w:color="auto" w:sz="4" w:space="0"/>
              <w:right w:val="single" w:color="auto" w:sz="4" w:space="0"/>
            </w:tcBorders>
            <w:vAlign w:val="center"/>
          </w:tcPr>
          <w:p w14:paraId="2C83F13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34" w:name="_Toc3843"/>
            <w:bookmarkStart w:id="135" w:name="_Toc22862"/>
            <w:bookmarkStart w:id="136" w:name="_Toc4486"/>
            <w:r>
              <w:rPr>
                <w:rFonts w:hint="eastAsia" w:ascii="仿宋" w:hAnsi="仿宋" w:eastAsia="仿宋" w:cs="仿宋"/>
                <w:color w:val="auto"/>
                <w:highlight w:val="none"/>
              </w:rPr>
              <w:t>冯家港船闸</w:t>
            </w:r>
            <w:bookmarkEnd w:id="134"/>
            <w:bookmarkEnd w:id="135"/>
            <w:bookmarkEnd w:id="136"/>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3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37" w:name="_Toc7346"/>
            <w:bookmarkStart w:id="138" w:name="_Toc13414"/>
            <w:bookmarkStart w:id="139" w:name="_Toc4291"/>
            <w:r>
              <w:rPr>
                <w:rFonts w:hint="eastAsia" w:ascii="仿宋" w:hAnsi="仿宋" w:eastAsia="仿宋" w:cs="仿宋"/>
                <w:color w:val="auto"/>
                <w:highlight w:val="none"/>
              </w:rPr>
              <w:t>运西蒋村片</w:t>
            </w:r>
            <w:bookmarkEnd w:id="137"/>
            <w:bookmarkEnd w:id="138"/>
            <w:bookmarkEnd w:id="139"/>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3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40" w:name="_Toc13714"/>
            <w:bookmarkStart w:id="141" w:name="_Toc10180"/>
            <w:bookmarkStart w:id="142" w:name="_Toc9340"/>
            <w:r>
              <w:rPr>
                <w:rFonts w:hint="eastAsia" w:ascii="仿宋" w:hAnsi="仿宋" w:eastAsia="仿宋" w:cs="仿宋"/>
                <w:color w:val="auto"/>
                <w:highlight w:val="none"/>
              </w:rPr>
              <w:t>有</w:t>
            </w:r>
            <w:bookmarkEnd w:id="140"/>
            <w:bookmarkEnd w:id="141"/>
            <w:bookmarkEnd w:id="142"/>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3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43" w:name="_Toc454"/>
            <w:bookmarkStart w:id="144" w:name="_Toc3693"/>
            <w:bookmarkStart w:id="145" w:name="_Toc9861"/>
            <w:r>
              <w:rPr>
                <w:rFonts w:hint="eastAsia" w:ascii="仿宋" w:hAnsi="仿宋" w:eastAsia="仿宋" w:cs="仿宋"/>
                <w:color w:val="auto"/>
                <w:highlight w:val="none"/>
              </w:rPr>
              <w:t>排涝、配水、通航</w:t>
            </w:r>
            <w:bookmarkEnd w:id="143"/>
            <w:bookmarkEnd w:id="144"/>
            <w:bookmarkEnd w:id="145"/>
          </w:p>
        </w:tc>
        <w:tc>
          <w:tcPr>
            <w:tcW w:w="442" w:type="pct"/>
            <w:tcBorders>
              <w:top w:val="single" w:color="auto" w:sz="4" w:space="0"/>
              <w:left w:val="single" w:color="auto" w:sz="4" w:space="0"/>
              <w:bottom w:val="single" w:color="auto" w:sz="4" w:space="0"/>
              <w:right w:val="single" w:color="auto" w:sz="4" w:space="0"/>
            </w:tcBorders>
            <w:vAlign w:val="center"/>
          </w:tcPr>
          <w:p w14:paraId="2C83F13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46" w:name="_Toc27670"/>
            <w:bookmarkStart w:id="147" w:name="_Toc8377"/>
            <w:bookmarkStart w:id="148" w:name="_Toc13921"/>
            <w:r>
              <w:rPr>
                <w:rFonts w:hint="eastAsia" w:ascii="仿宋" w:hAnsi="仿宋" w:eastAsia="仿宋" w:cs="仿宋"/>
                <w:color w:val="auto"/>
                <w:highlight w:val="none"/>
              </w:rPr>
              <w:t>四级</w:t>
            </w:r>
            <w:bookmarkEnd w:id="146"/>
            <w:bookmarkEnd w:id="147"/>
            <w:bookmarkEnd w:id="148"/>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3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49" w:name="_Toc25184"/>
            <w:bookmarkStart w:id="150" w:name="_Toc29657"/>
            <w:bookmarkStart w:id="151" w:name="_Toc18789"/>
            <w:r>
              <w:rPr>
                <w:rFonts w:hint="eastAsia" w:ascii="仿宋" w:hAnsi="仿宋" w:eastAsia="仿宋" w:cs="仿宋"/>
                <w:color w:val="auto"/>
                <w:highlight w:val="none"/>
              </w:rPr>
              <w:t>三班二运转</w:t>
            </w:r>
            <w:bookmarkEnd w:id="149"/>
            <w:bookmarkEnd w:id="150"/>
            <w:bookmarkEnd w:id="151"/>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3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52" w:name="_Toc17697"/>
            <w:bookmarkStart w:id="153" w:name="_Toc10125"/>
            <w:bookmarkStart w:id="154" w:name="_Toc20021"/>
            <w:r>
              <w:rPr>
                <w:rFonts w:hint="eastAsia" w:ascii="仿宋" w:hAnsi="仿宋" w:eastAsia="仿宋" w:cs="仿宋"/>
                <w:color w:val="auto"/>
                <w:highlight w:val="none"/>
              </w:rPr>
              <w:t>2</w:t>
            </w:r>
            <w:bookmarkEnd w:id="152"/>
            <w:bookmarkEnd w:id="153"/>
            <w:bookmarkEnd w:id="154"/>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3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55" w:name="_Toc13625"/>
            <w:bookmarkStart w:id="156" w:name="_Toc3661"/>
            <w:bookmarkStart w:id="157" w:name="_Toc12725"/>
            <w:r>
              <w:rPr>
                <w:rFonts w:hint="eastAsia" w:ascii="仿宋" w:hAnsi="仿宋" w:eastAsia="仿宋" w:cs="仿宋"/>
                <w:color w:val="auto"/>
                <w:highlight w:val="none"/>
              </w:rPr>
              <w:t>6</w:t>
            </w:r>
            <w:bookmarkEnd w:id="155"/>
            <w:bookmarkEnd w:id="156"/>
            <w:bookmarkEnd w:id="157"/>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3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58" w:name="_Toc15459"/>
            <w:bookmarkStart w:id="159" w:name="_Toc16871"/>
            <w:bookmarkStart w:id="160" w:name="_Toc2560"/>
            <w:r>
              <w:rPr>
                <w:rFonts w:hint="eastAsia" w:ascii="仿宋" w:hAnsi="仿宋" w:eastAsia="仿宋" w:cs="仿宋"/>
                <w:color w:val="auto"/>
                <w:highlight w:val="none"/>
              </w:rPr>
              <w:t>0</w:t>
            </w:r>
            <w:bookmarkEnd w:id="158"/>
            <w:bookmarkEnd w:id="159"/>
            <w:bookmarkEnd w:id="160"/>
          </w:p>
        </w:tc>
      </w:tr>
      <w:tr w14:paraId="2C83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4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4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61" w:name="_Toc22849"/>
            <w:bookmarkStart w:id="162" w:name="_Toc20079"/>
            <w:bookmarkStart w:id="163" w:name="_Toc4045"/>
            <w:r>
              <w:rPr>
                <w:rFonts w:hint="eastAsia" w:ascii="仿宋" w:hAnsi="仿宋" w:eastAsia="仿宋" w:cs="仿宋"/>
                <w:color w:val="auto"/>
                <w:highlight w:val="none"/>
              </w:rPr>
              <w:t>配套的输水廊道进出水闸门</w:t>
            </w:r>
            <w:bookmarkEnd w:id="161"/>
            <w:bookmarkEnd w:id="162"/>
            <w:bookmarkEnd w:id="163"/>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4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4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4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4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64" w:name="_Toc21272"/>
            <w:bookmarkStart w:id="165" w:name="_Toc416"/>
            <w:bookmarkStart w:id="166" w:name="_Toc4044"/>
            <w:r>
              <w:rPr>
                <w:rFonts w:hint="eastAsia" w:ascii="仿宋" w:hAnsi="仿宋" w:eastAsia="仿宋" w:cs="仿宋"/>
                <w:color w:val="auto"/>
                <w:highlight w:val="none"/>
              </w:rPr>
              <w:t>四级</w:t>
            </w:r>
            <w:bookmarkEnd w:id="164"/>
            <w:bookmarkEnd w:id="165"/>
            <w:bookmarkEnd w:id="166"/>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4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4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4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4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4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67" w:name="_Toc3085"/>
            <w:bookmarkStart w:id="168" w:name="_Toc16177"/>
            <w:bookmarkStart w:id="169" w:name="_Toc2543"/>
            <w:r>
              <w:rPr>
                <w:rFonts w:hint="eastAsia" w:ascii="仿宋" w:hAnsi="仿宋" w:eastAsia="仿宋" w:cs="仿宋"/>
                <w:color w:val="auto"/>
                <w:highlight w:val="none"/>
              </w:rPr>
              <w:t>4</w:t>
            </w:r>
            <w:bookmarkEnd w:id="167"/>
            <w:bookmarkEnd w:id="168"/>
            <w:bookmarkEnd w:id="169"/>
          </w:p>
        </w:tc>
        <w:tc>
          <w:tcPr>
            <w:tcW w:w="882" w:type="pct"/>
            <w:tcBorders>
              <w:top w:val="single" w:color="auto" w:sz="4" w:space="0"/>
              <w:left w:val="single" w:color="auto" w:sz="4" w:space="0"/>
              <w:bottom w:val="single" w:color="auto" w:sz="4" w:space="0"/>
              <w:right w:val="single" w:color="auto" w:sz="4" w:space="0"/>
            </w:tcBorders>
            <w:vAlign w:val="center"/>
          </w:tcPr>
          <w:p w14:paraId="2C83F14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70" w:name="_Toc20803"/>
            <w:bookmarkStart w:id="171" w:name="_Toc58"/>
            <w:bookmarkStart w:id="172" w:name="_Toc13915"/>
            <w:r>
              <w:rPr>
                <w:rFonts w:hint="eastAsia" w:ascii="仿宋" w:hAnsi="仿宋" w:eastAsia="仿宋" w:cs="仿宋"/>
                <w:color w:val="auto"/>
                <w:highlight w:val="none"/>
              </w:rPr>
              <w:t>莲花港船闸</w:t>
            </w:r>
            <w:bookmarkEnd w:id="170"/>
            <w:bookmarkEnd w:id="171"/>
            <w:bookmarkEnd w:id="172"/>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5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73" w:name="_Toc1920"/>
            <w:bookmarkStart w:id="174" w:name="_Toc1278"/>
            <w:bookmarkStart w:id="175" w:name="_Toc13971"/>
            <w:r>
              <w:rPr>
                <w:rFonts w:hint="eastAsia" w:ascii="仿宋" w:hAnsi="仿宋" w:eastAsia="仿宋" w:cs="仿宋"/>
                <w:color w:val="auto"/>
                <w:highlight w:val="none"/>
              </w:rPr>
              <w:t>运西蒋村片</w:t>
            </w:r>
            <w:bookmarkEnd w:id="173"/>
            <w:bookmarkEnd w:id="174"/>
            <w:bookmarkEnd w:id="175"/>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5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76" w:name="_Toc19289"/>
            <w:bookmarkStart w:id="177" w:name="_Toc19162"/>
            <w:bookmarkStart w:id="178" w:name="_Toc29073"/>
            <w:r>
              <w:rPr>
                <w:rFonts w:hint="eastAsia" w:ascii="仿宋" w:hAnsi="仿宋" w:eastAsia="仿宋" w:cs="仿宋"/>
                <w:color w:val="auto"/>
                <w:highlight w:val="none"/>
              </w:rPr>
              <w:t>有</w:t>
            </w:r>
            <w:bookmarkEnd w:id="176"/>
            <w:bookmarkEnd w:id="177"/>
            <w:bookmarkEnd w:id="178"/>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5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79" w:name="_Toc26072"/>
            <w:bookmarkStart w:id="180" w:name="_Toc9105"/>
            <w:bookmarkStart w:id="181" w:name="_Toc15618"/>
            <w:r>
              <w:rPr>
                <w:rFonts w:hint="eastAsia" w:ascii="仿宋" w:hAnsi="仿宋" w:eastAsia="仿宋" w:cs="仿宋"/>
                <w:color w:val="auto"/>
                <w:highlight w:val="none"/>
              </w:rPr>
              <w:t>排涝、配水、通航</w:t>
            </w:r>
            <w:bookmarkEnd w:id="179"/>
            <w:bookmarkEnd w:id="180"/>
            <w:bookmarkEnd w:id="181"/>
          </w:p>
        </w:tc>
        <w:tc>
          <w:tcPr>
            <w:tcW w:w="442" w:type="pct"/>
            <w:tcBorders>
              <w:top w:val="single" w:color="auto" w:sz="4" w:space="0"/>
              <w:left w:val="single" w:color="auto" w:sz="4" w:space="0"/>
              <w:bottom w:val="single" w:color="auto" w:sz="4" w:space="0"/>
              <w:right w:val="single" w:color="auto" w:sz="4" w:space="0"/>
            </w:tcBorders>
            <w:vAlign w:val="center"/>
          </w:tcPr>
          <w:p w14:paraId="2C83F15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82" w:name="_Toc20653"/>
            <w:bookmarkStart w:id="183" w:name="_Toc26961"/>
            <w:bookmarkStart w:id="184" w:name="_Toc6848"/>
            <w:r>
              <w:rPr>
                <w:rFonts w:hint="eastAsia" w:ascii="仿宋" w:hAnsi="仿宋" w:eastAsia="仿宋" w:cs="仿宋"/>
                <w:color w:val="auto"/>
                <w:highlight w:val="none"/>
              </w:rPr>
              <w:t>二级</w:t>
            </w:r>
            <w:bookmarkEnd w:id="182"/>
            <w:bookmarkEnd w:id="183"/>
            <w:bookmarkEnd w:id="184"/>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5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85" w:name="_Toc16330"/>
            <w:bookmarkStart w:id="186" w:name="_Toc24920"/>
            <w:bookmarkStart w:id="187" w:name="_Toc6175"/>
            <w:r>
              <w:rPr>
                <w:rFonts w:hint="eastAsia" w:ascii="仿宋" w:hAnsi="仿宋" w:eastAsia="仿宋" w:cs="仿宋"/>
                <w:color w:val="auto"/>
                <w:highlight w:val="none"/>
              </w:rPr>
              <w:t>三班二运转</w:t>
            </w:r>
            <w:bookmarkEnd w:id="185"/>
            <w:bookmarkEnd w:id="186"/>
            <w:bookmarkEnd w:id="187"/>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5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88" w:name="_Toc19558"/>
            <w:bookmarkStart w:id="189" w:name="_Toc14534"/>
            <w:bookmarkStart w:id="190" w:name="_Toc19755"/>
            <w:r>
              <w:rPr>
                <w:rFonts w:hint="eastAsia" w:ascii="仿宋" w:hAnsi="仿宋" w:eastAsia="仿宋" w:cs="仿宋"/>
                <w:color w:val="auto"/>
                <w:highlight w:val="none"/>
              </w:rPr>
              <w:t>3</w:t>
            </w:r>
            <w:bookmarkEnd w:id="188"/>
            <w:bookmarkEnd w:id="189"/>
            <w:bookmarkEnd w:id="190"/>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5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91" w:name="_Toc8426"/>
            <w:bookmarkStart w:id="192" w:name="_Toc17084"/>
            <w:bookmarkStart w:id="193" w:name="_Toc4296"/>
            <w:r>
              <w:rPr>
                <w:rFonts w:hint="eastAsia" w:ascii="仿宋" w:hAnsi="仿宋" w:eastAsia="仿宋" w:cs="仿宋"/>
                <w:color w:val="auto"/>
                <w:highlight w:val="none"/>
              </w:rPr>
              <w:t>9</w:t>
            </w:r>
            <w:bookmarkEnd w:id="191"/>
            <w:bookmarkEnd w:id="192"/>
            <w:bookmarkEnd w:id="193"/>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5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94" w:name="_Toc19416"/>
            <w:bookmarkStart w:id="195" w:name="_Toc3604"/>
            <w:bookmarkStart w:id="196" w:name="_Toc29956"/>
            <w:r>
              <w:rPr>
                <w:rFonts w:hint="eastAsia" w:ascii="仿宋" w:hAnsi="仿宋" w:eastAsia="仿宋" w:cs="仿宋"/>
                <w:color w:val="auto"/>
                <w:highlight w:val="none"/>
              </w:rPr>
              <w:t>1</w:t>
            </w:r>
            <w:bookmarkEnd w:id="194"/>
            <w:bookmarkEnd w:id="195"/>
            <w:bookmarkEnd w:id="196"/>
          </w:p>
        </w:tc>
      </w:tr>
      <w:tr w14:paraId="2C83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5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5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97" w:name="_Toc1762"/>
            <w:bookmarkStart w:id="198" w:name="_Toc11469"/>
            <w:r>
              <w:rPr>
                <w:rFonts w:hint="eastAsia" w:ascii="仿宋" w:hAnsi="仿宋" w:eastAsia="仿宋" w:cs="仿宋"/>
                <w:color w:val="auto"/>
                <w:highlight w:val="none"/>
              </w:rPr>
              <w:t>配套的输水廊道进出水闸门</w:t>
            </w:r>
            <w:bookmarkEnd w:id="197"/>
            <w:bookmarkEnd w:id="198"/>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5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5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5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5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199" w:name="_Toc19972"/>
            <w:bookmarkStart w:id="200" w:name="_Toc937"/>
            <w:bookmarkStart w:id="201" w:name="_Toc25358"/>
            <w:r>
              <w:rPr>
                <w:rFonts w:hint="eastAsia" w:ascii="仿宋" w:hAnsi="仿宋" w:eastAsia="仿宋" w:cs="仿宋"/>
                <w:color w:val="auto"/>
                <w:highlight w:val="none"/>
              </w:rPr>
              <w:t>四级</w:t>
            </w:r>
            <w:bookmarkEnd w:id="199"/>
            <w:bookmarkEnd w:id="200"/>
            <w:bookmarkEnd w:id="201"/>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6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6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6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6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6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02" w:name="_Toc31769"/>
            <w:bookmarkStart w:id="203" w:name="_Toc780"/>
            <w:bookmarkStart w:id="204" w:name="_Toc1472"/>
            <w:r>
              <w:rPr>
                <w:rFonts w:hint="eastAsia" w:ascii="仿宋" w:hAnsi="仿宋" w:eastAsia="仿宋" w:cs="仿宋"/>
                <w:color w:val="auto"/>
                <w:highlight w:val="none"/>
              </w:rPr>
              <w:t>5</w:t>
            </w:r>
            <w:bookmarkEnd w:id="202"/>
            <w:bookmarkEnd w:id="203"/>
            <w:bookmarkEnd w:id="204"/>
          </w:p>
        </w:tc>
        <w:tc>
          <w:tcPr>
            <w:tcW w:w="882" w:type="pct"/>
            <w:tcBorders>
              <w:top w:val="single" w:color="auto" w:sz="4" w:space="0"/>
              <w:left w:val="single" w:color="auto" w:sz="4" w:space="0"/>
              <w:bottom w:val="single" w:color="auto" w:sz="4" w:space="0"/>
              <w:right w:val="single" w:color="auto" w:sz="4" w:space="0"/>
            </w:tcBorders>
            <w:vAlign w:val="center"/>
          </w:tcPr>
          <w:p w14:paraId="2C83F16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05" w:name="_Toc24190"/>
            <w:bookmarkStart w:id="206" w:name="_Toc27889"/>
            <w:bookmarkStart w:id="207" w:name="_Toc20159"/>
            <w:r>
              <w:rPr>
                <w:rFonts w:hint="eastAsia" w:ascii="仿宋" w:hAnsi="仿宋" w:eastAsia="仿宋" w:cs="仿宋"/>
                <w:color w:val="auto"/>
                <w:highlight w:val="none"/>
              </w:rPr>
              <w:t>紫金港船闸</w:t>
            </w:r>
            <w:bookmarkEnd w:id="205"/>
            <w:bookmarkEnd w:id="206"/>
            <w:bookmarkEnd w:id="207"/>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6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08" w:name="_Toc22625"/>
            <w:bookmarkStart w:id="209" w:name="_Toc20246"/>
            <w:bookmarkStart w:id="210" w:name="_Toc19418"/>
            <w:r>
              <w:rPr>
                <w:rFonts w:hint="eastAsia" w:ascii="仿宋" w:hAnsi="仿宋" w:eastAsia="仿宋" w:cs="仿宋"/>
                <w:color w:val="auto"/>
                <w:highlight w:val="none"/>
              </w:rPr>
              <w:t>运西蒋村片</w:t>
            </w:r>
            <w:bookmarkEnd w:id="208"/>
            <w:bookmarkEnd w:id="209"/>
            <w:bookmarkEnd w:id="210"/>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6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11" w:name="_Toc14042"/>
            <w:bookmarkStart w:id="212" w:name="_Toc4656"/>
            <w:bookmarkStart w:id="213" w:name="_Toc5366"/>
            <w:r>
              <w:rPr>
                <w:rFonts w:hint="eastAsia" w:ascii="仿宋" w:hAnsi="仿宋" w:eastAsia="仿宋" w:cs="仿宋"/>
                <w:color w:val="auto"/>
                <w:highlight w:val="none"/>
              </w:rPr>
              <w:t>有</w:t>
            </w:r>
            <w:bookmarkEnd w:id="211"/>
            <w:bookmarkEnd w:id="212"/>
            <w:bookmarkEnd w:id="213"/>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6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14" w:name="_Toc26879"/>
            <w:bookmarkStart w:id="215" w:name="_Toc23311"/>
            <w:r>
              <w:rPr>
                <w:rFonts w:hint="eastAsia" w:ascii="仿宋" w:hAnsi="仿宋" w:eastAsia="仿宋" w:cs="仿宋"/>
                <w:color w:val="auto"/>
                <w:highlight w:val="none"/>
              </w:rPr>
              <w:t>排涝、配水、通航</w:t>
            </w:r>
            <w:bookmarkEnd w:id="214"/>
            <w:bookmarkEnd w:id="215"/>
          </w:p>
        </w:tc>
        <w:tc>
          <w:tcPr>
            <w:tcW w:w="442" w:type="pct"/>
            <w:tcBorders>
              <w:top w:val="single" w:color="auto" w:sz="4" w:space="0"/>
              <w:left w:val="single" w:color="auto" w:sz="4" w:space="0"/>
              <w:bottom w:val="single" w:color="auto" w:sz="4" w:space="0"/>
              <w:right w:val="single" w:color="auto" w:sz="4" w:space="0"/>
            </w:tcBorders>
            <w:vAlign w:val="center"/>
          </w:tcPr>
          <w:p w14:paraId="2C83F16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16" w:name="_Toc25995"/>
            <w:bookmarkStart w:id="217" w:name="_Toc9065"/>
            <w:bookmarkStart w:id="218" w:name="_Toc6678"/>
            <w:r>
              <w:rPr>
                <w:rFonts w:hint="eastAsia" w:ascii="仿宋" w:hAnsi="仿宋" w:eastAsia="仿宋" w:cs="仿宋"/>
                <w:color w:val="auto"/>
                <w:highlight w:val="none"/>
              </w:rPr>
              <w:t>一级</w:t>
            </w:r>
            <w:bookmarkEnd w:id="216"/>
            <w:bookmarkEnd w:id="217"/>
            <w:bookmarkEnd w:id="218"/>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6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19" w:name="_Toc24496"/>
            <w:bookmarkStart w:id="220" w:name="_Toc1009"/>
            <w:bookmarkStart w:id="221" w:name="_Toc29962"/>
            <w:r>
              <w:rPr>
                <w:rFonts w:hint="eastAsia" w:ascii="仿宋" w:hAnsi="仿宋" w:eastAsia="仿宋" w:cs="仿宋"/>
                <w:color w:val="auto"/>
                <w:highlight w:val="none"/>
              </w:rPr>
              <w:t>三班二运转</w:t>
            </w:r>
            <w:bookmarkEnd w:id="219"/>
            <w:bookmarkEnd w:id="220"/>
            <w:bookmarkEnd w:id="221"/>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6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22" w:name="_Toc13808"/>
            <w:bookmarkStart w:id="223" w:name="_Toc1371"/>
            <w:bookmarkStart w:id="224" w:name="_Toc12961"/>
            <w:r>
              <w:rPr>
                <w:rFonts w:hint="eastAsia" w:ascii="仿宋" w:hAnsi="仿宋" w:eastAsia="仿宋" w:cs="仿宋"/>
                <w:color w:val="auto"/>
                <w:highlight w:val="none"/>
              </w:rPr>
              <w:t>3</w:t>
            </w:r>
            <w:bookmarkEnd w:id="222"/>
            <w:bookmarkEnd w:id="223"/>
            <w:bookmarkEnd w:id="224"/>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6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25" w:name="_Toc26871"/>
            <w:bookmarkStart w:id="226" w:name="_Toc32411"/>
            <w:bookmarkStart w:id="227" w:name="_Toc8698"/>
            <w:r>
              <w:rPr>
                <w:rFonts w:hint="eastAsia" w:ascii="仿宋" w:hAnsi="仿宋" w:eastAsia="仿宋" w:cs="仿宋"/>
                <w:color w:val="auto"/>
                <w:highlight w:val="none"/>
              </w:rPr>
              <w:t>9</w:t>
            </w:r>
            <w:bookmarkEnd w:id="225"/>
            <w:bookmarkEnd w:id="226"/>
            <w:bookmarkEnd w:id="227"/>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6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28" w:name="_Toc3038"/>
            <w:bookmarkStart w:id="229" w:name="_Toc29051"/>
            <w:bookmarkStart w:id="230" w:name="_Toc28096"/>
            <w:r>
              <w:rPr>
                <w:rFonts w:hint="eastAsia" w:ascii="仿宋" w:hAnsi="仿宋" w:eastAsia="仿宋" w:cs="仿宋"/>
                <w:color w:val="auto"/>
                <w:highlight w:val="none"/>
              </w:rPr>
              <w:t>1</w:t>
            </w:r>
            <w:bookmarkEnd w:id="228"/>
            <w:bookmarkEnd w:id="229"/>
            <w:bookmarkEnd w:id="230"/>
          </w:p>
        </w:tc>
      </w:tr>
      <w:tr w14:paraId="2C83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7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7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31" w:name="_Toc30457"/>
            <w:bookmarkStart w:id="232" w:name="_Toc19987"/>
            <w:bookmarkStart w:id="233" w:name="_Toc24411"/>
            <w:r>
              <w:rPr>
                <w:rFonts w:hint="eastAsia" w:ascii="仿宋" w:hAnsi="仿宋" w:eastAsia="仿宋" w:cs="仿宋"/>
                <w:color w:val="auto"/>
                <w:highlight w:val="none"/>
              </w:rPr>
              <w:t>配套的输水廊道进出水闸门</w:t>
            </w:r>
            <w:bookmarkEnd w:id="231"/>
            <w:bookmarkEnd w:id="232"/>
            <w:bookmarkEnd w:id="233"/>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7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7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7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7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34" w:name="_Toc24523"/>
            <w:bookmarkStart w:id="235" w:name="_Toc1573"/>
            <w:bookmarkStart w:id="236" w:name="_Toc13920"/>
            <w:r>
              <w:rPr>
                <w:rFonts w:hint="eastAsia" w:ascii="仿宋" w:hAnsi="仿宋" w:eastAsia="仿宋" w:cs="仿宋"/>
                <w:color w:val="auto"/>
                <w:highlight w:val="none"/>
              </w:rPr>
              <w:t>四级</w:t>
            </w:r>
            <w:bookmarkEnd w:id="234"/>
            <w:bookmarkEnd w:id="235"/>
            <w:bookmarkEnd w:id="236"/>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7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7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7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7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7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37" w:name="_Toc17556"/>
            <w:bookmarkStart w:id="238" w:name="_Toc20629"/>
            <w:bookmarkStart w:id="239" w:name="_Toc1213"/>
            <w:r>
              <w:rPr>
                <w:rFonts w:hint="eastAsia" w:ascii="仿宋" w:hAnsi="仿宋" w:eastAsia="仿宋" w:cs="仿宋"/>
                <w:color w:val="auto"/>
                <w:highlight w:val="none"/>
              </w:rPr>
              <w:t>6</w:t>
            </w:r>
            <w:bookmarkEnd w:id="237"/>
            <w:bookmarkEnd w:id="238"/>
            <w:bookmarkEnd w:id="239"/>
          </w:p>
        </w:tc>
        <w:tc>
          <w:tcPr>
            <w:tcW w:w="882" w:type="pct"/>
            <w:tcBorders>
              <w:top w:val="single" w:color="auto" w:sz="4" w:space="0"/>
              <w:left w:val="single" w:color="auto" w:sz="4" w:space="0"/>
              <w:bottom w:val="single" w:color="auto" w:sz="4" w:space="0"/>
              <w:right w:val="single" w:color="auto" w:sz="4" w:space="0"/>
            </w:tcBorders>
            <w:vAlign w:val="center"/>
          </w:tcPr>
          <w:p w14:paraId="2C83F17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40" w:name="_Toc2783"/>
            <w:bookmarkStart w:id="241" w:name="_Toc18013"/>
            <w:bookmarkStart w:id="242" w:name="_Toc25924"/>
            <w:r>
              <w:rPr>
                <w:rFonts w:hint="eastAsia" w:ascii="仿宋" w:hAnsi="仿宋" w:eastAsia="仿宋" w:cs="仿宋"/>
                <w:color w:val="auto"/>
                <w:highlight w:val="none"/>
              </w:rPr>
              <w:t>蒋村港船闸</w:t>
            </w:r>
            <w:bookmarkEnd w:id="240"/>
            <w:bookmarkEnd w:id="241"/>
            <w:bookmarkEnd w:id="242"/>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8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43" w:name="_Toc8935"/>
            <w:bookmarkStart w:id="244" w:name="_Toc28991"/>
            <w:bookmarkStart w:id="245" w:name="_Toc31879"/>
            <w:r>
              <w:rPr>
                <w:rFonts w:hint="eastAsia" w:ascii="仿宋" w:hAnsi="仿宋" w:eastAsia="仿宋" w:cs="仿宋"/>
                <w:color w:val="auto"/>
                <w:highlight w:val="none"/>
              </w:rPr>
              <w:t>运西蒋村片</w:t>
            </w:r>
            <w:bookmarkEnd w:id="243"/>
            <w:bookmarkEnd w:id="244"/>
            <w:bookmarkEnd w:id="245"/>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8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46" w:name="_Toc32668"/>
            <w:bookmarkStart w:id="247" w:name="_Toc22372"/>
            <w:bookmarkStart w:id="248" w:name="_Toc12076"/>
            <w:r>
              <w:rPr>
                <w:rFonts w:hint="eastAsia" w:ascii="仿宋" w:hAnsi="仿宋" w:eastAsia="仿宋" w:cs="仿宋"/>
                <w:color w:val="auto"/>
                <w:highlight w:val="none"/>
              </w:rPr>
              <w:t>有</w:t>
            </w:r>
            <w:bookmarkEnd w:id="246"/>
            <w:bookmarkEnd w:id="247"/>
            <w:bookmarkEnd w:id="248"/>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8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49" w:name="_Toc17232"/>
            <w:bookmarkStart w:id="250" w:name="_Toc19560"/>
            <w:bookmarkStart w:id="251" w:name="_Toc9633"/>
            <w:r>
              <w:rPr>
                <w:rFonts w:hint="eastAsia" w:ascii="仿宋" w:hAnsi="仿宋" w:eastAsia="仿宋" w:cs="仿宋"/>
                <w:color w:val="auto"/>
                <w:highlight w:val="none"/>
              </w:rPr>
              <w:t>排涝、配水、通航</w:t>
            </w:r>
            <w:bookmarkEnd w:id="249"/>
            <w:bookmarkEnd w:id="250"/>
            <w:bookmarkEnd w:id="251"/>
          </w:p>
        </w:tc>
        <w:tc>
          <w:tcPr>
            <w:tcW w:w="442" w:type="pct"/>
            <w:tcBorders>
              <w:top w:val="single" w:color="auto" w:sz="4" w:space="0"/>
              <w:left w:val="single" w:color="auto" w:sz="4" w:space="0"/>
              <w:bottom w:val="single" w:color="auto" w:sz="4" w:space="0"/>
              <w:right w:val="single" w:color="auto" w:sz="4" w:space="0"/>
            </w:tcBorders>
            <w:vAlign w:val="center"/>
          </w:tcPr>
          <w:p w14:paraId="2C83F18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52" w:name="_Toc28738"/>
            <w:bookmarkStart w:id="253" w:name="_Toc20363"/>
            <w:bookmarkStart w:id="254" w:name="_Toc11959"/>
            <w:r>
              <w:rPr>
                <w:rFonts w:hint="eastAsia" w:ascii="仿宋" w:hAnsi="仿宋" w:eastAsia="仿宋" w:cs="仿宋"/>
                <w:color w:val="auto"/>
                <w:highlight w:val="none"/>
              </w:rPr>
              <w:t>二级</w:t>
            </w:r>
            <w:bookmarkEnd w:id="252"/>
            <w:bookmarkEnd w:id="253"/>
            <w:bookmarkEnd w:id="254"/>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8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55" w:name="_Toc16981"/>
            <w:bookmarkStart w:id="256" w:name="_Toc22011"/>
            <w:r>
              <w:rPr>
                <w:rFonts w:hint="eastAsia" w:ascii="仿宋" w:hAnsi="仿宋" w:eastAsia="仿宋" w:cs="仿宋"/>
                <w:color w:val="auto"/>
                <w:highlight w:val="none"/>
              </w:rPr>
              <w:t>三班二运转</w:t>
            </w:r>
            <w:bookmarkEnd w:id="255"/>
            <w:bookmarkEnd w:id="256"/>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8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57" w:name="_Toc10038"/>
            <w:bookmarkStart w:id="258" w:name="_Toc28118"/>
            <w:bookmarkStart w:id="259" w:name="_Toc17002"/>
            <w:r>
              <w:rPr>
                <w:rFonts w:hint="eastAsia" w:ascii="仿宋" w:hAnsi="仿宋" w:eastAsia="仿宋" w:cs="仿宋"/>
                <w:color w:val="auto"/>
                <w:highlight w:val="none"/>
              </w:rPr>
              <w:t>3</w:t>
            </w:r>
            <w:bookmarkEnd w:id="257"/>
            <w:bookmarkEnd w:id="258"/>
            <w:bookmarkEnd w:id="259"/>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8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60" w:name="_Toc21682"/>
            <w:bookmarkStart w:id="261" w:name="_Toc12047"/>
            <w:bookmarkStart w:id="262" w:name="_Toc31403"/>
            <w:r>
              <w:rPr>
                <w:rFonts w:hint="eastAsia" w:ascii="仿宋" w:hAnsi="仿宋" w:eastAsia="仿宋" w:cs="仿宋"/>
                <w:color w:val="auto"/>
                <w:highlight w:val="none"/>
              </w:rPr>
              <w:t>9</w:t>
            </w:r>
            <w:bookmarkEnd w:id="260"/>
            <w:bookmarkEnd w:id="261"/>
            <w:bookmarkEnd w:id="262"/>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8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63" w:name="_Toc17666"/>
            <w:bookmarkStart w:id="264" w:name="_Toc29467"/>
            <w:bookmarkStart w:id="265" w:name="_Toc5657"/>
            <w:r>
              <w:rPr>
                <w:rFonts w:hint="eastAsia" w:ascii="仿宋" w:hAnsi="仿宋" w:eastAsia="仿宋" w:cs="仿宋"/>
                <w:color w:val="auto"/>
                <w:highlight w:val="none"/>
              </w:rPr>
              <w:t>1</w:t>
            </w:r>
            <w:bookmarkEnd w:id="263"/>
            <w:bookmarkEnd w:id="264"/>
            <w:bookmarkEnd w:id="265"/>
          </w:p>
        </w:tc>
      </w:tr>
      <w:tr w14:paraId="2C83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8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8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66" w:name="_Toc16908"/>
            <w:bookmarkStart w:id="267" w:name="_Toc16824"/>
            <w:bookmarkStart w:id="268" w:name="_Toc21711"/>
            <w:r>
              <w:rPr>
                <w:rFonts w:hint="eastAsia" w:ascii="仿宋" w:hAnsi="仿宋" w:eastAsia="仿宋" w:cs="仿宋"/>
                <w:color w:val="auto"/>
                <w:highlight w:val="none"/>
              </w:rPr>
              <w:t>配套的输水廊道进出水闸门</w:t>
            </w:r>
            <w:bookmarkEnd w:id="266"/>
            <w:bookmarkEnd w:id="267"/>
            <w:bookmarkEnd w:id="268"/>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8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8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8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8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69" w:name="_Toc5221"/>
            <w:bookmarkStart w:id="270" w:name="_Toc20865"/>
            <w:bookmarkStart w:id="271" w:name="_Toc24723"/>
            <w:r>
              <w:rPr>
                <w:rFonts w:hint="eastAsia" w:ascii="仿宋" w:hAnsi="仿宋" w:eastAsia="仿宋" w:cs="仿宋"/>
                <w:color w:val="auto"/>
                <w:highlight w:val="none"/>
              </w:rPr>
              <w:t>四级</w:t>
            </w:r>
            <w:bookmarkEnd w:id="269"/>
            <w:bookmarkEnd w:id="270"/>
            <w:bookmarkEnd w:id="271"/>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9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9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9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9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9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72" w:name="_Toc8636"/>
            <w:bookmarkStart w:id="273" w:name="_Toc1193"/>
            <w:bookmarkStart w:id="274" w:name="_Toc27454"/>
            <w:r>
              <w:rPr>
                <w:rFonts w:hint="eastAsia" w:ascii="仿宋" w:hAnsi="仿宋" w:eastAsia="仿宋" w:cs="仿宋"/>
                <w:color w:val="auto"/>
                <w:highlight w:val="none"/>
              </w:rPr>
              <w:t>7</w:t>
            </w:r>
            <w:bookmarkEnd w:id="272"/>
            <w:bookmarkEnd w:id="273"/>
            <w:bookmarkEnd w:id="274"/>
          </w:p>
        </w:tc>
        <w:tc>
          <w:tcPr>
            <w:tcW w:w="882" w:type="pct"/>
            <w:tcBorders>
              <w:top w:val="single" w:color="auto" w:sz="4" w:space="0"/>
              <w:left w:val="single" w:color="auto" w:sz="4" w:space="0"/>
              <w:bottom w:val="single" w:color="auto" w:sz="4" w:space="0"/>
              <w:right w:val="single" w:color="auto" w:sz="4" w:space="0"/>
            </w:tcBorders>
            <w:vAlign w:val="center"/>
          </w:tcPr>
          <w:p w14:paraId="2C83F19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75" w:name="_Toc14956"/>
            <w:bookmarkStart w:id="276" w:name="_Toc24976"/>
            <w:bookmarkStart w:id="277" w:name="_Toc29161"/>
            <w:r>
              <w:rPr>
                <w:rFonts w:hint="eastAsia" w:ascii="仿宋" w:hAnsi="仿宋" w:eastAsia="仿宋" w:cs="仿宋"/>
                <w:color w:val="auto"/>
                <w:highlight w:val="none"/>
              </w:rPr>
              <w:t>五常港船闸</w:t>
            </w:r>
            <w:bookmarkEnd w:id="275"/>
            <w:bookmarkEnd w:id="276"/>
            <w:bookmarkEnd w:id="277"/>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9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78" w:name="_Toc20150"/>
            <w:bookmarkStart w:id="279" w:name="_Toc17082"/>
            <w:bookmarkStart w:id="280" w:name="_Toc22912"/>
            <w:r>
              <w:rPr>
                <w:rFonts w:hint="eastAsia" w:ascii="仿宋" w:hAnsi="仿宋" w:eastAsia="仿宋" w:cs="仿宋"/>
                <w:color w:val="auto"/>
                <w:highlight w:val="none"/>
              </w:rPr>
              <w:t>运西蒋村片</w:t>
            </w:r>
            <w:bookmarkEnd w:id="278"/>
            <w:bookmarkEnd w:id="279"/>
            <w:bookmarkEnd w:id="280"/>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9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81" w:name="_Toc29879"/>
            <w:bookmarkStart w:id="282" w:name="_Toc2012"/>
            <w:bookmarkStart w:id="283" w:name="_Toc24728"/>
            <w:r>
              <w:rPr>
                <w:rFonts w:hint="eastAsia" w:ascii="仿宋" w:hAnsi="仿宋" w:eastAsia="仿宋" w:cs="仿宋"/>
                <w:color w:val="auto"/>
                <w:highlight w:val="none"/>
              </w:rPr>
              <w:t>有</w:t>
            </w:r>
            <w:bookmarkEnd w:id="281"/>
            <w:bookmarkEnd w:id="282"/>
            <w:bookmarkEnd w:id="283"/>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9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84" w:name="_Toc1459"/>
            <w:bookmarkStart w:id="285" w:name="_Toc12355"/>
            <w:bookmarkStart w:id="286" w:name="_Toc30720"/>
            <w:r>
              <w:rPr>
                <w:rFonts w:hint="eastAsia" w:ascii="仿宋" w:hAnsi="仿宋" w:eastAsia="仿宋" w:cs="仿宋"/>
                <w:color w:val="auto"/>
                <w:highlight w:val="none"/>
              </w:rPr>
              <w:t>排涝、配水、通航</w:t>
            </w:r>
            <w:bookmarkEnd w:id="284"/>
            <w:bookmarkEnd w:id="285"/>
            <w:bookmarkEnd w:id="286"/>
          </w:p>
        </w:tc>
        <w:tc>
          <w:tcPr>
            <w:tcW w:w="442" w:type="pct"/>
            <w:tcBorders>
              <w:top w:val="single" w:color="auto" w:sz="4" w:space="0"/>
              <w:left w:val="single" w:color="auto" w:sz="4" w:space="0"/>
              <w:bottom w:val="single" w:color="auto" w:sz="4" w:space="0"/>
              <w:right w:val="single" w:color="auto" w:sz="4" w:space="0"/>
            </w:tcBorders>
            <w:vAlign w:val="center"/>
          </w:tcPr>
          <w:p w14:paraId="2C83F19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87" w:name="_Toc5461"/>
            <w:bookmarkStart w:id="288" w:name="_Toc30395"/>
            <w:bookmarkStart w:id="289" w:name="_Toc11871"/>
            <w:r>
              <w:rPr>
                <w:rFonts w:hint="eastAsia" w:ascii="仿宋" w:hAnsi="仿宋" w:eastAsia="仿宋" w:cs="仿宋"/>
                <w:color w:val="auto"/>
                <w:highlight w:val="none"/>
              </w:rPr>
              <w:t>一级</w:t>
            </w:r>
            <w:bookmarkEnd w:id="287"/>
            <w:bookmarkEnd w:id="288"/>
            <w:bookmarkEnd w:id="289"/>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9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90" w:name="_Toc12023"/>
            <w:bookmarkStart w:id="291" w:name="_Toc22265"/>
            <w:bookmarkStart w:id="292" w:name="_Toc29339"/>
            <w:r>
              <w:rPr>
                <w:rFonts w:hint="eastAsia" w:ascii="仿宋" w:hAnsi="仿宋" w:eastAsia="仿宋" w:cs="仿宋"/>
                <w:color w:val="auto"/>
                <w:highlight w:val="none"/>
              </w:rPr>
              <w:t>三班二运转</w:t>
            </w:r>
            <w:bookmarkEnd w:id="290"/>
            <w:bookmarkEnd w:id="291"/>
            <w:bookmarkEnd w:id="292"/>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9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93" w:name="_Toc6591"/>
            <w:bookmarkStart w:id="294" w:name="_Toc6051"/>
            <w:bookmarkStart w:id="295" w:name="_Toc532"/>
            <w:r>
              <w:rPr>
                <w:rFonts w:hint="eastAsia" w:ascii="仿宋" w:hAnsi="仿宋" w:eastAsia="仿宋" w:cs="仿宋"/>
                <w:color w:val="auto"/>
                <w:highlight w:val="none"/>
              </w:rPr>
              <w:t>3</w:t>
            </w:r>
            <w:bookmarkEnd w:id="293"/>
            <w:bookmarkEnd w:id="294"/>
            <w:bookmarkEnd w:id="295"/>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9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96" w:name="_Toc14219"/>
            <w:bookmarkStart w:id="297" w:name="_Toc28255"/>
            <w:bookmarkStart w:id="298" w:name="_Toc23965"/>
            <w:r>
              <w:rPr>
                <w:rFonts w:hint="eastAsia" w:ascii="仿宋" w:hAnsi="仿宋" w:eastAsia="仿宋" w:cs="仿宋"/>
                <w:color w:val="auto"/>
                <w:highlight w:val="none"/>
              </w:rPr>
              <w:t>9</w:t>
            </w:r>
            <w:bookmarkEnd w:id="296"/>
            <w:bookmarkEnd w:id="297"/>
            <w:bookmarkEnd w:id="298"/>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9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299" w:name="_Toc27042"/>
            <w:bookmarkStart w:id="300" w:name="_Toc24987"/>
            <w:bookmarkStart w:id="301" w:name="_Toc25581"/>
            <w:r>
              <w:rPr>
                <w:rFonts w:hint="eastAsia" w:ascii="仿宋" w:hAnsi="仿宋" w:eastAsia="仿宋" w:cs="仿宋"/>
                <w:color w:val="auto"/>
                <w:highlight w:val="none"/>
              </w:rPr>
              <w:t>1</w:t>
            </w:r>
            <w:bookmarkEnd w:id="299"/>
            <w:bookmarkEnd w:id="300"/>
            <w:bookmarkEnd w:id="301"/>
          </w:p>
        </w:tc>
      </w:tr>
      <w:tr w14:paraId="2C83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A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A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02" w:name="_Toc30800"/>
            <w:bookmarkStart w:id="303" w:name="_Toc13354"/>
            <w:bookmarkStart w:id="304" w:name="_Toc16773"/>
            <w:r>
              <w:rPr>
                <w:rFonts w:hint="eastAsia" w:ascii="仿宋" w:hAnsi="仿宋" w:eastAsia="仿宋" w:cs="仿宋"/>
                <w:color w:val="auto"/>
                <w:highlight w:val="none"/>
              </w:rPr>
              <w:t>配套的输水廊道进出水闸门</w:t>
            </w:r>
            <w:bookmarkEnd w:id="302"/>
            <w:bookmarkEnd w:id="303"/>
            <w:bookmarkEnd w:id="304"/>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A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A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A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A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05" w:name="_Toc15621"/>
            <w:bookmarkStart w:id="306" w:name="_Toc20745"/>
            <w:bookmarkStart w:id="307" w:name="_Toc18563"/>
            <w:r>
              <w:rPr>
                <w:rFonts w:hint="eastAsia" w:ascii="仿宋" w:hAnsi="仿宋" w:eastAsia="仿宋" w:cs="仿宋"/>
                <w:color w:val="auto"/>
                <w:highlight w:val="none"/>
              </w:rPr>
              <w:t>/</w:t>
            </w:r>
            <w:bookmarkEnd w:id="305"/>
            <w:bookmarkEnd w:id="306"/>
            <w:bookmarkEnd w:id="307"/>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A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A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A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A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A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08" w:name="_Toc30761"/>
            <w:bookmarkStart w:id="309" w:name="_Toc16480"/>
            <w:bookmarkStart w:id="310" w:name="_Toc4169"/>
            <w:r>
              <w:rPr>
                <w:rFonts w:hint="eastAsia" w:ascii="仿宋" w:hAnsi="仿宋" w:eastAsia="仿宋" w:cs="仿宋"/>
                <w:color w:val="auto"/>
                <w:highlight w:val="none"/>
              </w:rPr>
              <w:t>8</w:t>
            </w:r>
            <w:bookmarkEnd w:id="308"/>
            <w:bookmarkEnd w:id="309"/>
            <w:bookmarkEnd w:id="310"/>
          </w:p>
        </w:tc>
        <w:tc>
          <w:tcPr>
            <w:tcW w:w="882" w:type="pct"/>
            <w:tcBorders>
              <w:top w:val="single" w:color="auto" w:sz="4" w:space="0"/>
              <w:left w:val="single" w:color="auto" w:sz="4" w:space="0"/>
              <w:bottom w:val="single" w:color="auto" w:sz="4" w:space="0"/>
              <w:right w:val="single" w:color="auto" w:sz="4" w:space="0"/>
            </w:tcBorders>
            <w:vAlign w:val="center"/>
          </w:tcPr>
          <w:p w14:paraId="2C83F1A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蓬驾桥泵站</w:t>
            </w:r>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B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11" w:name="_Toc26378"/>
            <w:bookmarkStart w:id="312" w:name="_Toc13120"/>
            <w:bookmarkStart w:id="313" w:name="_Toc24325"/>
            <w:r>
              <w:rPr>
                <w:rFonts w:hint="eastAsia" w:ascii="仿宋" w:hAnsi="仿宋" w:eastAsia="仿宋" w:cs="仿宋"/>
                <w:color w:val="auto"/>
                <w:highlight w:val="none"/>
              </w:rPr>
              <w:t>三墩塘河片</w:t>
            </w:r>
            <w:bookmarkEnd w:id="311"/>
            <w:bookmarkEnd w:id="312"/>
            <w:bookmarkEnd w:id="313"/>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B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14" w:name="_Toc6665"/>
            <w:bookmarkStart w:id="315" w:name="_Toc12407"/>
            <w:bookmarkStart w:id="316" w:name="_Toc30771"/>
            <w:r>
              <w:rPr>
                <w:rFonts w:hint="eastAsia" w:ascii="仿宋" w:hAnsi="仿宋" w:eastAsia="仿宋" w:cs="仿宋"/>
                <w:color w:val="auto"/>
                <w:highlight w:val="none"/>
              </w:rPr>
              <w:t>有</w:t>
            </w:r>
            <w:bookmarkEnd w:id="314"/>
            <w:bookmarkEnd w:id="315"/>
            <w:bookmarkEnd w:id="316"/>
          </w:p>
        </w:tc>
        <w:tc>
          <w:tcPr>
            <w:tcW w:w="661" w:type="pct"/>
            <w:vMerge w:val="restart"/>
            <w:tcBorders>
              <w:top w:val="single" w:color="auto" w:sz="4" w:space="0"/>
              <w:left w:val="single" w:color="auto" w:sz="4" w:space="0"/>
              <w:bottom w:val="single" w:color="auto" w:sz="4" w:space="0"/>
              <w:right w:val="single" w:color="auto" w:sz="4" w:space="0"/>
            </w:tcBorders>
            <w:vAlign w:val="center"/>
          </w:tcPr>
          <w:p w14:paraId="2C83F1B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17" w:name="_Toc11802"/>
            <w:bookmarkStart w:id="318" w:name="_Toc10726"/>
            <w:bookmarkStart w:id="319" w:name="_Toc30980"/>
            <w:r>
              <w:rPr>
                <w:rFonts w:hint="eastAsia" w:ascii="仿宋" w:hAnsi="仿宋" w:eastAsia="仿宋" w:cs="仿宋"/>
                <w:color w:val="auto"/>
                <w:highlight w:val="none"/>
              </w:rPr>
              <w:t>配水</w:t>
            </w:r>
            <w:bookmarkEnd w:id="317"/>
            <w:bookmarkEnd w:id="318"/>
            <w:bookmarkEnd w:id="319"/>
          </w:p>
        </w:tc>
        <w:tc>
          <w:tcPr>
            <w:tcW w:w="442" w:type="pct"/>
            <w:tcBorders>
              <w:top w:val="single" w:color="auto" w:sz="4" w:space="0"/>
              <w:left w:val="single" w:color="auto" w:sz="4" w:space="0"/>
              <w:bottom w:val="single" w:color="auto" w:sz="4" w:space="0"/>
              <w:right w:val="single" w:color="auto" w:sz="4" w:space="0"/>
            </w:tcBorders>
            <w:vAlign w:val="center"/>
          </w:tcPr>
          <w:p w14:paraId="2C83F1B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20" w:name="_Toc12886"/>
            <w:bookmarkStart w:id="321" w:name="_Toc24755"/>
            <w:bookmarkStart w:id="322" w:name="_Toc29346"/>
            <w:r>
              <w:rPr>
                <w:rFonts w:hint="eastAsia" w:ascii="仿宋" w:hAnsi="仿宋" w:eastAsia="仿宋" w:cs="仿宋"/>
                <w:color w:val="auto"/>
                <w:highlight w:val="none"/>
              </w:rPr>
              <w:t>二级</w:t>
            </w:r>
            <w:bookmarkEnd w:id="320"/>
            <w:bookmarkEnd w:id="321"/>
            <w:bookmarkEnd w:id="322"/>
          </w:p>
        </w:tc>
        <w:tc>
          <w:tcPr>
            <w:tcW w:w="442" w:type="pct"/>
            <w:vMerge w:val="restart"/>
            <w:tcBorders>
              <w:top w:val="single" w:color="auto" w:sz="4" w:space="0"/>
              <w:left w:val="single" w:color="auto" w:sz="4" w:space="0"/>
              <w:bottom w:val="single" w:color="auto" w:sz="4" w:space="0"/>
              <w:right w:val="single" w:color="auto" w:sz="4" w:space="0"/>
            </w:tcBorders>
            <w:vAlign w:val="center"/>
          </w:tcPr>
          <w:p w14:paraId="2C83F1B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23" w:name="_Toc15798"/>
            <w:bookmarkStart w:id="324" w:name="_Toc5830"/>
            <w:bookmarkStart w:id="325" w:name="_Toc22331"/>
            <w:r>
              <w:rPr>
                <w:rFonts w:hint="eastAsia" w:ascii="仿宋" w:hAnsi="仿宋" w:eastAsia="仿宋" w:cs="仿宋"/>
                <w:color w:val="auto"/>
                <w:highlight w:val="none"/>
              </w:rPr>
              <w:t>三班二运转</w:t>
            </w:r>
            <w:bookmarkEnd w:id="323"/>
            <w:bookmarkEnd w:id="324"/>
            <w:bookmarkEnd w:id="325"/>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C83F1B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26" w:name="_Toc10608"/>
            <w:bookmarkStart w:id="327" w:name="_Toc5895"/>
            <w:bookmarkStart w:id="328" w:name="_Toc17579"/>
            <w:r>
              <w:rPr>
                <w:rFonts w:hint="eastAsia" w:ascii="仿宋" w:hAnsi="仿宋" w:eastAsia="仿宋" w:cs="仿宋"/>
                <w:color w:val="auto"/>
                <w:highlight w:val="none"/>
              </w:rPr>
              <w:t>2</w:t>
            </w:r>
            <w:bookmarkEnd w:id="326"/>
            <w:bookmarkEnd w:id="327"/>
            <w:bookmarkEnd w:id="328"/>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B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29" w:name="_Toc22826"/>
            <w:bookmarkStart w:id="330" w:name="_Toc1858"/>
            <w:bookmarkStart w:id="331" w:name="_Toc12055"/>
            <w:r>
              <w:rPr>
                <w:rFonts w:hint="eastAsia" w:ascii="仿宋" w:hAnsi="仿宋" w:eastAsia="仿宋" w:cs="仿宋"/>
                <w:color w:val="auto"/>
                <w:highlight w:val="none"/>
              </w:rPr>
              <w:t>6</w:t>
            </w:r>
            <w:bookmarkEnd w:id="329"/>
            <w:bookmarkEnd w:id="330"/>
            <w:bookmarkEnd w:id="331"/>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2C83F1B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32" w:name="_Toc25798"/>
            <w:bookmarkStart w:id="333" w:name="_Toc11389"/>
            <w:bookmarkStart w:id="334" w:name="_Toc28475"/>
            <w:r>
              <w:rPr>
                <w:rFonts w:hint="eastAsia" w:ascii="仿宋" w:hAnsi="仿宋" w:eastAsia="仿宋" w:cs="仿宋"/>
                <w:color w:val="auto"/>
                <w:highlight w:val="none"/>
              </w:rPr>
              <w:t>1</w:t>
            </w:r>
            <w:bookmarkEnd w:id="332"/>
            <w:bookmarkEnd w:id="333"/>
            <w:bookmarkEnd w:id="334"/>
          </w:p>
        </w:tc>
      </w:tr>
      <w:tr w14:paraId="2C83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B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B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35" w:name="_Toc7612"/>
            <w:bookmarkStart w:id="336" w:name="_Toc184"/>
            <w:bookmarkStart w:id="337" w:name="_Toc6975"/>
            <w:r>
              <w:rPr>
                <w:rFonts w:hint="eastAsia" w:ascii="仿宋" w:hAnsi="仿宋" w:eastAsia="仿宋" w:cs="仿宋"/>
                <w:color w:val="auto"/>
                <w:highlight w:val="none"/>
              </w:rPr>
              <w:t>配套的泵池进出水检修闸（3个）</w:t>
            </w:r>
            <w:bookmarkEnd w:id="335"/>
            <w:bookmarkEnd w:id="336"/>
            <w:bookmarkEnd w:id="337"/>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B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B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B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B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38" w:name="_Toc20189"/>
            <w:bookmarkStart w:id="339" w:name="_Toc14278"/>
            <w:bookmarkStart w:id="340" w:name="_Toc31912"/>
            <w:r>
              <w:rPr>
                <w:rFonts w:hint="eastAsia" w:ascii="仿宋" w:hAnsi="仿宋" w:eastAsia="仿宋" w:cs="仿宋"/>
                <w:color w:val="auto"/>
                <w:highlight w:val="none"/>
              </w:rPr>
              <w:t>五级</w:t>
            </w:r>
            <w:bookmarkEnd w:id="338"/>
            <w:bookmarkEnd w:id="339"/>
            <w:bookmarkEnd w:id="340"/>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C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C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C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C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C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2C83F1C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41" w:name="_Toc11155"/>
            <w:bookmarkStart w:id="342" w:name="_Toc21196"/>
            <w:bookmarkStart w:id="343" w:name="_Toc9755"/>
            <w:r>
              <w:rPr>
                <w:rFonts w:hint="eastAsia" w:ascii="仿宋" w:hAnsi="仿宋" w:eastAsia="仿宋" w:cs="仿宋"/>
                <w:color w:val="auto"/>
                <w:highlight w:val="none"/>
              </w:rPr>
              <w:t>配套的1个节制闸（挡潮闸）</w:t>
            </w:r>
            <w:bookmarkEnd w:id="341"/>
            <w:bookmarkEnd w:id="342"/>
            <w:bookmarkEnd w:id="343"/>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C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C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2C83F1C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42" w:type="pct"/>
            <w:tcBorders>
              <w:top w:val="single" w:color="auto" w:sz="4" w:space="0"/>
              <w:left w:val="single" w:color="auto" w:sz="4" w:space="0"/>
              <w:bottom w:val="single" w:color="auto" w:sz="4" w:space="0"/>
              <w:right w:val="single" w:color="auto" w:sz="4" w:space="0"/>
            </w:tcBorders>
            <w:vAlign w:val="center"/>
          </w:tcPr>
          <w:p w14:paraId="2C83F1C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44" w:name="_Toc18684"/>
            <w:bookmarkStart w:id="345" w:name="_Toc6351"/>
            <w:bookmarkStart w:id="346" w:name="_Toc23054"/>
            <w:r>
              <w:rPr>
                <w:rFonts w:hint="eastAsia" w:ascii="仿宋" w:hAnsi="仿宋" w:eastAsia="仿宋" w:cs="仿宋"/>
                <w:color w:val="auto"/>
                <w:highlight w:val="none"/>
              </w:rPr>
              <w:t>一级</w:t>
            </w:r>
            <w:bookmarkEnd w:id="344"/>
            <w:bookmarkEnd w:id="345"/>
            <w:bookmarkEnd w:id="346"/>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C83F1C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2C83F1C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C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C83F1C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highlight w:val="none"/>
              </w:rPr>
            </w:pPr>
          </w:p>
        </w:tc>
      </w:tr>
      <w:tr w14:paraId="2C83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174" w:type="pct"/>
            <w:gridSpan w:val="8"/>
            <w:tcBorders>
              <w:top w:val="single" w:color="auto" w:sz="4" w:space="0"/>
              <w:left w:val="single" w:color="auto" w:sz="4" w:space="0"/>
              <w:bottom w:val="single" w:color="auto" w:sz="4" w:space="0"/>
              <w:right w:val="single" w:color="auto" w:sz="4" w:space="0"/>
            </w:tcBorders>
            <w:vAlign w:val="center"/>
          </w:tcPr>
          <w:p w14:paraId="2C83F1D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47" w:name="_Toc18599"/>
            <w:bookmarkStart w:id="348" w:name="_Toc21778"/>
            <w:bookmarkStart w:id="349" w:name="_Toc18642"/>
            <w:r>
              <w:rPr>
                <w:rFonts w:hint="eastAsia" w:ascii="仿宋" w:hAnsi="仿宋" w:eastAsia="仿宋" w:cs="仿宋"/>
                <w:color w:val="auto"/>
                <w:highlight w:val="none"/>
              </w:rPr>
              <w:t>合计</w:t>
            </w:r>
            <w:bookmarkEnd w:id="347"/>
            <w:bookmarkEnd w:id="348"/>
            <w:bookmarkEnd w:id="349"/>
          </w:p>
        </w:tc>
        <w:tc>
          <w:tcPr>
            <w:tcW w:w="412" w:type="pct"/>
            <w:tcBorders>
              <w:top w:val="single" w:color="auto" w:sz="4" w:space="0"/>
              <w:left w:val="single" w:color="auto" w:sz="4" w:space="0"/>
              <w:bottom w:val="single" w:color="auto" w:sz="4" w:space="0"/>
              <w:right w:val="single" w:color="auto" w:sz="4" w:space="0"/>
            </w:tcBorders>
            <w:vAlign w:val="center"/>
          </w:tcPr>
          <w:p w14:paraId="2C83F1D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50" w:name="_Toc10850"/>
            <w:bookmarkStart w:id="351" w:name="_Toc24725"/>
            <w:bookmarkStart w:id="352" w:name="_Toc9312"/>
            <w:r>
              <w:rPr>
                <w:rFonts w:hint="eastAsia" w:ascii="仿宋" w:hAnsi="仿宋" w:eastAsia="仿宋" w:cs="仿宋"/>
                <w:color w:val="auto"/>
                <w:highlight w:val="none"/>
              </w:rPr>
              <w:t>54</w:t>
            </w:r>
            <w:bookmarkEnd w:id="350"/>
            <w:bookmarkEnd w:id="351"/>
            <w:bookmarkEnd w:id="352"/>
          </w:p>
        </w:tc>
        <w:tc>
          <w:tcPr>
            <w:tcW w:w="412" w:type="pct"/>
            <w:tcBorders>
              <w:top w:val="single" w:color="auto" w:sz="4" w:space="0"/>
              <w:left w:val="single" w:color="auto" w:sz="4" w:space="0"/>
              <w:bottom w:val="single" w:color="auto" w:sz="4" w:space="0"/>
              <w:right w:val="single" w:color="auto" w:sz="4" w:space="0"/>
            </w:tcBorders>
            <w:vAlign w:val="center"/>
          </w:tcPr>
          <w:p w14:paraId="2C83F1D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highlight w:val="none"/>
              </w:rPr>
            </w:pPr>
            <w:bookmarkStart w:id="353" w:name="_Toc4720"/>
            <w:bookmarkStart w:id="354" w:name="_Toc9880"/>
            <w:bookmarkStart w:id="355" w:name="_Toc13593"/>
            <w:r>
              <w:rPr>
                <w:rFonts w:hint="eastAsia" w:ascii="仿宋" w:hAnsi="仿宋" w:eastAsia="仿宋" w:cs="仿宋"/>
                <w:color w:val="auto"/>
                <w:highlight w:val="none"/>
              </w:rPr>
              <w:t>5</w:t>
            </w:r>
            <w:bookmarkEnd w:id="353"/>
            <w:bookmarkEnd w:id="354"/>
            <w:bookmarkEnd w:id="355"/>
          </w:p>
        </w:tc>
      </w:tr>
    </w:tbl>
    <w:p w14:paraId="7D6363CF">
      <w:pPr>
        <w:pStyle w:val="57"/>
        <w:autoSpaceDE w:val="0"/>
        <w:autoSpaceDN w:val="0"/>
        <w:snapToGrid w:val="0"/>
        <w:spacing w:before="0" w:beforeAutospacing="0" w:after="0" w:afterAutospacing="0" w:line="360" w:lineRule="auto"/>
        <w:rPr>
          <w:rFonts w:hint="eastAsia" w:ascii="仿宋" w:hAnsi="仿宋" w:eastAsia="仿宋" w:cs="仿宋"/>
          <w:color w:val="auto"/>
          <w:kern w:val="2"/>
          <w:highlight w:val="none"/>
        </w:rPr>
      </w:pPr>
    </w:p>
    <w:p w14:paraId="228E6DAC">
      <w:pPr>
        <w:pStyle w:val="57"/>
        <w:autoSpaceDE w:val="0"/>
        <w:autoSpaceDN w:val="0"/>
        <w:snapToGrid w:val="0"/>
        <w:spacing w:before="0" w:beforeAutospacing="0" w:after="0" w:afterAutospacing="0" w:line="360" w:lineRule="auto"/>
        <w:ind w:firstLine="480" w:firstLineChars="200"/>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2.</w:t>
      </w:r>
      <w:r>
        <w:rPr>
          <w:rFonts w:hint="eastAsia" w:ascii="仿宋" w:hAnsi="仿宋" w:eastAsia="仿宋" w:cs="仿宋"/>
          <w:color w:val="auto"/>
          <w:highlight w:val="none"/>
          <w:lang w:bidi="ar"/>
        </w:rPr>
        <w:t>现场运行班组人员具有国家、地方职业技能鉴定指导中心或具有国家职业技能标准评价能力的社会培训评价组织出具的泵站专业（泵站运行工、灌区管理工（灌排泵站运行工））、水闸专业（水闸运行工、水工闸门运行工）、船闸专业（船闸运行工、船闸及升船机运管员）的职业技能五级/初级工及以上证书。</w:t>
      </w:r>
    </w:p>
    <w:p w14:paraId="3C106457">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）维保专业班组人员要求</w:t>
      </w:r>
    </w:p>
    <w:p w14:paraId="22B682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维保专业班组人员应配备</w:t>
      </w:r>
      <w:r>
        <w:rPr>
          <w:rFonts w:hint="eastAsia" w:ascii="仿宋" w:hAnsi="仿宋" w:eastAsia="仿宋" w:cs="仿宋"/>
          <w:color w:val="auto"/>
          <w:sz w:val="24"/>
          <w:highlight w:val="none"/>
        </w:rPr>
        <w:t>电工、钳工、仪表工</w:t>
      </w:r>
      <w:r>
        <w:rPr>
          <w:rFonts w:hint="eastAsia" w:ascii="仿宋" w:hAnsi="仿宋" w:eastAsia="仿宋" w:cs="仿宋"/>
          <w:color w:val="auto"/>
          <w:sz w:val="24"/>
          <w:highlight w:val="none"/>
          <w:lang w:val="en-US" w:eastAsia="zh-CN"/>
        </w:rPr>
        <w:t>各不少于1名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具体</w:t>
      </w:r>
      <w:r>
        <w:rPr>
          <w:rFonts w:hint="eastAsia" w:ascii="仿宋" w:hAnsi="仿宋" w:eastAsia="仿宋" w:cs="仿宋"/>
          <w:color w:val="auto"/>
          <w:sz w:val="24"/>
          <w:highlight w:val="none"/>
        </w:rPr>
        <w:t>要求如下：</w:t>
      </w:r>
    </w:p>
    <w:p w14:paraId="22B682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1.电工：（1）▲高压电工和低压电工特种作业操作证（可1人同时具备或2人分别具备。投标文件中提供投标截止月上溯3个月（含投标截止日当月，共4个月中任意连续3个月）在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的社保缴纳证明（开标前20天内投标人所属社保机构出具的加盖印章的单位或个人专用社保证明）和特种作业操作证书)。（2）具有电工专业的职业技能四级/中级工及以上证书。</w:t>
      </w:r>
    </w:p>
    <w:p w14:paraId="22B682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2.钳工：</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钳工专业的职业技能四级/中级工及以上证书。</w:t>
      </w:r>
    </w:p>
    <w:p w14:paraId="22B682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3.仪表工：</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仪表工（仪器仪表维修工）专业的职业技能四级/中级工及以上证书。</w:t>
      </w:r>
    </w:p>
    <w:p w14:paraId="09D0228C">
      <w:pPr>
        <w:wordWrap/>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4.维保专业班组人员可兼任其他班组岗位人员。</w:t>
      </w:r>
    </w:p>
    <w:p w14:paraId="3AADF73F">
      <w:pPr>
        <w:pStyle w:val="57"/>
        <w:widowControl w:val="0"/>
        <w:autoSpaceDE w:val="0"/>
        <w:autoSpaceDN w:val="0"/>
        <w:spacing w:before="0" w:beforeAutospacing="0" w:after="0" w:afterAutospacing="0" w:line="360" w:lineRule="auto"/>
        <w:ind w:firstLine="480" w:firstLineChars="20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t>(四）养护人员</w:t>
      </w:r>
      <w:r>
        <w:rPr>
          <w:rFonts w:hint="eastAsia" w:ascii="仿宋" w:hAnsi="仿宋" w:eastAsia="仿宋" w:cs="仿宋"/>
          <w:color w:val="auto"/>
          <w:highlight w:val="none"/>
          <w:lang w:val="en-US" w:eastAsia="zh-CN"/>
        </w:rPr>
        <w:t>其他</w:t>
      </w:r>
      <w:r>
        <w:rPr>
          <w:rFonts w:hint="eastAsia" w:ascii="仿宋" w:hAnsi="仿宋" w:eastAsia="仿宋" w:cs="仿宋"/>
          <w:color w:val="auto"/>
          <w:highlight w:val="none"/>
        </w:rPr>
        <w:t>要求</w:t>
      </w:r>
    </w:p>
    <w:p w14:paraId="3DA423FC">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lang w:bidi="ar"/>
        </w:rPr>
      </w:pPr>
      <w:r>
        <w:rPr>
          <w:rFonts w:hint="eastAsia" w:ascii="仿宋" w:hAnsi="仿宋" w:eastAsia="仿宋" w:cs="仿宋"/>
          <w:color w:val="auto"/>
          <w:highlight w:val="none"/>
        </w:rPr>
        <w:t>1.养护服务期内未经</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同意，养护人员不得随意更换。经</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同意的，</w:t>
      </w:r>
      <w:r>
        <w:rPr>
          <w:rFonts w:ascii="仿宋" w:hAnsi="仿宋" w:eastAsia="仿宋" w:cs="仿宋"/>
          <w:color w:val="auto"/>
          <w:highlight w:val="none"/>
        </w:rPr>
        <w:t>变更替换人员应为中标单位在职人员且不低于被替换人员的技术职称、职业资格、从业经验等要求。</w:t>
      </w:r>
    </w:p>
    <w:p w14:paraId="16407B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ascii="仿宋" w:hAnsi="仿宋" w:eastAsia="仿宋" w:cs="仿宋"/>
          <w:color w:val="auto"/>
          <w:sz w:val="24"/>
          <w:highlight w:val="none"/>
        </w:rPr>
        <w:t>联合体投标的，人员需根据联合体协议书中相应承担的工作内容、合同份额进行各自配备。</w:t>
      </w:r>
    </w:p>
    <w:p w14:paraId="22B6822F">
      <w:p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、养护作业专业设备配备要求</w:t>
      </w:r>
    </w:p>
    <w:p w14:paraId="22B682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应针对本项目配备足量专业设备，不低于以下具体要求：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4163"/>
        <w:gridCol w:w="3443"/>
      </w:tblGrid>
      <w:tr w14:paraId="22B6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63" w:type="dxa"/>
          </w:tcPr>
          <w:p w14:paraId="22B6823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3443" w:type="dxa"/>
          </w:tcPr>
          <w:p w14:paraId="22B6823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22B6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63" w:type="dxa"/>
          </w:tcPr>
          <w:p w14:paraId="22B6823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船只</w:t>
            </w:r>
          </w:p>
        </w:tc>
        <w:tc>
          <w:tcPr>
            <w:tcW w:w="3443" w:type="dxa"/>
          </w:tcPr>
          <w:p w14:paraId="22B6823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1艘</w:t>
            </w:r>
          </w:p>
        </w:tc>
      </w:tr>
      <w:tr w14:paraId="22B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163" w:type="dxa"/>
          </w:tcPr>
          <w:p w14:paraId="22B682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检修</w:t>
            </w:r>
            <w:r>
              <w:rPr>
                <w:rFonts w:hint="eastAsia" w:ascii="仿宋" w:hAnsi="仿宋" w:eastAsia="仿宋" w:cs="仿宋"/>
                <w:color w:val="auto"/>
                <w:sz w:val="24"/>
                <w:highlight w:val="none"/>
              </w:rPr>
              <w:t>用车</w:t>
            </w:r>
          </w:p>
        </w:tc>
        <w:tc>
          <w:tcPr>
            <w:tcW w:w="3443" w:type="dxa"/>
          </w:tcPr>
          <w:p w14:paraId="22B6823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辆</w:t>
            </w:r>
          </w:p>
        </w:tc>
      </w:tr>
      <w:tr w14:paraId="22B6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63" w:type="dxa"/>
          </w:tcPr>
          <w:p w14:paraId="22B6823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应急电源</w:t>
            </w:r>
          </w:p>
        </w:tc>
        <w:tc>
          <w:tcPr>
            <w:tcW w:w="3443" w:type="dxa"/>
          </w:tcPr>
          <w:p w14:paraId="22B6823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总功率不小于125kw</w:t>
            </w:r>
          </w:p>
        </w:tc>
      </w:tr>
      <w:tr w14:paraId="22B6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3" w:type="dxa"/>
          </w:tcPr>
          <w:p w14:paraId="22B6824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应急水泵</w:t>
            </w:r>
          </w:p>
        </w:tc>
        <w:tc>
          <w:tcPr>
            <w:tcW w:w="3443" w:type="dxa"/>
          </w:tcPr>
          <w:p w14:paraId="22B6824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总流量不小于2000m³/h</w:t>
            </w:r>
          </w:p>
        </w:tc>
      </w:tr>
      <w:tr w14:paraId="22B6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3" w:type="dxa"/>
          </w:tcPr>
          <w:p w14:paraId="22B6824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吊车</w:t>
            </w:r>
          </w:p>
        </w:tc>
        <w:tc>
          <w:tcPr>
            <w:tcW w:w="3443" w:type="dxa"/>
          </w:tcPr>
          <w:p w14:paraId="22B6824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1台</w:t>
            </w:r>
          </w:p>
        </w:tc>
      </w:tr>
      <w:tr w14:paraId="22B6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163" w:type="dxa"/>
          </w:tcPr>
          <w:p w14:paraId="22B6824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水下检测仪（视频或声波雷达等）</w:t>
            </w:r>
          </w:p>
        </w:tc>
        <w:tc>
          <w:tcPr>
            <w:tcW w:w="3443" w:type="dxa"/>
          </w:tcPr>
          <w:p w14:paraId="22B6824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r>
    </w:tbl>
    <w:p w14:paraId="22B682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提供的闸站管理用房若无法满足专业设备存放条件，中标单位应自行考虑存放场所以保证日常养护工作的开展，同时应保证在接到采购人通知后2个小时内派遣人员携带所需设施设备、工具材料、物资等到达现场开展检修、维修、应急抢修等养护工作。</w:t>
      </w:r>
    </w:p>
    <w:p w14:paraId="22B682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.联合体投标的，作业专业设备需根据联合体协议书中相应承担的工作内容、合同份额进行各自配备。</w:t>
      </w:r>
    </w:p>
    <w:p w14:paraId="22B6825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、设施设备具体养护要求</w:t>
      </w:r>
    </w:p>
    <w:p w14:paraId="22B682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（一）机具设备</w:t>
      </w:r>
    </w:p>
    <w:p w14:paraId="22B682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1．检修门叶，应按规定摆放整齐，及时清除摆放处的垃圾、积水等；并做好必要的覆盖和定期油漆防护等工作。</w:t>
      </w:r>
    </w:p>
    <w:p w14:paraId="22B682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2．皮带输送机、压榨机等，应按照国家、省、市有关规定进行维修维护。</w:t>
      </w:r>
    </w:p>
    <w:p w14:paraId="22B682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（二）机电设备及附属设施设备</w:t>
      </w:r>
    </w:p>
    <w:p w14:paraId="22B682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高低供配电设备，可每3年安排一次检测。</w:t>
      </w:r>
    </w:p>
    <w:p w14:paraId="22B682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（三）水工构（建）筑物及附属设施设备</w:t>
      </w:r>
    </w:p>
    <w:p w14:paraId="22B682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构（建）筑物外墙，每三年至少进行一次涂层再粉刷。</w:t>
      </w:r>
    </w:p>
    <w:p w14:paraId="22B682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（四）信息系统及自控设备</w:t>
      </w:r>
    </w:p>
    <w:p w14:paraId="22B682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PCL自动控制系统。对于具备PLC自控设备的闸站，应确保计算机及其网络系统应运行正常，PLC控制系统运行正常，各类仪表、监视器、传感器、报警器、UPS等应工作正常。其中PLC的供电电压，应在额定范围的85%～110％之间，电压波动不应频繁，否则应更换PLC的电池，交流电源工作电压的范围一般为85～264V，直流电源电压应为24V。PLC控制柜内的温度应在0～60℃范围内，相对湿度应在35%～85%范围内，要求无粉尘、铁屑等积尘。控制柜内各PLC单元固定应牢固，各种I/O模块端子不应松动，PLC通信电缆的子母连接器应完全插入并旋紧，外部连接线无损伤；I/O端电压均应在工作要求的电压范围内。PLC/RTU、通信设施、通信接口，并做性能校验;量校就地（现场）控制系统各检测点的模拟量及数字;检查设备的手动、自动与遥控的控制功能以及控制级的优先权;测试自控系统的故障、声光报警点、保护、自启动及通信等功能。UPS不间断电源在使用时，应首先给UPS供电，使其处于旁路工作状态，然后再逐个打开负载；关机则是逐个关闭负载，再将UPS关闭;UPS不应过度轻载或满载；UPS的电池组需要定期进行充放电。要保证 UPS的有效屏蔽和接地保护，防雷击。自控系统的接地（接零）、防雷、防静电与过电压保护设施应符合相关要求;自控系统设备维护，必须按照用户手册的说明要求进行，技术文档应妥善保管。</w:t>
      </w:r>
    </w:p>
    <w:p w14:paraId="22B682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视频监控系统。各监控与视频服务器、硬盘录像机和所有前端设备每日检查不少于2次，重点检查视频显示装置的显示清晰度、流畅度是否完好，以及摄像机旋转、变焦、夜视功能是否正常;摄像机防护罩人工清洗每月检查不少于1次，电缆进线密封应符合防护等级要求。发现有脏物时应及时清洁摄像头上的氧化物及灰尘;供电系统每月检查不少于1次，电缆进线密封应符合防护等级要求;存储装置的视频保存周期应根据运行管理要求确定，并应每月检查1次;摄像系统的接地、接零、防雷等安全措施每年检查不少于1次，并视情况对监控杆、野外箱等重新油漆。</w:t>
      </w:r>
    </w:p>
    <w:p w14:paraId="22B68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水位监测系统。各水位自动监测站和水位服务器和所有前端设备每日检查不少于2次，重点检查设备的运行况状、水位数据是否准确、有效;水位自动监测站人工清洗每月检查不少于1次，发现数据异常时应及时清洗传感器以及周边影响观测精度的障碍物;供电系统每月检查不少于1次，电缆进线密封应符合防护等级要求，检查市电接电情况及太阳能电池板的充电、蓄电池容量及密封情况;数据库服务器上的水位数据应定期备份，每年不少于1次;水位测报系统的接地、接零、防雷等安全措施每年检查不少于1次，并视情况对监控杆、野外箱等重新油漆;水位测报系统的水位站点高程原则上每二年应进行高程复测1次，并同步复核校准水尺和水准仪。</w:t>
      </w:r>
    </w:p>
    <w:p w14:paraId="22B682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4.闸站养护单位应采取有效的技术手段和管理措施，防范计算机病毒对系统的侵害和黑客的非法入侵。任何设备、软件接(装)入系统前应进行病毒检测；不应在系统中进行与系统无关的作业。</w:t>
      </w:r>
    </w:p>
    <w:p w14:paraId="22B682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5.对于履行不同岗位职责的系统运维人员，应分别规定其安全等级操作权限。系统的运行和维护应进行授权管理，每月应检查1次系统的运行情况。</w:t>
      </w:r>
    </w:p>
    <w:p w14:paraId="22B682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6.对于具备信息接入条件的闸站，应</w:t>
      </w:r>
      <w:r>
        <w:rPr>
          <w:rFonts w:hint="eastAsia" w:ascii="仿宋" w:hAnsi="仿宋" w:eastAsia="仿宋" w:cs="仿宋"/>
          <w:color w:val="auto"/>
          <w:sz w:val="24"/>
          <w:highlight w:val="none"/>
          <w:lang w:val="en-US" w:eastAsia="zh-CN"/>
        </w:rPr>
        <w:t>配合采购人</w:t>
      </w:r>
      <w:r>
        <w:rPr>
          <w:rFonts w:hint="eastAsia" w:ascii="仿宋" w:hAnsi="仿宋" w:eastAsia="仿宋" w:cs="仿宋"/>
          <w:color w:val="auto"/>
          <w:sz w:val="24"/>
          <w:highlight w:val="none"/>
        </w:rPr>
        <w:t>将闸站数据信息（如闸门开启度、水泵启停状态、电流电压、水位、视频等）</w:t>
      </w:r>
      <w:r>
        <w:rPr>
          <w:rFonts w:hint="default" w:ascii="仿宋" w:hAnsi="仿宋" w:eastAsia="仿宋" w:cs="仿宋"/>
          <w:color w:val="auto"/>
          <w:sz w:val="24"/>
          <w:highlight w:val="none"/>
          <w:lang w:val="en-US"/>
        </w:rPr>
        <w:t>接</w:t>
      </w:r>
      <w:r>
        <w:rPr>
          <w:rFonts w:hint="eastAsia" w:ascii="仿宋" w:hAnsi="仿宋" w:eastAsia="仿宋" w:cs="仿宋"/>
          <w:color w:val="auto"/>
          <w:sz w:val="24"/>
          <w:highlight w:val="none"/>
        </w:rPr>
        <w:t>入城市河道智慧平台，网络费用由</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承担。</w:t>
      </w:r>
    </w:p>
    <w:p w14:paraId="22B682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、其它要求</w:t>
      </w:r>
    </w:p>
    <w:p w14:paraId="22B682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1.投标人应针对本项目制定专项的运维管理制度，包括不限于项目人员管理（考核奖惩、业务培训制度）、安全生产（检查排查制度）、防汛应急（预案制定、演练实操制度）等方面，做到规范化、流程化管理。</w:t>
      </w:r>
    </w:p>
    <w:p w14:paraId="22B682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2.各类船闸应严格按照有关规定启闭闸门，放行并管理运行船只。</w:t>
      </w:r>
    </w:p>
    <w:p w14:paraId="22B682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3.应积极配合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开展相关综保工程协调、设施改善工程实施及其他工作。</w:t>
      </w:r>
    </w:p>
    <w:p w14:paraId="22B682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4.按养护要求、标准规范，每年对养护运行情况进行一次全面自评，年终提交一份年度自评报告。</w:t>
      </w:r>
    </w:p>
    <w:bookmarkEnd w:id="55"/>
    <w:p w14:paraId="22B68269">
      <w:pPr>
        <w:autoSpaceDE w:val="0"/>
        <w:autoSpaceDN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、商务要求</w:t>
      </w:r>
    </w:p>
    <w:p w14:paraId="22B6826A">
      <w:pPr>
        <w:autoSpaceDE w:val="0"/>
        <w:autoSpaceDN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（一）报价要求</w:t>
      </w:r>
    </w:p>
    <w:p w14:paraId="22B682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按招标文件规定的质量要求，结合作业地段实际和企业自身实力自主报价，并将涉及到的费用按单项列出清单。</w:t>
      </w:r>
    </w:p>
    <w:p w14:paraId="22B682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投标报价包括工资总额、维护费用、个案费用（绿化保维、硬化保维、航标保维）。其中运行能耗费用不计入投标报价，合同履约中按实结算；高配检测由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负责，不计入本次招标范围。</w:t>
      </w:r>
    </w:p>
    <w:p w14:paraId="22B682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综合考虑作业成本经费（含人员工资、材料、养护工具、设备配置、车辆、船只运行成本等），防汛防台、抗雪防冻、违法违章事件的劝阻和跟踪、突发事件应急处理及重大活动保障等涉及应急抢险和管理的相关费用，闸站管养范围内的警示牌、告示牌、水尺、消防器材、救生等设施维护、维修、零配件更换及缺补的相关费用（现场设施、设备情况由投标人自行现场踏勘），合理利润及法规要求涉及的保障费用。</w:t>
      </w:r>
    </w:p>
    <w:p w14:paraId="22B682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工资不得低于杭州市劳动保障部门规定的最低工资标准，必须落实职工劳保福利待遇，为职工缴纳社会保险费（养老保险、医疗保险、失业保险、工伤保险和生育保险）与住房公积金，保障职工休息休假权利，否则评标委员可以认为低于成本价恶性竞争而判定为无效标。</w:t>
      </w:r>
    </w:p>
    <w:p w14:paraId="22B68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其它费用处理：招标文件未列明，而投标人认为必需的费用也需列入报价，并在报价明细中的备注栏内进行合理性说明。</w:t>
      </w:r>
    </w:p>
    <w:p w14:paraId="22B68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投标货币：投标文件中价格全部采用人民币报价。报价应是唯一的,采购人将不接受有选择的报价。</w:t>
      </w:r>
    </w:p>
    <w:p w14:paraId="22B6827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（二）签订合同</w:t>
      </w:r>
    </w:p>
    <w:p w14:paraId="22B68272">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本项目合同</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为杭州市城市水设施和河道保护管理中心，</w:t>
      </w:r>
      <w:r>
        <w:rPr>
          <w:rFonts w:hint="eastAsia" w:ascii="仿宋" w:hAnsi="仿宋" w:eastAsia="仿宋" w:cs="仿宋"/>
          <w:color w:val="auto"/>
          <w:kern w:val="0"/>
          <w:sz w:val="24"/>
          <w:highlight w:val="none"/>
        </w:rPr>
        <w:t>合同款由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支付给</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w:t>
      </w:r>
    </w:p>
    <w:p w14:paraId="22B682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（三）履约保证金交纳</w:t>
      </w:r>
    </w:p>
    <w:p w14:paraId="22B68274">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按《第五部分 拟签订的合同文本》规定。</w:t>
      </w:r>
    </w:p>
    <w:p w14:paraId="22B6827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（四）付款条件</w:t>
      </w:r>
    </w:p>
    <w:p w14:paraId="22B68276">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按《第五部分 拟签订的合同文本》规定。</w:t>
      </w:r>
    </w:p>
    <w:p w14:paraId="22B68277">
      <w:pPr>
        <w:autoSpaceDE w:val="0"/>
        <w:autoSpaceDN w:val="0"/>
        <w:spacing w:line="360" w:lineRule="auto"/>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九</w:t>
      </w:r>
      <w:r>
        <w:rPr>
          <w:rFonts w:hint="eastAsia" w:ascii="仿宋" w:hAnsi="仿宋" w:eastAsia="仿宋" w:cs="仿宋"/>
          <w:b/>
          <w:bCs/>
          <w:color w:val="auto"/>
          <w:kern w:val="0"/>
          <w:sz w:val="24"/>
          <w:highlight w:val="none"/>
          <w:lang w:val="zh-CN" w:bidi="ar"/>
        </w:rPr>
        <w:t>、联合体投标要求</w:t>
      </w:r>
    </w:p>
    <w:p w14:paraId="22B68278">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若联合体投标的，联合体成员应根据联合协议中相应承担的工作内容、合同份额进行各自配备相应的作业人员、工具及设施设备。牵头人合同份额不得少于50%，项目负责人由牵头人派遣。</w:t>
      </w:r>
    </w:p>
    <w:p w14:paraId="22B68279">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22B6827A">
      <w:pPr>
        <w:autoSpaceDE w:val="0"/>
        <w:autoSpaceDN w:val="0"/>
        <w:spacing w:line="360" w:lineRule="auto"/>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十</w:t>
      </w:r>
      <w:r>
        <w:rPr>
          <w:rFonts w:hint="eastAsia" w:ascii="仿宋" w:hAnsi="仿宋" w:eastAsia="仿宋" w:cs="仿宋"/>
          <w:b/>
          <w:bCs/>
          <w:color w:val="auto"/>
          <w:kern w:val="0"/>
          <w:sz w:val="24"/>
          <w:highlight w:val="none"/>
          <w:lang w:bidi="ar"/>
        </w:rPr>
        <w:t>、分包要求</w:t>
      </w:r>
    </w:p>
    <w:p w14:paraId="22B682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根据招标文件的规定和采购项目的实际情况，拟将项目的非主体、非关键性的检测工作分包的，应当在投标文件中载明分包承担主体，分包承担主体应当具备相应能力且不得再次分包（若非主体、非关键性工作已由联合体成员承担的，则不允许分包）。</w:t>
      </w:r>
    </w:p>
    <w:p w14:paraId="22B6827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包单位根据分包工作协议内容相应承担的工作内容、合同份额进行各自配备相应人员和设施设备，分包份额累计额不得超过总包单位。▲投标人须在投标文件中提供分包意向协议，分包单位为中小企业的应在中小企业声明函中声明。(</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本项目专门面向中小企业采购，分包单位必须为中小企业。)</w:t>
      </w:r>
    </w:p>
    <w:p w14:paraId="22B6827D">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检测工作应由具有相应检测资质单位承担，投标人无相应检测资质的，则必须分包与具有相应检测资质单位，并在投标文件中提供分包意向协议。合同签订后，中标人需将分包单位相应信息报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确认。若分包单位有变更的，分包单位必须为中小企业且具备相应服务能力。</w:t>
      </w:r>
      <w:bookmarkEnd w:id="56"/>
      <w:bookmarkEnd w:id="57"/>
      <w:bookmarkEnd w:id="58"/>
      <w:bookmarkEnd w:id="59"/>
      <w:bookmarkStart w:id="356" w:name="_Toc14411"/>
      <w:bookmarkStart w:id="357" w:name="_Toc27989"/>
      <w:r>
        <w:rPr>
          <w:rFonts w:hint="eastAsia" w:ascii="仿宋" w:hAnsi="仿宋" w:eastAsia="仿宋" w:cs="仿宋"/>
          <w:color w:val="auto"/>
          <w:kern w:val="0"/>
          <w:sz w:val="24"/>
          <w:highlight w:val="none"/>
        </w:rPr>
        <w:br w:type="page"/>
      </w:r>
    </w:p>
    <w:p w14:paraId="22B6827E">
      <w:pPr>
        <w:wordWrap w:val="0"/>
        <w:snapToGrid w:val="0"/>
        <w:spacing w:line="360" w:lineRule="auto"/>
        <w:ind w:firstLine="723"/>
        <w:jc w:val="center"/>
        <w:outlineLvl w:val="0"/>
        <w:rPr>
          <w:rFonts w:hint="eastAsia" w:ascii="仿宋" w:hAnsi="仿宋" w:eastAsia="仿宋" w:cs="仿宋"/>
          <w:b/>
          <w:color w:val="auto"/>
          <w:sz w:val="36"/>
          <w:szCs w:val="36"/>
          <w:highlight w:val="none"/>
        </w:rPr>
      </w:pPr>
      <w:bookmarkStart w:id="358" w:name="_Toc13908"/>
      <w:bookmarkStart w:id="359" w:name="_Toc13545"/>
      <w:r>
        <w:rPr>
          <w:rFonts w:hint="eastAsia" w:ascii="仿宋" w:hAnsi="仿宋" w:eastAsia="仿宋" w:cs="仿宋"/>
          <w:b/>
          <w:color w:val="auto"/>
          <w:sz w:val="36"/>
          <w:szCs w:val="36"/>
          <w:highlight w:val="none"/>
        </w:rPr>
        <w:t xml:space="preserve">第四部分 </w:t>
      </w:r>
      <w:bookmarkStart w:id="360" w:name="_Toc184313266"/>
      <w:bookmarkEnd w:id="360"/>
      <w:bookmarkStart w:id="361" w:name="_Toc184308075"/>
      <w:bookmarkEnd w:id="361"/>
      <w:bookmarkStart w:id="362" w:name="_Toc184314471"/>
      <w:bookmarkEnd w:id="362"/>
      <w:bookmarkStart w:id="363" w:name="_Toc184314463"/>
      <w:bookmarkEnd w:id="363"/>
      <w:bookmarkStart w:id="364" w:name="_Toc184314431"/>
      <w:bookmarkEnd w:id="364"/>
      <w:bookmarkStart w:id="365" w:name="_Toc184312125"/>
      <w:bookmarkEnd w:id="365"/>
      <w:bookmarkStart w:id="366" w:name="_Toc184310275"/>
      <w:bookmarkEnd w:id="366"/>
      <w:bookmarkStart w:id="367" w:name="_Toc184310283"/>
      <w:bookmarkEnd w:id="367"/>
      <w:bookmarkStart w:id="368" w:name="_Toc184314475"/>
      <w:bookmarkEnd w:id="368"/>
      <w:bookmarkStart w:id="369" w:name="_Toc184308092"/>
      <w:bookmarkEnd w:id="369"/>
      <w:bookmarkStart w:id="370" w:name="_Toc184310329"/>
      <w:bookmarkEnd w:id="370"/>
      <w:bookmarkStart w:id="371" w:name="_Toc184310335"/>
      <w:bookmarkEnd w:id="371"/>
      <w:bookmarkStart w:id="372" w:name="_Toc184310341"/>
      <w:bookmarkEnd w:id="372"/>
      <w:bookmarkStart w:id="373" w:name="_Toc184312108"/>
      <w:bookmarkEnd w:id="373"/>
      <w:bookmarkStart w:id="374" w:name="_Toc184310312"/>
      <w:bookmarkEnd w:id="374"/>
      <w:bookmarkStart w:id="375" w:name="_Toc184312092"/>
      <w:bookmarkEnd w:id="375"/>
      <w:bookmarkStart w:id="376" w:name="_Toc184310316"/>
      <w:bookmarkEnd w:id="376"/>
      <w:bookmarkStart w:id="377" w:name="_Toc184310319"/>
      <w:bookmarkEnd w:id="377"/>
      <w:bookmarkStart w:id="378" w:name="_Toc184308045"/>
      <w:bookmarkEnd w:id="378"/>
      <w:bookmarkStart w:id="379" w:name="_Toc184310310"/>
      <w:bookmarkEnd w:id="379"/>
      <w:bookmarkStart w:id="380" w:name="_Toc184310299"/>
      <w:bookmarkEnd w:id="380"/>
      <w:bookmarkStart w:id="381" w:name="_Toc184313243"/>
      <w:bookmarkEnd w:id="381"/>
      <w:bookmarkStart w:id="382" w:name="_Toc184308043"/>
      <w:bookmarkEnd w:id="382"/>
      <w:bookmarkStart w:id="383" w:name="_Toc184312111"/>
      <w:bookmarkEnd w:id="383"/>
      <w:bookmarkStart w:id="384" w:name="_Toc184314445"/>
      <w:bookmarkEnd w:id="384"/>
      <w:bookmarkStart w:id="385" w:name="_Toc184312093"/>
      <w:bookmarkEnd w:id="385"/>
      <w:bookmarkStart w:id="386" w:name="_Toc184312079"/>
      <w:bookmarkEnd w:id="386"/>
      <w:bookmarkStart w:id="387" w:name="_Toc184314472"/>
      <w:bookmarkEnd w:id="387"/>
      <w:bookmarkStart w:id="388" w:name="_Toc184308041"/>
      <w:bookmarkEnd w:id="388"/>
      <w:bookmarkStart w:id="389" w:name="_Toc184313294"/>
      <w:bookmarkEnd w:id="389"/>
      <w:bookmarkStart w:id="390" w:name="_Toc184308042"/>
      <w:bookmarkEnd w:id="390"/>
      <w:bookmarkStart w:id="391" w:name="_Toc184310334"/>
      <w:bookmarkEnd w:id="391"/>
      <w:bookmarkStart w:id="392" w:name="_Toc184308077"/>
      <w:bookmarkEnd w:id="392"/>
      <w:bookmarkStart w:id="393" w:name="_Toc184308086"/>
      <w:bookmarkEnd w:id="393"/>
      <w:bookmarkStart w:id="394" w:name="_Toc184310327"/>
      <w:bookmarkEnd w:id="394"/>
      <w:bookmarkStart w:id="395" w:name="_Toc184313265"/>
      <w:bookmarkEnd w:id="395"/>
      <w:bookmarkStart w:id="396" w:name="_Toc184314434"/>
      <w:bookmarkEnd w:id="396"/>
      <w:bookmarkStart w:id="397" w:name="_Toc184310342"/>
      <w:bookmarkEnd w:id="397"/>
      <w:bookmarkStart w:id="398" w:name="_Toc184308066"/>
      <w:bookmarkEnd w:id="398"/>
      <w:bookmarkStart w:id="399" w:name="_Toc184312114"/>
      <w:bookmarkEnd w:id="399"/>
      <w:bookmarkStart w:id="400" w:name="_Toc184314457"/>
      <w:bookmarkEnd w:id="400"/>
      <w:bookmarkStart w:id="401" w:name="_Toc184310332"/>
      <w:bookmarkEnd w:id="401"/>
      <w:bookmarkStart w:id="402" w:name="_Toc184314438"/>
      <w:bookmarkEnd w:id="402"/>
      <w:bookmarkStart w:id="403" w:name="_Toc184313238"/>
      <w:bookmarkEnd w:id="403"/>
      <w:bookmarkStart w:id="404" w:name="_Toc184313255"/>
      <w:bookmarkEnd w:id="404"/>
      <w:bookmarkStart w:id="405" w:name="_Toc184312115"/>
      <w:bookmarkEnd w:id="405"/>
      <w:bookmarkStart w:id="406" w:name="_Toc184314449"/>
      <w:bookmarkEnd w:id="406"/>
      <w:bookmarkStart w:id="407" w:name="_Toc184308055"/>
      <w:bookmarkEnd w:id="407"/>
      <w:bookmarkStart w:id="408" w:name="_Toc184312120"/>
      <w:bookmarkEnd w:id="408"/>
      <w:bookmarkStart w:id="409" w:name="_Toc184314432"/>
      <w:bookmarkEnd w:id="409"/>
      <w:bookmarkStart w:id="410" w:name="_Toc184308037"/>
      <w:bookmarkEnd w:id="410"/>
      <w:bookmarkStart w:id="411" w:name="_Toc184310339"/>
      <w:bookmarkEnd w:id="411"/>
      <w:bookmarkStart w:id="412" w:name="_Toc184313292"/>
      <w:bookmarkEnd w:id="412"/>
      <w:bookmarkStart w:id="413" w:name="_Toc184310288"/>
      <w:bookmarkEnd w:id="413"/>
      <w:bookmarkStart w:id="414" w:name="_Toc184313278"/>
      <w:bookmarkEnd w:id="414"/>
      <w:bookmarkStart w:id="415" w:name="_Toc184313297"/>
      <w:bookmarkEnd w:id="415"/>
      <w:bookmarkStart w:id="416" w:name="_Toc184313280"/>
      <w:bookmarkEnd w:id="416"/>
      <w:bookmarkStart w:id="417" w:name="_Toc184308040"/>
      <w:bookmarkEnd w:id="417"/>
      <w:bookmarkStart w:id="418" w:name="_Toc184314458"/>
      <w:bookmarkEnd w:id="418"/>
      <w:bookmarkStart w:id="419" w:name="_Toc184313269"/>
      <w:bookmarkEnd w:id="419"/>
      <w:bookmarkStart w:id="420" w:name="_Toc184308094"/>
      <w:bookmarkEnd w:id="420"/>
      <w:bookmarkStart w:id="421" w:name="_Toc184312110"/>
      <w:bookmarkEnd w:id="421"/>
      <w:bookmarkStart w:id="422" w:name="_Toc184312128"/>
      <w:bookmarkEnd w:id="422"/>
      <w:bookmarkStart w:id="423" w:name="_Toc184314424"/>
      <w:bookmarkEnd w:id="423"/>
      <w:bookmarkStart w:id="424" w:name="_Toc184310304"/>
      <w:bookmarkEnd w:id="424"/>
      <w:bookmarkStart w:id="425" w:name="_Toc184310306"/>
      <w:bookmarkEnd w:id="425"/>
      <w:bookmarkStart w:id="426" w:name="_Toc184314446"/>
      <w:bookmarkEnd w:id="426"/>
      <w:bookmarkStart w:id="427" w:name="_Toc184310279"/>
      <w:bookmarkEnd w:id="427"/>
      <w:bookmarkStart w:id="428" w:name="_Toc184314464"/>
      <w:bookmarkEnd w:id="428"/>
      <w:bookmarkStart w:id="429" w:name="_Toc184308061"/>
      <w:bookmarkEnd w:id="429"/>
      <w:bookmarkStart w:id="430" w:name="_Toc184312135"/>
      <w:bookmarkEnd w:id="430"/>
      <w:bookmarkStart w:id="431" w:name="_Toc184314467"/>
      <w:bookmarkEnd w:id="431"/>
      <w:bookmarkStart w:id="432" w:name="_Toc184313293"/>
      <w:bookmarkEnd w:id="432"/>
      <w:bookmarkStart w:id="433" w:name="_Toc184308085"/>
      <w:bookmarkEnd w:id="433"/>
      <w:bookmarkStart w:id="434" w:name="_Toc184313308"/>
      <w:bookmarkEnd w:id="434"/>
      <w:bookmarkStart w:id="435" w:name="_Toc184312106"/>
      <w:bookmarkEnd w:id="435"/>
      <w:bookmarkStart w:id="436" w:name="_Toc184312088"/>
      <w:bookmarkEnd w:id="436"/>
      <w:bookmarkStart w:id="437" w:name="_Toc184313310"/>
      <w:bookmarkEnd w:id="437"/>
      <w:bookmarkStart w:id="438" w:name="_Toc184308096"/>
      <w:bookmarkEnd w:id="438"/>
      <w:bookmarkStart w:id="439" w:name="_Toc184312099"/>
      <w:bookmarkEnd w:id="439"/>
      <w:bookmarkStart w:id="440" w:name="_Toc184312129"/>
      <w:bookmarkEnd w:id="440"/>
      <w:bookmarkStart w:id="441" w:name="_Toc184310282"/>
      <w:bookmarkEnd w:id="441"/>
      <w:bookmarkStart w:id="442" w:name="_Toc184313276"/>
      <w:bookmarkEnd w:id="442"/>
      <w:bookmarkStart w:id="443" w:name="_Toc184312091"/>
      <w:bookmarkEnd w:id="443"/>
      <w:bookmarkStart w:id="444" w:name="_Toc184312100"/>
      <w:bookmarkEnd w:id="444"/>
      <w:bookmarkStart w:id="445" w:name="_Toc184314481"/>
      <w:bookmarkEnd w:id="445"/>
      <w:bookmarkStart w:id="446" w:name="_Toc184313287"/>
      <w:bookmarkEnd w:id="446"/>
      <w:bookmarkStart w:id="447" w:name="_Toc184314450"/>
      <w:bookmarkEnd w:id="447"/>
      <w:bookmarkStart w:id="448" w:name="_Toc184312074"/>
      <w:bookmarkEnd w:id="448"/>
      <w:bookmarkStart w:id="449" w:name="_Toc184308049"/>
      <w:bookmarkEnd w:id="449"/>
      <w:bookmarkStart w:id="450" w:name="_Toc184310305"/>
      <w:bookmarkEnd w:id="450"/>
      <w:bookmarkStart w:id="451" w:name="_Toc184310340"/>
      <w:bookmarkEnd w:id="451"/>
      <w:bookmarkStart w:id="452" w:name="_Toc184313244"/>
      <w:bookmarkEnd w:id="452"/>
      <w:bookmarkStart w:id="453" w:name="_Toc184308058"/>
      <w:bookmarkEnd w:id="453"/>
      <w:bookmarkStart w:id="454" w:name="_Toc184313307"/>
      <w:bookmarkEnd w:id="454"/>
      <w:bookmarkStart w:id="455" w:name="_Toc184310286"/>
      <w:bookmarkEnd w:id="455"/>
      <w:bookmarkStart w:id="456" w:name="_Toc184310301"/>
      <w:bookmarkEnd w:id="456"/>
      <w:bookmarkStart w:id="457" w:name="_Toc184314423"/>
      <w:bookmarkEnd w:id="457"/>
      <w:bookmarkStart w:id="458" w:name="_Toc184313273"/>
      <w:bookmarkEnd w:id="458"/>
      <w:bookmarkStart w:id="459" w:name="_Toc184313240"/>
      <w:bookmarkEnd w:id="459"/>
      <w:bookmarkStart w:id="460" w:name="_Toc184314433"/>
      <w:bookmarkEnd w:id="460"/>
      <w:bookmarkStart w:id="461" w:name="_Toc184313248"/>
      <w:bookmarkEnd w:id="461"/>
      <w:bookmarkStart w:id="462" w:name="_Toc184310328"/>
      <w:bookmarkEnd w:id="462"/>
      <w:bookmarkStart w:id="463" w:name="_Toc184314468"/>
      <w:bookmarkEnd w:id="463"/>
      <w:bookmarkStart w:id="464" w:name="_Toc184308087"/>
      <w:bookmarkEnd w:id="464"/>
      <w:bookmarkStart w:id="465" w:name="_Toc184308084"/>
      <w:bookmarkEnd w:id="465"/>
      <w:bookmarkStart w:id="466" w:name="_Toc184314426"/>
      <w:bookmarkEnd w:id="466"/>
      <w:bookmarkStart w:id="467" w:name="_Toc184313288"/>
      <w:bookmarkEnd w:id="467"/>
      <w:bookmarkStart w:id="468" w:name="_Toc184314421"/>
      <w:bookmarkEnd w:id="468"/>
      <w:bookmarkStart w:id="469" w:name="_Toc184308074"/>
      <w:bookmarkEnd w:id="469"/>
      <w:bookmarkStart w:id="470" w:name="_Toc184312068"/>
      <w:bookmarkEnd w:id="470"/>
      <w:bookmarkStart w:id="471" w:name="_Toc184314425"/>
      <w:bookmarkEnd w:id="471"/>
      <w:bookmarkStart w:id="472" w:name="_Toc184314410"/>
      <w:bookmarkEnd w:id="472"/>
      <w:bookmarkStart w:id="473" w:name="_Toc184313256"/>
      <w:bookmarkEnd w:id="473"/>
      <w:bookmarkStart w:id="474" w:name="_Toc184313264"/>
      <w:bookmarkEnd w:id="474"/>
      <w:bookmarkStart w:id="475" w:name="_Toc184313257"/>
      <w:bookmarkEnd w:id="475"/>
      <w:bookmarkStart w:id="476" w:name="_Toc184310317"/>
      <w:bookmarkEnd w:id="476"/>
      <w:bookmarkStart w:id="477" w:name="_Toc184308047"/>
      <w:bookmarkEnd w:id="477"/>
      <w:bookmarkStart w:id="478" w:name="_Toc184310274"/>
      <w:bookmarkEnd w:id="478"/>
      <w:bookmarkStart w:id="479" w:name="_Toc184313245"/>
      <w:bookmarkEnd w:id="479"/>
      <w:bookmarkStart w:id="480" w:name="_Toc184308079"/>
      <w:bookmarkEnd w:id="480"/>
      <w:bookmarkStart w:id="481" w:name="_Toc184308076"/>
      <w:bookmarkEnd w:id="481"/>
      <w:bookmarkStart w:id="482" w:name="_Toc184312096"/>
      <w:bookmarkEnd w:id="482"/>
      <w:bookmarkStart w:id="483" w:name="_Toc184310300"/>
      <w:bookmarkEnd w:id="483"/>
      <w:bookmarkStart w:id="484" w:name="_Toc184312116"/>
      <w:bookmarkEnd w:id="484"/>
      <w:bookmarkStart w:id="485" w:name="_Toc184312078"/>
      <w:bookmarkEnd w:id="485"/>
      <w:bookmarkStart w:id="486" w:name="_Toc184314420"/>
      <w:bookmarkEnd w:id="486"/>
      <w:bookmarkStart w:id="487" w:name="_Toc184314430"/>
      <w:bookmarkEnd w:id="487"/>
      <w:bookmarkStart w:id="488" w:name="_Toc184314473"/>
      <w:bookmarkEnd w:id="488"/>
      <w:bookmarkStart w:id="489" w:name="_Toc184312103"/>
      <w:bookmarkEnd w:id="489"/>
      <w:bookmarkStart w:id="490" w:name="_Toc184312083"/>
      <w:bookmarkEnd w:id="490"/>
      <w:bookmarkStart w:id="491" w:name="_Toc184314436"/>
      <w:bookmarkEnd w:id="491"/>
      <w:bookmarkStart w:id="492" w:name="_Toc184310278"/>
      <w:bookmarkEnd w:id="492"/>
      <w:bookmarkStart w:id="493" w:name="_Toc184310322"/>
      <w:bookmarkEnd w:id="493"/>
      <w:bookmarkStart w:id="494" w:name="_Toc184308056"/>
      <w:bookmarkEnd w:id="494"/>
      <w:bookmarkStart w:id="495" w:name="_Toc184314466"/>
      <w:bookmarkEnd w:id="495"/>
      <w:bookmarkStart w:id="496" w:name="_Toc184308104"/>
      <w:bookmarkEnd w:id="496"/>
      <w:bookmarkStart w:id="497" w:name="_Toc184313270"/>
      <w:bookmarkEnd w:id="497"/>
      <w:bookmarkStart w:id="498" w:name="_Toc184314451"/>
      <w:bookmarkEnd w:id="498"/>
      <w:bookmarkStart w:id="499" w:name="_Toc184312076"/>
      <w:bookmarkEnd w:id="499"/>
      <w:bookmarkStart w:id="500" w:name="_Toc184308057"/>
      <w:bookmarkEnd w:id="500"/>
      <w:bookmarkStart w:id="501" w:name="_Toc184313285"/>
      <w:bookmarkEnd w:id="501"/>
      <w:bookmarkStart w:id="502" w:name="_Toc184308059"/>
      <w:bookmarkEnd w:id="502"/>
      <w:bookmarkStart w:id="503" w:name="_Toc184314413"/>
      <w:bookmarkEnd w:id="503"/>
      <w:bookmarkStart w:id="504" w:name="_Toc184310292"/>
      <w:bookmarkEnd w:id="504"/>
      <w:bookmarkStart w:id="505" w:name="_Toc184314447"/>
      <w:bookmarkEnd w:id="505"/>
      <w:bookmarkStart w:id="506" w:name="_Toc184313300"/>
      <w:bookmarkEnd w:id="506"/>
      <w:bookmarkStart w:id="507" w:name="_Toc184308044"/>
      <w:bookmarkEnd w:id="507"/>
      <w:bookmarkStart w:id="508" w:name="_Toc184308070"/>
      <w:bookmarkEnd w:id="508"/>
      <w:bookmarkStart w:id="509" w:name="_Toc184312086"/>
      <w:bookmarkEnd w:id="509"/>
      <w:bookmarkStart w:id="510" w:name="_Toc184313289"/>
      <w:bookmarkEnd w:id="510"/>
      <w:bookmarkStart w:id="511" w:name="_Toc184312094"/>
      <w:bookmarkEnd w:id="511"/>
      <w:bookmarkStart w:id="512" w:name="_Toc184312085"/>
      <w:bookmarkEnd w:id="512"/>
      <w:bookmarkStart w:id="513" w:name="_Toc184314460"/>
      <w:bookmarkEnd w:id="513"/>
      <w:bookmarkStart w:id="514" w:name="_Toc184310308"/>
      <w:bookmarkEnd w:id="514"/>
      <w:bookmarkStart w:id="515" w:name="_Toc184308082"/>
      <w:bookmarkEnd w:id="515"/>
      <w:bookmarkStart w:id="516" w:name="_Toc184314448"/>
      <w:bookmarkEnd w:id="516"/>
      <w:bookmarkStart w:id="517" w:name="_Toc184308071"/>
      <w:bookmarkEnd w:id="517"/>
      <w:bookmarkStart w:id="518" w:name="_Toc184313263"/>
      <w:bookmarkEnd w:id="518"/>
      <w:bookmarkStart w:id="519" w:name="_Toc184310285"/>
      <w:bookmarkEnd w:id="519"/>
      <w:bookmarkStart w:id="520" w:name="_Toc184312098"/>
      <w:bookmarkEnd w:id="520"/>
      <w:bookmarkStart w:id="521" w:name="_Toc184314422"/>
      <w:bookmarkEnd w:id="521"/>
      <w:bookmarkStart w:id="522" w:name="_Toc184312102"/>
      <w:bookmarkEnd w:id="522"/>
      <w:bookmarkStart w:id="523" w:name="_Toc184313272"/>
      <w:bookmarkEnd w:id="523"/>
      <w:bookmarkStart w:id="524" w:name="_Toc184314440"/>
      <w:bookmarkEnd w:id="524"/>
      <w:bookmarkStart w:id="525" w:name="_Toc184314455"/>
      <w:bookmarkEnd w:id="525"/>
      <w:bookmarkStart w:id="526" w:name="_Toc184310330"/>
      <w:bookmarkEnd w:id="526"/>
      <w:bookmarkStart w:id="527" w:name="_Toc184312126"/>
      <w:bookmarkEnd w:id="527"/>
      <w:bookmarkStart w:id="528" w:name="_Toc184312105"/>
      <w:bookmarkEnd w:id="528"/>
      <w:bookmarkStart w:id="529" w:name="_Toc184314462"/>
      <w:bookmarkEnd w:id="529"/>
      <w:bookmarkStart w:id="530" w:name="_Toc184313291"/>
      <w:bookmarkEnd w:id="530"/>
      <w:bookmarkStart w:id="531" w:name="_Toc184313267"/>
      <w:bookmarkEnd w:id="531"/>
      <w:bookmarkStart w:id="532" w:name="_Toc184312071"/>
      <w:bookmarkEnd w:id="532"/>
      <w:bookmarkStart w:id="533" w:name="_Toc184313305"/>
      <w:bookmarkEnd w:id="533"/>
      <w:bookmarkStart w:id="534" w:name="_Toc184310284"/>
      <w:bookmarkEnd w:id="534"/>
      <w:bookmarkStart w:id="535" w:name="_Toc184312067"/>
      <w:bookmarkEnd w:id="535"/>
      <w:bookmarkStart w:id="536" w:name="_Toc184312101"/>
      <w:bookmarkEnd w:id="536"/>
      <w:bookmarkStart w:id="537" w:name="_Toc184312113"/>
      <w:bookmarkEnd w:id="537"/>
      <w:bookmarkStart w:id="538" w:name="_Toc184310307"/>
      <w:bookmarkEnd w:id="538"/>
      <w:bookmarkStart w:id="539" w:name="_Toc184312134"/>
      <w:bookmarkEnd w:id="539"/>
      <w:bookmarkStart w:id="540" w:name="_Toc184312073"/>
      <w:bookmarkEnd w:id="540"/>
      <w:bookmarkStart w:id="541" w:name="_Toc184308101"/>
      <w:bookmarkEnd w:id="541"/>
      <w:bookmarkStart w:id="542" w:name="_Toc184310314"/>
      <w:bookmarkEnd w:id="542"/>
      <w:bookmarkStart w:id="543" w:name="_Toc184308053"/>
      <w:bookmarkEnd w:id="543"/>
      <w:bookmarkStart w:id="544" w:name="_Toc184310297"/>
      <w:bookmarkEnd w:id="544"/>
      <w:bookmarkStart w:id="545" w:name="_Toc184313299"/>
      <w:bookmarkEnd w:id="545"/>
      <w:bookmarkStart w:id="546" w:name="_Toc184312081"/>
      <w:bookmarkEnd w:id="546"/>
      <w:bookmarkStart w:id="547" w:name="_Toc184313301"/>
      <w:bookmarkEnd w:id="547"/>
      <w:bookmarkStart w:id="548" w:name="_Toc184312122"/>
      <w:bookmarkEnd w:id="548"/>
      <w:bookmarkStart w:id="549" w:name="_Toc184313284"/>
      <w:bookmarkEnd w:id="549"/>
      <w:bookmarkStart w:id="550" w:name="_Toc184308062"/>
      <w:bookmarkEnd w:id="550"/>
      <w:bookmarkStart w:id="551" w:name="_Toc184314441"/>
      <w:bookmarkEnd w:id="551"/>
      <w:bookmarkStart w:id="552" w:name="_Toc184314477"/>
      <w:bookmarkEnd w:id="552"/>
      <w:bookmarkStart w:id="553" w:name="_Toc184314442"/>
      <w:bookmarkEnd w:id="553"/>
      <w:bookmarkStart w:id="554" w:name="_Toc184313247"/>
      <w:bookmarkEnd w:id="554"/>
      <w:bookmarkStart w:id="555" w:name="_Toc184313254"/>
      <w:bookmarkEnd w:id="555"/>
      <w:bookmarkStart w:id="556" w:name="_Toc184313249"/>
      <w:bookmarkEnd w:id="556"/>
      <w:bookmarkStart w:id="557" w:name="_Toc184308069"/>
      <w:bookmarkEnd w:id="557"/>
      <w:bookmarkStart w:id="558" w:name="_Toc184312127"/>
      <w:bookmarkEnd w:id="558"/>
      <w:bookmarkStart w:id="559" w:name="_Toc184314454"/>
      <w:bookmarkEnd w:id="559"/>
      <w:bookmarkStart w:id="560" w:name="_Toc184314453"/>
      <w:bookmarkEnd w:id="560"/>
      <w:bookmarkStart w:id="561" w:name="_Toc184312118"/>
      <w:bookmarkEnd w:id="561"/>
      <w:bookmarkStart w:id="562" w:name="_Toc184313286"/>
      <w:bookmarkEnd w:id="562"/>
      <w:bookmarkStart w:id="563" w:name="_Toc184310324"/>
      <w:bookmarkEnd w:id="563"/>
      <w:bookmarkStart w:id="564" w:name="_Toc184310276"/>
      <w:bookmarkEnd w:id="564"/>
      <w:bookmarkStart w:id="565" w:name="_Toc184312119"/>
      <w:bookmarkEnd w:id="565"/>
      <w:bookmarkStart w:id="566" w:name="_Toc184313303"/>
      <w:bookmarkEnd w:id="566"/>
      <w:bookmarkStart w:id="567" w:name="_Toc184310313"/>
      <w:bookmarkEnd w:id="567"/>
      <w:bookmarkStart w:id="568" w:name="_Toc184308078"/>
      <w:bookmarkEnd w:id="568"/>
      <w:bookmarkStart w:id="569" w:name="_Toc184310331"/>
      <w:bookmarkEnd w:id="569"/>
      <w:bookmarkStart w:id="570" w:name="_Toc184310277"/>
      <w:bookmarkEnd w:id="570"/>
      <w:bookmarkStart w:id="571" w:name="_Toc184314437"/>
      <w:bookmarkEnd w:id="571"/>
      <w:bookmarkStart w:id="572" w:name="_Toc184308065"/>
      <w:bookmarkEnd w:id="572"/>
      <w:bookmarkStart w:id="573" w:name="_Toc184314418"/>
      <w:bookmarkEnd w:id="573"/>
      <w:bookmarkStart w:id="574" w:name="_Toc184308100"/>
      <w:bookmarkEnd w:id="574"/>
      <w:bookmarkStart w:id="575" w:name="_Toc184308046"/>
      <w:bookmarkEnd w:id="575"/>
      <w:bookmarkStart w:id="576" w:name="_Toc184313281"/>
      <w:bookmarkEnd w:id="576"/>
      <w:bookmarkStart w:id="577" w:name="_Toc184312112"/>
      <w:bookmarkEnd w:id="577"/>
      <w:bookmarkStart w:id="578" w:name="_Toc184313296"/>
      <w:bookmarkEnd w:id="578"/>
      <w:bookmarkStart w:id="579" w:name="_Toc184314474"/>
      <w:bookmarkEnd w:id="579"/>
      <w:bookmarkStart w:id="580" w:name="_Toc184310315"/>
      <w:bookmarkEnd w:id="580"/>
      <w:bookmarkStart w:id="581" w:name="_Toc184313304"/>
      <w:bookmarkEnd w:id="581"/>
      <w:bookmarkStart w:id="582" w:name="_Toc184314428"/>
      <w:bookmarkEnd w:id="582"/>
      <w:bookmarkStart w:id="583" w:name="_Toc184314435"/>
      <w:bookmarkEnd w:id="583"/>
      <w:bookmarkStart w:id="584" w:name="_Toc184310337"/>
      <w:bookmarkEnd w:id="584"/>
      <w:bookmarkStart w:id="585" w:name="_Toc184313298"/>
      <w:bookmarkEnd w:id="585"/>
      <w:bookmarkStart w:id="586" w:name="_Toc184313239"/>
      <w:bookmarkEnd w:id="586"/>
      <w:bookmarkStart w:id="587" w:name="_Toc184310291"/>
      <w:bookmarkEnd w:id="587"/>
      <w:bookmarkStart w:id="588" w:name="_Toc184313252"/>
      <w:bookmarkEnd w:id="588"/>
      <w:bookmarkStart w:id="589" w:name="_Toc184308073"/>
      <w:bookmarkEnd w:id="589"/>
      <w:bookmarkStart w:id="590" w:name="_Toc184310321"/>
      <w:bookmarkEnd w:id="590"/>
      <w:bookmarkStart w:id="591" w:name="_Toc184313302"/>
      <w:bookmarkEnd w:id="591"/>
      <w:bookmarkStart w:id="592" w:name="_Toc184310320"/>
      <w:bookmarkEnd w:id="592"/>
      <w:bookmarkStart w:id="593" w:name="_Toc184308080"/>
      <w:bookmarkEnd w:id="593"/>
      <w:bookmarkStart w:id="594" w:name="_Toc184308103"/>
      <w:bookmarkEnd w:id="594"/>
      <w:bookmarkStart w:id="595" w:name="_Toc184314452"/>
      <w:bookmarkEnd w:id="595"/>
      <w:bookmarkStart w:id="596" w:name="_Toc184313275"/>
      <w:bookmarkEnd w:id="596"/>
      <w:bookmarkStart w:id="597" w:name="_Toc184314415"/>
      <w:bookmarkEnd w:id="597"/>
      <w:bookmarkStart w:id="598" w:name="_Toc184312082"/>
      <w:bookmarkEnd w:id="598"/>
      <w:bookmarkStart w:id="599" w:name="_Toc184308067"/>
      <w:bookmarkEnd w:id="599"/>
      <w:bookmarkStart w:id="600" w:name="_Toc184312090"/>
      <w:bookmarkEnd w:id="600"/>
      <w:bookmarkStart w:id="601" w:name="_Toc184314461"/>
      <w:bookmarkEnd w:id="601"/>
      <w:bookmarkStart w:id="602" w:name="_Toc184313274"/>
      <w:bookmarkEnd w:id="602"/>
      <w:bookmarkStart w:id="603" w:name="_Toc184313253"/>
      <w:bookmarkEnd w:id="603"/>
      <w:bookmarkStart w:id="604" w:name="_Toc184310336"/>
      <w:bookmarkEnd w:id="604"/>
      <w:bookmarkStart w:id="605" w:name="_Toc184312089"/>
      <w:bookmarkEnd w:id="605"/>
      <w:bookmarkStart w:id="606" w:name="_Toc184310295"/>
      <w:bookmarkEnd w:id="606"/>
      <w:bookmarkStart w:id="607" w:name="_Toc184313261"/>
      <w:bookmarkEnd w:id="607"/>
      <w:bookmarkStart w:id="608" w:name="_Toc184312084"/>
      <w:bookmarkEnd w:id="608"/>
      <w:bookmarkStart w:id="609" w:name="_Toc184308048"/>
      <w:bookmarkEnd w:id="609"/>
      <w:bookmarkStart w:id="610" w:name="_Toc184310326"/>
      <w:bookmarkEnd w:id="610"/>
      <w:bookmarkStart w:id="611" w:name="_Toc184310280"/>
      <w:bookmarkEnd w:id="611"/>
      <w:bookmarkStart w:id="612" w:name="_Toc184308091"/>
      <w:bookmarkEnd w:id="612"/>
      <w:bookmarkStart w:id="613" w:name="_Toc184312069"/>
      <w:bookmarkEnd w:id="613"/>
      <w:bookmarkStart w:id="614" w:name="_Toc184313306"/>
      <w:bookmarkEnd w:id="614"/>
      <w:bookmarkStart w:id="615" w:name="_Toc184314456"/>
      <w:bookmarkEnd w:id="615"/>
      <w:bookmarkStart w:id="616" w:name="_Toc184310289"/>
      <w:bookmarkEnd w:id="616"/>
      <w:bookmarkStart w:id="617" w:name="_Toc184313242"/>
      <w:bookmarkEnd w:id="617"/>
      <w:bookmarkStart w:id="618" w:name="_Toc184312130"/>
      <w:bookmarkEnd w:id="618"/>
      <w:bookmarkStart w:id="619" w:name="_Toc184308107"/>
      <w:bookmarkEnd w:id="619"/>
      <w:bookmarkStart w:id="620" w:name="_Toc184314439"/>
      <w:bookmarkEnd w:id="620"/>
      <w:bookmarkStart w:id="621" w:name="_Toc184314414"/>
      <w:bookmarkEnd w:id="621"/>
      <w:bookmarkStart w:id="622" w:name="_Toc184313250"/>
      <w:bookmarkEnd w:id="622"/>
      <w:bookmarkStart w:id="623" w:name="_Toc184308050"/>
      <w:bookmarkEnd w:id="623"/>
      <w:bookmarkStart w:id="624" w:name="_Toc184313241"/>
      <w:bookmarkEnd w:id="624"/>
      <w:bookmarkStart w:id="625" w:name="_Toc184310338"/>
      <w:bookmarkEnd w:id="625"/>
      <w:bookmarkStart w:id="626" w:name="_Toc184308039"/>
      <w:bookmarkEnd w:id="626"/>
      <w:bookmarkStart w:id="627" w:name="_Toc184313282"/>
      <w:bookmarkEnd w:id="627"/>
      <w:bookmarkStart w:id="628" w:name="_Toc184310294"/>
      <w:bookmarkEnd w:id="628"/>
      <w:bookmarkStart w:id="629" w:name="_Toc184314427"/>
      <w:bookmarkEnd w:id="629"/>
      <w:bookmarkStart w:id="630" w:name="_Toc184313262"/>
      <w:bookmarkEnd w:id="630"/>
      <w:bookmarkStart w:id="631" w:name="_Toc184314443"/>
      <w:bookmarkEnd w:id="631"/>
      <w:bookmarkStart w:id="632" w:name="_Toc184314465"/>
      <w:bookmarkEnd w:id="632"/>
      <w:bookmarkStart w:id="633" w:name="_Toc184312138"/>
      <w:bookmarkEnd w:id="633"/>
      <w:bookmarkStart w:id="634" w:name="_Toc184314476"/>
      <w:bookmarkEnd w:id="634"/>
      <w:bookmarkStart w:id="635" w:name="_Toc184308052"/>
      <w:bookmarkEnd w:id="635"/>
      <w:bookmarkStart w:id="636" w:name="_Toc184308106"/>
      <w:bookmarkEnd w:id="636"/>
      <w:bookmarkStart w:id="637" w:name="_Toc184312077"/>
      <w:bookmarkEnd w:id="637"/>
      <w:bookmarkStart w:id="638" w:name="_Toc184313290"/>
      <w:bookmarkEnd w:id="638"/>
      <w:bookmarkStart w:id="639" w:name="_Toc184308038"/>
      <w:bookmarkEnd w:id="639"/>
      <w:bookmarkStart w:id="640" w:name="_Toc184314419"/>
      <w:bookmarkEnd w:id="640"/>
      <w:bookmarkStart w:id="641" w:name="_Toc184308089"/>
      <w:bookmarkEnd w:id="641"/>
      <w:bookmarkStart w:id="642" w:name="_Toc184308063"/>
      <w:bookmarkEnd w:id="642"/>
      <w:bookmarkStart w:id="643" w:name="_Toc184308108"/>
      <w:bookmarkEnd w:id="643"/>
      <w:bookmarkStart w:id="644" w:name="_Toc184313283"/>
      <w:bookmarkEnd w:id="644"/>
      <w:bookmarkStart w:id="645" w:name="_Toc184310318"/>
      <w:bookmarkEnd w:id="645"/>
      <w:bookmarkStart w:id="646" w:name="_Toc184310296"/>
      <w:bookmarkEnd w:id="646"/>
      <w:bookmarkStart w:id="647" w:name="_Toc184308093"/>
      <w:bookmarkEnd w:id="647"/>
      <w:bookmarkStart w:id="648" w:name="_Toc184310303"/>
      <w:bookmarkEnd w:id="648"/>
      <w:bookmarkStart w:id="649" w:name="_Toc184310344"/>
      <w:bookmarkEnd w:id="649"/>
      <w:bookmarkStart w:id="650" w:name="_Toc184312136"/>
      <w:bookmarkEnd w:id="650"/>
      <w:bookmarkStart w:id="651" w:name="_Toc184312075"/>
      <w:bookmarkEnd w:id="651"/>
      <w:bookmarkStart w:id="652" w:name="_Toc184314411"/>
      <w:bookmarkEnd w:id="652"/>
      <w:bookmarkStart w:id="653" w:name="_Toc184310273"/>
      <w:bookmarkEnd w:id="653"/>
      <w:bookmarkStart w:id="654" w:name="_Toc184313260"/>
      <w:bookmarkEnd w:id="654"/>
      <w:bookmarkStart w:id="655" w:name="_Toc184308068"/>
      <w:bookmarkEnd w:id="655"/>
      <w:bookmarkStart w:id="656" w:name="_Toc184314444"/>
      <w:bookmarkEnd w:id="656"/>
      <w:bookmarkStart w:id="657" w:name="_Toc184308083"/>
      <w:bookmarkEnd w:id="657"/>
      <w:bookmarkStart w:id="658" w:name="_Toc184308051"/>
      <w:bookmarkEnd w:id="658"/>
      <w:bookmarkStart w:id="659" w:name="_Toc184312123"/>
      <w:bookmarkEnd w:id="659"/>
      <w:bookmarkStart w:id="660" w:name="_Toc184313259"/>
      <w:bookmarkEnd w:id="660"/>
      <w:bookmarkStart w:id="661" w:name="_Toc184308105"/>
      <w:bookmarkEnd w:id="661"/>
      <w:bookmarkStart w:id="662" w:name="_Toc184310333"/>
      <w:bookmarkEnd w:id="662"/>
      <w:bookmarkStart w:id="663" w:name="_Toc184310343"/>
      <w:bookmarkEnd w:id="663"/>
      <w:bookmarkStart w:id="664" w:name="_Toc184308097"/>
      <w:bookmarkEnd w:id="664"/>
      <w:bookmarkStart w:id="665" w:name="_Toc184313251"/>
      <w:bookmarkEnd w:id="665"/>
      <w:bookmarkStart w:id="666" w:name="_Toc184312097"/>
      <w:bookmarkEnd w:id="666"/>
      <w:bookmarkStart w:id="667" w:name="_Toc184308054"/>
      <w:bookmarkEnd w:id="667"/>
      <w:bookmarkStart w:id="668" w:name="_Toc184312070"/>
      <w:bookmarkEnd w:id="668"/>
      <w:bookmarkStart w:id="669" w:name="_Toc184312080"/>
      <w:bookmarkEnd w:id="669"/>
      <w:bookmarkStart w:id="670" w:name="_Toc184312137"/>
      <w:bookmarkEnd w:id="670"/>
      <w:bookmarkStart w:id="671" w:name="_Toc184312095"/>
      <w:bookmarkEnd w:id="671"/>
      <w:bookmarkStart w:id="672" w:name="_Toc184312132"/>
      <w:bookmarkEnd w:id="672"/>
      <w:bookmarkStart w:id="673" w:name="_Toc184312124"/>
      <w:bookmarkEnd w:id="673"/>
      <w:bookmarkStart w:id="674" w:name="_Toc184314478"/>
      <w:bookmarkEnd w:id="674"/>
      <w:bookmarkStart w:id="675" w:name="_Toc184314470"/>
      <w:bookmarkEnd w:id="675"/>
      <w:bookmarkStart w:id="676" w:name="_Toc184308095"/>
      <w:bookmarkEnd w:id="676"/>
      <w:bookmarkStart w:id="677" w:name="_Toc184314482"/>
      <w:bookmarkEnd w:id="677"/>
      <w:bookmarkStart w:id="678" w:name="_Toc184310293"/>
      <w:bookmarkEnd w:id="678"/>
      <w:bookmarkStart w:id="679" w:name="_Toc184308098"/>
      <w:bookmarkEnd w:id="679"/>
      <w:bookmarkStart w:id="680" w:name="_Toc184312117"/>
      <w:bookmarkEnd w:id="680"/>
      <w:bookmarkStart w:id="681" w:name="_Toc184308072"/>
      <w:bookmarkEnd w:id="681"/>
      <w:bookmarkStart w:id="682" w:name="_Toc184308099"/>
      <w:bookmarkEnd w:id="682"/>
      <w:bookmarkStart w:id="683" w:name="_Toc184312133"/>
      <w:bookmarkEnd w:id="683"/>
      <w:bookmarkStart w:id="684" w:name="_Toc184310272"/>
      <w:bookmarkEnd w:id="684"/>
      <w:bookmarkStart w:id="685" w:name="_Toc184314412"/>
      <w:bookmarkEnd w:id="685"/>
      <w:bookmarkStart w:id="686" w:name="_Toc184310325"/>
      <w:bookmarkEnd w:id="686"/>
      <w:bookmarkStart w:id="687" w:name="_Toc184308060"/>
      <w:bookmarkEnd w:id="687"/>
      <w:bookmarkStart w:id="688" w:name="_Toc184314416"/>
      <w:bookmarkEnd w:id="688"/>
      <w:bookmarkStart w:id="689" w:name="_Toc184308036"/>
      <w:bookmarkEnd w:id="689"/>
      <w:bookmarkStart w:id="690" w:name="_Toc184308088"/>
      <w:bookmarkEnd w:id="690"/>
      <w:bookmarkStart w:id="691" w:name="_Toc184308081"/>
      <w:bookmarkEnd w:id="691"/>
      <w:bookmarkStart w:id="692" w:name="_Toc184312139"/>
      <w:bookmarkEnd w:id="692"/>
      <w:bookmarkStart w:id="693" w:name="_Toc184310287"/>
      <w:bookmarkEnd w:id="693"/>
      <w:bookmarkStart w:id="694" w:name="_Toc184310290"/>
      <w:bookmarkEnd w:id="694"/>
      <w:bookmarkStart w:id="695" w:name="_Toc184313271"/>
      <w:bookmarkEnd w:id="695"/>
      <w:bookmarkStart w:id="696" w:name="_Toc184312072"/>
      <w:bookmarkEnd w:id="696"/>
      <w:bookmarkStart w:id="697" w:name="_Toc184312131"/>
      <w:bookmarkEnd w:id="697"/>
      <w:bookmarkStart w:id="698" w:name="_Toc184314459"/>
      <w:bookmarkEnd w:id="698"/>
      <w:bookmarkStart w:id="699" w:name="_Toc184313277"/>
      <w:bookmarkEnd w:id="699"/>
      <w:bookmarkStart w:id="700" w:name="_Toc184314469"/>
      <w:bookmarkEnd w:id="700"/>
      <w:bookmarkStart w:id="701" w:name="_Toc184310281"/>
      <w:bookmarkEnd w:id="701"/>
      <w:bookmarkStart w:id="702" w:name="_Toc184314429"/>
      <w:bookmarkEnd w:id="702"/>
      <w:bookmarkStart w:id="703" w:name="_Toc184313279"/>
      <w:bookmarkEnd w:id="703"/>
      <w:bookmarkStart w:id="704" w:name="_Toc184312121"/>
      <w:bookmarkEnd w:id="704"/>
      <w:bookmarkStart w:id="705" w:name="_Toc184313246"/>
      <w:bookmarkEnd w:id="705"/>
      <w:bookmarkStart w:id="706" w:name="_Toc184312109"/>
      <w:bookmarkEnd w:id="706"/>
      <w:bookmarkStart w:id="707" w:name="_Toc184308102"/>
      <w:bookmarkEnd w:id="707"/>
      <w:bookmarkStart w:id="708" w:name="_Toc184308064"/>
      <w:bookmarkEnd w:id="708"/>
      <w:bookmarkStart w:id="709" w:name="_Toc184313258"/>
      <w:bookmarkEnd w:id="709"/>
      <w:bookmarkStart w:id="710" w:name="_Toc184312107"/>
      <w:bookmarkEnd w:id="710"/>
      <w:bookmarkStart w:id="711" w:name="_Toc184310298"/>
      <w:bookmarkEnd w:id="711"/>
      <w:bookmarkStart w:id="712" w:name="_Toc184314479"/>
      <w:bookmarkEnd w:id="712"/>
      <w:bookmarkStart w:id="713" w:name="_Toc184310302"/>
      <w:bookmarkEnd w:id="713"/>
      <w:bookmarkStart w:id="714" w:name="_Toc184308090"/>
      <w:bookmarkEnd w:id="714"/>
      <w:bookmarkStart w:id="715" w:name="_Toc184313295"/>
      <w:bookmarkEnd w:id="715"/>
      <w:bookmarkStart w:id="716" w:name="_Toc184312104"/>
      <w:bookmarkEnd w:id="716"/>
      <w:bookmarkStart w:id="717" w:name="_Toc184312087"/>
      <w:bookmarkEnd w:id="717"/>
      <w:bookmarkStart w:id="718" w:name="_Toc184313309"/>
      <w:bookmarkEnd w:id="718"/>
      <w:bookmarkStart w:id="719" w:name="_Toc184313268"/>
      <w:bookmarkEnd w:id="719"/>
      <w:bookmarkStart w:id="720" w:name="_Toc184314417"/>
      <w:bookmarkEnd w:id="720"/>
      <w:bookmarkStart w:id="721" w:name="_Toc184310323"/>
      <w:bookmarkEnd w:id="721"/>
      <w:bookmarkStart w:id="722" w:name="_Toc184310311"/>
      <w:bookmarkEnd w:id="722"/>
      <w:bookmarkStart w:id="723" w:name="_Toc184310309"/>
      <w:bookmarkEnd w:id="723"/>
      <w:bookmarkStart w:id="724" w:name="_Toc184314480"/>
      <w:bookmarkEnd w:id="724"/>
      <w:r>
        <w:rPr>
          <w:rFonts w:hint="eastAsia" w:ascii="仿宋" w:hAnsi="仿宋" w:eastAsia="仿宋" w:cs="仿宋"/>
          <w:b/>
          <w:color w:val="auto"/>
          <w:sz w:val="36"/>
          <w:szCs w:val="36"/>
          <w:highlight w:val="none"/>
        </w:rPr>
        <w:t>评标办法</w:t>
      </w:r>
      <w:bookmarkEnd w:id="60"/>
      <w:bookmarkEnd w:id="61"/>
      <w:bookmarkEnd w:id="62"/>
      <w:bookmarkEnd w:id="63"/>
      <w:bookmarkEnd w:id="64"/>
      <w:bookmarkEnd w:id="356"/>
      <w:bookmarkEnd w:id="357"/>
      <w:bookmarkEnd w:id="358"/>
      <w:bookmarkEnd w:id="359"/>
    </w:p>
    <w:p w14:paraId="22B6827F">
      <w:pPr>
        <w:wordWrap w:val="0"/>
        <w:snapToGrid w:val="0"/>
        <w:spacing w:line="360" w:lineRule="auto"/>
        <w:ind w:firstLine="643"/>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7"/>
        <w:gridCol w:w="755"/>
        <w:gridCol w:w="5075"/>
        <w:gridCol w:w="1087"/>
        <w:gridCol w:w="1199"/>
      </w:tblGrid>
      <w:tr w14:paraId="7CE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E9FABFC">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bookmarkStart w:id="725" w:name="_Hlk184288908"/>
            <w:r>
              <w:rPr>
                <w:rFonts w:hint="eastAsia" w:ascii="仿宋" w:hAnsi="仿宋" w:eastAsia="仿宋" w:cs="仿宋"/>
                <w:color w:val="auto"/>
                <w:sz w:val="24"/>
                <w:highlight w:val="none"/>
              </w:rPr>
              <w:t>序号</w:t>
            </w:r>
          </w:p>
        </w:tc>
        <w:tc>
          <w:tcPr>
            <w:tcW w:w="403" w:type="pct"/>
            <w:vAlign w:val="center"/>
          </w:tcPr>
          <w:p w14:paraId="3E95AAD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402" w:type="pct"/>
            <w:shd w:val="clear" w:color="auto" w:fill="auto"/>
            <w:vAlign w:val="center"/>
          </w:tcPr>
          <w:p w14:paraId="0EC85D6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分值</w:t>
            </w:r>
          </w:p>
        </w:tc>
        <w:tc>
          <w:tcPr>
            <w:tcW w:w="2707" w:type="pct"/>
            <w:vAlign w:val="center"/>
          </w:tcPr>
          <w:p w14:paraId="37B3FF4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79" w:type="pct"/>
            <w:vAlign w:val="center"/>
          </w:tcPr>
          <w:p w14:paraId="0F56005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39" w:type="pct"/>
            <w:vAlign w:val="center"/>
          </w:tcPr>
          <w:p w14:paraId="7158F65B">
            <w:pPr>
              <w:keepNext w:val="0"/>
              <w:keepLines w:val="0"/>
              <w:suppressLineNumbers w:val="0"/>
              <w:tabs>
                <w:tab w:val="left" w:pos="0"/>
              </w:tabs>
              <w:adjustRightInd/>
              <w:spacing w:before="0" w:beforeAutospacing="0" w:after="0" w:afterAutospacing="0"/>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投标文件中评标标准相应的商务技术资料目录</w:t>
            </w:r>
          </w:p>
        </w:tc>
      </w:tr>
      <w:tr w14:paraId="2DBF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9FAEC4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4A4814B9">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w:t>
            </w:r>
            <w:r>
              <w:rPr>
                <w:rFonts w:hint="default" w:ascii="仿宋" w:hAnsi="仿宋" w:eastAsia="仿宋" w:cs="仿宋"/>
                <w:color w:val="auto"/>
                <w:sz w:val="24"/>
                <w:highlight w:val="none"/>
              </w:rPr>
              <w:t>管理制度</w:t>
            </w:r>
          </w:p>
        </w:tc>
        <w:tc>
          <w:tcPr>
            <w:tcW w:w="402" w:type="pct"/>
            <w:shd w:val="clear" w:color="auto" w:fill="auto"/>
            <w:vAlign w:val="center"/>
          </w:tcPr>
          <w:p w14:paraId="4A4FD360">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736CDF5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投标人针对本项目制定了专项的人员管理制度（考核奖惩、业务培训制度等），</w:t>
            </w:r>
            <w:r>
              <w:rPr>
                <w:rFonts w:hint="default" w:ascii="仿宋" w:hAnsi="仿宋" w:eastAsia="仿宋" w:cs="仿宋"/>
                <w:color w:val="auto"/>
                <w:sz w:val="24"/>
                <w:highlight w:val="none"/>
              </w:rPr>
              <w:t>管理制度健全</w:t>
            </w:r>
            <w:r>
              <w:rPr>
                <w:rFonts w:hint="eastAsia" w:ascii="仿宋" w:hAnsi="仿宋" w:eastAsia="仿宋" w:cs="仿宋"/>
                <w:color w:val="auto"/>
                <w:sz w:val="24"/>
                <w:highlight w:val="none"/>
              </w:rPr>
              <w:t>规范、</w:t>
            </w:r>
            <w:r>
              <w:rPr>
                <w:rFonts w:hint="default" w:ascii="仿宋" w:hAnsi="仿宋" w:eastAsia="仿宋" w:cs="仿宋"/>
                <w:color w:val="auto"/>
                <w:sz w:val="24"/>
                <w:highlight w:val="none"/>
              </w:rPr>
              <w:t>用工符合国家有关政策</w:t>
            </w:r>
            <w:r>
              <w:rPr>
                <w:rFonts w:hint="eastAsia" w:ascii="仿宋" w:hAnsi="仿宋" w:eastAsia="仿宋" w:cs="仿宋"/>
                <w:color w:val="auto"/>
                <w:sz w:val="24"/>
                <w:highlight w:val="none"/>
              </w:rPr>
              <w:t>的得2分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管理制度基本合理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管理制度不完善的得0.5分，</w:t>
            </w:r>
            <w:r>
              <w:rPr>
                <w:rFonts w:hint="default" w:ascii="仿宋" w:hAnsi="仿宋" w:eastAsia="仿宋" w:cs="仿宋"/>
                <w:color w:val="auto"/>
                <w:sz w:val="24"/>
                <w:highlight w:val="none"/>
              </w:rPr>
              <w:t>未制定的得0分。</w:t>
            </w:r>
          </w:p>
        </w:tc>
        <w:tc>
          <w:tcPr>
            <w:tcW w:w="579" w:type="pct"/>
            <w:vAlign w:val="center"/>
          </w:tcPr>
          <w:p w14:paraId="32C1FCA8">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70674E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479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5C80CB3">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69C00D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安全生产制度</w:t>
            </w:r>
          </w:p>
        </w:tc>
        <w:tc>
          <w:tcPr>
            <w:tcW w:w="402" w:type="pct"/>
            <w:shd w:val="clear" w:color="auto" w:fill="auto"/>
            <w:vAlign w:val="center"/>
          </w:tcPr>
          <w:p w14:paraId="29D96C29">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151726E1">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w:t>
            </w:r>
            <w:r>
              <w:rPr>
                <w:rFonts w:hint="eastAsia" w:ascii="仿宋" w:hAnsi="仿宋" w:eastAsia="仿宋" w:cs="仿宋"/>
                <w:color w:val="auto"/>
                <w:sz w:val="24"/>
                <w:highlight w:val="none"/>
              </w:rPr>
              <w:t>投标人针对本项目制定了专项的</w:t>
            </w:r>
            <w:r>
              <w:rPr>
                <w:rFonts w:hint="default" w:ascii="仿宋" w:hAnsi="仿宋" w:eastAsia="仿宋" w:cs="仿宋"/>
                <w:color w:val="auto"/>
                <w:sz w:val="24"/>
                <w:highlight w:val="none"/>
              </w:rPr>
              <w:t>安全生产</w:t>
            </w:r>
            <w:r>
              <w:rPr>
                <w:rFonts w:hint="eastAsia" w:ascii="仿宋" w:hAnsi="仿宋" w:eastAsia="仿宋" w:cs="仿宋"/>
                <w:color w:val="auto"/>
                <w:sz w:val="24"/>
                <w:highlight w:val="none"/>
              </w:rPr>
              <w:t>管理</w:t>
            </w:r>
            <w:r>
              <w:rPr>
                <w:rFonts w:hint="default" w:ascii="仿宋" w:hAnsi="仿宋" w:eastAsia="仿宋" w:cs="仿宋"/>
                <w:color w:val="auto"/>
                <w:sz w:val="24"/>
                <w:highlight w:val="none"/>
              </w:rPr>
              <w:t>制度</w:t>
            </w:r>
            <w:r>
              <w:rPr>
                <w:rFonts w:hint="eastAsia" w:ascii="仿宋" w:hAnsi="仿宋" w:eastAsia="仿宋" w:cs="仿宋"/>
                <w:color w:val="auto"/>
                <w:sz w:val="24"/>
                <w:highlight w:val="none"/>
              </w:rPr>
              <w:t>，管理制度健全规范</w:t>
            </w:r>
            <w:r>
              <w:rPr>
                <w:rFonts w:hint="default" w:ascii="仿宋" w:hAnsi="仿宋" w:eastAsia="仿宋" w:cs="仿宋"/>
                <w:color w:val="auto"/>
                <w:sz w:val="24"/>
                <w:highlight w:val="none"/>
              </w:rPr>
              <w:t>的得2分，</w:t>
            </w:r>
            <w:r>
              <w:rPr>
                <w:rFonts w:hint="eastAsia" w:ascii="仿宋" w:hAnsi="仿宋" w:eastAsia="仿宋" w:cs="仿宋"/>
                <w:color w:val="auto"/>
                <w:sz w:val="24"/>
                <w:highlight w:val="none"/>
              </w:rPr>
              <w:t>管理制度基本合理的得1分，管理制度不完善的得0.5分，</w:t>
            </w:r>
            <w:r>
              <w:rPr>
                <w:rFonts w:hint="default" w:ascii="仿宋" w:hAnsi="仿宋" w:eastAsia="仿宋" w:cs="仿宋"/>
                <w:color w:val="auto"/>
                <w:sz w:val="24"/>
                <w:highlight w:val="none"/>
              </w:rPr>
              <w:t>未制订的得0分。</w:t>
            </w:r>
          </w:p>
        </w:tc>
        <w:tc>
          <w:tcPr>
            <w:tcW w:w="579" w:type="pct"/>
            <w:vAlign w:val="center"/>
          </w:tcPr>
          <w:p w14:paraId="343B523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62CED975">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F63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9EDF56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28EC22D9">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06019BA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06BE023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w:t>
            </w:r>
            <w:r>
              <w:rPr>
                <w:rFonts w:hint="eastAsia" w:ascii="仿宋" w:hAnsi="仿宋" w:eastAsia="仿宋" w:cs="仿宋"/>
                <w:color w:val="auto"/>
                <w:sz w:val="24"/>
                <w:highlight w:val="none"/>
              </w:rPr>
              <w:t>投标人针对本项目制定了专项的</w:t>
            </w:r>
            <w:r>
              <w:rPr>
                <w:rFonts w:hint="default" w:ascii="仿宋" w:hAnsi="仿宋" w:eastAsia="仿宋" w:cs="仿宋"/>
                <w:color w:val="auto"/>
                <w:sz w:val="24"/>
                <w:highlight w:val="none"/>
              </w:rPr>
              <w:t>安全生产培训</w:t>
            </w:r>
            <w:r>
              <w:rPr>
                <w:rFonts w:hint="eastAsia" w:ascii="仿宋" w:hAnsi="仿宋" w:eastAsia="仿宋" w:cs="仿宋"/>
                <w:color w:val="auto"/>
                <w:sz w:val="24"/>
                <w:highlight w:val="none"/>
              </w:rPr>
              <w:t>计划</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培训内容全面、计划安排合理</w:t>
            </w:r>
            <w:r>
              <w:rPr>
                <w:rFonts w:hint="default" w:ascii="仿宋" w:hAnsi="仿宋" w:eastAsia="仿宋" w:cs="仿宋"/>
                <w:color w:val="auto"/>
                <w:sz w:val="24"/>
                <w:highlight w:val="none"/>
              </w:rPr>
              <w:t>的得2分，</w:t>
            </w:r>
            <w:r>
              <w:rPr>
                <w:rFonts w:hint="eastAsia" w:ascii="仿宋" w:hAnsi="仿宋" w:eastAsia="仿宋" w:cs="仿宋"/>
                <w:color w:val="auto"/>
                <w:sz w:val="24"/>
                <w:highlight w:val="none"/>
              </w:rPr>
              <w:t>培训内容、计划基本合理</w:t>
            </w:r>
            <w:r>
              <w:rPr>
                <w:rFonts w:hint="default" w:ascii="仿宋" w:hAnsi="仿宋" w:eastAsia="仿宋" w:cs="仿宋"/>
                <w:color w:val="auto"/>
                <w:sz w:val="24"/>
                <w:highlight w:val="none"/>
              </w:rPr>
              <w:t>的得1，</w:t>
            </w:r>
            <w:r>
              <w:rPr>
                <w:rFonts w:hint="eastAsia" w:ascii="仿宋" w:hAnsi="仿宋" w:eastAsia="仿宋" w:cs="仿宋"/>
                <w:color w:val="auto"/>
                <w:sz w:val="24"/>
                <w:highlight w:val="none"/>
              </w:rPr>
              <w:t>培训内容、计划不完善的得0.5分，</w:t>
            </w:r>
            <w:r>
              <w:rPr>
                <w:rFonts w:hint="default" w:ascii="仿宋" w:hAnsi="仿宋" w:eastAsia="仿宋" w:cs="仿宋"/>
                <w:color w:val="auto"/>
                <w:sz w:val="24"/>
                <w:highlight w:val="none"/>
              </w:rPr>
              <w:t>未</w:t>
            </w:r>
            <w:r>
              <w:rPr>
                <w:rFonts w:hint="eastAsia" w:ascii="仿宋" w:hAnsi="仿宋" w:eastAsia="仿宋" w:cs="仿宋"/>
                <w:color w:val="auto"/>
                <w:sz w:val="24"/>
                <w:highlight w:val="none"/>
              </w:rPr>
              <w:t>无培训计划</w:t>
            </w:r>
            <w:r>
              <w:rPr>
                <w:rFonts w:hint="default" w:ascii="仿宋" w:hAnsi="仿宋" w:eastAsia="仿宋" w:cs="仿宋"/>
                <w:color w:val="auto"/>
                <w:sz w:val="24"/>
                <w:highlight w:val="none"/>
              </w:rPr>
              <w:t>的得0分。</w:t>
            </w:r>
          </w:p>
        </w:tc>
        <w:tc>
          <w:tcPr>
            <w:tcW w:w="579" w:type="pct"/>
            <w:vAlign w:val="center"/>
          </w:tcPr>
          <w:p w14:paraId="4267743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vAlign w:val="center"/>
          </w:tcPr>
          <w:p w14:paraId="15E2F87E">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CCB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5" w:type="pct"/>
            <w:vAlign w:val="center"/>
          </w:tcPr>
          <w:p w14:paraId="6EE31772">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9075545">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95EFE6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5C536494">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strike w:val="0"/>
                <w:color w:val="auto"/>
                <w:sz w:val="24"/>
                <w:highlight w:val="none"/>
              </w:rPr>
            </w:pPr>
            <w:r>
              <w:rPr>
                <w:rFonts w:hint="eastAsia" w:ascii="仿宋" w:hAnsi="仿宋" w:eastAsia="仿宋" w:cs="仿宋"/>
                <w:strike w:val="0"/>
                <w:color w:val="auto"/>
                <w:sz w:val="24"/>
                <w:highlight w:val="none"/>
              </w:rPr>
              <w:t>c.配备具有注册安全工程师证书或拥有专职安全生产管理人员安全生产考核C证的专职安全员得 2分，未配备的得0分。【证明材料提供（1）</w:t>
            </w:r>
            <w:r>
              <w:rPr>
                <w:rFonts w:hint="eastAsia" w:ascii="仿宋" w:hAnsi="仿宋" w:eastAsia="仿宋" w:cs="仿宋"/>
                <w:color w:val="auto"/>
                <w:sz w:val="24"/>
                <w:highlight w:val="none"/>
              </w:rPr>
              <w:t>投标截止月上溯3个月（含投标截止日当月，共4个月中任意连续3个月）在投标单位的社保缴纳证明（开标前20天内投标人所属社保机构出具的加盖印章的单位或个人专用社保证明）</w:t>
            </w:r>
            <w:r>
              <w:rPr>
                <w:rFonts w:hint="eastAsia" w:ascii="仿宋" w:hAnsi="仿宋" w:eastAsia="仿宋" w:cs="仿宋"/>
                <w:strike w:val="0"/>
                <w:color w:val="auto"/>
                <w:sz w:val="24"/>
                <w:highlight w:val="none"/>
                <w:lang w:val="en-US" w:eastAsia="zh-CN"/>
              </w:rPr>
              <w:t>;</w:t>
            </w:r>
            <w:r>
              <w:rPr>
                <w:rFonts w:hint="eastAsia" w:ascii="仿宋" w:hAnsi="仿宋" w:eastAsia="仿宋" w:cs="仿宋"/>
                <w:strike w:val="0"/>
                <w:color w:val="auto"/>
                <w:sz w:val="24"/>
                <w:highlight w:val="none"/>
              </w:rPr>
              <w:t>（2）相应的注册证书或考核证书。】</w:t>
            </w:r>
          </w:p>
        </w:tc>
        <w:tc>
          <w:tcPr>
            <w:tcW w:w="579" w:type="pct"/>
            <w:vAlign w:val="center"/>
          </w:tcPr>
          <w:p w14:paraId="0646587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53BC606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A83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759F51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411D1FE5">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155D5D2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39CC37AD">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d.近三年内（20</w:t>
            </w:r>
            <w:r>
              <w:rPr>
                <w:rFonts w:hint="eastAsia" w:ascii="仿宋" w:hAnsi="仿宋" w:eastAsia="仿宋" w:cs="仿宋"/>
                <w:color w:val="auto"/>
                <w:sz w:val="24"/>
                <w:highlight w:val="none"/>
              </w:rPr>
              <w:t>22</w:t>
            </w:r>
            <w:r>
              <w:rPr>
                <w:rFonts w:hint="default" w:ascii="仿宋" w:hAnsi="仿宋" w:eastAsia="仿宋" w:cs="仿宋"/>
                <w:color w:val="auto"/>
                <w:sz w:val="24"/>
                <w:highlight w:val="none"/>
              </w:rPr>
              <w:t>年1月1日起）发生安全事故，造成人员受伤，受伤程度达到《道路交通事故受伤人员伤残评定》或《职工工伤与职业病致残程度鉴定标准》规定的最低标准，每发生一起扣1分，造成人员死亡的，每发生一起扣2分，直至扣完2分为止。未发生过的，得满分2分。</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证明材料提供承诺书（承诺书须体现的主要内容为近三年没有发生过评标办法中体现的安全事故及人员受伤，承诺书加盖公章。）</w:t>
            </w:r>
            <w:r>
              <w:rPr>
                <w:rFonts w:hint="eastAsia" w:ascii="仿宋" w:hAnsi="仿宋" w:eastAsia="仿宋" w:cs="仿宋"/>
                <w:color w:val="auto"/>
                <w:sz w:val="24"/>
                <w:highlight w:val="none"/>
              </w:rPr>
              <w:t>】</w:t>
            </w:r>
          </w:p>
        </w:tc>
        <w:tc>
          <w:tcPr>
            <w:tcW w:w="579" w:type="pct"/>
            <w:vAlign w:val="center"/>
          </w:tcPr>
          <w:p w14:paraId="6A80C7C1">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697C2422">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E7E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137E47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844644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闸站养护管理方案</w:t>
            </w:r>
          </w:p>
        </w:tc>
        <w:tc>
          <w:tcPr>
            <w:tcW w:w="402" w:type="pct"/>
            <w:shd w:val="clear" w:color="auto" w:fill="auto"/>
            <w:vAlign w:val="center"/>
          </w:tcPr>
          <w:p w14:paraId="42C7B05D">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2707" w:type="pct"/>
          </w:tcPr>
          <w:p w14:paraId="1A3B179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w:t>
            </w:r>
            <w:r>
              <w:rPr>
                <w:rFonts w:hint="eastAsia" w:ascii="仿宋" w:hAnsi="仿宋" w:eastAsia="仿宋" w:cs="仿宋"/>
                <w:color w:val="auto"/>
                <w:sz w:val="24"/>
                <w:highlight w:val="none"/>
              </w:rPr>
              <w:t>分析</w:t>
            </w:r>
            <w:r>
              <w:rPr>
                <w:rFonts w:hint="eastAsia" w:ascii="仿宋" w:hAnsi="仿宋" w:eastAsia="仿宋" w:cs="仿宋"/>
                <w:color w:val="auto"/>
                <w:sz w:val="24"/>
                <w:highlight w:val="none"/>
                <w:lang w:eastAsia="zh-CN"/>
              </w:rPr>
              <w:t>8个闸站</w:t>
            </w:r>
            <w:r>
              <w:rPr>
                <w:rFonts w:hint="eastAsia" w:ascii="仿宋" w:hAnsi="仿宋" w:eastAsia="仿宋" w:cs="仿宋"/>
                <w:color w:val="auto"/>
                <w:sz w:val="24"/>
                <w:highlight w:val="none"/>
              </w:rPr>
              <w:t>的特点并提出针对性的养护保障措施、组织管理体系（人员管理、组织分工等）。“一闸一方案”，每个闸站养护方案各0-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闸站（单个）养护方案符合闸站特点，养护保障措施、组织管理体系完全满足采购文件要求的得</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分；养护方案基本符合闸站特点、养护保障措施、组织管理体系基本满足采购文件要求的得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分，养护方案不具有针对性、养护保障措施、组织管理体系不完善的得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分，未提供方案的得0分。最高得</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tc>
        <w:tc>
          <w:tcPr>
            <w:tcW w:w="579" w:type="pct"/>
            <w:vAlign w:val="center"/>
          </w:tcPr>
          <w:p w14:paraId="6805C9B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1193120">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C1D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A0481CC">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9F45B4F">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E5FA444">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462D91E1">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b</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针对本项目制订具体质量管理制度，质量管理体系完善，有专门的部门或机构负责对本项目进行质量监管的得2分，基本完善得1分，不完善的得0.5分，未提供方案或方案与采购需求无关的得0分。</w:t>
            </w:r>
          </w:p>
        </w:tc>
        <w:tc>
          <w:tcPr>
            <w:tcW w:w="579" w:type="pct"/>
            <w:vAlign w:val="center"/>
          </w:tcPr>
          <w:p w14:paraId="5D424206">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1EBBF7D">
            <w:pPr>
              <w:keepNext w:val="0"/>
              <w:keepLines w:val="0"/>
              <w:suppressLineNumbers w:val="0"/>
              <w:tabs>
                <w:tab w:val="left" w:pos="0"/>
              </w:tabs>
              <w:adjustRightInd/>
              <w:spacing w:before="0" w:beforeAutospacing="0" w:after="0" w:afterAutospacing="0" w:line="300" w:lineRule="auto"/>
              <w:ind w:left="0" w:right="0"/>
              <w:rPr>
                <w:rFonts w:hint="default" w:ascii="仿宋" w:hAnsi="仿宋" w:eastAsia="仿宋" w:cs="仿宋"/>
                <w:color w:val="auto"/>
                <w:sz w:val="24"/>
                <w:highlight w:val="none"/>
              </w:rPr>
            </w:pPr>
          </w:p>
        </w:tc>
      </w:tr>
      <w:tr w14:paraId="7FBF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50E7DD2">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7FDA48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89C99B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2AC1EBC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default" w:ascii="仿宋" w:hAnsi="仿宋" w:eastAsia="仿宋" w:cs="仿宋"/>
                <w:color w:val="auto"/>
                <w:sz w:val="24"/>
                <w:highlight w:val="none"/>
              </w:rPr>
              <w:t>.日常巡检制度健全满足采购文件需求的得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分，基本健全的得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未制订的得0分。</w:t>
            </w:r>
          </w:p>
        </w:tc>
        <w:tc>
          <w:tcPr>
            <w:tcW w:w="579" w:type="pct"/>
            <w:vAlign w:val="center"/>
          </w:tcPr>
          <w:p w14:paraId="6C800E1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7A92A14">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389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0A17FC5">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4EAF62A3">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3967D84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5FE1625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违法违章</w:t>
            </w:r>
            <w:r>
              <w:rPr>
                <w:rFonts w:hint="eastAsia" w:ascii="仿宋" w:hAnsi="仿宋" w:eastAsia="仿宋" w:cs="仿宋"/>
                <w:color w:val="auto"/>
                <w:sz w:val="24"/>
                <w:highlight w:val="none"/>
                <w:lang w:val="en-US" w:eastAsia="zh-CN"/>
              </w:rPr>
              <w:t>行为（如非法垂钓等）劝导</w:t>
            </w:r>
            <w:r>
              <w:rPr>
                <w:rFonts w:hint="default" w:ascii="仿宋" w:hAnsi="仿宋" w:eastAsia="仿宋" w:cs="仿宋"/>
                <w:color w:val="auto"/>
                <w:sz w:val="24"/>
                <w:highlight w:val="none"/>
              </w:rPr>
              <w:t>处理方案</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满足采购文件需求的得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分，基本有效的得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未提供方案的得0分。</w:t>
            </w:r>
          </w:p>
        </w:tc>
        <w:tc>
          <w:tcPr>
            <w:tcW w:w="579" w:type="pct"/>
            <w:vAlign w:val="center"/>
          </w:tcPr>
          <w:p w14:paraId="6486FDD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29C6326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A0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Merge w:val="restart"/>
            <w:vAlign w:val="center"/>
          </w:tcPr>
          <w:p w14:paraId="3A3FB04B">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1CA6E7A">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养护工作响应保障情况</w:t>
            </w:r>
          </w:p>
        </w:tc>
        <w:tc>
          <w:tcPr>
            <w:tcW w:w="402" w:type="pct"/>
            <w:shd w:val="clear" w:color="auto" w:fill="auto"/>
            <w:vAlign w:val="center"/>
          </w:tcPr>
          <w:p w14:paraId="49914DB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07" w:type="pct"/>
          </w:tcPr>
          <w:p w14:paraId="22795690">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(1)养护作业工具（设施设备、工具材料、物资等）存放、备用保障措施切实可行的得2分，保障措施基本可行的得1分，保障措施不可行或无具体保障措施的得0分。</w:t>
            </w:r>
          </w:p>
        </w:tc>
        <w:tc>
          <w:tcPr>
            <w:tcW w:w="579" w:type="pct"/>
            <w:vAlign w:val="center"/>
          </w:tcPr>
          <w:p w14:paraId="279B59D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4CB3F88">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6682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Merge w:val="continue"/>
            <w:vAlign w:val="center"/>
          </w:tcPr>
          <w:p w14:paraId="6EF7916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p>
        </w:tc>
        <w:tc>
          <w:tcPr>
            <w:tcW w:w="403" w:type="pct"/>
            <w:vMerge w:val="continue"/>
            <w:vAlign w:val="center"/>
          </w:tcPr>
          <w:p w14:paraId="3F50E3D7">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8E5FC90">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07" w:type="pct"/>
          </w:tcPr>
          <w:p w14:paraId="28675E88">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(2)投标人承诺在接到采购人通知后派遣人员携带所需设施设备、工具材料、物资等到达现场开展检修、维修、应急抢修等养护工作。≤2小时内到达的得2分；≤1小时内到达的得3分。证明材料提供承诺书（承诺书格式详见招标文件）。</w:t>
            </w:r>
          </w:p>
        </w:tc>
        <w:tc>
          <w:tcPr>
            <w:tcW w:w="579" w:type="pct"/>
            <w:vAlign w:val="center"/>
          </w:tcPr>
          <w:p w14:paraId="0BDF0E5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639" w:type="pct"/>
          </w:tcPr>
          <w:p w14:paraId="7F57CFD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F4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6767F3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46BB8D3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应急响应方案</w:t>
            </w:r>
          </w:p>
        </w:tc>
        <w:tc>
          <w:tcPr>
            <w:tcW w:w="402" w:type="pct"/>
            <w:shd w:val="clear" w:color="auto" w:fill="auto"/>
            <w:vAlign w:val="center"/>
          </w:tcPr>
          <w:p w14:paraId="2425C52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580A711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a.针对防汛防台提供详细有效的应急响应方案得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23A26BF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29146A9A">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16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059E11F">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31E3CA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3A08A23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7843D48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b.针对抗雪防冻提供详细有效的应急响应方案得2分，基本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未提供方案或方案与采购需求无关的得0分。</w:t>
            </w:r>
          </w:p>
        </w:tc>
        <w:tc>
          <w:tcPr>
            <w:tcW w:w="579" w:type="pct"/>
            <w:vAlign w:val="center"/>
          </w:tcPr>
          <w:p w14:paraId="5D3D008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84A31F5">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102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AC049E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2DDFC2B0">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C3CB45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3FE0A9E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c.针对</w:t>
            </w:r>
            <w:r>
              <w:rPr>
                <w:rFonts w:hint="eastAsia" w:ascii="仿宋" w:hAnsi="仿宋" w:eastAsia="仿宋" w:cs="仿宋"/>
                <w:color w:val="auto"/>
                <w:sz w:val="24"/>
                <w:highlight w:val="none"/>
              </w:rPr>
              <w:t>工程</w:t>
            </w:r>
            <w:r>
              <w:rPr>
                <w:rFonts w:hint="default" w:ascii="仿宋" w:hAnsi="仿宋" w:eastAsia="仿宋" w:cs="仿宋"/>
                <w:color w:val="auto"/>
                <w:sz w:val="24"/>
                <w:highlight w:val="none"/>
              </w:rPr>
              <w:t>抢险工作提供详细有效的应急响应方案得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28E3EE6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B3D77DA">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ECE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7A13FE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01CF6A8">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22F4300">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1A2A4B25">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d. 针对突发事件应急处理及重大活动保障的应急处置提供详细有效的应急响应方案得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63917AC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F1FB77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93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49020A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842530F">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379217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1906BDB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e.防汛抢险设备及物资储备提供详细有效的应急响应方案得2分，基本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未提供方案或方案与采购需求无关的得0分。</w:t>
            </w:r>
          </w:p>
        </w:tc>
        <w:tc>
          <w:tcPr>
            <w:tcW w:w="579" w:type="pct"/>
            <w:vAlign w:val="center"/>
          </w:tcPr>
          <w:p w14:paraId="32A8A7E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B3E89B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BE3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FF166F8">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B07F012">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归档整理方案</w:t>
            </w:r>
          </w:p>
        </w:tc>
        <w:tc>
          <w:tcPr>
            <w:tcW w:w="402" w:type="pct"/>
            <w:shd w:val="clear" w:color="auto" w:fill="auto"/>
            <w:vAlign w:val="center"/>
          </w:tcPr>
          <w:p w14:paraId="4A9189F3">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707" w:type="pct"/>
          </w:tcPr>
          <w:p w14:paraId="4C661DF2">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a.针对每座闸站的</w:t>
            </w:r>
            <w:r>
              <w:rPr>
                <w:rFonts w:hint="eastAsia" w:ascii="仿宋" w:hAnsi="仿宋" w:eastAsia="仿宋" w:cs="仿宋"/>
                <w:color w:val="auto"/>
                <w:sz w:val="24"/>
                <w:highlight w:val="none"/>
              </w:rPr>
              <w:t>运行、保养和维修维护</w:t>
            </w:r>
            <w:r>
              <w:rPr>
                <w:rFonts w:hint="default" w:ascii="仿宋" w:hAnsi="仿宋" w:eastAsia="仿宋" w:cs="仿宋"/>
                <w:color w:val="auto"/>
                <w:sz w:val="24"/>
                <w:highlight w:val="none"/>
              </w:rPr>
              <w:t>的年度、月度及每日记录提供样表和具体实施方案合理符合采购需求的得</w:t>
            </w:r>
            <w:r>
              <w:rPr>
                <w:rFonts w:hint="eastAsia" w:ascii="仿宋" w:hAnsi="仿宋" w:eastAsia="仿宋" w:cs="仿宋"/>
                <w:color w:val="auto"/>
                <w:sz w:val="24"/>
                <w:highlight w:val="none"/>
              </w:rPr>
              <w:t>4</w:t>
            </w:r>
            <w:r>
              <w:rPr>
                <w:rFonts w:hint="default" w:ascii="仿宋" w:hAnsi="仿宋" w:eastAsia="仿宋" w:cs="仿宋"/>
                <w:color w:val="auto"/>
                <w:sz w:val="24"/>
                <w:highlight w:val="none"/>
              </w:rPr>
              <w:t>分，基本合理的得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0497B1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A85D908">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E09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42B6B2C5">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75F515C4">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5650F71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7B24F790">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b.每座闸站大中修登记记录提供样</w:t>
            </w:r>
            <w:r>
              <w:rPr>
                <w:rFonts w:hint="eastAsia" w:ascii="仿宋" w:hAnsi="仿宋" w:eastAsia="仿宋" w:cs="仿宋"/>
                <w:color w:val="auto"/>
                <w:sz w:val="24"/>
                <w:highlight w:val="none"/>
              </w:rPr>
              <w:t>稿</w:t>
            </w:r>
            <w:r>
              <w:rPr>
                <w:rFonts w:hint="default" w:ascii="仿宋" w:hAnsi="仿宋" w:eastAsia="仿宋" w:cs="仿宋"/>
                <w:color w:val="auto"/>
                <w:sz w:val="24"/>
                <w:highlight w:val="none"/>
              </w:rPr>
              <w:t>和具体的实施方案合理符合采购需求的得2分，基本合理的得1分，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543A3BF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91B0E87">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7C8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42FAF80A">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310A62A3">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676DA3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489F1387">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c.</w:t>
            </w:r>
            <w:r>
              <w:rPr>
                <w:rFonts w:hint="eastAsia" w:ascii="仿宋" w:hAnsi="仿宋" w:eastAsia="仿宋" w:cs="仿宋"/>
                <w:color w:val="auto"/>
                <w:sz w:val="24"/>
                <w:highlight w:val="none"/>
              </w:rPr>
              <w:t>年度履约自评报告</w:t>
            </w:r>
            <w:r>
              <w:rPr>
                <w:rFonts w:hint="default" w:ascii="仿宋" w:hAnsi="仿宋" w:eastAsia="仿宋" w:cs="仿宋"/>
                <w:color w:val="auto"/>
                <w:sz w:val="24"/>
                <w:highlight w:val="none"/>
              </w:rPr>
              <w:t>提供样表和具体实施方案合理符合采购需求的得2分，基本合理的得1分，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19BCF2E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0BEEE4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BFC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3271EAF">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2ED0F764">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拟投入机械设备情况</w:t>
            </w:r>
          </w:p>
        </w:tc>
        <w:tc>
          <w:tcPr>
            <w:tcW w:w="402" w:type="pct"/>
            <w:shd w:val="clear" w:color="auto" w:fill="auto"/>
            <w:vAlign w:val="center"/>
          </w:tcPr>
          <w:p w14:paraId="21AF8CA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07" w:type="pct"/>
            <w:vAlign w:val="center"/>
          </w:tcPr>
          <w:p w14:paraId="282ED393">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船只≥1艘、巡检用车≥1辆、应急电源总功率≥125kw、应急水泵总流量≥2000m³/h、吊车≥1台、水下检测仪（视频或声波雷达等）≥1套。以上每符合1项，得1分，最高6分。</w:t>
            </w:r>
          </w:p>
          <w:p w14:paraId="793FA5A9">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截至日前已具备的，证明材料提供：（1）发票（或购销合同）或租赁协议（租赁期至少涵盖3年养护期）。资产合并、划拨、调拨或划转的视同自有，提供政府部门相关文件和原采购单位购置发票；若以上证明材料未体现应急电源和应急水泵参数的，则应急电源和应急水泵另提供参数证明材料（产品铭牌或合格证或厂家官网网页截图或设备技术资料彩页）。（2）巡查用车、吊车提供车辆行驶证。2.投标截至日前暂不具备的，证明材料提供：承诺书（承诺书格式按招标文件要求提供）】</w:t>
            </w:r>
          </w:p>
        </w:tc>
        <w:tc>
          <w:tcPr>
            <w:tcW w:w="579" w:type="pct"/>
            <w:vAlign w:val="center"/>
          </w:tcPr>
          <w:p w14:paraId="19C33F6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72651C53">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324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3AB5088">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2E3D324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养护人员配备</w:t>
            </w:r>
            <w:r>
              <w:rPr>
                <w:rFonts w:hint="default" w:ascii="仿宋" w:hAnsi="仿宋" w:eastAsia="仿宋" w:cs="仿宋"/>
                <w:color w:val="auto"/>
                <w:sz w:val="24"/>
                <w:highlight w:val="none"/>
              </w:rPr>
              <w:t>情况</w:t>
            </w:r>
          </w:p>
        </w:tc>
        <w:tc>
          <w:tcPr>
            <w:tcW w:w="402" w:type="pct"/>
            <w:shd w:val="clear" w:color="auto" w:fill="auto"/>
            <w:vAlign w:val="center"/>
          </w:tcPr>
          <w:p w14:paraId="7CBF4C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707" w:type="pct"/>
            <w:vAlign w:val="center"/>
          </w:tcPr>
          <w:p w14:paraId="7F89CDAD">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项目管理班组人员配备情况：</w:t>
            </w:r>
          </w:p>
          <w:p w14:paraId="5F10AC0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（1）项目负责人拥有市政类或水利类专业中级工程师职称的得1分，高级工程师及以上职称的得2分。</w:t>
            </w:r>
          </w:p>
          <w:p w14:paraId="683BCB9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（2）项目管理班组技术人员：具有机电类中级及以上工程师职称的得1分，最高得1分；具有信息化（计算机）类中级及以上工程师职称的得1分，最高得1分。一人持多证的不累计得分。</w:t>
            </w:r>
          </w:p>
          <w:p w14:paraId="2629DA7C">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1）投标截止月上溯3个月（含投标截止日当月，共4个月中任意连续3个月）在投标单位的社保缴纳证明（开标前20天内投标人所属社保机构出具的加盖印章的单位或个人专用社保证明）。（2）职称证书。】</w:t>
            </w:r>
          </w:p>
        </w:tc>
        <w:tc>
          <w:tcPr>
            <w:tcW w:w="579" w:type="pct"/>
            <w:vAlign w:val="center"/>
          </w:tcPr>
          <w:p w14:paraId="2EAF9DF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224BDB2F">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43A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3C58020">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3AD12DA2">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05D069C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7" w:type="pct"/>
            <w:vAlign w:val="center"/>
          </w:tcPr>
          <w:p w14:paraId="2777E864">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维保专业班组人员配备情况</w:t>
            </w:r>
            <w:r>
              <w:rPr>
                <w:rFonts w:hint="default" w:ascii="仿宋" w:hAnsi="仿宋" w:eastAsia="仿宋" w:cs="仿宋"/>
                <w:color w:val="auto"/>
                <w:sz w:val="24"/>
                <w:highlight w:val="none"/>
              </w:rPr>
              <w:t>：</w:t>
            </w:r>
          </w:p>
          <w:p w14:paraId="3E1B1507">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在满足采购需求最低要求的基础上：</w:t>
            </w:r>
          </w:p>
          <w:p w14:paraId="30027912">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（1）每增加一名具备电工特种作业操作证且具备电工专业职业技能证书的电工，技能四级/中级的得0.5分，技能三级/高级工及以上证书的电工得1分。最高得1.5分。</w:t>
            </w:r>
          </w:p>
          <w:p w14:paraId="69EB84F9">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（2）每增加一名具备钳工专业职业技能证书的钳工，技能四级/中级的得0.5分，技能三级/高级工及以上证书的电工得1分。最高得1.5分。</w:t>
            </w:r>
          </w:p>
          <w:p w14:paraId="0B5931B5">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（3）每增加一名具备仪表工（仪器仪表维修工）专业职业技能的仪表工，技能四级/中级的得0.5分，技能三级/高级工及以上证书的电工得1分。最高得2分。</w:t>
            </w:r>
          </w:p>
          <w:p w14:paraId="77D499C8">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本项最高得5分。一人持多证的不累计得分。</w:t>
            </w:r>
          </w:p>
          <w:p w14:paraId="321C943B">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【证明材料提供（1）</w:t>
            </w:r>
            <w:r>
              <w:rPr>
                <w:rFonts w:hint="eastAsia" w:ascii="仿宋" w:hAnsi="仿宋" w:eastAsia="仿宋" w:cs="仿宋"/>
                <w:color w:val="auto"/>
                <w:sz w:val="24"/>
                <w:highlight w:val="none"/>
              </w:rPr>
              <w:t>投标截止月上溯3个月（含投标截止日当月，共4个月中任意连续3个月）在投标单位的社保缴纳证明（开标前20天内投标人所属社保机构出具的加盖印章的单位或个人专用社保证明）</w:t>
            </w:r>
            <w:r>
              <w:rPr>
                <w:rFonts w:hint="default" w:ascii="仿宋" w:hAnsi="仿宋" w:eastAsia="仿宋" w:cs="仿宋"/>
                <w:color w:val="auto"/>
                <w:sz w:val="24"/>
                <w:highlight w:val="none"/>
              </w:rPr>
              <w:t>。（2）相应的职业资格证书。】</w:t>
            </w:r>
          </w:p>
        </w:tc>
        <w:tc>
          <w:tcPr>
            <w:tcW w:w="579" w:type="pct"/>
            <w:vAlign w:val="center"/>
          </w:tcPr>
          <w:p w14:paraId="0D6F579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03808352">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7AD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39F25A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B7510BA">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250F6FD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7" w:type="pct"/>
            <w:vAlign w:val="center"/>
          </w:tcPr>
          <w:p w14:paraId="5382F32B">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现场运行班组人员配备</w:t>
            </w:r>
            <w:r>
              <w:rPr>
                <w:rFonts w:hint="default" w:ascii="仿宋" w:hAnsi="仿宋" w:eastAsia="仿宋" w:cs="仿宋"/>
                <w:color w:val="auto"/>
                <w:sz w:val="24"/>
                <w:highlight w:val="none"/>
              </w:rPr>
              <w:t>情况：</w:t>
            </w:r>
            <w:r>
              <w:rPr>
                <w:rFonts w:hint="eastAsia" w:ascii="仿宋" w:hAnsi="仿宋" w:eastAsia="仿宋" w:cs="仿宋"/>
                <w:color w:val="auto"/>
                <w:sz w:val="24"/>
                <w:highlight w:val="none"/>
              </w:rPr>
              <w:t>具有国家、地方职业技能鉴定指导中心或具有国家职业技能标准评价能力的社会培训评价组织出具的泵站专业（泵站运行工、灌区管理工（灌排泵站运行工））、水闸专业（水闸运行工、水工闸门运行工）、船闸专业（船闸运行工、船闸及升船机运管员）的职业技能五级/初级工及以上证书”</w:t>
            </w:r>
            <w:r>
              <w:rPr>
                <w:rFonts w:hint="eastAsia" w:ascii="仿宋" w:hAnsi="仿宋" w:eastAsia="仿宋" w:cs="仿宋"/>
                <w:color w:val="auto"/>
                <w:sz w:val="24"/>
                <w:highlight w:val="none"/>
                <w:lang w:val="en-US" w:eastAsia="zh-CN"/>
              </w:rPr>
              <w:t>1（含）-10（含）</w:t>
            </w:r>
            <w:r>
              <w:rPr>
                <w:rFonts w:hint="eastAsia" w:ascii="仿宋" w:hAnsi="仿宋" w:eastAsia="仿宋" w:cs="仿宋"/>
                <w:color w:val="auto"/>
                <w:sz w:val="24"/>
                <w:highlight w:val="none"/>
              </w:rPr>
              <w:t>人的得1分，</w:t>
            </w:r>
            <w:r>
              <w:rPr>
                <w:rFonts w:hint="eastAsia" w:ascii="仿宋" w:hAnsi="仿宋" w:eastAsia="仿宋" w:cs="仿宋"/>
                <w:color w:val="auto"/>
                <w:sz w:val="24"/>
                <w:highlight w:val="none"/>
                <w:lang w:val="en-US" w:eastAsia="zh-CN"/>
              </w:rPr>
              <w:t>10（不含）-15（含）人的得2分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15（不含）-20（含）人的得3分，20（不含）-24（含）人的得4分，24人（不含）以上的得5分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证明材料提供：（1）投标截止月上溯3个月（含投标截止日当月，共4个月中任意连续3个月）在投标单位的社保缴纳证明（开标前20天内投标人所属社保机构出具的加盖印章的单位或个人专用社保证明）。</w:t>
            </w:r>
          </w:p>
          <w:p w14:paraId="5C431EE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（2）技能人才评价证书全国联网查询系统（http://zscx.osta.org.cn/）上的职业技能等级证书查询截图。但人社鉴发〔2013〕2号发布日（ 2013年6月26日）之前取得的职业技能证书可仅提供技能等级证书扫描件。</w:t>
            </w:r>
            <w:r>
              <w:rPr>
                <w:rFonts w:hint="default" w:ascii="仿宋" w:hAnsi="仿宋" w:eastAsia="仿宋" w:cs="仿宋"/>
                <w:color w:val="auto"/>
                <w:sz w:val="24"/>
                <w:highlight w:val="none"/>
              </w:rPr>
              <w:t>】</w:t>
            </w:r>
          </w:p>
        </w:tc>
        <w:tc>
          <w:tcPr>
            <w:tcW w:w="579" w:type="pct"/>
            <w:vAlign w:val="center"/>
          </w:tcPr>
          <w:p w14:paraId="1605E89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7BB91D81">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AD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3CE284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06EB8E93">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认证证书</w:t>
            </w:r>
          </w:p>
        </w:tc>
        <w:tc>
          <w:tcPr>
            <w:tcW w:w="402" w:type="pct"/>
            <w:shd w:val="clear" w:color="auto" w:fill="auto"/>
            <w:vAlign w:val="center"/>
          </w:tcPr>
          <w:p w14:paraId="15C9570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681C4EC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投标人具有有效期内的ISO质量管理体系认证、环境管理体系认证、职业健康安全管理体系认证的，每个得0.5分，最高得1.5分。</w:t>
            </w:r>
          </w:p>
          <w:p w14:paraId="21081592">
            <w:pPr>
              <w:keepNext w:val="0"/>
              <w:keepLines w:val="0"/>
              <w:suppressLineNumbers w:val="0"/>
              <w:tabs>
                <w:tab w:val="left" w:pos="0"/>
              </w:tabs>
              <w:wordWrap w:val="0"/>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【证明材料提供认证证书和全国认证认可信息公共服务平台官网（http://cx.cnca.cn/CertECloud/result/skipResultList）上的认证查询截图。】（</w:t>
            </w: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若联合体投标的，联合体所有成员</w:t>
            </w:r>
            <w:r>
              <w:rPr>
                <w:rFonts w:hint="eastAsia" w:ascii="仿宋" w:hAnsi="仿宋" w:eastAsia="仿宋" w:cs="仿宋"/>
                <w:color w:val="auto"/>
                <w:sz w:val="24"/>
                <w:highlight w:val="none"/>
                <w:lang w:val="en-US" w:eastAsia="zh-CN"/>
              </w:rPr>
              <w:t>同时具有方可得分</w:t>
            </w:r>
            <w:r>
              <w:rPr>
                <w:rFonts w:hint="eastAsia" w:ascii="仿宋" w:hAnsi="仿宋" w:eastAsia="仿宋" w:cs="仿宋"/>
                <w:color w:val="auto"/>
                <w:sz w:val="24"/>
                <w:highlight w:val="none"/>
              </w:rPr>
              <w:t>）</w:t>
            </w:r>
          </w:p>
        </w:tc>
        <w:tc>
          <w:tcPr>
            <w:tcW w:w="579" w:type="pct"/>
            <w:vAlign w:val="center"/>
          </w:tcPr>
          <w:p w14:paraId="4E3048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tcPr>
          <w:p w14:paraId="2D5ED9A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70B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BBD4AE3">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47EEA28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类似业绩</w:t>
            </w:r>
          </w:p>
        </w:tc>
        <w:tc>
          <w:tcPr>
            <w:tcW w:w="402" w:type="pct"/>
            <w:shd w:val="clear" w:color="auto" w:fill="auto"/>
            <w:vAlign w:val="center"/>
          </w:tcPr>
          <w:p w14:paraId="28DF155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1142E987">
            <w:pPr>
              <w:keepNext w:val="0"/>
              <w:keepLines w:val="0"/>
              <w:suppressLineNumbers w:val="0"/>
              <w:tabs>
                <w:tab w:val="left" w:pos="0"/>
                <w:tab w:val="left" w:pos="1039"/>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近</w:t>
            </w:r>
            <w:r>
              <w:rPr>
                <w:rFonts w:hint="eastAsia" w:ascii="仿宋" w:hAnsi="仿宋" w:eastAsia="仿宋" w:cs="仿宋"/>
                <w:color w:val="auto"/>
                <w:sz w:val="24"/>
                <w:highlight w:val="none"/>
                <w:lang w:val="en-US" w:eastAsia="zh-CN"/>
              </w:rPr>
              <w:t>三</w:t>
            </w:r>
            <w:r>
              <w:rPr>
                <w:rFonts w:hint="default" w:ascii="仿宋" w:hAnsi="仿宋" w:eastAsia="仿宋" w:cs="仿宋"/>
                <w:color w:val="auto"/>
                <w:sz w:val="24"/>
                <w:highlight w:val="none"/>
              </w:rPr>
              <w:t>年（20</w:t>
            </w:r>
            <w:r>
              <w:rPr>
                <w:rFonts w:hint="eastAsia" w:ascii="仿宋" w:hAnsi="仿宋" w:eastAsia="仿宋" w:cs="仿宋"/>
                <w:color w:val="auto"/>
                <w:sz w:val="24"/>
                <w:highlight w:val="none"/>
                <w:lang w:val="en-US" w:eastAsia="zh-CN"/>
              </w:rPr>
              <w:t>22</w:t>
            </w:r>
            <w:r>
              <w:rPr>
                <w:rFonts w:hint="default" w:ascii="仿宋" w:hAnsi="仿宋" w:eastAsia="仿宋" w:cs="仿宋"/>
                <w:color w:val="auto"/>
                <w:sz w:val="24"/>
                <w:highlight w:val="none"/>
              </w:rPr>
              <w:t>年1月1日起</w:t>
            </w:r>
            <w:r>
              <w:rPr>
                <w:rFonts w:hint="eastAsia" w:ascii="仿宋" w:hAnsi="仿宋" w:eastAsia="仿宋" w:cs="仿宋"/>
                <w:color w:val="auto"/>
                <w:sz w:val="24"/>
                <w:highlight w:val="none"/>
              </w:rPr>
              <w:t>，以合同签订时间为准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以来，投标人</w:t>
            </w:r>
            <w:r>
              <w:rPr>
                <w:rFonts w:hint="default" w:ascii="仿宋" w:hAnsi="仿宋" w:eastAsia="仿宋" w:cs="仿宋"/>
                <w:color w:val="auto"/>
                <w:sz w:val="24"/>
                <w:highlight w:val="none"/>
              </w:rPr>
              <w:t>具有类似的闸站养护服务项目业绩的，每具有1个得</w:t>
            </w:r>
            <w:r>
              <w:rPr>
                <w:rFonts w:hint="eastAsia" w:ascii="仿宋" w:hAnsi="仿宋" w:eastAsia="仿宋" w:cs="仿宋"/>
                <w:color w:val="auto"/>
                <w:sz w:val="24"/>
                <w:highlight w:val="none"/>
              </w:rPr>
              <w:t>0.5</w:t>
            </w:r>
            <w:r>
              <w:rPr>
                <w:rFonts w:hint="default" w:ascii="仿宋" w:hAnsi="仿宋" w:eastAsia="仿宋" w:cs="仿宋"/>
                <w:color w:val="auto"/>
                <w:sz w:val="24"/>
                <w:highlight w:val="none"/>
              </w:rPr>
              <w:t>分，最高得</w:t>
            </w:r>
            <w:r>
              <w:rPr>
                <w:rFonts w:hint="eastAsia" w:ascii="仿宋" w:hAnsi="仿宋" w:eastAsia="仿宋" w:cs="仿宋"/>
                <w:color w:val="auto"/>
                <w:sz w:val="24"/>
                <w:highlight w:val="none"/>
              </w:rPr>
              <w:t>1.5</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证明材料提供合同。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若联合体投标的，联合体牵头人</w:t>
            </w:r>
            <w:r>
              <w:rPr>
                <w:rFonts w:hint="eastAsia" w:ascii="仿宋" w:hAnsi="仿宋" w:eastAsia="仿宋" w:cs="仿宋"/>
                <w:color w:val="auto"/>
                <w:sz w:val="24"/>
                <w:highlight w:val="none"/>
                <w:lang w:val="en-US" w:eastAsia="zh-CN"/>
              </w:rPr>
              <w:t>具有可得分</w:t>
            </w:r>
            <w:r>
              <w:rPr>
                <w:rFonts w:hint="eastAsia" w:ascii="仿宋" w:hAnsi="仿宋" w:eastAsia="仿宋" w:cs="仿宋"/>
                <w:color w:val="auto"/>
                <w:sz w:val="24"/>
                <w:highlight w:val="none"/>
              </w:rPr>
              <w:t>）</w:t>
            </w:r>
          </w:p>
        </w:tc>
        <w:tc>
          <w:tcPr>
            <w:tcW w:w="579" w:type="pct"/>
            <w:vAlign w:val="center"/>
          </w:tcPr>
          <w:p w14:paraId="4F058CA0">
            <w:pPr>
              <w:keepNext w:val="0"/>
              <w:keepLines w:val="0"/>
              <w:suppressLineNumbers w:val="0"/>
              <w:tabs>
                <w:tab w:val="left" w:pos="0"/>
                <w:tab w:val="left" w:pos="1039"/>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tcPr>
          <w:p w14:paraId="22F0B2E3">
            <w:pPr>
              <w:keepNext w:val="0"/>
              <w:keepLines w:val="0"/>
              <w:suppressLineNumbers w:val="0"/>
              <w:tabs>
                <w:tab w:val="left" w:pos="0"/>
                <w:tab w:val="left" w:pos="1039"/>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CE3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5FBB328B">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2B8EDB5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402" w:type="pct"/>
            <w:shd w:val="clear" w:color="auto" w:fill="auto"/>
            <w:vAlign w:val="center"/>
          </w:tcPr>
          <w:p w14:paraId="228127B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4FDE720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有效投标报价的最低价作为评标基准价，其最低报价为满分；按［投标报价得分=（评标基准价/投标报价）*15］的计算公式计算。</w:t>
            </w:r>
          </w:p>
          <w:p w14:paraId="23C92D64">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77DF2DA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9" w:type="pct"/>
            <w:vAlign w:val="center"/>
          </w:tcPr>
          <w:p w14:paraId="47E7D8E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639" w:type="pct"/>
          </w:tcPr>
          <w:p w14:paraId="24780EF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bookmarkEnd w:id="725"/>
    </w:tbl>
    <w:p w14:paraId="22B6834D">
      <w:pPr>
        <w:wordWrap w:val="0"/>
        <w:snapToGrid w:val="0"/>
        <w:spacing w:line="360" w:lineRule="auto"/>
        <w:rPr>
          <w:rFonts w:hint="eastAsia" w:ascii="仿宋" w:hAnsi="仿宋" w:eastAsia="仿宋" w:cs="仿宋"/>
          <w:color w:val="auto"/>
          <w:szCs w:val="21"/>
          <w:highlight w:val="none"/>
          <w:shd w:val="clear" w:color="auto" w:fill="FFFFFF"/>
        </w:rPr>
      </w:pPr>
    </w:p>
    <w:p w14:paraId="22B6834E">
      <w:pPr>
        <w:wordWrap w:val="0"/>
        <w:snapToGrid w:val="0"/>
        <w:spacing w:line="360" w:lineRule="auto"/>
        <w:rPr>
          <w:rFonts w:hint="eastAsia"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22B6834F">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2.证明材料提供扫描件或复制件，未提供或提供不全的不得分。以上包含本数，以下不含本数。</w:t>
      </w:r>
    </w:p>
    <w:p w14:paraId="22B68350">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评标委员会将对实质上响应招标文件的投标人，各自独立记名打分，小数点后最多保留两位。投标人商务技术分=评标委员会所有成员评分合计数/评标委员会组成人员数（小数点后保留两位，第三位四舍五入）。投标人价格得分小数点后保留两位小数。</w:t>
      </w:r>
    </w:p>
    <w:p w14:paraId="22B68351">
      <w:pPr>
        <w:wordWrap w:val="0"/>
        <w:spacing w:line="360" w:lineRule="auto"/>
        <w:ind w:firstLine="422" w:firstLineChars="200"/>
        <w:rPr>
          <w:rFonts w:hint="eastAsia" w:ascii="仿宋" w:hAnsi="仿宋" w:eastAsia="仿宋" w:cs="仿宋"/>
          <w:color w:val="auto"/>
          <w:szCs w:val="21"/>
          <w:highlight w:val="none"/>
          <w:u w:val="single"/>
        </w:rPr>
      </w:pPr>
      <w:r>
        <w:rPr>
          <w:rFonts w:hint="eastAsia" w:ascii="仿宋" w:hAnsi="仿宋" w:eastAsia="仿宋" w:cs="仿宋"/>
          <w:b/>
          <w:bCs/>
          <w:color w:val="auto"/>
          <w:szCs w:val="21"/>
          <w:highlight w:val="none"/>
          <w:u w:val="single"/>
        </w:rPr>
        <w:t>□4.</w:t>
      </w:r>
      <w:r>
        <w:rPr>
          <w:rFonts w:hint="eastAsia" w:ascii="仿宋" w:hAnsi="仿宋" w:eastAsia="仿宋" w:cs="仿宋"/>
          <w:color w:val="auto"/>
          <w:szCs w:val="21"/>
          <w:highlight w:val="none"/>
          <w:u w:val="single"/>
        </w:rPr>
        <w:t>项目负责人“有在建合同工程、有在服务合同 ”规定：</w:t>
      </w:r>
    </w:p>
    <w:p w14:paraId="22B68352">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4.1对项目负责人“有在建合同工程、有在服务合同 ”的认定标准：</w:t>
      </w:r>
    </w:p>
    <w:p w14:paraId="22B68353">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（1）拟派项目负责人在投标截止时间尚有在其他在建合同工程、在服务合同中担任项目负责人的情形为“有在建合同工程、有在服务合同”。</w:t>
      </w:r>
    </w:p>
    <w:p w14:paraId="22B68354">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（2）其他工程、服务项目，包括在中华人民共和国境内所有建设工程、所有服务项目，不受地域、行业和投资性质的限制。</w:t>
      </w:r>
    </w:p>
    <w:p w14:paraId="22B68355">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在建合同工程、在建服务的时间界定：在建合同工程、在建服务的开始时间为合同工程、合同服务中标/成交通知书发出日期，或者不通过招标、采购方式的则以合同签订日期为开始时间，结束时间为该合同工程、服务验收合格或合同解除日期）。</w:t>
      </w:r>
    </w:p>
    <w:p w14:paraId="22B68356">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4.2以下情形视为“有在建合同工程、在建合同服务 ”：</w:t>
      </w:r>
      <w:r>
        <w:rPr>
          <w:rFonts w:hint="eastAsia" w:ascii="仿宋" w:hAnsi="仿宋" w:eastAsia="仿宋" w:cs="仿宋"/>
          <w:color w:val="auto"/>
          <w:szCs w:val="21"/>
          <w:highlight w:val="none"/>
          <w:u w:val="single"/>
        </w:rPr>
        <w:tab/>
      </w:r>
    </w:p>
    <w:p w14:paraId="22B68357">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（1）合同协议书尚未签订的，中标/成交通知书中载明的项目负责人；</w:t>
      </w:r>
    </w:p>
    <w:p w14:paraId="22B68358">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（2）合同协议书已经签订，合同协议书中明确的项目负责人；</w:t>
      </w:r>
    </w:p>
    <w:p w14:paraId="22B68359">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（3）项目负责人发生更换的，以现任项目负责人视为有 “在建合同工程、在服务合同”。</w:t>
      </w:r>
    </w:p>
    <w:p w14:paraId="22B6835A">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4.3在建、在服务项目的项目负责人办理更换后，投标时需提供的资料：</w:t>
      </w:r>
    </w:p>
    <w:p w14:paraId="22B6835B">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（1）项目业主同意更换的证明；</w:t>
      </w:r>
    </w:p>
    <w:p w14:paraId="22B6835C">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（2）原项目负责人在建项目信息有备案在建设主管部门 的，应提供建设主管部门同意更换的证明或网上变更信息复制件；</w:t>
      </w:r>
    </w:p>
    <w:p w14:paraId="22B6835D">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注：投标文件递交时未提供以上情形有效证明材料的，开标后补充的证明材料均不予认可</w:t>
      </w:r>
    </w:p>
    <w:p w14:paraId="22B6835E">
      <w:pPr>
        <w:wordWrap w:val="0"/>
        <w:spacing w:line="360" w:lineRule="auto"/>
        <w:ind w:firstLine="420" w:firstLineChars="200"/>
        <w:rPr>
          <w:rFonts w:hint="eastAsia" w:ascii="仿宋" w:hAnsi="仿宋" w:eastAsia="仿宋" w:cs="仿宋"/>
          <w:color w:val="auto"/>
          <w:szCs w:val="21"/>
          <w:highlight w:val="none"/>
          <w:u w:val="single"/>
        </w:rPr>
      </w:pPr>
    </w:p>
    <w:p w14:paraId="22B6835F">
      <w:pPr>
        <w:wordWrap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br w:type="page"/>
      </w:r>
    </w:p>
    <w:p w14:paraId="22B683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1.评标方法</w:t>
      </w:r>
    </w:p>
    <w:p w14:paraId="22B6836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1.1本项目采用综合评分法。综合评分法，是指投标文件满足招标文件全部实质性要求，且按照评审因素的量化指标评审得分最高的投标人为中标候选人的评标方法。</w:t>
      </w:r>
    </w:p>
    <w:p w14:paraId="22B68362">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2.评标标准</w:t>
      </w:r>
    </w:p>
    <w:p w14:paraId="22B683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见评标办法前附表。</w:t>
      </w:r>
    </w:p>
    <w:p w14:paraId="22B683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3.评标程序</w:t>
      </w:r>
    </w:p>
    <w:p w14:paraId="22B683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3.1符合性审查。评标委员会应当对符合资格的投标人的投标文件进行符合性审查，以确定其是否满足招标文件的实质性要求。不满足招标文件的实质性要求的，投标无效。</w:t>
      </w:r>
    </w:p>
    <w:p w14:paraId="22B683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3.2比较与评价。评标委员会应当按照招标文件中规定的评标方法和标准，对符合性审查合格的投标文件进行商务和技术评估，综合比较与评价。</w:t>
      </w:r>
    </w:p>
    <w:p w14:paraId="22B683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3.3汇总商务技术得分。评标委员会各成员应当独立对每个投标人的商务和技术文件进行评价，并汇总商务技术得分情况。</w:t>
      </w:r>
    </w:p>
    <w:p w14:paraId="22B683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3.4报价评审。</w:t>
      </w:r>
    </w:p>
    <w:p w14:paraId="22B68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报价文件开启后，如发现开标结果与报价文件不一致者，以报价文件为准。由评标委员会根据报价文件内容进行修正。</w:t>
      </w:r>
    </w:p>
    <w:p w14:paraId="22B683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3.4.2投标文件报价出现前后不一致的，按照下列规定修正：</w:t>
      </w:r>
    </w:p>
    <w:p w14:paraId="22B683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3.4.2.1投标文件中开标一览表(报价表)内容与投标文件中相应内容不一致的，以开标一览表(报价表)为准;但开标一览表(报价表)存在明显单位、文字错误的，则澄清、说明、补正；</w:t>
      </w:r>
    </w:p>
    <w:p w14:paraId="22B683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3.4.2.2大写金额和小写金额不一致的，以大写金额为准;但大写有明显单位、文字错误的除外;</w:t>
      </w:r>
    </w:p>
    <w:p w14:paraId="22B683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3.4.2.3单价金额小数点或者百分比有明显错位的，以开标一览表的总价为准，并修改单价;</w:t>
      </w:r>
    </w:p>
    <w:p w14:paraId="22B683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3.4.2.4总价金额与按单价汇总金额不一致的，以单价金额计算结果为准。</w:t>
      </w:r>
    </w:p>
    <w:p w14:paraId="22B68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同时出现两种以上不一致的，按照3.4.2规定的顺序修正。修正后的报价按照财政部第87号令 《政府采购货物和服务招标投标管理办法》第五十一条第二款的规定经投标人确认后产生约束力。</w:t>
      </w:r>
    </w:p>
    <w:p w14:paraId="22B68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3.4.3投标文件出现不是唯一的、有选择性投标报价的，投标无效。</w:t>
      </w:r>
    </w:p>
    <w:p w14:paraId="22B683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3.4.4投标报价超过招标文件中规定的预算金额或者最高限价的，投标无效。</w:t>
      </w:r>
    </w:p>
    <w:p w14:paraId="22B683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3.4.5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2B683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3.4.6对于未预留份额专门面向中小企业的政府采购货物或服务项目，以及预留份额政府采购货物或服务项目中的非预留部分标项，对小型和微型企业的投标报价给予10% 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p>
    <w:p w14:paraId="22B683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22B68375">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color w:val="auto"/>
          <w:sz w:val="24"/>
          <w:highlight w:val="none"/>
        </w:rPr>
        <w:t>本项目推荐3名中标候选人。</w:t>
      </w:r>
    </w:p>
    <w:p w14:paraId="22B68376">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b/>
          <w:bCs/>
          <w:color w:val="auto"/>
          <w:sz w:val="24"/>
          <w:highlight w:val="none"/>
        </w:rPr>
        <w:t>（本项目不适用）</w:t>
      </w:r>
    </w:p>
    <w:p w14:paraId="22B683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B68378">
      <w:pPr>
        <w:widowControl/>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4.评标中的其他事项</w:t>
      </w:r>
    </w:p>
    <w:p w14:paraId="22B683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B683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4.2投标无效</w:t>
      </w:r>
    </w:p>
    <w:p w14:paraId="22B683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有下列情况之一的，投标无效：</w:t>
      </w:r>
    </w:p>
    <w:p w14:paraId="22B683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4.2.1投标人不具备招标文件中规定的资格要求的（投标人未提供有效的资格文件的，视为投标人不具备招标文件中规定的资格要求）；</w:t>
      </w:r>
    </w:p>
    <w:p w14:paraId="22B683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4.2.2投标文件未按照招标文件要求签署、盖章的；</w:t>
      </w:r>
    </w:p>
    <w:p w14:paraId="22B683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14:paraId="22B683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4.2.4投标文件含有采购人不能接受的附加条件的；</w:t>
      </w:r>
    </w:p>
    <w:p w14:paraId="22B683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4.2.5投标文件中承诺的投标有效期少于招标文件中载明的投标有效期的；</w:t>
      </w:r>
    </w:p>
    <w:p w14:paraId="22B683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4.2.6投标文件出现不是唯一的、有选择性投标报价的;</w:t>
      </w:r>
    </w:p>
    <w:p w14:paraId="22B683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4.2.7投标报价超过招标文件中规定的预算金额或者最高限价的;</w:t>
      </w:r>
    </w:p>
    <w:p w14:paraId="22B683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4.2.8报价明显低于其他通过符合性审查投标人的报价，有可能影响产品质量或者不能诚信履约的，未能按要求提供书面说明或者提交相关证明材料，不能证明其报价合理性的;</w:t>
      </w:r>
    </w:p>
    <w:p w14:paraId="22B683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4.2.9投标人对根据修正原则修正后的报价不确认的；</w:t>
      </w:r>
    </w:p>
    <w:p w14:paraId="22B683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4.2.10投标人提供虚假材料投标的；</w:t>
      </w:r>
    </w:p>
    <w:p w14:paraId="22B68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4.2.11投标人有恶意串通、妨碍其他投标人的竞争行为、损害采购人或者其他投标人的合法权益情形的；</w:t>
      </w:r>
    </w:p>
    <w:p w14:paraId="22B683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4.2.12投标人仅提交备份投标文件，没有在电子交易平台传输递交投标文件的，投标无效；</w:t>
      </w:r>
    </w:p>
    <w:p w14:paraId="22B683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4.2.13 投标文件不满足招标文件的其它实质性要求的；</w:t>
      </w:r>
    </w:p>
    <w:p w14:paraId="22B683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4.2.14 不同供应商的电子投标（响应）文件上传计算机的网卡MAC地址、CPU序列号和硬盘序列号等硬件信息相同的；不同供应商电子子投标（响应）文件上传的IP地址相同，且无法合理解释的；</w:t>
      </w:r>
    </w:p>
    <w:p w14:paraId="22B683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4.2.15 上传的电子投标（响应）文件若出现使用本项目其他投标（响应）人的数字证书加密的，或者加盖本项目其他投标（响应）人的电子印章的；</w:t>
      </w:r>
    </w:p>
    <w:p w14:paraId="22B683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4.2.16 不同供应商的投标（响应）文件的内容存在两处以上细节错误一致，且无法合理解释的；</w:t>
      </w:r>
    </w:p>
    <w:p w14:paraId="22B683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4.2.17不同供应商联系人为同一人或不同联系人的联系电话一致，且无法合理解释的。</w:t>
      </w:r>
    </w:p>
    <w:p w14:paraId="22B683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4.2.18法律、法规、规章（适用本市的）及省级以上规范性文件（适用本市的）规定的其他无效情形。</w:t>
      </w:r>
    </w:p>
    <w:p w14:paraId="22B6838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5.废标</w:t>
      </w:r>
    </w:p>
    <w:p w14:paraId="22B683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22B683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5.1符合专业条件的供应商或者对招标文件做实质响应的供应商不足3家的；</w:t>
      </w:r>
    </w:p>
    <w:p w14:paraId="22B683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14:paraId="22B683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14:paraId="22B683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14:paraId="22B683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废标后，采购代理机构应当将废标理由通知所有投标人。</w:t>
      </w:r>
    </w:p>
    <w:p w14:paraId="22B68395">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6.修改招标文件，重新组织采购活动</w:t>
      </w:r>
    </w:p>
    <w:p w14:paraId="22B683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2B68397">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7.重新开展采购</w:t>
      </w:r>
    </w:p>
    <w:p w14:paraId="22B683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有政府采购法第七十一条、第七十二条规定的违法行为之一，影响或者可能影响中标结果的，依照下列规定处理：</w:t>
      </w:r>
    </w:p>
    <w:p w14:paraId="22B68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14:paraId="22B683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7.2已确定中标或者中标人但尚未签订政府采购合同的，中标结果无效，从合格的中标候选人中另行确定中标或者中标人；没有合格的中标候选人的，重新开展政府采购活动。</w:t>
      </w:r>
    </w:p>
    <w:p w14:paraId="22B683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7.3政府采购合同已签订但尚未履行的，撤销合同，从合格的中标候选人中另行确定中标或者中标人；没有合格的中标候选人的，重新开展政府采购活动。</w:t>
      </w:r>
    </w:p>
    <w:p w14:paraId="22B683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14:paraId="22B683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B6839E">
      <w:pPr>
        <w:pStyle w:val="24"/>
        <w:wordWrap w:val="0"/>
        <w:snapToGrid w:val="0"/>
        <w:spacing w:line="360" w:lineRule="auto"/>
        <w:rPr>
          <w:rFonts w:hint="eastAsia" w:ascii="仿宋" w:hAnsi="仿宋" w:eastAsia="仿宋" w:cs="仿宋"/>
          <w:color w:val="auto"/>
          <w:highlight w:val="none"/>
        </w:rPr>
      </w:pPr>
    </w:p>
    <w:bookmarkEnd w:id="54"/>
    <w:p w14:paraId="22B6839F">
      <w:pPr>
        <w:wordWrap w:val="0"/>
        <w:spacing w:line="360" w:lineRule="auto"/>
        <w:ind w:left="720" w:leftChars="343" w:firstLine="1084" w:firstLineChars="300"/>
        <w:rPr>
          <w:rFonts w:hint="eastAsia" w:ascii="仿宋" w:hAnsi="仿宋" w:eastAsia="仿宋" w:cs="仿宋"/>
          <w:b/>
          <w:color w:val="auto"/>
          <w:sz w:val="36"/>
          <w:szCs w:val="36"/>
          <w:highlight w:val="none"/>
        </w:rPr>
      </w:pPr>
      <w:bookmarkStart w:id="726" w:name="第五部分"/>
      <w:bookmarkStart w:id="727" w:name="_Toc86217003"/>
    </w:p>
    <w:p w14:paraId="22B683A0">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1">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2">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3">
      <w:pPr>
        <w:tabs>
          <w:tab w:val="left" w:pos="1792"/>
        </w:tabs>
        <w:wordWrap w:val="0"/>
        <w:spacing w:line="360" w:lineRule="auto"/>
        <w:ind w:left="720" w:leftChars="343"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3CCCE820">
      <w:pPr>
        <w:wordWrap w:val="0"/>
        <w:ind w:firstLine="1807" w:firstLineChars="500"/>
        <w:rPr>
          <w:rFonts w:hint="eastAsia"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cols w:space="0" w:num="1"/>
          <w:titlePg/>
        </w:sectPr>
      </w:pPr>
      <w:bookmarkStart w:id="728" w:name="_Toc22290"/>
      <w:bookmarkStart w:id="729" w:name="_Toc12903"/>
      <w:bookmarkStart w:id="730" w:name="_Toc28629"/>
    </w:p>
    <w:p w14:paraId="22B683A5">
      <w:pPr>
        <w:wordWrap w:val="0"/>
        <w:ind w:firstLine="1807" w:firstLineChars="500"/>
        <w:outlineLvl w:val="0"/>
        <w:rPr>
          <w:rFonts w:hint="eastAsia" w:ascii="仿宋" w:hAnsi="仿宋" w:eastAsia="仿宋" w:cs="仿宋"/>
          <w:b/>
          <w:color w:val="auto"/>
          <w:sz w:val="36"/>
          <w:szCs w:val="36"/>
          <w:highlight w:val="none"/>
        </w:rPr>
      </w:pPr>
      <w:bookmarkStart w:id="731" w:name="_Toc3651"/>
      <w:bookmarkStart w:id="732" w:name="_Toc30437"/>
      <w:bookmarkStart w:id="733" w:name="_Toc15911"/>
      <w:bookmarkStart w:id="734" w:name="_Toc12722"/>
      <w:bookmarkStart w:id="735" w:name="_Toc4079"/>
      <w:bookmarkStart w:id="736" w:name="_Toc8068"/>
      <w:r>
        <w:rPr>
          <w:rFonts w:hint="eastAsia" w:ascii="仿宋" w:hAnsi="仿宋" w:eastAsia="仿宋" w:cs="仿宋"/>
          <w:b/>
          <w:color w:val="auto"/>
          <w:sz w:val="36"/>
          <w:szCs w:val="36"/>
          <w:highlight w:val="none"/>
        </w:rPr>
        <w:t>第五部分 拟签订的合同文本</w:t>
      </w:r>
      <w:bookmarkEnd w:id="728"/>
      <w:bookmarkEnd w:id="729"/>
      <w:bookmarkEnd w:id="730"/>
      <w:bookmarkEnd w:id="731"/>
      <w:bookmarkEnd w:id="732"/>
      <w:bookmarkEnd w:id="733"/>
      <w:bookmarkEnd w:id="734"/>
      <w:bookmarkEnd w:id="735"/>
      <w:bookmarkEnd w:id="736"/>
    </w:p>
    <w:p w14:paraId="22B683A6">
      <w:pPr>
        <w:adjustRightInd/>
        <w:spacing w:line="360" w:lineRule="auto"/>
        <w:rPr>
          <w:rFonts w:hint="eastAsia" w:ascii="仿宋" w:hAnsi="仿宋" w:eastAsia="仿宋" w:cs="仿宋"/>
          <w:color w:val="auto"/>
          <w:sz w:val="24"/>
          <w:highlight w:val="none"/>
          <w:u w:val="single"/>
        </w:rPr>
      </w:pPr>
      <w:bookmarkStart w:id="737" w:name="_Toc14743_WPSOffice_Level2"/>
      <w:bookmarkStart w:id="738" w:name="_Toc22489"/>
      <w:bookmarkStart w:id="739" w:name="_Toc2144"/>
      <w:bookmarkStart w:id="740" w:name="_Toc9348"/>
      <w:bookmarkStart w:id="741" w:name="_Toc25525"/>
      <w:bookmarkStart w:id="742" w:name="_Toc3441"/>
      <w:bookmarkStart w:id="743" w:name="_Toc23526"/>
      <w:bookmarkStart w:id="744" w:name="_Toc17376"/>
      <w:r>
        <w:rPr>
          <w:rFonts w:hint="eastAsia" w:ascii="仿宋" w:hAnsi="仿宋" w:eastAsia="仿宋" w:cs="仿宋"/>
          <w:color w:val="auto"/>
          <w:sz w:val="24"/>
          <w:highlight w:val="none"/>
        </w:rPr>
        <w:t>合同编号：</w:t>
      </w:r>
    </w:p>
    <w:p w14:paraId="22B683A7">
      <w:pPr>
        <w:adjustRightInd/>
        <w:spacing w:line="360" w:lineRule="auto"/>
        <w:jc w:val="center"/>
        <w:rPr>
          <w:rFonts w:hint="eastAsia" w:ascii="仿宋" w:hAnsi="仿宋" w:eastAsia="仿宋" w:cs="仿宋"/>
          <w:bCs/>
          <w:color w:val="auto"/>
          <w:sz w:val="24"/>
          <w:highlight w:val="none"/>
        </w:rPr>
      </w:pPr>
    </w:p>
    <w:p w14:paraId="22B683A8">
      <w:pPr>
        <w:adjustRightInd/>
        <w:spacing w:line="360" w:lineRule="auto"/>
        <w:jc w:val="center"/>
        <w:rPr>
          <w:rFonts w:hint="eastAsia" w:ascii="仿宋" w:hAnsi="仿宋" w:eastAsia="仿宋" w:cs="仿宋"/>
          <w:bCs/>
          <w:color w:val="auto"/>
          <w:sz w:val="24"/>
          <w:highlight w:val="none"/>
        </w:rPr>
      </w:pPr>
    </w:p>
    <w:p w14:paraId="22B683A9">
      <w:pPr>
        <w:adjustRightInd/>
        <w:spacing w:line="360" w:lineRule="auto"/>
        <w:ind w:firstLine="643"/>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城市河道</w:t>
      </w:r>
      <w:r>
        <w:rPr>
          <w:rFonts w:hint="eastAsia" w:ascii="仿宋" w:hAnsi="仿宋" w:eastAsia="仿宋" w:cs="仿宋"/>
          <w:b/>
          <w:bCs/>
          <w:color w:val="auto"/>
          <w:sz w:val="36"/>
          <w:szCs w:val="36"/>
          <w:highlight w:val="none"/>
        </w:rPr>
        <w:t>闸站养护服务合同</w:t>
      </w:r>
      <w:bookmarkEnd w:id="737"/>
    </w:p>
    <w:p w14:paraId="22B683AA">
      <w:pPr>
        <w:adjustRightInd/>
        <w:spacing w:line="360" w:lineRule="auto"/>
        <w:jc w:val="center"/>
        <w:rPr>
          <w:rFonts w:hint="eastAsia" w:ascii="仿宋" w:hAnsi="仿宋" w:eastAsia="仿宋" w:cs="仿宋"/>
          <w:bCs/>
          <w:color w:val="auto"/>
          <w:sz w:val="24"/>
          <w:highlight w:val="none"/>
        </w:rPr>
      </w:pPr>
    </w:p>
    <w:p w14:paraId="22B683AB">
      <w:pPr>
        <w:adjustRightInd/>
        <w:spacing w:line="360" w:lineRule="auto"/>
        <w:rPr>
          <w:rFonts w:hint="eastAsia" w:ascii="仿宋" w:hAnsi="仿宋" w:eastAsia="仿宋" w:cs="仿宋"/>
          <w:color w:val="auto"/>
          <w:sz w:val="24"/>
          <w:highlight w:val="none"/>
        </w:rPr>
      </w:pPr>
    </w:p>
    <w:p w14:paraId="22B683AC">
      <w:pPr>
        <w:adjustRightInd/>
        <w:spacing w:line="360" w:lineRule="auto"/>
        <w:ind w:firstLine="480" w:firstLineChars="200"/>
        <w:rPr>
          <w:rFonts w:hint="eastAsia" w:ascii="仿宋" w:hAnsi="仿宋" w:eastAsia="仿宋" w:cs="仿宋"/>
          <w:color w:val="auto"/>
          <w:sz w:val="24"/>
          <w:highlight w:val="none"/>
          <w:u w:val="single"/>
          <w:lang w:val="zh-TW"/>
        </w:rPr>
      </w:pPr>
      <w:r>
        <w:rPr>
          <w:rFonts w:hint="eastAsia" w:ascii="仿宋" w:hAnsi="仿宋" w:eastAsia="仿宋" w:cs="仿宋"/>
          <w:color w:val="auto"/>
          <w:sz w:val="24"/>
          <w:highlight w:val="none"/>
        </w:rPr>
        <w:t xml:space="preserve">         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TW"/>
        </w:rPr>
        <w:t>杭州市城市水设施和河道保护管理中心</w:t>
      </w:r>
    </w:p>
    <w:p w14:paraId="22B683AD">
      <w:pPr>
        <w:adjustRightInd/>
        <w:spacing w:line="360" w:lineRule="auto"/>
        <w:rPr>
          <w:rFonts w:hint="eastAsia" w:ascii="仿宋" w:hAnsi="仿宋" w:eastAsia="仿宋" w:cs="仿宋"/>
          <w:color w:val="auto"/>
          <w:sz w:val="24"/>
          <w:highlight w:val="none"/>
          <w:u w:val="single"/>
        </w:rPr>
      </w:pPr>
    </w:p>
    <w:p w14:paraId="22B683AE">
      <w:pPr>
        <w:adjustRightInd/>
        <w:spacing w:line="360" w:lineRule="auto"/>
        <w:rPr>
          <w:rFonts w:hint="eastAsia" w:ascii="仿宋" w:hAnsi="仿宋" w:eastAsia="仿宋" w:cs="仿宋"/>
          <w:color w:val="auto"/>
          <w:sz w:val="24"/>
          <w:highlight w:val="none"/>
          <w:u w:val="thick"/>
        </w:rPr>
      </w:pPr>
      <w:r>
        <w:rPr>
          <w:rFonts w:hint="eastAsia" w:ascii="仿宋" w:hAnsi="仿宋" w:eastAsia="仿宋" w:cs="仿宋"/>
          <w:color w:val="auto"/>
          <w:sz w:val="24"/>
          <w:highlight w:val="none"/>
        </w:rPr>
        <w:t xml:space="preserve">             乙方：</w:t>
      </w:r>
      <w:r>
        <w:rPr>
          <w:rFonts w:hint="eastAsia" w:ascii="仿宋" w:hAnsi="仿宋" w:eastAsia="仿宋" w:cs="仿宋"/>
          <w:color w:val="auto"/>
          <w:sz w:val="24"/>
          <w:highlight w:val="none"/>
          <w:u w:val="single"/>
        </w:rPr>
        <w:t xml:space="preserve">                                    </w:t>
      </w:r>
    </w:p>
    <w:p w14:paraId="22B683AF">
      <w:pPr>
        <w:adjustRightInd/>
        <w:spacing w:line="360" w:lineRule="auto"/>
        <w:rPr>
          <w:rFonts w:hint="eastAsia" w:ascii="仿宋" w:hAnsi="仿宋" w:eastAsia="仿宋" w:cs="仿宋"/>
          <w:color w:val="auto"/>
          <w:sz w:val="24"/>
          <w:highlight w:val="none"/>
          <w:u w:val="single"/>
        </w:rPr>
      </w:pPr>
    </w:p>
    <w:p w14:paraId="22B683B0">
      <w:pPr>
        <w:adjustRightInd/>
        <w:spacing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2B683B1">
      <w:pPr>
        <w:spacing w:line="360" w:lineRule="auto"/>
        <w:rPr>
          <w:rFonts w:hint="eastAsia" w:ascii="仿宋" w:hAnsi="仿宋" w:eastAsia="仿宋" w:cs="仿宋"/>
          <w:color w:val="auto"/>
          <w:sz w:val="24"/>
          <w:highlight w:val="none"/>
          <w:u w:val="single"/>
          <w:lang w:val="zh-CN"/>
        </w:rPr>
      </w:pPr>
    </w:p>
    <w:p w14:paraId="22B683B2">
      <w:pPr>
        <w:spacing w:line="360" w:lineRule="auto"/>
        <w:rPr>
          <w:rFonts w:hint="eastAsia" w:ascii="仿宋" w:hAnsi="仿宋" w:eastAsia="仿宋" w:cs="仿宋"/>
          <w:color w:val="auto"/>
          <w:sz w:val="24"/>
          <w:highlight w:val="none"/>
          <w:u w:val="single"/>
          <w:lang w:val="zh-CN"/>
        </w:rPr>
      </w:pPr>
    </w:p>
    <w:p w14:paraId="22B683B3">
      <w:pPr>
        <w:spacing w:line="360" w:lineRule="auto"/>
        <w:rPr>
          <w:rFonts w:hint="eastAsia" w:ascii="仿宋" w:hAnsi="仿宋" w:eastAsia="仿宋" w:cs="仿宋"/>
          <w:color w:val="auto"/>
          <w:sz w:val="24"/>
          <w:highlight w:val="none"/>
          <w:u w:val="single"/>
          <w:lang w:val="zh-CN"/>
        </w:rPr>
      </w:pPr>
    </w:p>
    <w:p w14:paraId="22B683B4">
      <w:pPr>
        <w:spacing w:line="360" w:lineRule="auto"/>
        <w:rPr>
          <w:rFonts w:hint="eastAsia" w:ascii="仿宋" w:hAnsi="仿宋" w:eastAsia="仿宋" w:cs="仿宋"/>
          <w:color w:val="auto"/>
          <w:sz w:val="24"/>
          <w:highlight w:val="none"/>
          <w:u w:val="single"/>
          <w:lang w:val="zh-CN"/>
        </w:rPr>
      </w:pPr>
    </w:p>
    <w:p w14:paraId="22B683B5">
      <w:pPr>
        <w:spacing w:line="360" w:lineRule="auto"/>
        <w:rPr>
          <w:rFonts w:hint="eastAsia" w:ascii="仿宋" w:hAnsi="仿宋" w:eastAsia="仿宋" w:cs="仿宋"/>
          <w:color w:val="auto"/>
          <w:sz w:val="24"/>
          <w:highlight w:val="none"/>
          <w:u w:val="single"/>
          <w:lang w:val="zh-CN"/>
        </w:rPr>
      </w:pPr>
    </w:p>
    <w:p w14:paraId="22B683B6">
      <w:pPr>
        <w:spacing w:line="360" w:lineRule="auto"/>
        <w:rPr>
          <w:rFonts w:hint="eastAsia" w:ascii="仿宋" w:hAnsi="仿宋" w:eastAsia="仿宋" w:cs="仿宋"/>
          <w:color w:val="auto"/>
          <w:sz w:val="24"/>
          <w:highlight w:val="none"/>
          <w:u w:val="single"/>
          <w:lang w:val="zh-CN"/>
        </w:rPr>
      </w:pPr>
    </w:p>
    <w:p w14:paraId="22B683B7">
      <w:pPr>
        <w:spacing w:line="360" w:lineRule="auto"/>
        <w:rPr>
          <w:rFonts w:hint="eastAsia" w:ascii="仿宋" w:hAnsi="仿宋" w:eastAsia="仿宋" w:cs="仿宋"/>
          <w:color w:val="auto"/>
          <w:sz w:val="24"/>
          <w:highlight w:val="none"/>
          <w:u w:val="single"/>
          <w:lang w:val="zh-CN"/>
        </w:rPr>
      </w:pPr>
    </w:p>
    <w:p w14:paraId="22B683B8">
      <w:pPr>
        <w:spacing w:line="360" w:lineRule="auto"/>
        <w:rPr>
          <w:rFonts w:hint="eastAsia" w:ascii="仿宋" w:hAnsi="仿宋" w:eastAsia="仿宋" w:cs="仿宋"/>
          <w:color w:val="auto"/>
          <w:sz w:val="24"/>
          <w:highlight w:val="none"/>
          <w:u w:val="single"/>
          <w:lang w:val="zh-CN"/>
        </w:rPr>
      </w:pPr>
    </w:p>
    <w:p w14:paraId="22B683B9">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 </w:t>
      </w:r>
    </w:p>
    <w:p w14:paraId="22B683BA">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养护服务期：</w:t>
      </w:r>
      <w:r>
        <w:rPr>
          <w:rFonts w:hint="eastAsia" w:ascii="仿宋" w:hAnsi="仿宋" w:eastAsia="仿宋" w:cs="仿宋"/>
          <w:color w:val="auto"/>
          <w:sz w:val="24"/>
          <w:highlight w:val="none"/>
          <w:u w:val="single"/>
        </w:rPr>
        <w:t xml:space="preserve"> 2025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1 日</w:t>
      </w:r>
      <w:r>
        <w:rPr>
          <w:rFonts w:hint="eastAsia" w:ascii="仿宋" w:hAnsi="仿宋" w:eastAsia="仿宋" w:cs="仿宋"/>
          <w:color w:val="auto"/>
          <w:sz w:val="24"/>
          <w:highlight w:val="none"/>
        </w:rPr>
        <w:t>起至</w:t>
      </w:r>
      <w:r>
        <w:rPr>
          <w:rFonts w:hint="eastAsia" w:ascii="仿宋" w:hAnsi="仿宋" w:eastAsia="仿宋" w:cs="仿宋"/>
          <w:color w:val="auto"/>
          <w:sz w:val="24"/>
          <w:highlight w:val="none"/>
          <w:u w:val="single"/>
        </w:rPr>
        <w:t xml:space="preserve"> 2027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31</w:t>
      </w:r>
      <w:r>
        <w:rPr>
          <w:rFonts w:hint="eastAsia" w:ascii="仿宋" w:hAnsi="仿宋" w:eastAsia="仿宋" w:cs="仿宋"/>
          <w:color w:val="auto"/>
          <w:sz w:val="24"/>
          <w:highlight w:val="none"/>
        </w:rPr>
        <w:t>日止</w:t>
      </w:r>
    </w:p>
    <w:p w14:paraId="22B683BB">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年度合同价（合同价÷3）：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           </w:t>
      </w:r>
    </w:p>
    <w:p w14:paraId="22B683BC">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次签订：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日止</w:t>
      </w:r>
    </w:p>
    <w:p w14:paraId="22B683BD">
      <w:pPr>
        <w:adjustRightInd/>
        <w:spacing w:line="360" w:lineRule="auto"/>
        <w:rPr>
          <w:rFonts w:hint="eastAsia" w:ascii="仿宋" w:hAnsi="仿宋" w:eastAsia="仿宋" w:cs="仿宋"/>
          <w:color w:val="auto"/>
          <w:sz w:val="24"/>
          <w:highlight w:val="none"/>
        </w:rPr>
      </w:pPr>
    </w:p>
    <w:p w14:paraId="22B683BE">
      <w:pPr>
        <w:adjustRightInd/>
        <w:spacing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22B683BF">
      <w:pPr>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745" w:name="_Toc19841_WPSOffice_Level2"/>
      <w:r>
        <w:rPr>
          <w:rFonts w:hint="eastAsia" w:ascii="仿宋" w:hAnsi="仿宋" w:eastAsia="仿宋" w:cs="仿宋"/>
          <w:color w:val="auto"/>
          <w:sz w:val="24"/>
          <w:highlight w:val="none"/>
        </w:rPr>
        <w:t>城市河道闸站养护服务合同书</w:t>
      </w:r>
    </w:p>
    <w:bookmarkEnd w:id="745"/>
    <w:p w14:paraId="22B683C0">
      <w:pPr>
        <w:adjustRightInd/>
        <w:spacing w:line="360" w:lineRule="auto"/>
        <w:jc w:val="left"/>
        <w:rPr>
          <w:rFonts w:hint="eastAsia" w:ascii="仿宋" w:hAnsi="仿宋" w:eastAsia="仿宋" w:cs="仿宋"/>
          <w:color w:val="auto"/>
          <w:sz w:val="24"/>
          <w:highlight w:val="none"/>
        </w:rPr>
      </w:pPr>
    </w:p>
    <w:p w14:paraId="22B683C1">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甲方：杭州市城市水设施和河道保护管理中心（以下简称甲方）</w:t>
      </w:r>
    </w:p>
    <w:p w14:paraId="22B683C2">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                                 （以下简称乙方）</w:t>
      </w:r>
    </w:p>
    <w:p w14:paraId="22B683C3">
      <w:pPr>
        <w:adjustRightInd/>
        <w:spacing w:line="360" w:lineRule="auto"/>
        <w:ind w:firstLine="480" w:firstLineChars="200"/>
        <w:rPr>
          <w:rFonts w:hint="eastAsia" w:ascii="仿宋" w:hAnsi="仿宋" w:eastAsia="仿宋" w:cs="仿宋"/>
          <w:color w:val="auto"/>
          <w:sz w:val="24"/>
          <w:highlight w:val="none"/>
        </w:rPr>
      </w:pPr>
    </w:p>
    <w:p w14:paraId="22B683C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根据《中华人民共和国民法典》的规定和（ 项目名称 ）招标文件</w:t>
      </w:r>
      <w:r>
        <w:rPr>
          <w:rFonts w:hint="eastAsia" w:ascii="仿宋" w:hAnsi="仿宋" w:eastAsia="仿宋" w:cs="仿宋"/>
          <w:color w:val="auto"/>
          <w:sz w:val="24"/>
          <w:highlight w:val="none"/>
          <w:u w:val="single"/>
        </w:rPr>
        <w:t>（项目编号：   ）</w:t>
      </w:r>
      <w:r>
        <w:rPr>
          <w:rFonts w:hint="eastAsia" w:ascii="仿宋" w:hAnsi="仿宋" w:eastAsia="仿宋" w:cs="仿宋"/>
          <w:color w:val="auto"/>
          <w:sz w:val="24"/>
          <w:highlight w:val="none"/>
        </w:rPr>
        <w:t>的有关要求，合同双方就</w:t>
      </w:r>
      <w:r>
        <w:rPr>
          <w:rFonts w:hint="eastAsia" w:ascii="仿宋" w:hAnsi="仿宋" w:eastAsia="仿宋" w:cs="仿宋"/>
          <w:b/>
          <w:color w:val="auto"/>
          <w:sz w:val="24"/>
          <w:highlight w:val="none"/>
          <w:u w:val="single"/>
        </w:rPr>
        <w:t xml:space="preserve">                           </w:t>
      </w:r>
      <w:r>
        <w:rPr>
          <w:rFonts w:hint="eastAsia" w:ascii="仿宋" w:hAnsi="仿宋" w:eastAsia="仿宋" w:cs="仿宋"/>
          <w:bCs/>
          <w:color w:val="auto"/>
          <w:sz w:val="24"/>
          <w:highlight w:val="none"/>
        </w:rPr>
        <w:t>项目</w:t>
      </w:r>
      <w:r>
        <w:rPr>
          <w:rFonts w:hint="eastAsia" w:ascii="仿宋" w:hAnsi="仿宋" w:eastAsia="仿宋" w:cs="仿宋"/>
          <w:color w:val="auto"/>
          <w:sz w:val="24"/>
          <w:highlight w:val="none"/>
        </w:rPr>
        <w:t>，经协商一致，签订本合同。</w:t>
      </w:r>
    </w:p>
    <w:p w14:paraId="22B683C5">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一、服务内容、形式、要求</w:t>
      </w:r>
    </w:p>
    <w:p w14:paraId="22B683C6">
      <w:pPr>
        <w:adjustRightIn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1.养护服务内容：乙方根据甲方要求，完成</w:t>
      </w:r>
      <w:r>
        <w:rPr>
          <w:rFonts w:hint="eastAsia" w:ascii="仿宋" w:hAnsi="仿宋" w:eastAsia="仿宋" w:cs="仿宋"/>
          <w:bCs/>
          <w:color w:val="auto"/>
          <w:sz w:val="24"/>
          <w:highlight w:val="none"/>
          <w:lang w:eastAsia="zh-CN"/>
        </w:rPr>
        <w:t>古荡公园泵站、古荡湾（水）闸、冯家港船闸、莲花港船闸、紫金港船闸、蒋村港船闸、五常港船闸、蓬驾桥泵站</w:t>
      </w:r>
      <w:r>
        <w:rPr>
          <w:rFonts w:hint="eastAsia" w:ascii="仿宋" w:hAnsi="仿宋" w:eastAsia="仿宋" w:cs="仿宋"/>
          <w:bCs/>
          <w:color w:val="auto"/>
          <w:sz w:val="24"/>
          <w:highlight w:val="none"/>
        </w:rPr>
        <w:t>等</w:t>
      </w:r>
      <w:r>
        <w:rPr>
          <w:rFonts w:hint="eastAsia" w:ascii="仿宋" w:hAnsi="仿宋" w:eastAsia="仿宋" w:cs="仿宋"/>
          <w:bCs/>
          <w:color w:val="auto"/>
          <w:sz w:val="24"/>
          <w:highlight w:val="none"/>
          <w:lang w:eastAsia="zh-CN"/>
        </w:rPr>
        <w:t>运西片</w:t>
      </w:r>
      <w:r>
        <w:rPr>
          <w:rFonts w:hint="eastAsia" w:ascii="仿宋" w:hAnsi="仿宋" w:eastAsia="仿宋" w:cs="仿宋"/>
          <w:bCs/>
          <w:color w:val="auto"/>
          <w:sz w:val="24"/>
          <w:highlight w:val="none"/>
        </w:rPr>
        <w:t>闸站养护服务涉及的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甲方委托的</w:t>
      </w:r>
      <w:r>
        <w:rPr>
          <w:rFonts w:hint="eastAsia" w:ascii="仿宋" w:hAnsi="仿宋" w:eastAsia="仿宋" w:cs="仿宋"/>
          <w:bCs/>
          <w:color w:val="auto"/>
          <w:sz w:val="24"/>
          <w:highlight w:val="none"/>
          <w:lang w:eastAsia="zh-CN"/>
        </w:rPr>
        <w:t>其他工作</w:t>
      </w:r>
      <w:r>
        <w:rPr>
          <w:rFonts w:hint="eastAsia" w:ascii="仿宋" w:hAnsi="仿宋" w:eastAsia="仿宋" w:cs="仿宋"/>
          <w:b/>
          <w:color w:val="auto"/>
          <w:sz w:val="24"/>
          <w:highlight w:val="none"/>
        </w:rPr>
        <w:t>。</w:t>
      </w:r>
    </w:p>
    <w:p w14:paraId="22B683C7">
      <w:pPr>
        <w:adjustRightInd/>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2.养护期：</w:t>
      </w:r>
      <w:r>
        <w:rPr>
          <w:rFonts w:hint="eastAsia" w:ascii="仿宋" w:hAnsi="仿宋" w:eastAsia="仿宋" w:cs="仿宋"/>
          <w:b/>
          <w:color w:val="auto"/>
          <w:sz w:val="24"/>
          <w:highlight w:val="none"/>
          <w:u w:val="single"/>
        </w:rPr>
        <w:t>3年，即 2025年1月1日—2027年12月31日。</w:t>
      </w:r>
    </w:p>
    <w:p w14:paraId="22B683C8">
      <w:pPr>
        <w:adjustRightInd/>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3.养护设施量：各闸站设施量清单</w:t>
      </w:r>
      <w:r>
        <w:rPr>
          <w:rFonts w:hint="eastAsia" w:ascii="仿宋" w:hAnsi="仿宋" w:eastAsia="仿宋" w:cs="仿宋"/>
          <w:b/>
          <w:bCs/>
          <w:color w:val="auto"/>
          <w:sz w:val="24"/>
          <w:highlight w:val="none"/>
        </w:rPr>
        <w:t>，详见</w:t>
      </w:r>
      <w:r>
        <w:rPr>
          <w:rFonts w:hint="eastAsia" w:ascii="仿宋" w:hAnsi="仿宋" w:eastAsia="仿宋" w:cs="仿宋"/>
          <w:b/>
          <w:bCs/>
          <w:color w:val="auto"/>
          <w:sz w:val="24"/>
          <w:highlight w:val="none"/>
          <w:lang w:val="en-US" w:eastAsia="zh-CN"/>
        </w:rPr>
        <w:t>合同</w:t>
      </w:r>
      <w:r>
        <w:rPr>
          <w:rFonts w:hint="eastAsia" w:ascii="仿宋" w:hAnsi="仿宋" w:eastAsia="仿宋" w:cs="仿宋"/>
          <w:b/>
          <w:bCs/>
          <w:color w:val="auto"/>
          <w:sz w:val="24"/>
          <w:highlight w:val="none"/>
        </w:rPr>
        <w:t>附件。</w:t>
      </w:r>
    </w:p>
    <w:p w14:paraId="22B683C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4.养护形式：乙方必须根据甲方的养护技术要求及投标文件中《闸站养护管理方案》、《应急响应方案》、《归档整理方案》等有关内容，组织专业队伍实施。甲方负责养护期内对乙方进行考核。</w:t>
      </w:r>
    </w:p>
    <w:p w14:paraId="22B683C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5.养护技术要求：按照《城市河道闸站运行维护管理规范》、《杭州市城市河道养护人员作业行为规范（修订）》执行，以及招标文件</w:t>
      </w:r>
      <w:r>
        <w:rPr>
          <w:rFonts w:hint="eastAsia" w:ascii="仿宋" w:hAnsi="仿宋" w:eastAsia="仿宋" w:cs="仿宋"/>
          <w:color w:val="auto"/>
          <w:sz w:val="24"/>
          <w:highlight w:val="none"/>
          <w:u w:val="single"/>
        </w:rPr>
        <w:t>（项目编号：  ）</w:t>
      </w:r>
      <w:r>
        <w:rPr>
          <w:rFonts w:hint="eastAsia" w:ascii="仿宋" w:hAnsi="仿宋" w:eastAsia="仿宋" w:cs="仿宋"/>
          <w:color w:val="auto"/>
          <w:sz w:val="24"/>
          <w:highlight w:val="none"/>
        </w:rPr>
        <w:t>第三部分--采购需求。</w:t>
      </w:r>
    </w:p>
    <w:p w14:paraId="22B683CB">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二、合同有效期</w:t>
      </w:r>
    </w:p>
    <w:p w14:paraId="22B683CC">
      <w:pPr>
        <w:adjustRightInd/>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有效期：</w:t>
      </w:r>
      <w:r>
        <w:rPr>
          <w:rFonts w:hint="eastAsia" w:ascii="仿宋" w:hAnsi="仿宋" w:eastAsia="仿宋" w:cs="仿宋"/>
          <w:b/>
          <w:color w:val="auto"/>
          <w:sz w:val="24"/>
          <w:highlight w:val="none"/>
          <w:u w:val="single"/>
          <w:shd w:val="clear" w:color="auto" w:fill="FFFFFF"/>
        </w:rPr>
        <w:t>3</w:t>
      </w:r>
      <w:r>
        <w:rPr>
          <w:rFonts w:hint="eastAsia" w:ascii="仿宋" w:hAnsi="仿宋" w:eastAsia="仿宋" w:cs="仿宋"/>
          <w:color w:val="auto"/>
          <w:sz w:val="24"/>
          <w:highlight w:val="none"/>
          <w:shd w:val="clear" w:color="auto" w:fill="FFFFFF"/>
        </w:rPr>
        <w:t>年，即</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u w:val="single"/>
          <w:shd w:val="clear" w:color="auto" w:fill="FFFFFF"/>
        </w:rPr>
        <w:t xml:space="preserve">  日</w:t>
      </w:r>
      <w:r>
        <w:rPr>
          <w:rFonts w:hint="eastAsia" w:ascii="仿宋" w:hAnsi="仿宋" w:eastAsia="仿宋" w:cs="仿宋"/>
          <w:color w:val="auto"/>
          <w:sz w:val="24"/>
          <w:highlight w:val="none"/>
          <w:shd w:val="clear" w:color="auto" w:fill="FFFFFF"/>
        </w:rPr>
        <w:t>起至</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日止。合同一年一签，乙方年履约验收通过的，则甲方予以续签次年合同。本次合同第</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次签订。</w:t>
      </w:r>
    </w:p>
    <w:p w14:paraId="22B683CD">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三、合同价款及支付方式</w:t>
      </w:r>
    </w:p>
    <w:p w14:paraId="22B683C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养护服务合同价人民币       元，大写：     元整；年度合同价人民币        元，大写：       元整</w:t>
      </w:r>
      <w:r>
        <w:rPr>
          <w:rFonts w:hint="eastAsia" w:ascii="仿宋" w:hAnsi="仿宋" w:eastAsia="仿宋" w:cs="仿宋"/>
          <w:color w:val="auto"/>
          <w:sz w:val="24"/>
          <w:highlight w:val="none"/>
        </w:rPr>
        <w:t>。本合同为固定单价合同，按实结算，若设施量发生变化，则合同养护费用作相应调整。合同价金额中已包括人员、机械、设备、工具、材料、作业及劳动防护费用（服装费、高温费等）等。</w:t>
      </w:r>
    </w:p>
    <w:p w14:paraId="22B683C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经费采用先作业后拨付的方式，每季度末支付年度合同价的20%作为养护进度款，余款20%根据年度考核和履约验收结果，扣除相应的养护经费，于次年一季度内结清。上述款项具体按照财政资金到位情况支付，乙方不得以此为由怠于履行本合同义务。乙方按被告知的应得养护经费向甲方结算，并出具有效收据。</w:t>
      </w:r>
    </w:p>
    <w:p w14:paraId="22B683D0">
      <w:pPr>
        <w:adjustRightInd/>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3.若发生过渡期，则</w:t>
      </w:r>
      <w:r>
        <w:rPr>
          <w:rFonts w:hint="eastAsia" w:ascii="仿宋" w:hAnsi="仿宋" w:eastAsia="仿宋" w:cs="仿宋"/>
          <w:color w:val="auto"/>
          <w:sz w:val="24"/>
          <w:highlight w:val="none"/>
          <w:shd w:val="clear" w:color="auto" w:fill="FFFFFF"/>
        </w:rPr>
        <w:t>过渡期内养护由原养护单位负责，费用按合同单价计算，由乙方支付原养护服务单位。（过渡期是指本合同期内，乙方实际进场养护前的期限，过渡期按日计算。）</w:t>
      </w:r>
    </w:p>
    <w:p w14:paraId="22B683D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乙方接到养护通知书进场后，须按中标综合单价和实际养护期限一次性支付原单位过渡期养护费用，设施量以招标文件为准，所支付费用不再向甲方收取二次税费。</w:t>
      </w:r>
    </w:p>
    <w:p w14:paraId="22B683D2">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四、履约担保：年度合同价的1%（金额：</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元）。</w:t>
      </w:r>
    </w:p>
    <w:p w14:paraId="22B683D3">
      <w:pPr>
        <w:adjustRightIn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1.形式：乙方应当以支票、汇票、本票或者金融机构、担保机构出具的保函等非现金形式提交。</w:t>
      </w:r>
    </w:p>
    <w:p w14:paraId="22B683D4">
      <w:pPr>
        <w:adjustRightIn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2.提交时间：合同签订同时提交履约担保。</w:t>
      </w:r>
    </w:p>
    <w:p w14:paraId="22B683D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3.退还时间：履约担保在合同期满（履约验收完毕）无违约的情况下，5个工作日内无息退还</w:t>
      </w:r>
      <w:r>
        <w:rPr>
          <w:rFonts w:hint="eastAsia" w:ascii="仿宋" w:hAnsi="仿宋" w:eastAsia="仿宋" w:cs="仿宋"/>
          <w:color w:val="auto"/>
          <w:sz w:val="24"/>
          <w:highlight w:val="none"/>
        </w:rPr>
        <w:t>。</w:t>
      </w:r>
    </w:p>
    <w:p w14:paraId="22B683D6">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五、合同权利条款</w:t>
      </w:r>
    </w:p>
    <w:p w14:paraId="22B683D7">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（一）甲方的权利：</w:t>
      </w:r>
    </w:p>
    <w:p w14:paraId="22B683D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1.审定年度和月度养护计划，审核乙方上报的养护工作量报表，检查养护计划执行情况。</w:t>
      </w:r>
    </w:p>
    <w:p w14:paraId="22B683D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2.对合同范围内的养护情况进行监督管理。</w:t>
      </w:r>
    </w:p>
    <w:p w14:paraId="22B683D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3.对乙方日常巡查工作、安全运行、养护质量及资料台账进行定期或不定期检查，并对养护情况进行考核。</w:t>
      </w:r>
    </w:p>
    <w:p w14:paraId="22B683D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4.对乙方承包养护范围内设施设备完好状况进行跟踪检查，发现乙方未按约定要求进行维护时，可要求乙方限期整改，并按合同约定进行处理。</w:t>
      </w:r>
    </w:p>
    <w:p w14:paraId="22B683D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5.按照市委、市政府或上级部门指示，在防汛、抗台、抗雪和重大活动保障等特殊情况及重大事件发生时，可要求乙方采取应急措施进行特殊养护。</w:t>
      </w:r>
    </w:p>
    <w:p w14:paraId="22B683D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6.根据考核情况提出或支付相应的养护经费。</w:t>
      </w:r>
    </w:p>
    <w:p w14:paraId="22B683DE">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（二）乙方的权利：</w:t>
      </w:r>
    </w:p>
    <w:p w14:paraId="22B683D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1.编制年度、月度养护计划和相关方案，经甲方审定后安排日常养护工作。</w:t>
      </w:r>
    </w:p>
    <w:p w14:paraId="22B683E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2.按甲方要求进行临时项目及新增项目养护，乙方有权按补充合同获得相应的养护费用。</w:t>
      </w:r>
    </w:p>
    <w:p w14:paraId="22B683E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3.按照合同确定的养护运行范围，根据考核情况取得相应确定的养护经费。</w:t>
      </w:r>
    </w:p>
    <w:p w14:paraId="22B683E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4.甲方无正当理由拖欠养护费用二个月以上（含），乙方有权中止合同；中止合同至少提前三个月提出。</w:t>
      </w:r>
    </w:p>
    <w:p w14:paraId="22B683E3">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六、合同责任条款</w:t>
      </w:r>
    </w:p>
    <w:p w14:paraId="22B683E4">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（一）甲方的责任：</w:t>
      </w:r>
    </w:p>
    <w:p w14:paraId="22B683E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1.提供养护标准、作业规范及考核办法。</w:t>
      </w:r>
    </w:p>
    <w:p w14:paraId="22B683E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2.如遇防汛防台、抗雪防冻、突发事件以及重大活动保障等工作，协调乙方在作业过程中同其他部门的关系。</w:t>
      </w:r>
    </w:p>
    <w:p w14:paraId="22B683E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3.按约定拨付养护经费。</w:t>
      </w:r>
    </w:p>
    <w:p w14:paraId="22B683E8">
      <w:pPr>
        <w:adjustRightInd/>
        <w:spacing w:line="360"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（二）乙方的责任：</w:t>
      </w:r>
    </w:p>
    <w:p w14:paraId="22B683E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1.严格履行投标文件中优惠承诺、投标文件及招标过程中的有关承诺。</w:t>
      </w:r>
    </w:p>
    <w:p w14:paraId="22B683E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人员、养护作业设备的投入必须与投标时作出的承诺一致。养护服务期内，养护人员（包括现场运行班组、维保专业班组、项目管理班组）不得在其他项目中担任任何岗位，若发现按合同违约处理。养护服务期内未经甲方同意，养护人员不得随意更换。经甲方同意的，变更替换人员应为乙方在职人员且不低于被替换人员的技术职称、职业资格、从业经验等要求。</w:t>
      </w:r>
    </w:p>
    <w:p w14:paraId="22B683E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3.必须严格按合同条款、本项目招投标要求、闸站养护管理规范及相关规定，精心组织养护，确保闸站养护质量，承担设施、人员安全和公共安全责任。</w:t>
      </w:r>
    </w:p>
    <w:p w14:paraId="22B683E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4.乙方必须加强安全管理工作，定期进行安全培训。发生各类事故后乙方应及时向甲方报告，并自行负责处理。如事故因乙方责任导致发生的，除自行承担相关经济责任外，甲方保留对乙方的经济追偿权。</w:t>
      </w:r>
    </w:p>
    <w:p w14:paraId="22B683E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5.遇市民来信来访及投诉（含数字城管）等，乙方应协助甲方调查、解决，并根据甲方要求及时处理。</w:t>
      </w:r>
    </w:p>
    <w:p w14:paraId="22B683E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6.制定灾害性天气应急预案，建立应急救灾队伍，将应急预案和人员名单上报至甲方备案。</w:t>
      </w:r>
    </w:p>
    <w:p w14:paraId="22B683E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7.建立应急备货制，根据实际，备货内容包括防汛防台、抗雪防冻等所需物资及设备。</w:t>
      </w:r>
    </w:p>
    <w:p w14:paraId="22B683F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8.遇到防汛防台、防雪抗冻、重大活动保障、突发事件或自然灾害，必须服从甲方指挥与安排，并及时将有关情况上报至甲方。</w:t>
      </w:r>
    </w:p>
    <w:p w14:paraId="22B683F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9.遇灾害性天气，听从甲方统一指挥，及时组织人员应对突发性情况，并完成甲方交办的突击性任务。</w:t>
      </w:r>
    </w:p>
    <w:p w14:paraId="22B683F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10.合同期满并经甲方考核合格后，乙方应提交完整的养护台账，并按甲方要求做好与下一家养护企业的衔接。</w:t>
      </w:r>
    </w:p>
    <w:p w14:paraId="22B683F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11.养护期满前2个月前，乙方需上报年度绩效自评报告，主要内容需包括合同执行、精细化管理、组织机构、特色亮点等。</w:t>
      </w:r>
    </w:p>
    <w:p w14:paraId="22B683F4">
      <w:pPr>
        <w:spacing w:line="360" w:lineRule="auto"/>
        <w:ind w:firstLine="48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Hans"/>
        </w:rPr>
        <w:t>.除甲方事先书面同意外，乙方不得转让或分包其应履行的合同义务，否则甲方有权解除合同并追究乙方违约责任。</w:t>
      </w:r>
    </w:p>
    <w:p w14:paraId="22B683F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13.乙方确认并同意，应当对本合同的内容、因履行本合同或在本合同期间接触或知悉的信息予以保密。未经甲方书面许可，不得为本合同以外的任何其他目的自行使用、向他人披露或者允许他人使用该保密信息的全部或部分。</w:t>
      </w:r>
    </w:p>
    <w:p w14:paraId="22B683F6">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七、养护工作考核、处罚</w:t>
      </w:r>
    </w:p>
    <w:p w14:paraId="755D6432">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甲方对乙方工作每月进行考核，考核办法按《杭州市市管城市河道闸站长效管理考核实施细则》</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详见合同附件，合同有效期内如有更新的，以更新后的为准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执行，考核内容包括不限于项目养护作业、人员管理、设备配备等方面，考核结果告知乙方，具体要求如下执行：</w:t>
      </w:r>
    </w:p>
    <w:p w14:paraId="466BA49A">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1.养护质量直接与养护经费核拨挂钩。</w:t>
      </w:r>
    </w:p>
    <w:p w14:paraId="1477694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2.养护质量达到要求的（月度考核得分在90分以上），当月养护经费全额拨付；养护质量未达到要求的（月度考核得分在90分以下），当月养护经费按照实际分数计算后拨付额度，具体如下：</w:t>
      </w:r>
    </w:p>
    <w:p w14:paraId="14C41E3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当月实得养护经费=（当月考核得分/90）×当月应得养护经费</w:t>
      </w:r>
    </w:p>
    <w:p w14:paraId="7144C891">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当同一问题整改不到位致发生二次及以上抄告或同类问题屡次出现时，不仅加倍扣分外，而且在月度考核得分经费拨付的基础上，直接扣罚当月相关款项费用（具体详见考核实施细则附表3），重大问题根据合同约定直接扣罚款项费用。</w:t>
      </w:r>
    </w:p>
    <w:p w14:paraId="52327E12">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在国家、省、市级检查中，每查处1件有责问题的，分别扣30000、20000、10000元；被国家、省、市级领导点名批评的，每件分别扣30000、20000、10000元；被国家、省、市主流媒体曝光经核查属实的，每件分别扣30000、20000、10000元。</w:t>
      </w:r>
    </w:p>
    <w:p w14:paraId="2FF93180">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八、警告退出办法</w:t>
      </w:r>
    </w:p>
    <w:p w14:paraId="201CB86E">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1.警告。有下列情景之一的给予警告：</w:t>
      </w:r>
    </w:p>
    <w:p w14:paraId="30FCE264">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（1）被国家、省、市级检查发现有责问题的；</w:t>
      </w:r>
    </w:p>
    <w:p w14:paraId="454981AC">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（2）被国家、省、市级领导点名批评的；</w:t>
      </w:r>
    </w:p>
    <w:p w14:paraId="29228A3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（3）被国家、省、市主流媒体曝光经核查属实的；</w:t>
      </w:r>
    </w:p>
    <w:p w14:paraId="6EFAE5AA">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（4）月度考核1次低于80分，或连续2次低于90分，或累计3次低于90分；</w:t>
      </w:r>
    </w:p>
    <w:p w14:paraId="59546D07">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2.退出。在养护合同期间，有下列情景之一的将单方提前解除合同并没收履约保证金：</w:t>
      </w:r>
    </w:p>
    <w:p w14:paraId="15EB0427">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（1）违反国家有关规定，发生人员重伤或死亡事故的，或直接经济损失属较大（含）安全事故以上的；</w:t>
      </w:r>
    </w:p>
    <w:p w14:paraId="467C3673">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（2）累计被警告2次的；</w:t>
      </w:r>
    </w:p>
    <w:p w14:paraId="0D4691FD">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（3）不履行</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承诺，并无法完成养护工作。</w:t>
      </w:r>
    </w:p>
    <w:p w14:paraId="22B68426">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九、履约验收</w:t>
      </w:r>
    </w:p>
    <w:p w14:paraId="22B6842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甲方对乙方工作按《城市河道闸站运行维护管理规范》、《杭州市城市河道养护人员作业行为规范（修订）》执行（详见</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附件）进行履约验收。</w:t>
      </w:r>
    </w:p>
    <w:p w14:paraId="22B68428">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十、不可抗力</w:t>
      </w:r>
    </w:p>
    <w:p w14:paraId="22B6842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1.不可抗力是指因无法预见、无法避免且无法克服之原因发生的事项，包括但不限于地震、台风、海啸、瘟疫、火灾、洪水、重大疫情、政府行为、战争、恐怖袭击、蓄意破坏等客观情况。</w:t>
      </w:r>
    </w:p>
    <w:p w14:paraId="22B6842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2.本合同项下任何一方对于因不可抗力致使本合同不能履行或不能全部履行而给对方造成的任何损失不承担违约责任。</w:t>
      </w:r>
    </w:p>
    <w:p w14:paraId="22B6842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22B6842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4.不可抗力影响因素消失以后，双方应协商是否继续履行合同。如果不可抗力因素对合同一方的义务产生实质性、无法补救的影响，导致合同已无法履行，双方应通过书面形式终止本合同。</w:t>
      </w:r>
    </w:p>
    <w:p w14:paraId="22B6842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14:paraId="22B6842E">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十一、本合同如遇不可抗拒的原因无法继续履行时，即自然终止，双方自行承担各自损失。</w:t>
      </w:r>
    </w:p>
    <w:p w14:paraId="22B6842F">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十二、凡有关本合同或执行本合同中发生的争端，双方应通过友好协商，妥善解决。如通过协商仍不能解决时，约定向甲方所在地人民法院依法起诉。</w:t>
      </w:r>
    </w:p>
    <w:p w14:paraId="22B68430">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十三、所有招标文件、投标文件及评标过程中形成的文字资料、询标纪要均作为本合同的组成部分，具有同等效力，甲方有权选择其中对甲方有利的条款进行适用。</w:t>
      </w:r>
    </w:p>
    <w:p w14:paraId="22B68431">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十四、其它有关事项：</w:t>
      </w:r>
    </w:p>
    <w:p w14:paraId="22B6843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1.招标文件、投标文件等为合同的组成部分。本合同部分条款无效或不能执行的不影响本合同其他条款的效力及可执行性，对于无效或不能执行的条款双方另行协商确定。</w:t>
      </w:r>
    </w:p>
    <w:p w14:paraId="22B68433">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2.服务期内，若因政策变化导致项目提前终止的，则合同自动</w:t>
      </w:r>
      <w:r>
        <w:rPr>
          <w:rFonts w:hint="eastAsia" w:ascii="仿宋" w:hAnsi="仿宋" w:eastAsia="仿宋" w:cs="仿宋"/>
          <w:color w:val="auto"/>
          <w:sz w:val="24"/>
          <w:highlight w:val="none"/>
          <w:lang w:eastAsia="zh-CN"/>
        </w:rPr>
        <w:t>终止</w:t>
      </w:r>
      <w:r>
        <w:rPr>
          <w:rFonts w:hint="eastAsia" w:ascii="仿宋" w:hAnsi="仿宋" w:eastAsia="仿宋" w:cs="仿宋"/>
          <w:color w:val="auto"/>
          <w:sz w:val="24"/>
          <w:highlight w:val="none"/>
        </w:rPr>
        <w:t>，甲方不予支付任何赔偿。</w:t>
      </w:r>
    </w:p>
    <w:p w14:paraId="22B68434">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十五、本合同一式陆份，双方各执叁份。本合同经甲乙双方法定代表人或其委托人签字盖章后生效。</w:t>
      </w:r>
    </w:p>
    <w:p w14:paraId="22B68435">
      <w:pPr>
        <w:adjustRightInd/>
        <w:spacing w:line="360" w:lineRule="auto"/>
        <w:ind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附件1：</w:t>
      </w:r>
      <w:r>
        <w:rPr>
          <w:rFonts w:hint="eastAsia" w:ascii="仿宋" w:hAnsi="仿宋" w:eastAsia="仿宋" w:cs="仿宋"/>
          <w:b w:val="0"/>
          <w:bCs w:val="0"/>
          <w:color w:val="auto"/>
          <w:sz w:val="24"/>
          <w:highlight w:val="none"/>
        </w:rPr>
        <w:t>廉政责任书</w:t>
      </w:r>
    </w:p>
    <w:p w14:paraId="595A2665">
      <w:pPr>
        <w:adjustRightInd/>
        <w:spacing w:line="360" w:lineRule="auto"/>
        <w:ind w:firstLine="0" w:firstLineChars="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附件2：</w:t>
      </w:r>
      <w:r>
        <w:rPr>
          <w:rFonts w:hint="eastAsia" w:ascii="仿宋" w:hAnsi="仿宋" w:eastAsia="仿宋" w:cs="仿宋"/>
          <w:b w:val="0"/>
          <w:bCs w:val="0"/>
          <w:color w:val="auto"/>
          <w:sz w:val="24"/>
          <w:highlight w:val="none"/>
        </w:rPr>
        <w:t>城市河道综合养护工程安全责任书</w:t>
      </w:r>
    </w:p>
    <w:p w14:paraId="470F8F74">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杭州城市河道相关船闸/水闸、泵站及配套闸门基本情况表</w:t>
      </w:r>
    </w:p>
    <w:p w14:paraId="09A8124C">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城市河道闸站运行维护管理规范</w:t>
      </w:r>
    </w:p>
    <w:p w14:paraId="7CAEB99E">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杭州市城市河道养护人员作业行为规范（试行）</w:t>
      </w:r>
    </w:p>
    <w:p w14:paraId="41F98426">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杭州市市管河道闸站长效管理考核实施细则</w:t>
      </w:r>
    </w:p>
    <w:p w14:paraId="76ABF82A">
      <w:pPr>
        <w:adjustRightInd/>
        <w:spacing w:line="360" w:lineRule="auto"/>
        <w:ind w:firstLine="480" w:firstLineChars="200"/>
        <w:rPr>
          <w:rFonts w:hint="eastAsia" w:ascii="仿宋" w:hAnsi="仿宋" w:eastAsia="仿宋" w:cs="仿宋"/>
          <w:color w:val="auto"/>
          <w:sz w:val="24"/>
          <w:highlight w:val="none"/>
        </w:rPr>
      </w:pPr>
    </w:p>
    <w:p w14:paraId="22B6843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3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14:paraId="22B6843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或受委托人（签字）：                或受委托人（签字）：</w:t>
      </w:r>
    </w:p>
    <w:p w14:paraId="22B6843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联系人（签字）：                    联系人（签字）：</w:t>
      </w:r>
    </w:p>
    <w:p w14:paraId="22B6843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22B6843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22B6843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22B6843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22B6843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22B6843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账户：                             账户：</w:t>
      </w:r>
    </w:p>
    <w:p w14:paraId="22B6844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      签约时间：   年  月   日</w:t>
      </w:r>
    </w:p>
    <w:p w14:paraId="22B68441">
      <w:pPr>
        <w:autoSpaceDE w:val="0"/>
        <w:autoSpaceDN w:val="0"/>
        <w:spacing w:line="360" w:lineRule="auto"/>
        <w:ind w:firstLine="480" w:firstLineChars="200"/>
        <w:rPr>
          <w:rFonts w:hint="eastAsia" w:ascii="仿宋" w:hAnsi="仿宋" w:eastAsia="仿宋" w:cs="仿宋"/>
          <w:color w:val="auto"/>
          <w:sz w:val="24"/>
          <w:highlight w:val="none"/>
          <w:u w:val="single"/>
        </w:rPr>
      </w:pPr>
    </w:p>
    <w:p w14:paraId="22B68442">
      <w:pPr>
        <w:adjustRightInd/>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4"/>
          <w:highlight w:val="none"/>
        </w:rPr>
        <w:t>合同附件1：</w:t>
      </w:r>
    </w:p>
    <w:p w14:paraId="22B68443">
      <w:pPr>
        <w:adjustRightInd/>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 政 责 任 书</w:t>
      </w:r>
    </w:p>
    <w:p w14:paraId="22B6844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w:t>
      </w:r>
    </w:p>
    <w:p w14:paraId="22B6844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22B6844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2B6844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了进一步加强城市河道养护项目领域的党风廉政建设，预防和遏制该领域的腐败现象，惩处相关违规行为，促进杭州市城市水设施和河道保护管理中心综合管理养护事业的健康发展，根据有关规定，结合杭州市城市水设施和河道保护管理中心实际，特制定廉政责任书，凡涉及城市河道养护施工管理的甲乙双方必须履行以下条款。</w:t>
      </w:r>
    </w:p>
    <w:p w14:paraId="22B68448">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一、</w:t>
      </w:r>
      <w:r>
        <w:rPr>
          <w:rFonts w:hint="eastAsia" w:ascii="仿宋" w:hAnsi="仿宋" w:eastAsia="仿宋" w:cs="仿宋"/>
          <w:color w:val="auto"/>
          <w:sz w:val="24"/>
          <w:highlight w:val="none"/>
        </w:rPr>
        <w:t>甲乙双方必须遵守国家、省、市规定的各项法令、法规和本部门、本单位的规章制度。</w:t>
      </w:r>
    </w:p>
    <w:p w14:paraId="22B68449">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二、</w:t>
      </w:r>
      <w:r>
        <w:rPr>
          <w:rFonts w:hint="eastAsia" w:ascii="仿宋" w:hAnsi="仿宋" w:eastAsia="仿宋" w:cs="仿宋"/>
          <w:color w:val="auto"/>
          <w:sz w:val="24"/>
          <w:highlight w:val="none"/>
        </w:rPr>
        <w:t>甲方领导干部和管理人员要严格遵守四个“不准”：</w:t>
      </w:r>
    </w:p>
    <w:p w14:paraId="22B6844A">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.不准以任何理由收受乙方单位或个人赠送的礼金、礼品和有价证、券、卡等。</w:t>
      </w:r>
    </w:p>
    <w:p w14:paraId="22B6844B">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.不准将个人负担的费用到乙方进行报销，向乙方私人借款，以及借口刁难，索要好处费。</w:t>
      </w:r>
    </w:p>
    <w:p w14:paraId="22B6844C">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.不准以任何名义、任何形式参与乙方组织的各种高消费娱乐活动，以及与乙方人员进行各种形式的赌博活动。</w:t>
      </w:r>
    </w:p>
    <w:p w14:paraId="22B6844D">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.不准接受可能影响公正经营次序的各种宴请。</w:t>
      </w:r>
    </w:p>
    <w:p w14:paraId="22B6844E">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三、</w:t>
      </w:r>
      <w:r>
        <w:rPr>
          <w:rFonts w:hint="eastAsia" w:ascii="仿宋" w:hAnsi="仿宋" w:eastAsia="仿宋" w:cs="仿宋"/>
          <w:color w:val="auto"/>
          <w:sz w:val="24"/>
          <w:highlight w:val="none"/>
        </w:rPr>
        <w:t>乙方单位与人员要严格遵守四个“不准”：</w:t>
      </w:r>
    </w:p>
    <w:p w14:paraId="22B6844F">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.不准以任何名义、任何形式向甲方领导干部或管理人员赠送礼金、礼品和有价证、券、卡等。</w:t>
      </w:r>
    </w:p>
    <w:p w14:paraId="22B68450">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.不准为甲方单位、领导干部和管理人员购买、租借手机、助动车、空调、电脑、传真机等贵重物品。</w:t>
      </w:r>
    </w:p>
    <w:p w14:paraId="22B68451">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.不准借款给甲方的领导干部和管理人员及给予报销个人费用。</w:t>
      </w:r>
    </w:p>
    <w:p w14:paraId="22B68452">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.不准借故组织甲方人员参与各种高消费娱乐活动及各种形式的赌博活动。</w:t>
      </w:r>
    </w:p>
    <w:p w14:paraId="22B68453">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四、</w:t>
      </w:r>
      <w:r>
        <w:rPr>
          <w:rFonts w:hint="eastAsia" w:ascii="仿宋" w:hAnsi="仿宋" w:eastAsia="仿宋" w:cs="仿宋"/>
          <w:color w:val="auto"/>
          <w:sz w:val="24"/>
          <w:highlight w:val="none"/>
        </w:rPr>
        <w:t>甲方人员若违反该廉政协议或其他违反廉政行为的，一经查实，视情况轻重逐情进行处理，后果严重的将追究刑事责任。</w:t>
      </w:r>
    </w:p>
    <w:p w14:paraId="22B68454">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五、</w:t>
      </w:r>
      <w:r>
        <w:rPr>
          <w:rFonts w:hint="eastAsia" w:ascii="仿宋" w:hAnsi="仿宋" w:eastAsia="仿宋" w:cs="仿宋"/>
          <w:color w:val="auto"/>
          <w:sz w:val="24"/>
          <w:highlight w:val="none"/>
        </w:rPr>
        <w:t>乙方人员若违反该廉政协议，一经查实，视情况轻重逐级进行处理至清退出场或追究刑事责任。</w:t>
      </w:r>
    </w:p>
    <w:p w14:paraId="22B6845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本协议与养护合同一并签约，甲方的党组织或纪检部门另选存档一份。甲乙双方应相互监督、相互约束。</w:t>
      </w:r>
    </w:p>
    <w:p w14:paraId="22B6845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5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     法定代表人（签字或盖章）：</w:t>
      </w: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合同附件2：</w:t>
      </w:r>
    </w:p>
    <w:p w14:paraId="22B68458">
      <w:pPr>
        <w:adjustRightInd/>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城市河道综合养护工程安全责任书</w:t>
      </w:r>
    </w:p>
    <w:p w14:paraId="22B6845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  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2B6845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  方：</w:t>
      </w:r>
      <w:r>
        <w:rPr>
          <w:rFonts w:hint="eastAsia" w:ascii="仿宋" w:hAnsi="仿宋" w:eastAsia="仿宋" w:cs="仿宋"/>
          <w:color w:val="auto"/>
          <w:sz w:val="24"/>
          <w:highlight w:val="none"/>
          <w:u w:val="single"/>
        </w:rPr>
        <w:t xml:space="preserve">                    </w:t>
      </w:r>
    </w:p>
    <w:p w14:paraId="22B6845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确保城市河道综合养护中的安全，防止各种事故的发生，实现“本养护工程项目安全无事故”的目标，根据国家“安全生产法”及国家有关的“消防治安”、“计划生育”等有关劳动安全的方针、政策、法令、法规、条例的要求，养护工程项目的安全综合治理工作以“谁养护、谁负责”的原则，为此签订安全综合治理责任书。</w:t>
      </w:r>
    </w:p>
    <w:p w14:paraId="22B6845C">
      <w:pPr>
        <w:adjustRightInd/>
        <w:spacing w:line="360" w:lineRule="auto"/>
        <w:ind w:firstLine="482" w:firstLineChars="200"/>
        <w:outlineLvl w:val="0"/>
        <w:rPr>
          <w:rFonts w:hint="eastAsia" w:ascii="仿宋" w:hAnsi="仿宋" w:eastAsia="仿宋" w:cs="仿宋"/>
          <w:b/>
          <w:color w:val="auto"/>
          <w:sz w:val="24"/>
          <w:highlight w:val="none"/>
        </w:rPr>
      </w:pPr>
      <w:bookmarkStart w:id="746" w:name="_Toc19400"/>
      <w:bookmarkStart w:id="747" w:name="_Toc13077"/>
      <w:bookmarkStart w:id="748" w:name="_Toc18752"/>
      <w:bookmarkStart w:id="749" w:name="_Toc7947"/>
      <w:r>
        <w:rPr>
          <w:rFonts w:hint="eastAsia" w:ascii="仿宋" w:hAnsi="仿宋" w:eastAsia="仿宋" w:cs="仿宋"/>
          <w:b/>
          <w:color w:val="auto"/>
          <w:sz w:val="24"/>
          <w:highlight w:val="none"/>
        </w:rPr>
        <w:t>一、本工程养护期内目标</w:t>
      </w:r>
      <w:bookmarkEnd w:id="746"/>
      <w:bookmarkEnd w:id="747"/>
      <w:bookmarkEnd w:id="748"/>
      <w:bookmarkEnd w:id="749"/>
    </w:p>
    <w:p w14:paraId="22B6845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1.确保人身安全不发生人身工伤及伤亡事故。</w:t>
      </w:r>
    </w:p>
    <w:p w14:paraId="22B6845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2.确保养护机具正常运行，各类用电必须严格执行JGJ46—88《建筑施工现场临时用电安全技术规范》。</w:t>
      </w:r>
    </w:p>
    <w:p w14:paraId="22B6845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3.确保养护施工现场文明施工，达到工地文明、清洁、整齐、卫生要求。</w:t>
      </w:r>
    </w:p>
    <w:p w14:paraId="22B6846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4.确保养护管理用房、施工现场消防安全，杜绝火警事故隐患，不发生火灾事故。</w:t>
      </w:r>
    </w:p>
    <w:p w14:paraId="22B6846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5.确保水上作业安全。</w:t>
      </w:r>
    </w:p>
    <w:p w14:paraId="22B6846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6.认真执行治安管理条例等法律法规，加强对养护工人的管理和培训，做到规范操作，同时对养护工人的工资按时发放等，防止和减少治安刑事案件发生。</w:t>
      </w:r>
    </w:p>
    <w:p w14:paraId="22B68463">
      <w:pPr>
        <w:adjustRightInd/>
        <w:spacing w:line="360" w:lineRule="auto"/>
        <w:ind w:firstLine="482" w:firstLineChars="200"/>
        <w:outlineLvl w:val="0"/>
        <w:rPr>
          <w:rFonts w:hint="eastAsia" w:ascii="仿宋" w:hAnsi="仿宋" w:eastAsia="仿宋" w:cs="仿宋"/>
          <w:b/>
          <w:color w:val="auto"/>
          <w:sz w:val="24"/>
          <w:highlight w:val="none"/>
        </w:rPr>
      </w:pPr>
      <w:bookmarkStart w:id="750" w:name="_Toc24591"/>
      <w:bookmarkStart w:id="751" w:name="_Toc25407"/>
      <w:bookmarkStart w:id="752" w:name="_Toc8231"/>
      <w:bookmarkStart w:id="753" w:name="_Toc2644"/>
      <w:r>
        <w:rPr>
          <w:rFonts w:hint="eastAsia" w:ascii="仿宋" w:hAnsi="仿宋" w:eastAsia="仿宋" w:cs="仿宋"/>
          <w:b/>
          <w:color w:val="auto"/>
          <w:sz w:val="24"/>
          <w:highlight w:val="none"/>
        </w:rPr>
        <w:t>二、双方责任</w:t>
      </w:r>
      <w:bookmarkEnd w:id="750"/>
      <w:bookmarkEnd w:id="751"/>
      <w:bookmarkEnd w:id="752"/>
      <w:bookmarkEnd w:id="753"/>
    </w:p>
    <w:p w14:paraId="22B6846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1.甲方责任</w:t>
      </w:r>
    </w:p>
    <w:p w14:paraId="22B6846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1.1甲方及时传达贯彻国家及各级主管部门发布的“劳动安全”、“文明施工”及“消防治安”方针、政策、法令、法规、条例指示，适时布置上述工作要求。</w:t>
      </w:r>
    </w:p>
    <w:p w14:paraId="22B6846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1.2乙方对本工程项目的施工和建设单位工作矛盾发生危及安全生产的问题，应及时提出甲方帮助协调处理解决。</w:t>
      </w:r>
    </w:p>
    <w:p w14:paraId="22B6846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1.3甲方例行对乙方在养护现场安全生产、文明施工等工作的检查、监督，发现问题提出整改意见。</w:t>
      </w:r>
    </w:p>
    <w:p w14:paraId="22B6846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1.4若乙方发生事故，甲方协助调查分析原因，分清责任。</w:t>
      </w:r>
    </w:p>
    <w:p w14:paraId="22B68469">
      <w:pPr>
        <w:adjustRightInd/>
        <w:spacing w:line="360" w:lineRule="auto"/>
        <w:ind w:firstLine="480" w:firstLineChars="200"/>
        <w:rPr>
          <w:rFonts w:hint="eastAsia" w:ascii="仿宋" w:hAnsi="仿宋" w:eastAsia="仿宋" w:cs="仿宋"/>
          <w:color w:val="auto"/>
          <w:sz w:val="24"/>
          <w:highlight w:val="none"/>
        </w:rPr>
      </w:pPr>
      <w:bookmarkStart w:id="754" w:name="_Toc9728"/>
      <w:bookmarkStart w:id="755" w:name="_Toc280"/>
      <w:bookmarkStart w:id="756" w:name="_Toc11560"/>
      <w:r>
        <w:rPr>
          <w:rFonts w:hint="eastAsia" w:ascii="仿宋" w:hAnsi="仿宋" w:eastAsia="仿宋" w:cs="仿宋"/>
          <w:color w:val="auto"/>
          <w:sz w:val="24"/>
          <w:highlight w:val="none"/>
        </w:rPr>
        <w:t>2.乙方责任</w:t>
      </w:r>
      <w:bookmarkEnd w:id="754"/>
      <w:bookmarkEnd w:id="755"/>
      <w:bookmarkEnd w:id="756"/>
    </w:p>
    <w:p w14:paraId="22B6846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2.1本养护工程项目，本着“谁养护、谁负责”的原则，乙方为本养护项目安全综合治理责任人。</w:t>
      </w:r>
    </w:p>
    <w:p w14:paraId="22B6846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2.2乙方应切实执行国家及各级主管部门发布的“安全生产法”及“文明施工”、“治安消防”等的方针、政策、法令、法规、条例。</w:t>
      </w:r>
    </w:p>
    <w:p w14:paraId="22B6846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2.3乙方对特殊工种人员，应持有上岗证上岗，并对本工程项目施工要设立专职安全员负责日常安全生产、文明施工、治安等工作检查监督。</w:t>
      </w:r>
    </w:p>
    <w:p w14:paraId="22B6846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2.4施工现场用电必须做好三宝四口，五临四边的规范防护，严禁使用三无产品，保证工地用电的绝对安全。</w:t>
      </w:r>
    </w:p>
    <w:p w14:paraId="22B6846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2.5乙方应对甲方在检查监督安全综合治理工作中发现的问题提出整改意见，应及时整改。</w:t>
      </w:r>
    </w:p>
    <w:p w14:paraId="22B6846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2.6对施工现场民工的居住条件必须保证安全，民工的工资不得拖欠， 按时发放。</w:t>
      </w:r>
    </w:p>
    <w:p w14:paraId="22B6847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2.7乙方在本工程项目施工过程中发生人身、机具、消防、治安、环境污染等事故造成一切经济损失均由乙方自己承担。    </w:t>
      </w:r>
    </w:p>
    <w:p w14:paraId="22B6847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7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         法定代表人（签字或盖章）：</w:t>
      </w:r>
    </w:p>
    <w:p w14:paraId="22B68473">
      <w:pPr>
        <w:adjustRightInd/>
        <w:spacing w:line="360" w:lineRule="auto"/>
        <w:rPr>
          <w:rFonts w:hint="eastAsia" w:ascii="仿宋" w:hAnsi="仿宋" w:eastAsia="仿宋" w:cs="仿宋"/>
          <w:color w:val="auto"/>
          <w:sz w:val="24"/>
          <w:highlight w:val="none"/>
        </w:rPr>
      </w:pPr>
    </w:p>
    <w:p w14:paraId="22B68474">
      <w:pPr>
        <w:tabs>
          <w:tab w:val="left" w:pos="5709"/>
        </w:tabs>
        <w:adjustRightInd/>
        <w:spacing w:line="400" w:lineRule="exact"/>
        <w:ind w:firstLine="480"/>
        <w:rPr>
          <w:rFonts w:hint="eastAsia" w:ascii="仿宋" w:hAnsi="仿宋" w:eastAsia="仿宋" w:cs="仿宋"/>
          <w:color w:val="auto"/>
          <w:kern w:val="0"/>
          <w:sz w:val="24"/>
          <w:highlight w:val="none"/>
        </w:rPr>
      </w:pPr>
    </w:p>
    <w:p w14:paraId="22B68475">
      <w:pPr>
        <w:rPr>
          <w:color w:val="auto"/>
          <w:highlight w:val="none"/>
        </w:rPr>
      </w:pPr>
      <w:r>
        <w:rPr>
          <w:rFonts w:hint="eastAsia"/>
          <w:color w:val="auto"/>
          <w:highlight w:val="none"/>
        </w:rPr>
        <w:br w:type="page"/>
      </w:r>
    </w:p>
    <w:p w14:paraId="22B68476">
      <w:pPr>
        <w:rPr>
          <w:color w:val="auto"/>
          <w:highlight w:val="none"/>
        </w:rPr>
      </w:pPr>
    </w:p>
    <w:p w14:paraId="22B68477">
      <w:pPr>
        <w:wordWrap w:val="0"/>
        <w:spacing w:line="360" w:lineRule="auto"/>
        <w:ind w:left="720" w:firstLine="723" w:firstLineChars="200"/>
        <w:outlineLvl w:val="0"/>
        <w:rPr>
          <w:rFonts w:hint="eastAsia" w:ascii="仿宋" w:hAnsi="仿宋" w:eastAsia="仿宋" w:cs="仿宋"/>
          <w:b/>
          <w:color w:val="auto"/>
          <w:sz w:val="36"/>
          <w:szCs w:val="20"/>
          <w:highlight w:val="none"/>
        </w:rPr>
      </w:pPr>
      <w:bookmarkStart w:id="757" w:name="_Toc28848"/>
      <w:bookmarkStart w:id="758" w:name="_Toc27390"/>
      <w:r>
        <w:rPr>
          <w:rFonts w:hint="eastAsia" w:ascii="仿宋" w:hAnsi="仿宋" w:eastAsia="仿宋" w:cs="仿宋"/>
          <w:b/>
          <w:color w:val="auto"/>
          <w:sz w:val="36"/>
          <w:szCs w:val="20"/>
          <w:highlight w:val="none"/>
        </w:rPr>
        <w:t>第六部分</w:t>
      </w:r>
      <w:bookmarkEnd w:id="726"/>
      <w:r>
        <w:rPr>
          <w:rFonts w:hint="eastAsia" w:ascii="仿宋" w:hAnsi="仿宋" w:eastAsia="仿宋" w:cs="仿宋"/>
          <w:b/>
          <w:color w:val="auto"/>
          <w:sz w:val="36"/>
          <w:szCs w:val="20"/>
          <w:highlight w:val="none"/>
        </w:rPr>
        <w:t xml:space="preserve"> </w:t>
      </w:r>
      <w:bookmarkEnd w:id="727"/>
      <w:r>
        <w:rPr>
          <w:rFonts w:hint="eastAsia" w:ascii="仿宋" w:hAnsi="仿宋" w:eastAsia="仿宋" w:cs="仿宋"/>
          <w:b/>
          <w:color w:val="auto"/>
          <w:sz w:val="36"/>
          <w:szCs w:val="20"/>
          <w:highlight w:val="none"/>
        </w:rPr>
        <w:t>应提交的有关格式范例</w:t>
      </w:r>
      <w:bookmarkEnd w:id="738"/>
      <w:bookmarkEnd w:id="739"/>
      <w:bookmarkEnd w:id="740"/>
      <w:bookmarkEnd w:id="741"/>
      <w:bookmarkEnd w:id="742"/>
      <w:bookmarkEnd w:id="743"/>
      <w:bookmarkEnd w:id="744"/>
      <w:bookmarkEnd w:id="757"/>
      <w:bookmarkEnd w:id="758"/>
    </w:p>
    <w:p w14:paraId="22B68478">
      <w:pPr>
        <w:wordWrap w:val="0"/>
        <w:spacing w:line="360" w:lineRule="auto"/>
        <w:ind w:firstLine="723"/>
        <w:jc w:val="center"/>
        <w:rPr>
          <w:rFonts w:hint="eastAsia" w:ascii="仿宋" w:hAnsi="仿宋" w:eastAsia="仿宋" w:cs="仿宋"/>
          <w:b/>
          <w:color w:val="auto"/>
          <w:kern w:val="0"/>
          <w:sz w:val="36"/>
          <w:szCs w:val="36"/>
          <w:highlight w:val="none"/>
        </w:rPr>
      </w:pPr>
    </w:p>
    <w:p w14:paraId="22B68479">
      <w:pPr>
        <w:wordWrap w:val="0"/>
        <w:spacing w:line="360" w:lineRule="auto"/>
        <w:ind w:firstLine="723"/>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2B6847A">
      <w:pPr>
        <w:wordWrap w:val="0"/>
        <w:spacing w:line="360" w:lineRule="auto"/>
        <w:ind w:firstLine="723"/>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B6847B">
      <w:pPr>
        <w:wordWrap w:val="0"/>
        <w:spacing w:line="360" w:lineRule="auto"/>
        <w:ind w:firstLine="723"/>
        <w:jc w:val="center"/>
        <w:rPr>
          <w:rFonts w:hint="eastAsia" w:ascii="仿宋" w:hAnsi="仿宋" w:eastAsia="仿宋" w:cs="仿宋"/>
          <w:b/>
          <w:color w:val="auto"/>
          <w:kern w:val="0"/>
          <w:sz w:val="36"/>
          <w:szCs w:val="36"/>
          <w:highlight w:val="none"/>
        </w:rPr>
      </w:pPr>
    </w:p>
    <w:p w14:paraId="22B6847C">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759"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供应商（联合体参加的指联合体双方）的营业执照或者其他由国家相关部门出具的具有独立承担民事责任能力的证明文件………………………………………（页码）</w:t>
      </w:r>
    </w:p>
    <w:p w14:paraId="22B6847D">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14:paraId="22B6847E">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759"/>
    </w:p>
    <w:p w14:paraId="22B6847F">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760" w:name="_Toc7010"/>
      <w:r>
        <w:rPr>
          <w:rFonts w:hint="eastAsia" w:ascii="仿宋" w:hAnsi="仿宋" w:eastAsia="仿宋" w:cs="仿宋"/>
          <w:color w:val="auto"/>
          <w:sz w:val="24"/>
          <w:highlight w:val="none"/>
        </w:rPr>
        <w:t>满足政府采购政策资格要求证明材料……………………………………（页码）</w:t>
      </w:r>
      <w:bookmarkEnd w:id="760"/>
    </w:p>
    <w:p w14:paraId="22B68480">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761" w:name="_Toc24971"/>
      <w:r>
        <w:rPr>
          <w:rFonts w:hint="eastAsia" w:ascii="仿宋" w:hAnsi="仿宋" w:eastAsia="仿宋" w:cs="仿宋"/>
          <w:color w:val="auto"/>
          <w:sz w:val="24"/>
          <w:highlight w:val="none"/>
        </w:rPr>
        <w:t>满足本项目特定资格要求证明材料………………………………………（页码）</w:t>
      </w:r>
      <w:bookmarkEnd w:id="761"/>
    </w:p>
    <w:p w14:paraId="22B68481">
      <w:pPr>
        <w:wordWrap w:val="0"/>
        <w:topLinePunct/>
        <w:snapToGrid w:val="0"/>
        <w:spacing w:line="360" w:lineRule="auto"/>
        <w:ind w:firstLine="480" w:firstLineChars="200"/>
        <w:rPr>
          <w:rFonts w:hint="eastAsia" w:ascii="仿宋" w:hAnsi="仿宋" w:eastAsia="仿宋" w:cs="仿宋"/>
          <w:color w:val="auto"/>
          <w:sz w:val="24"/>
          <w:highlight w:val="none"/>
        </w:rPr>
      </w:pPr>
    </w:p>
    <w:p w14:paraId="22B68482">
      <w:pPr>
        <w:wordWrap w:val="0"/>
        <w:topLinePunct/>
        <w:spacing w:line="360" w:lineRule="auto"/>
        <w:ind w:firstLine="480" w:firstLineChars="200"/>
        <w:rPr>
          <w:rFonts w:hint="eastAsia" w:ascii="仿宋" w:hAnsi="仿宋" w:eastAsia="仿宋" w:cs="仿宋"/>
          <w:color w:val="auto"/>
          <w:sz w:val="24"/>
          <w:highlight w:val="none"/>
        </w:rPr>
      </w:pPr>
    </w:p>
    <w:p w14:paraId="22B68483">
      <w:pPr>
        <w:numPr>
          <w:ilvl w:val="0"/>
          <w:numId w:val="9"/>
        </w:numPr>
        <w:wordWrap w:val="0"/>
        <w:snapToGrid w:val="0"/>
        <w:spacing w:line="288" w:lineRule="auto"/>
        <w:ind w:right="48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w:t>
      </w:r>
    </w:p>
    <w:p w14:paraId="22B68484">
      <w:pPr>
        <w:numPr>
          <w:ilvl w:val="255"/>
          <w:numId w:val="0"/>
        </w:numPr>
        <w:wordWrap w:val="0"/>
        <w:snapToGrid w:val="0"/>
        <w:spacing w:line="288" w:lineRule="auto"/>
        <w:ind w:right="482"/>
        <w:rPr>
          <w:rFonts w:hint="eastAsia" w:ascii="仿宋" w:hAnsi="仿宋" w:eastAsia="仿宋" w:cs="仿宋"/>
          <w:b/>
          <w:color w:val="auto"/>
          <w:kern w:val="0"/>
          <w:sz w:val="32"/>
          <w:szCs w:val="32"/>
          <w:highlight w:val="none"/>
        </w:rPr>
      </w:pPr>
    </w:p>
    <w:p w14:paraId="22B68485">
      <w:pPr>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86">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14:paraId="22B68487">
      <w:pPr>
        <w:wordWrap w:val="0"/>
        <w:snapToGrid w:val="0"/>
        <w:spacing w:line="360" w:lineRule="auto"/>
        <w:rPr>
          <w:rFonts w:hint="eastAsia"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14:paraId="22B68488">
      <w:pPr>
        <w:wordWrap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sz w:val="24"/>
          <w:highlight w:val="none"/>
        </w:rPr>
        <w:t>：</w:t>
      </w:r>
    </w:p>
    <w:p w14:paraId="22B68489">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22B6848A">
      <w:pPr>
        <w:wordWrap w:val="0"/>
        <w:snapToGrid w:val="0"/>
        <w:spacing w:line="312"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2B6848B">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2B6848C">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2B6848D">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2B6848E">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2B6848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2B68490">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2B68491">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2B68492">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2B6849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2B68494">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2B68495">
      <w:pPr>
        <w:wordWrap w:val="0"/>
        <w:snapToGrid w:val="0"/>
        <w:spacing w:line="360" w:lineRule="auto"/>
        <w:ind w:firstLine="480" w:firstLineChars="200"/>
        <w:rPr>
          <w:rFonts w:hint="eastAsia" w:ascii="仿宋" w:hAnsi="仿宋" w:eastAsia="仿宋" w:cs="仿宋"/>
          <w:color w:val="auto"/>
          <w:kern w:val="0"/>
          <w:sz w:val="24"/>
          <w:highlight w:val="none"/>
          <w:lang w:val="zh-CN"/>
        </w:rPr>
      </w:pPr>
    </w:p>
    <w:p w14:paraId="22B68496">
      <w:pPr>
        <w:wordWrap w:val="0"/>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22B68497">
      <w:pPr>
        <w:wordWrap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49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B68499">
      <w:pPr>
        <w:wordWrap w:val="0"/>
        <w:snapToGrid w:val="0"/>
        <w:spacing w:line="360" w:lineRule="auto"/>
        <w:ind w:right="480" w:firstLine="482"/>
        <w:rPr>
          <w:rFonts w:hint="eastAsia" w:ascii="仿宋" w:hAnsi="仿宋" w:eastAsia="仿宋" w:cs="仿宋"/>
          <w:b/>
          <w:color w:val="auto"/>
          <w:kern w:val="0"/>
          <w:sz w:val="24"/>
          <w:highlight w:val="none"/>
        </w:rPr>
      </w:pPr>
    </w:p>
    <w:p w14:paraId="22B6849A">
      <w:pPr>
        <w:wordWrap w:val="0"/>
        <w:snapToGrid w:val="0"/>
        <w:spacing w:line="360" w:lineRule="auto"/>
        <w:ind w:right="480" w:firstLine="48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14:paraId="22B6849B">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9C">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9D">
      <w:pPr>
        <w:wordWrap w:val="0"/>
        <w:rPr>
          <w:rFonts w:hint="eastAsia" w:ascii="仿宋" w:hAnsi="仿宋" w:eastAsia="仿宋" w:cs="仿宋"/>
          <w:color w:val="auto"/>
          <w:highlight w:val="none"/>
        </w:rPr>
      </w:pPr>
    </w:p>
    <w:p w14:paraId="22B6849E">
      <w:pPr>
        <w:wordWrap w:val="0"/>
        <w:ind w:firstLine="643"/>
        <w:rPr>
          <w:rFonts w:hint="eastAsia" w:ascii="仿宋" w:hAnsi="仿宋" w:eastAsia="仿宋" w:cs="仿宋"/>
          <w:b/>
          <w:color w:val="auto"/>
          <w:kern w:val="0"/>
          <w:sz w:val="32"/>
          <w:szCs w:val="32"/>
          <w:highlight w:val="none"/>
        </w:rPr>
      </w:pPr>
    </w:p>
    <w:p w14:paraId="22B6849F">
      <w:pPr>
        <w:widowControl/>
        <w:wordWrap w:val="0"/>
        <w:spacing w:line="360" w:lineRule="auto"/>
        <w:ind w:left="150" w:firstLine="643"/>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14:paraId="22B684A0">
      <w:pPr>
        <w:widowControl/>
        <w:wordWrap w:val="0"/>
        <w:spacing w:line="360" w:lineRule="auto"/>
        <w:ind w:left="147" w:firstLine="482" w:firstLineChars="200"/>
        <w:rPr>
          <w:rFonts w:hint="eastAsia" w:ascii="仿宋" w:hAnsi="仿宋" w:eastAsia="仿宋" w:cs="仿宋"/>
          <w:b/>
          <w:bCs/>
          <w:color w:val="auto"/>
          <w:sz w:val="24"/>
          <w:highlight w:val="none"/>
        </w:rPr>
      </w:pPr>
    </w:p>
    <w:p w14:paraId="5B459FC6">
      <w:pPr>
        <w:widowControl/>
        <w:wordWrap w:val="0"/>
        <w:spacing w:line="360" w:lineRule="auto"/>
        <w:ind w:left="147" w:firstLine="482" w:firstLineChars="2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22B684A2">
      <w:pPr>
        <w:wordWrap w:val="0"/>
        <w:snapToGrid w:val="0"/>
        <w:spacing w:line="360" w:lineRule="auto"/>
        <w:ind w:right="480"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14:paraId="22B684A3">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 xml:space="preserve">A.本项目专门面向中小企业，服务全部由符合政策要求的中小企业（或小微企业）承接的，提供相应的中小企业声明函（附件5）。 </w:t>
      </w:r>
    </w:p>
    <w:p w14:paraId="22B684A4">
      <w:pPr>
        <w:widowControl/>
        <w:wordWrap w:val="0"/>
        <w:spacing w:line="360" w:lineRule="auto"/>
        <w:ind w:firstLine="472" w:firstLineChars="196"/>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22B684A5">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2B684A6">
      <w:pPr>
        <w:wordWrap w:val="0"/>
        <w:snapToGrid w:val="0"/>
        <w:spacing w:before="50" w:after="50"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2B684A7">
      <w:pPr>
        <w:widowControl/>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A8">
      <w:pPr>
        <w:widowControl/>
        <w:wordWrap w:val="0"/>
        <w:spacing w:line="360" w:lineRule="auto"/>
        <w:ind w:left="150"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14:paraId="22B684A9">
      <w:pPr>
        <w:wordWrap w:val="0"/>
        <w:rPr>
          <w:rFonts w:hint="eastAsia" w:ascii="仿宋" w:hAnsi="仿宋" w:eastAsia="仿宋" w:cs="仿宋"/>
          <w:color w:val="auto"/>
          <w:highlight w:val="none"/>
        </w:rPr>
      </w:pPr>
    </w:p>
    <w:p w14:paraId="22B684AA">
      <w:pPr>
        <w:widowControl/>
        <w:wordWrap w:val="0"/>
        <w:spacing w:line="360" w:lineRule="auto"/>
        <w:ind w:firstLine="482" w:firstLineChars="200"/>
        <w:jc w:val="left"/>
        <w:rPr>
          <w:rFonts w:hint="eastAsia" w:ascii="仿宋" w:hAnsi="仿宋" w:eastAsia="仿宋" w:cs="仿宋"/>
          <w:b/>
          <w:bCs/>
          <w:color w:val="auto"/>
          <w:sz w:val="24"/>
          <w:highlight w:val="none"/>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承诺函(同符合参加政府采购活动应当具备的一般条件、特殊资格要求的承诺函，不用重复提供）。</w:t>
      </w:r>
    </w:p>
    <w:p w14:paraId="22B684AB">
      <w:pPr>
        <w:widowControl/>
        <w:numPr>
          <w:ilvl w:val="255"/>
          <w:numId w:val="0"/>
        </w:numPr>
        <w:wordWrap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2.企业资质动态核查证明。</w:t>
      </w:r>
    </w:p>
    <w:p w14:paraId="22B684AD">
      <w:pPr>
        <w:wordWrap w:val="0"/>
        <w:snapToGrid w:val="0"/>
        <w:spacing w:line="360" w:lineRule="auto"/>
        <w:ind w:right="480" w:firstLine="640"/>
        <w:jc w:val="center"/>
        <w:rPr>
          <w:rFonts w:hint="eastAsia" w:ascii="仿宋" w:hAnsi="仿宋" w:eastAsia="仿宋" w:cs="仿宋"/>
          <w:color w:val="auto"/>
          <w:kern w:val="0"/>
          <w:sz w:val="32"/>
          <w:szCs w:val="32"/>
          <w:highlight w:val="none"/>
        </w:rPr>
      </w:pPr>
    </w:p>
    <w:p w14:paraId="22B684AE">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AF">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0">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1">
      <w:pPr>
        <w:wordWrap w:val="0"/>
        <w:spacing w:line="360" w:lineRule="auto"/>
        <w:ind w:firstLine="723"/>
        <w:jc w:val="center"/>
        <w:rPr>
          <w:rFonts w:hint="eastAsia" w:ascii="仿宋" w:hAnsi="仿宋" w:eastAsia="仿宋" w:cs="仿宋"/>
          <w:b/>
          <w:color w:val="auto"/>
          <w:kern w:val="0"/>
          <w:sz w:val="36"/>
          <w:szCs w:val="36"/>
          <w:highlight w:val="none"/>
        </w:rPr>
      </w:pPr>
    </w:p>
    <w:p w14:paraId="22B684B2">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3">
      <w:pPr>
        <w:wordWrap w:val="0"/>
        <w:spacing w:line="360" w:lineRule="auto"/>
        <w:ind w:firstLine="723"/>
        <w:jc w:val="center"/>
        <w:rPr>
          <w:rFonts w:hint="eastAsia" w:ascii="仿宋" w:hAnsi="仿宋" w:eastAsia="仿宋" w:cs="仿宋"/>
          <w:b/>
          <w:color w:val="auto"/>
          <w:kern w:val="0"/>
          <w:sz w:val="36"/>
          <w:szCs w:val="36"/>
          <w:highlight w:val="none"/>
        </w:rPr>
      </w:pPr>
    </w:p>
    <w:p w14:paraId="22B684B4">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5">
      <w:pPr>
        <w:wordWrap w:val="0"/>
        <w:spacing w:line="360" w:lineRule="auto"/>
        <w:ind w:firstLine="723"/>
        <w:jc w:val="center"/>
        <w:rPr>
          <w:rFonts w:hint="eastAsia" w:ascii="仿宋" w:hAnsi="仿宋" w:eastAsia="仿宋" w:cs="仿宋"/>
          <w:b/>
          <w:color w:val="auto"/>
          <w:kern w:val="0"/>
          <w:sz w:val="36"/>
          <w:szCs w:val="36"/>
          <w:highlight w:val="none"/>
        </w:rPr>
      </w:pPr>
    </w:p>
    <w:p w14:paraId="22B684B6">
      <w:pPr>
        <w:wordWrap w:val="0"/>
        <w:ind w:firstLine="723"/>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2B684B7">
      <w:pPr>
        <w:wordWrap w:val="0"/>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2B684B8">
      <w:pPr>
        <w:wordWrap w:val="0"/>
        <w:spacing w:line="360" w:lineRule="auto"/>
        <w:ind w:firstLine="482"/>
        <w:jc w:val="center"/>
        <w:rPr>
          <w:rFonts w:hint="eastAsia" w:ascii="仿宋" w:hAnsi="仿宋" w:eastAsia="仿宋" w:cs="仿宋"/>
          <w:b/>
          <w:color w:val="auto"/>
          <w:kern w:val="0"/>
          <w:sz w:val="24"/>
          <w:highlight w:val="none"/>
        </w:rPr>
      </w:pPr>
    </w:p>
    <w:p w14:paraId="22B684B9">
      <w:pPr>
        <w:wordWrap w:val="0"/>
        <w:spacing w:line="360" w:lineRule="auto"/>
        <w:ind w:firstLine="562"/>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2B684BA">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22B684BB">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22B684BC">
      <w:pPr>
        <w:wordWrap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2B684BD">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2B684BE">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2B684BF">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0">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1">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2">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3">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4">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5">
      <w:pPr>
        <w:wordWrap w:val="0"/>
        <w:rPr>
          <w:rFonts w:hint="eastAsia" w:ascii="仿宋" w:hAnsi="仿宋" w:eastAsia="仿宋" w:cs="仿宋"/>
          <w:color w:val="auto"/>
          <w:highlight w:val="none"/>
        </w:rPr>
      </w:pPr>
    </w:p>
    <w:p w14:paraId="22B684C6">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7">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8">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9">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A">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B">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C">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CD">
      <w:pPr>
        <w:wordWrap w:val="0"/>
        <w:snapToGrid w:val="0"/>
        <w:spacing w:line="360" w:lineRule="auto"/>
        <w:ind w:firstLine="643"/>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B684CE">
      <w:pPr>
        <w:wordWrap w:val="0"/>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sz w:val="24"/>
          <w:highlight w:val="none"/>
        </w:rPr>
        <w:t>：</w:t>
      </w:r>
    </w:p>
    <w:p w14:paraId="22B684CF">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政招标的有关活动，并对此项目进行投标。为此：</w:t>
      </w:r>
    </w:p>
    <w:p w14:paraId="22B684D0">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2B684D1">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2B684D2">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2B684D3">
      <w:pPr>
        <w:wordWrap w:val="0"/>
        <w:snapToGrid w:val="0"/>
        <w:spacing w:line="360" w:lineRule="exact"/>
        <w:ind w:left="420" w:leftChars="200" w:firstLine="480" w:firstLineChars="200"/>
        <w:rPr>
          <w:rFonts w:hint="eastAsia" w:ascii="仿宋" w:hAnsi="仿宋" w:eastAsia="仿宋" w:cs="仿宋"/>
          <w:color w:val="auto"/>
          <w:sz w:val="24"/>
          <w:highlight w:val="none"/>
        </w:rPr>
      </w:pPr>
      <w:bookmarkStart w:id="762"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22B684D4">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22B684D5">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22B684D6">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22B684D7">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762"/>
    <w:p w14:paraId="22B684D8">
      <w:pPr>
        <w:wordWrap w:val="0"/>
        <w:snapToGrid w:val="0"/>
        <w:spacing w:line="36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2B684D9">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2B684DA">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2B684DB">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22B684DC">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2B684DD">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2B684DE">
      <w:pPr>
        <w:wordWrap w:val="0"/>
        <w:snapToGrid w:val="0"/>
        <w:spacing w:line="36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22B684DF">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2B684E0">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2B684E1">
      <w:pPr>
        <w:wordWrap w:val="0"/>
        <w:snapToGrid w:val="0"/>
        <w:spacing w:line="3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p>
    <w:p w14:paraId="22B684E2">
      <w:pPr>
        <w:wordWrap w:val="0"/>
        <w:adjustRightInd/>
        <w:snapToGrid w:val="0"/>
        <w:spacing w:line="360" w:lineRule="exact"/>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2.3.3报价情况说明（如供应商报价低于最高限价50%的，应当提交本文档，详细阐述不影响服务质量或者诚信履约的具体原因）；</w:t>
      </w:r>
    </w:p>
    <w:p w14:paraId="22B684E3">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2.3.4供应商针对报价需要说明的其他文件和说明（格式自拟）。</w:t>
      </w:r>
    </w:p>
    <w:p w14:paraId="22B684E4">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2B684E5">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2B684E6">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2B684E7">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B684E8">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2B684E9">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2B684EA">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4EB">
      <w:pPr>
        <w:wordWrap w:val="0"/>
        <w:spacing w:line="360" w:lineRule="exact"/>
        <w:ind w:firstLine="4320" w:firstLineChars="1800"/>
        <w:jc w:val="righ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19604990">
      <w:pPr>
        <w:wordWrap w:val="0"/>
        <w:ind w:firstLine="643"/>
        <w:jc w:val="left"/>
        <w:rPr>
          <w:rFonts w:hint="eastAsia" w:ascii="仿宋" w:hAnsi="仿宋" w:eastAsia="仿宋" w:cs="仿宋"/>
          <w:b/>
          <w:color w:val="auto"/>
          <w:kern w:val="0"/>
          <w:sz w:val="32"/>
          <w:szCs w:val="32"/>
          <w:highlight w:val="none"/>
          <w:lang w:val="zh-CN"/>
        </w:rPr>
        <w:sectPr>
          <w:headerReference r:id="rId13" w:type="first"/>
          <w:footerReference r:id="rId15" w:type="first"/>
          <w:headerReference r:id="rId12" w:type="default"/>
          <w:footerReference r:id="rId14" w:type="default"/>
          <w:pgSz w:w="11905" w:h="16838"/>
          <w:pgMar w:top="652" w:right="1417" w:bottom="680" w:left="1417" w:header="227" w:footer="425" w:gutter="0"/>
          <w:cols w:space="0" w:num="1"/>
          <w:titlePg/>
          <w:docGrid w:linePitch="312" w:charSpace="0"/>
        </w:sectPr>
      </w:pPr>
    </w:p>
    <w:p w14:paraId="22B684ED">
      <w:pPr>
        <w:wordWrap w:val="0"/>
        <w:ind w:firstLine="643"/>
        <w:jc w:val="left"/>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22B684EE">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B684EF">
      <w:pPr>
        <w:wordWrap w:val="0"/>
        <w:snapToGrid w:val="0"/>
        <w:spacing w:line="360" w:lineRule="auto"/>
        <w:ind w:firstLine="2872" w:firstLineChars="89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22B684F0">
      <w:pPr>
        <w:wordWrap w:val="0"/>
        <w:snapToGrid w:val="0"/>
        <w:spacing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22B684F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4F2">
      <w:pPr>
        <w:wordWrap w:val="0"/>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政府采购投标的一切事项，其法律后果由我方自行承担。</w:t>
      </w:r>
    </w:p>
    <w:p w14:paraId="22B684F3">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684F4">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2B684F5">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4F6">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2B684F7">
      <w:pPr>
        <w:wordWrap w:val="0"/>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22B684F8">
      <w:pPr>
        <w:wordWrap w:val="0"/>
        <w:ind w:firstLine="440"/>
        <w:rPr>
          <w:rFonts w:hint="eastAsia" w:ascii="仿宋" w:hAnsi="仿宋" w:eastAsia="仿宋" w:cs="仿宋"/>
          <w:color w:val="auto"/>
          <w:sz w:val="22"/>
          <w:szCs w:val="22"/>
          <w:highlight w:val="none"/>
        </w:rPr>
      </w:pPr>
    </w:p>
    <w:p w14:paraId="22B684F9">
      <w:pPr>
        <w:wordWrap w:val="0"/>
        <w:snapToGrid w:val="0"/>
        <w:spacing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22B684FA">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4FB">
      <w:pPr>
        <w:wordWrap w:val="0"/>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22B684FC">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684FD">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2B684FE">
      <w:pPr>
        <w:wordWrap w:val="0"/>
        <w:rPr>
          <w:rFonts w:hint="eastAsia" w:ascii="仿宋" w:hAnsi="仿宋" w:eastAsia="仿宋" w:cs="仿宋"/>
          <w:color w:val="auto"/>
          <w:highlight w:val="none"/>
        </w:rPr>
      </w:pPr>
    </w:p>
    <w:p w14:paraId="22B684FF">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2B68500">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501">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2B68502">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22B68503">
      <w:pPr>
        <w:wordWrap w:val="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22B68504">
      <w:pPr>
        <w:wordWrap w:val="0"/>
        <w:autoSpaceDE w:val="0"/>
        <w:autoSpaceDN w:val="0"/>
        <w:spacing w:line="360" w:lineRule="auto"/>
        <w:ind w:firstLine="643"/>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22B68505">
      <w:pPr>
        <w:pStyle w:val="148"/>
        <w:wordWrap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B6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B68506">
            <w:pPr>
              <w:pStyle w:val="148"/>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2B68507">
            <w:pPr>
              <w:pStyle w:val="148"/>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color w:val="auto"/>
                <w:sz w:val="24"/>
                <w:highlight w:val="none"/>
              </w:rPr>
            </w:pPr>
          </w:p>
        </w:tc>
      </w:tr>
    </w:tbl>
    <w:p w14:paraId="22B68509">
      <w:pPr>
        <w:wordWrap w:val="0"/>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B6850A">
      <w:pPr>
        <w:wordWrap w:val="0"/>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22B6850B">
      <w:pPr>
        <w:wordWrap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B6850C">
      <w:pPr>
        <w:wordWrap w:val="0"/>
        <w:ind w:firstLine="643"/>
        <w:jc w:val="center"/>
        <w:rPr>
          <w:rFonts w:hint="eastAsia" w:ascii="仿宋" w:hAnsi="仿宋" w:eastAsia="仿宋" w:cs="仿宋"/>
          <w:b/>
          <w:color w:val="auto"/>
          <w:kern w:val="0"/>
          <w:sz w:val="32"/>
          <w:szCs w:val="32"/>
          <w:highlight w:val="none"/>
        </w:rPr>
      </w:pPr>
    </w:p>
    <w:p w14:paraId="22B6850D">
      <w:pPr>
        <w:wordWrap w:val="0"/>
        <w:ind w:firstLine="643"/>
        <w:jc w:val="center"/>
        <w:rPr>
          <w:rFonts w:hint="eastAsia" w:ascii="仿宋" w:hAnsi="仿宋" w:eastAsia="仿宋" w:cs="仿宋"/>
          <w:b/>
          <w:color w:val="auto"/>
          <w:kern w:val="0"/>
          <w:sz w:val="32"/>
          <w:szCs w:val="32"/>
          <w:highlight w:val="none"/>
        </w:rPr>
      </w:pPr>
    </w:p>
    <w:p w14:paraId="22B6850E">
      <w:pPr>
        <w:wordWrap w:val="0"/>
        <w:ind w:firstLine="643"/>
        <w:jc w:val="center"/>
        <w:rPr>
          <w:rFonts w:hint="eastAsia" w:ascii="仿宋" w:hAnsi="仿宋" w:eastAsia="仿宋" w:cs="仿宋"/>
          <w:b/>
          <w:color w:val="auto"/>
          <w:kern w:val="0"/>
          <w:sz w:val="32"/>
          <w:szCs w:val="32"/>
          <w:highlight w:val="none"/>
        </w:rPr>
      </w:pPr>
    </w:p>
    <w:p w14:paraId="22B6850F">
      <w:pPr>
        <w:wordWrap w:val="0"/>
        <w:ind w:firstLine="643"/>
        <w:jc w:val="center"/>
        <w:rPr>
          <w:rFonts w:hint="eastAsia" w:ascii="仿宋" w:hAnsi="仿宋" w:eastAsia="仿宋" w:cs="仿宋"/>
          <w:b/>
          <w:color w:val="auto"/>
          <w:kern w:val="0"/>
          <w:sz w:val="32"/>
          <w:szCs w:val="32"/>
          <w:highlight w:val="none"/>
        </w:rPr>
      </w:pPr>
    </w:p>
    <w:p w14:paraId="22B68510">
      <w:pPr>
        <w:wordWrap w:val="0"/>
        <w:ind w:firstLine="643"/>
        <w:jc w:val="center"/>
        <w:rPr>
          <w:rFonts w:hint="eastAsia" w:ascii="仿宋" w:hAnsi="仿宋" w:eastAsia="仿宋" w:cs="仿宋"/>
          <w:b/>
          <w:color w:val="auto"/>
          <w:kern w:val="0"/>
          <w:sz w:val="32"/>
          <w:szCs w:val="32"/>
          <w:highlight w:val="none"/>
        </w:rPr>
      </w:pPr>
    </w:p>
    <w:p w14:paraId="22B68511">
      <w:pPr>
        <w:wordWrap w:val="0"/>
        <w:ind w:firstLine="643"/>
        <w:jc w:val="center"/>
        <w:rPr>
          <w:rFonts w:hint="eastAsia" w:ascii="仿宋" w:hAnsi="仿宋" w:eastAsia="仿宋" w:cs="仿宋"/>
          <w:b/>
          <w:color w:val="auto"/>
          <w:kern w:val="0"/>
          <w:sz w:val="32"/>
          <w:szCs w:val="32"/>
          <w:highlight w:val="none"/>
        </w:rPr>
      </w:pPr>
    </w:p>
    <w:p w14:paraId="22B68512">
      <w:pPr>
        <w:wordWrap w:val="0"/>
        <w:ind w:firstLine="643"/>
        <w:jc w:val="center"/>
        <w:rPr>
          <w:rFonts w:hint="eastAsia" w:ascii="仿宋" w:hAnsi="仿宋" w:eastAsia="仿宋" w:cs="仿宋"/>
          <w:b/>
          <w:color w:val="auto"/>
          <w:kern w:val="0"/>
          <w:sz w:val="32"/>
          <w:szCs w:val="32"/>
          <w:highlight w:val="none"/>
        </w:rPr>
      </w:pPr>
    </w:p>
    <w:p w14:paraId="22B68513">
      <w:pPr>
        <w:wordWrap w:val="0"/>
        <w:ind w:firstLine="643"/>
        <w:jc w:val="center"/>
        <w:rPr>
          <w:rFonts w:hint="eastAsia" w:ascii="仿宋" w:hAnsi="仿宋" w:eastAsia="仿宋" w:cs="仿宋"/>
          <w:b/>
          <w:color w:val="auto"/>
          <w:kern w:val="0"/>
          <w:sz w:val="32"/>
          <w:szCs w:val="32"/>
          <w:highlight w:val="none"/>
        </w:rPr>
      </w:pPr>
    </w:p>
    <w:p w14:paraId="22B68514">
      <w:pPr>
        <w:wordWrap w:val="0"/>
        <w:ind w:firstLine="643"/>
        <w:jc w:val="center"/>
        <w:rPr>
          <w:rFonts w:hint="eastAsia" w:ascii="仿宋" w:hAnsi="仿宋" w:eastAsia="仿宋" w:cs="仿宋"/>
          <w:b/>
          <w:color w:val="auto"/>
          <w:kern w:val="0"/>
          <w:sz w:val="32"/>
          <w:szCs w:val="32"/>
          <w:highlight w:val="none"/>
        </w:rPr>
      </w:pPr>
    </w:p>
    <w:p w14:paraId="22B68515">
      <w:pPr>
        <w:wordWrap w:val="0"/>
        <w:ind w:firstLine="643"/>
        <w:jc w:val="center"/>
        <w:rPr>
          <w:rFonts w:hint="eastAsia" w:ascii="仿宋" w:hAnsi="仿宋" w:eastAsia="仿宋" w:cs="仿宋"/>
          <w:b/>
          <w:color w:val="auto"/>
          <w:kern w:val="0"/>
          <w:sz w:val="32"/>
          <w:szCs w:val="32"/>
          <w:highlight w:val="none"/>
        </w:rPr>
      </w:pPr>
    </w:p>
    <w:p w14:paraId="22B68516">
      <w:pPr>
        <w:wordWrap w:val="0"/>
        <w:ind w:firstLine="643"/>
        <w:jc w:val="center"/>
        <w:rPr>
          <w:rFonts w:hint="eastAsia" w:ascii="仿宋" w:hAnsi="仿宋" w:eastAsia="仿宋" w:cs="仿宋"/>
          <w:b/>
          <w:color w:val="auto"/>
          <w:kern w:val="0"/>
          <w:sz w:val="32"/>
          <w:szCs w:val="32"/>
          <w:highlight w:val="none"/>
        </w:rPr>
      </w:pPr>
    </w:p>
    <w:p w14:paraId="22B68517">
      <w:pPr>
        <w:wordWrap w:val="0"/>
        <w:ind w:firstLine="643"/>
        <w:jc w:val="center"/>
        <w:rPr>
          <w:rFonts w:hint="eastAsia" w:ascii="仿宋" w:hAnsi="仿宋" w:eastAsia="仿宋" w:cs="仿宋"/>
          <w:b/>
          <w:color w:val="auto"/>
          <w:kern w:val="0"/>
          <w:sz w:val="32"/>
          <w:szCs w:val="32"/>
          <w:highlight w:val="none"/>
        </w:rPr>
      </w:pPr>
    </w:p>
    <w:p w14:paraId="22B68518">
      <w:pPr>
        <w:wordWrap w:val="0"/>
        <w:ind w:firstLine="643"/>
        <w:jc w:val="center"/>
        <w:rPr>
          <w:rFonts w:hint="eastAsia" w:ascii="仿宋" w:hAnsi="仿宋" w:eastAsia="仿宋" w:cs="仿宋"/>
          <w:b/>
          <w:color w:val="auto"/>
          <w:kern w:val="0"/>
          <w:sz w:val="32"/>
          <w:szCs w:val="32"/>
          <w:highlight w:val="none"/>
        </w:rPr>
      </w:pPr>
    </w:p>
    <w:p w14:paraId="22B68519">
      <w:pPr>
        <w:wordWrap w:val="0"/>
        <w:ind w:firstLine="643"/>
        <w:jc w:val="center"/>
        <w:rPr>
          <w:rFonts w:hint="eastAsia" w:ascii="仿宋" w:hAnsi="仿宋" w:eastAsia="仿宋" w:cs="仿宋"/>
          <w:b/>
          <w:color w:val="auto"/>
          <w:kern w:val="0"/>
          <w:sz w:val="32"/>
          <w:szCs w:val="32"/>
          <w:highlight w:val="none"/>
        </w:rPr>
      </w:pPr>
    </w:p>
    <w:p w14:paraId="103B2FA4">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14:paraId="22B6851B">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22B6851C">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22B6851D">
      <w:pPr>
        <w:pStyle w:val="61"/>
        <w:spacing w:line="360" w:lineRule="auto"/>
        <w:ind w:firstLine="420"/>
        <w:rPr>
          <w:rFonts w:hint="eastAsia" w:ascii="仿宋" w:hAnsi="仿宋" w:eastAsia="仿宋" w:cs="仿宋"/>
          <w:color w:val="auto"/>
          <w:highlight w:val="none"/>
        </w:rPr>
      </w:pPr>
    </w:p>
    <w:p w14:paraId="7C2212D0">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763" w:name="_Toc2615"/>
      <w:bookmarkStart w:id="764"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763"/>
      <w:bookmarkEnd w:id="764"/>
    </w:p>
    <w:p w14:paraId="22B6851F">
      <w:pPr>
        <w:wordWrap w:val="0"/>
        <w:ind w:firstLine="643"/>
        <w:rPr>
          <w:rFonts w:hint="eastAsia" w:ascii="仿宋" w:hAnsi="仿宋" w:eastAsia="仿宋" w:cs="仿宋"/>
          <w:b/>
          <w:color w:val="auto"/>
          <w:kern w:val="0"/>
          <w:sz w:val="32"/>
          <w:szCs w:val="32"/>
          <w:highlight w:val="none"/>
        </w:rPr>
      </w:pPr>
    </w:p>
    <w:p w14:paraId="22B68520">
      <w:pPr>
        <w:wordWrap w:val="0"/>
        <w:ind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2B68521">
      <w:pPr>
        <w:wordWrap w:val="0"/>
        <w:ind w:firstLine="643"/>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22B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B68522">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22B68523">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22B68524">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22B68525">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2B68526">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2B6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28">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22B6852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22B6852A">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22B6852B">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2C">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2D">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B6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2F">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22B6853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22B68531">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22B68532">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u w:val="single"/>
              </w:rPr>
            </w:pPr>
          </w:p>
          <w:p w14:paraId="22B68533">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22B68534">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35">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36">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37">
            <w:pPr>
              <w:pStyle w:val="2"/>
              <w:keepNext w:val="0"/>
              <w:keepLines w:val="0"/>
              <w:suppressLineNumbers w:val="0"/>
              <w:wordWrap w:val="0"/>
              <w:spacing w:before="0" w:beforeAutospacing="0" w:after="0" w:afterAutospacing="0"/>
              <w:ind w:right="0" w:firstLine="0"/>
              <w:jc w:val="center"/>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2B6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39">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22B6853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22B6853B">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22B6853C">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3D">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B6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3F">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22B6854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22B68541">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22B68542">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43">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CB90566">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22B68546">
      <w:pPr>
        <w:wordWrap w:val="0"/>
        <w:ind w:firstLine="643"/>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2B68547">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22B68548">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14:paraId="22B68549">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单位介绍</w:t>
      </w:r>
    </w:p>
    <w:p w14:paraId="22B6854A">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资格、资质、获得的荣誉等证明文件（如有）</w:t>
      </w:r>
    </w:p>
    <w:p w14:paraId="22B6854B">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类似项目业绩情况表及证明材料</w:t>
      </w:r>
    </w:p>
    <w:p w14:paraId="22B6854C">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商务偏离表</w:t>
      </w:r>
    </w:p>
    <w:p w14:paraId="22B6854D">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投标人认为需要提供的其他资料</w:t>
      </w:r>
    </w:p>
    <w:p w14:paraId="22B6854E">
      <w:pPr>
        <w:wordWrap w:val="0"/>
        <w:snapToGrid w:val="0"/>
        <w:spacing w:line="360" w:lineRule="auto"/>
        <w:ind w:firstLine="241" w:firstLineChars="10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（二）技术部分</w:t>
      </w:r>
    </w:p>
    <w:p w14:paraId="22B6854F">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员工人员管理制度</w:t>
      </w:r>
    </w:p>
    <w:p w14:paraId="22B68550">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安全生产制度</w:t>
      </w:r>
    </w:p>
    <w:p w14:paraId="22B68551">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闸站养护管理方案</w:t>
      </w:r>
    </w:p>
    <w:p w14:paraId="3D3271AE">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养护工作响应保障情况</w:t>
      </w:r>
    </w:p>
    <w:p w14:paraId="22B68552">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应急响应方案</w:t>
      </w:r>
    </w:p>
    <w:p w14:paraId="22B68553">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归档整理方案</w:t>
      </w:r>
    </w:p>
    <w:p w14:paraId="22B68556">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拟投入机械设备情况</w:t>
      </w:r>
    </w:p>
    <w:p w14:paraId="22B68557">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养护人员配备情况</w:t>
      </w:r>
    </w:p>
    <w:p w14:paraId="22B68558">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技术偏离表</w:t>
      </w:r>
    </w:p>
    <w:p w14:paraId="22B68559">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投标人认为需要提供的其他资料</w:t>
      </w:r>
    </w:p>
    <w:p w14:paraId="22B6855A">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2B6855B">
      <w:pPr>
        <w:wordWrap w:val="0"/>
        <w:ind w:firstLine="643"/>
        <w:jc w:val="center"/>
        <w:rPr>
          <w:rFonts w:hint="eastAsia" w:ascii="仿宋" w:hAnsi="仿宋" w:eastAsia="仿宋" w:cs="仿宋"/>
          <w:b/>
          <w:color w:val="auto"/>
          <w:kern w:val="0"/>
          <w:sz w:val="32"/>
          <w:szCs w:val="32"/>
          <w:highlight w:val="none"/>
        </w:rPr>
      </w:pPr>
    </w:p>
    <w:p w14:paraId="22B6855C">
      <w:pPr>
        <w:wordWrap w:val="0"/>
        <w:ind w:firstLine="643"/>
        <w:jc w:val="center"/>
        <w:rPr>
          <w:rFonts w:hint="eastAsia" w:ascii="仿宋" w:hAnsi="仿宋" w:eastAsia="仿宋" w:cs="仿宋"/>
          <w:b/>
          <w:color w:val="auto"/>
          <w:kern w:val="0"/>
          <w:sz w:val="32"/>
          <w:szCs w:val="32"/>
          <w:highlight w:val="none"/>
        </w:rPr>
      </w:pPr>
    </w:p>
    <w:p w14:paraId="22B6855D">
      <w:pPr>
        <w:wordWrap w:val="0"/>
        <w:ind w:firstLine="643"/>
        <w:jc w:val="center"/>
        <w:rPr>
          <w:rFonts w:hint="eastAsia" w:ascii="仿宋" w:hAnsi="仿宋" w:eastAsia="仿宋" w:cs="仿宋"/>
          <w:b/>
          <w:color w:val="auto"/>
          <w:kern w:val="0"/>
          <w:sz w:val="32"/>
          <w:szCs w:val="32"/>
          <w:highlight w:val="none"/>
        </w:rPr>
      </w:pPr>
    </w:p>
    <w:p w14:paraId="22B6855E">
      <w:pPr>
        <w:wordWrap w:val="0"/>
        <w:ind w:firstLine="643"/>
        <w:jc w:val="center"/>
        <w:rPr>
          <w:rFonts w:hint="eastAsia" w:ascii="仿宋" w:hAnsi="仿宋" w:eastAsia="仿宋" w:cs="仿宋"/>
          <w:b/>
          <w:color w:val="auto"/>
          <w:kern w:val="0"/>
          <w:sz w:val="32"/>
          <w:szCs w:val="32"/>
          <w:highlight w:val="none"/>
        </w:rPr>
      </w:pPr>
    </w:p>
    <w:p w14:paraId="22B6855F">
      <w:pPr>
        <w:wordWrap w:val="0"/>
        <w:ind w:firstLine="643"/>
        <w:jc w:val="center"/>
        <w:rPr>
          <w:rFonts w:hint="eastAsia" w:ascii="仿宋" w:hAnsi="仿宋" w:eastAsia="仿宋" w:cs="仿宋"/>
          <w:b/>
          <w:color w:val="auto"/>
          <w:kern w:val="0"/>
          <w:sz w:val="32"/>
          <w:szCs w:val="32"/>
          <w:highlight w:val="none"/>
        </w:rPr>
      </w:pPr>
    </w:p>
    <w:p w14:paraId="22B68560">
      <w:pPr>
        <w:wordWrap w:val="0"/>
        <w:ind w:firstLine="643"/>
        <w:jc w:val="center"/>
        <w:rPr>
          <w:rFonts w:hint="eastAsia" w:ascii="仿宋" w:hAnsi="仿宋" w:eastAsia="仿宋" w:cs="仿宋"/>
          <w:b/>
          <w:color w:val="auto"/>
          <w:kern w:val="0"/>
          <w:sz w:val="32"/>
          <w:szCs w:val="32"/>
          <w:highlight w:val="none"/>
        </w:rPr>
      </w:pPr>
    </w:p>
    <w:p w14:paraId="22B68561">
      <w:pPr>
        <w:wordWrap w:val="0"/>
        <w:ind w:firstLine="643"/>
        <w:jc w:val="center"/>
        <w:rPr>
          <w:rFonts w:hint="eastAsia" w:ascii="仿宋" w:hAnsi="仿宋" w:eastAsia="仿宋" w:cs="仿宋"/>
          <w:b/>
          <w:color w:val="auto"/>
          <w:kern w:val="0"/>
          <w:sz w:val="32"/>
          <w:szCs w:val="32"/>
          <w:highlight w:val="none"/>
        </w:rPr>
      </w:pPr>
    </w:p>
    <w:p w14:paraId="22B68562">
      <w:pPr>
        <w:wordWrap w:val="0"/>
        <w:ind w:firstLine="643"/>
        <w:jc w:val="center"/>
        <w:rPr>
          <w:rFonts w:hint="eastAsia" w:ascii="仿宋" w:hAnsi="仿宋" w:eastAsia="仿宋" w:cs="仿宋"/>
          <w:b/>
          <w:color w:val="auto"/>
          <w:kern w:val="0"/>
          <w:sz w:val="32"/>
          <w:szCs w:val="32"/>
          <w:highlight w:val="none"/>
        </w:rPr>
      </w:pPr>
    </w:p>
    <w:p w14:paraId="22B68563">
      <w:pPr>
        <w:wordWrap w:val="0"/>
        <w:ind w:firstLine="643"/>
        <w:jc w:val="center"/>
        <w:rPr>
          <w:rFonts w:hint="eastAsia" w:ascii="仿宋" w:hAnsi="仿宋" w:eastAsia="仿宋" w:cs="仿宋"/>
          <w:b/>
          <w:color w:val="auto"/>
          <w:kern w:val="0"/>
          <w:sz w:val="32"/>
          <w:szCs w:val="32"/>
          <w:highlight w:val="none"/>
        </w:rPr>
      </w:pPr>
    </w:p>
    <w:p w14:paraId="56856506">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65">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22B68566">
      <w:pPr>
        <w:wordWrap w:val="0"/>
        <w:adjustRightInd/>
        <w:spacing w:line="360" w:lineRule="auto"/>
        <w:ind w:firstLine="643"/>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22B685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67">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22B68568">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22B6856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22B68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6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6C">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6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22B6856F">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0">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1">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3">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4">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5">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7">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8">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C">
            <w:pPr>
              <w:keepNext w:val="0"/>
              <w:keepLines w:val="0"/>
              <w:suppressLineNumbers w:val="0"/>
              <w:wordWrap w:val="0"/>
              <w:snapToGrid w:val="0"/>
              <w:spacing w:before="0" w:beforeAutospacing="0" w:after="0" w:afterAutospacing="0"/>
              <w:ind w:left="-2" w:leftChars="-1" w:right="0"/>
              <w:rPr>
                <w:rFonts w:hint="eastAsia" w:ascii="仿宋" w:hAnsi="仿宋" w:eastAsia="仿宋" w:cs="仿宋"/>
                <w:b/>
                <w:color w:val="auto"/>
                <w:sz w:val="24"/>
                <w:highlight w:val="none"/>
              </w:rPr>
            </w:pPr>
          </w:p>
        </w:tc>
        <w:tc>
          <w:tcPr>
            <w:tcW w:w="1276" w:type="dxa"/>
            <w:vAlign w:val="center"/>
          </w:tcPr>
          <w:p w14:paraId="22B6857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bl>
    <w:p w14:paraId="22B6857F">
      <w:pPr>
        <w:wordWrap w:val="0"/>
        <w:adjustRightInd/>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14:paraId="5399F6CB">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81">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14:paraId="22B68582">
      <w:pPr>
        <w:wordWrap w:val="0"/>
        <w:ind w:firstLine="723"/>
        <w:rPr>
          <w:rFonts w:hint="eastAsia" w:ascii="仿宋" w:hAnsi="仿宋" w:eastAsia="仿宋" w:cs="仿宋"/>
          <w:b/>
          <w:bCs/>
          <w:color w:val="auto"/>
          <w:sz w:val="36"/>
          <w:szCs w:val="36"/>
          <w:highlight w:val="none"/>
        </w:rPr>
      </w:pPr>
    </w:p>
    <w:p w14:paraId="22B68583">
      <w:pPr>
        <w:wordWrap w:val="0"/>
        <w:ind w:firstLine="3900" w:firstLineChars="13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22B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22B6858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14:paraId="22B6858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1527" w:type="dxa"/>
            <w:gridSpan w:val="2"/>
            <w:vAlign w:val="center"/>
          </w:tcPr>
          <w:p w14:paraId="22B6858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14:paraId="22B6858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2B6858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14:paraId="22B6858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8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14:paraId="22B6858D">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8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14:paraId="22B6859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2754" w:type="dxa"/>
            <w:gridSpan w:val="2"/>
            <w:vAlign w:val="center"/>
          </w:tcPr>
          <w:p w14:paraId="22B6859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14:paraId="22B6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14:paraId="22B6859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14:paraId="22B6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14:paraId="22B6859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14:paraId="22B6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14:paraId="22B6859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14:paraId="22B6859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14:paraId="22B6859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14:paraId="22B6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A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2023年度主营业务收入</w:t>
            </w:r>
          </w:p>
        </w:tc>
        <w:tc>
          <w:tcPr>
            <w:tcW w:w="6683" w:type="dxa"/>
            <w:gridSpan w:val="4"/>
            <w:vAlign w:val="center"/>
          </w:tcPr>
          <w:p w14:paraId="22B685A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A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14:paraId="22B685A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14:paraId="22B685A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14:paraId="22B6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22B685A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14:paraId="22B685A8">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p w14:paraId="22B685A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r>
      <w:tr w14:paraId="22B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22B685A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  位</w:t>
            </w:r>
          </w:p>
          <w:p w14:paraId="22B685A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  织</w:t>
            </w:r>
          </w:p>
          <w:p w14:paraId="22B685A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机  构</w:t>
            </w:r>
          </w:p>
          <w:p w14:paraId="22B685A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14:paraId="22B685A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Cs w:val="21"/>
                <w:highlight w:val="none"/>
              </w:rPr>
            </w:pPr>
          </w:p>
        </w:tc>
      </w:tr>
    </w:tbl>
    <w:p w14:paraId="22B685B1">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14:paraId="22B685B2">
      <w:pPr>
        <w:wordWrap w:val="0"/>
        <w:spacing w:line="360" w:lineRule="auto"/>
        <w:rPr>
          <w:rFonts w:hint="eastAsia" w:ascii="仿宋" w:hAnsi="仿宋" w:eastAsia="仿宋" w:cs="仿宋"/>
          <w:color w:val="auto"/>
          <w:sz w:val="24"/>
          <w:highlight w:val="none"/>
        </w:rPr>
      </w:pPr>
    </w:p>
    <w:p w14:paraId="22B685B3">
      <w:pPr>
        <w:wordWrap w:val="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14:paraId="22B685B4">
      <w:pPr>
        <w:wordWrap w:val="0"/>
        <w:rPr>
          <w:rFonts w:hint="eastAsia" w:ascii="仿宋" w:hAnsi="仿宋" w:eastAsia="仿宋" w:cs="仿宋"/>
          <w:color w:val="auto"/>
          <w:sz w:val="24"/>
          <w:highlight w:val="none"/>
        </w:rPr>
      </w:pPr>
    </w:p>
    <w:p w14:paraId="22B685B5">
      <w:pPr>
        <w:wordWrap w:val="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14:paraId="76DE3D98">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B7">
      <w:pPr>
        <w:pStyle w:val="61"/>
        <w:wordWrap w:val="0"/>
        <w:ind w:firstLine="420"/>
        <w:rPr>
          <w:rFonts w:hint="eastAsia" w:ascii="仿宋" w:hAnsi="仿宋" w:eastAsia="仿宋" w:cs="仿宋"/>
          <w:color w:val="auto"/>
          <w:highlight w:val="none"/>
        </w:rPr>
      </w:pPr>
    </w:p>
    <w:p w14:paraId="22B685B8">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14:paraId="22B685B9">
      <w:pPr>
        <w:wordWrap w:val="0"/>
        <w:spacing w:line="360" w:lineRule="auto"/>
        <w:ind w:firstLine="643"/>
        <w:jc w:val="center"/>
        <w:rPr>
          <w:rFonts w:hint="eastAsia" w:ascii="仿宋" w:hAnsi="仿宋" w:eastAsia="仿宋" w:cs="仿宋"/>
          <w:b/>
          <w:color w:val="auto"/>
          <w:sz w:val="32"/>
          <w:szCs w:val="32"/>
          <w:highlight w:val="none"/>
        </w:rPr>
      </w:pPr>
    </w:p>
    <w:p w14:paraId="22B685BA">
      <w:pPr>
        <w:wordWrap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14:paraId="22B685BB">
      <w:pPr>
        <w:wordWrap w:val="0"/>
        <w:spacing w:line="360" w:lineRule="auto"/>
        <w:ind w:firstLine="315" w:firstLineChars="150"/>
        <w:rPr>
          <w:rFonts w:hint="eastAsia" w:ascii="仿宋" w:hAnsi="仿宋" w:eastAsia="仿宋" w:cs="仿宋"/>
          <w:color w:val="auto"/>
          <w:szCs w:val="21"/>
          <w:highlight w:val="none"/>
          <w:u w:val="single"/>
        </w:rPr>
      </w:pPr>
    </w:p>
    <w:p w14:paraId="22B685BC">
      <w:pPr>
        <w:pStyle w:val="79"/>
        <w:wordWrap w:val="0"/>
        <w:rPr>
          <w:rFonts w:hint="eastAsia" w:ascii="仿宋" w:hAnsi="仿宋" w:eastAsia="仿宋" w:cs="仿宋"/>
          <w:color w:val="auto"/>
          <w:highlight w:val="none"/>
          <w:u w:val="single"/>
          <w:lang w:eastAsia="zh-CN"/>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highlight w:val="none"/>
          <w:u w:val="single"/>
          <w:lang w:eastAsia="zh-CN"/>
        </w:rPr>
        <w:t>古荡公园泵站、古荡湾（水）闸、冯家港船闸等养护服务采购项目</w:t>
      </w:r>
    </w:p>
    <w:p w14:paraId="22B685BD">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u w:val="single"/>
          <w:lang w:val="en-US" w:eastAsia="zh-CN"/>
        </w:rPr>
        <w:t>ZJCT6-HD2025-02</w:t>
      </w:r>
      <w:r>
        <w:rPr>
          <w:rFonts w:hint="eastAsia" w:ascii="仿宋" w:hAnsi="仿宋" w:eastAsia="仿宋" w:cs="仿宋"/>
          <w:color w:val="auto"/>
          <w:kern w:val="2"/>
          <w:szCs w:val="24"/>
          <w:highlight w:val="none"/>
          <w:u w:val="single"/>
          <w:lang w:val="en-US"/>
        </w:rPr>
        <w:t xml:space="preserve">  </w:t>
      </w:r>
    </w:p>
    <w:p w14:paraId="22B685BE">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22B685BF">
      <w:pPr>
        <w:pStyle w:val="79"/>
        <w:wordWrap w:val="0"/>
        <w:rPr>
          <w:rFonts w:hint="eastAsia" w:ascii="仿宋" w:hAnsi="仿宋" w:eastAsia="仿宋" w:cs="仿宋"/>
          <w:color w:val="auto"/>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14:paraId="22B685C6">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14:paraId="22B685C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14:paraId="22B685C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14:paraId="22B685C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14:paraId="22B685C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14:paraId="22B685C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14:paraId="22B685C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14:paraId="22B685CD">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14:paraId="22B685C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C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C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C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C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C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D4">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14:paraId="22B685C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C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D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D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DB">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22B685D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D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D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E2">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22B685D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D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E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E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E9">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14:paraId="22B685E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E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E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E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E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E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5EA">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14:paraId="22B685EB">
      <w:pPr>
        <w:wordWrap w:val="0"/>
        <w:autoSpaceDE w:val="0"/>
        <w:autoSpaceDN w:val="0"/>
        <w:spacing w:line="360" w:lineRule="auto"/>
        <w:ind w:firstLine="482"/>
        <w:rPr>
          <w:rFonts w:hint="eastAsia" w:ascii="仿宋" w:hAnsi="仿宋" w:eastAsia="仿宋" w:cs="仿宋"/>
          <w:b/>
          <w:color w:val="auto"/>
          <w:sz w:val="24"/>
          <w:highlight w:val="none"/>
        </w:rPr>
      </w:pPr>
    </w:p>
    <w:p w14:paraId="22B685EC">
      <w:pPr>
        <w:wordWrap w:val="0"/>
        <w:autoSpaceDE w:val="0"/>
        <w:autoSpaceDN w:val="0"/>
        <w:spacing w:line="360" w:lineRule="auto"/>
        <w:rPr>
          <w:rFonts w:hint="eastAsia" w:ascii="仿宋" w:hAnsi="仿宋" w:eastAsia="仿宋" w:cs="仿宋"/>
          <w:color w:val="auto"/>
          <w:sz w:val="24"/>
          <w:highlight w:val="none"/>
        </w:rPr>
      </w:pPr>
    </w:p>
    <w:p w14:paraId="22B685ED">
      <w:pPr>
        <w:pStyle w:val="3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22B685EE">
      <w:pPr>
        <w:pStyle w:val="3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22B685EF">
      <w:pPr>
        <w:wordWrap w:val="0"/>
        <w:ind w:firstLine="643"/>
        <w:jc w:val="center"/>
        <w:rPr>
          <w:rFonts w:hint="eastAsia" w:ascii="仿宋" w:hAnsi="仿宋" w:eastAsia="仿宋" w:cs="仿宋"/>
          <w:b/>
          <w:color w:val="auto"/>
          <w:kern w:val="0"/>
          <w:sz w:val="32"/>
          <w:szCs w:val="32"/>
          <w:highlight w:val="none"/>
        </w:rPr>
      </w:pPr>
    </w:p>
    <w:p w14:paraId="2399B05C">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F1">
      <w:pPr>
        <w:wordWrap w:val="0"/>
        <w:ind w:firstLine="643"/>
        <w:jc w:val="left"/>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）拟投入机械设备配备情况一览表</w:t>
      </w:r>
    </w:p>
    <w:p w14:paraId="22B685F2">
      <w:pPr>
        <w:pStyle w:val="79"/>
        <w:wordWrap w:val="0"/>
        <w:jc w:val="center"/>
        <w:rPr>
          <w:rFonts w:hint="eastAsia" w:ascii="仿宋" w:hAnsi="仿宋" w:eastAsia="仿宋" w:cs="仿宋"/>
          <w:b/>
          <w:color w:val="auto"/>
          <w:sz w:val="32"/>
          <w:szCs w:val="32"/>
          <w:highlight w:val="none"/>
        </w:rPr>
      </w:pPr>
    </w:p>
    <w:p w14:paraId="22B685F3">
      <w:pPr>
        <w:pStyle w:val="79"/>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拟投入机械设备配备情况一览表</w:t>
      </w:r>
    </w:p>
    <w:p w14:paraId="22B685F4">
      <w:pPr>
        <w:pStyle w:val="79"/>
        <w:wordWrap w:val="0"/>
        <w:jc w:val="center"/>
        <w:rPr>
          <w:rFonts w:hint="eastAsia"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lang w:val="en-US"/>
        </w:rPr>
        <w:t>（投标截至前具备的）</w:t>
      </w:r>
    </w:p>
    <w:p w14:paraId="22B685F5">
      <w:pPr>
        <w:pStyle w:val="79"/>
        <w:wordWrap w:val="0"/>
        <w:rPr>
          <w:rFonts w:hint="eastAsia" w:ascii="仿宋" w:hAnsi="仿宋" w:eastAsia="仿宋" w:cs="仿宋"/>
          <w:color w:val="auto"/>
          <w:highlight w:val="none"/>
          <w:u w:val="single"/>
          <w:lang w:eastAsia="zh-CN"/>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highlight w:val="none"/>
          <w:u w:val="single"/>
          <w:lang w:eastAsia="zh-CN"/>
        </w:rPr>
        <w:t>古荡公园泵站、古荡湾（水）闸、冯家港船闸等养护服务采购项目</w:t>
      </w:r>
    </w:p>
    <w:p w14:paraId="22B685F6">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u w:val="single"/>
          <w:lang w:val="en-US" w:eastAsia="zh-CN"/>
        </w:rPr>
        <w:t>ZJCT6-HD2025-02</w:t>
      </w:r>
      <w:r>
        <w:rPr>
          <w:rFonts w:hint="eastAsia" w:ascii="仿宋" w:hAnsi="仿宋" w:eastAsia="仿宋" w:cs="仿宋"/>
          <w:color w:val="auto"/>
          <w:kern w:val="2"/>
          <w:szCs w:val="24"/>
          <w:highlight w:val="none"/>
          <w:u w:val="single"/>
          <w:lang w:val="en-US"/>
        </w:rPr>
        <w:t xml:space="preserve">  </w:t>
      </w:r>
    </w:p>
    <w:tbl>
      <w:tblPr>
        <w:tblStyle w:val="62"/>
        <w:tblpPr w:leftFromText="180" w:rightFromText="180" w:vertAnchor="text" w:horzAnchor="page" w:tblpX="1036" w:tblpY="43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291"/>
        <w:gridCol w:w="1131"/>
        <w:gridCol w:w="1033"/>
        <w:gridCol w:w="1231"/>
        <w:gridCol w:w="1133"/>
        <w:gridCol w:w="799"/>
        <w:gridCol w:w="1012"/>
        <w:gridCol w:w="678"/>
      </w:tblGrid>
      <w:tr w14:paraId="22B6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5F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序号</w:t>
            </w:r>
          </w:p>
        </w:tc>
        <w:tc>
          <w:tcPr>
            <w:tcW w:w="695" w:type="pct"/>
          </w:tcPr>
          <w:p w14:paraId="22B685F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名称</w:t>
            </w:r>
          </w:p>
        </w:tc>
        <w:tc>
          <w:tcPr>
            <w:tcW w:w="609" w:type="pct"/>
          </w:tcPr>
          <w:p w14:paraId="22B685F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规格</w:t>
            </w:r>
          </w:p>
        </w:tc>
        <w:tc>
          <w:tcPr>
            <w:tcW w:w="556" w:type="pct"/>
          </w:tcPr>
          <w:p w14:paraId="22B685F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品牌</w:t>
            </w:r>
          </w:p>
        </w:tc>
        <w:tc>
          <w:tcPr>
            <w:tcW w:w="663" w:type="pct"/>
          </w:tcPr>
          <w:p w14:paraId="22B685F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主要技术参数</w:t>
            </w:r>
          </w:p>
        </w:tc>
        <w:tc>
          <w:tcPr>
            <w:tcW w:w="610" w:type="pct"/>
          </w:tcPr>
          <w:p w14:paraId="22B685F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自有/租赁</w:t>
            </w:r>
          </w:p>
        </w:tc>
        <w:tc>
          <w:tcPr>
            <w:tcW w:w="430" w:type="pct"/>
          </w:tcPr>
          <w:p w14:paraId="22B685F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数量</w:t>
            </w:r>
          </w:p>
        </w:tc>
        <w:tc>
          <w:tcPr>
            <w:tcW w:w="545" w:type="pct"/>
          </w:tcPr>
          <w:p w14:paraId="22B685F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牌照号/设备编号</w:t>
            </w:r>
          </w:p>
        </w:tc>
        <w:tc>
          <w:tcPr>
            <w:tcW w:w="365" w:type="pct"/>
          </w:tcPr>
          <w:p w14:paraId="22B685F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备注</w:t>
            </w:r>
          </w:p>
        </w:tc>
      </w:tr>
      <w:tr w14:paraId="22B6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0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0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0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0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0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0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0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0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0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0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0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0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0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0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1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1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1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1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1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1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1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1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1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1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1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1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1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1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2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2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2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2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2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2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2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2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2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2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2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2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2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2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2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3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3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3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3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3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3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3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3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3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3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3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3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3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3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4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4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4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4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4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4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647">
      <w:pPr>
        <w:pStyle w:val="79"/>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37A7390E">
      <w:pPr>
        <w:pStyle w:val="61"/>
        <w:wordWrap w:val="0"/>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注：1.投标人可按上述的格式自行编制，须随表提交相应的证明材料（证明材料以评标办法要求为准）并注明所在页码。2.我公司承诺，中标通知书发出后</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日历天内，表中作业设备全部配备到位，否则视为主动放弃签订合同。</w:t>
      </w:r>
    </w:p>
    <w:p w14:paraId="24ACB71F">
      <w:pPr>
        <w:rPr>
          <w:rFonts w:hint="eastAsia" w:ascii="仿宋" w:hAnsi="仿宋" w:eastAsia="仿宋" w:cs="仿宋"/>
          <w:b/>
          <w:color w:val="auto"/>
          <w:sz w:val="24"/>
          <w:highlight w:val="none"/>
        </w:rPr>
      </w:pPr>
    </w:p>
    <w:p w14:paraId="13FB4ED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投标人名称（电子签名）：</w:t>
      </w:r>
    </w:p>
    <w:p w14:paraId="13F1814C">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日期：</w:t>
      </w:r>
    </w:p>
    <w:p w14:paraId="3CB9B928">
      <w:pPr>
        <w:rPr>
          <w:rFonts w:hint="eastAsia"/>
          <w:color w:val="auto"/>
          <w:highlight w:val="none"/>
        </w:rPr>
      </w:pPr>
    </w:p>
    <w:p w14:paraId="6D20519A">
      <w:pPr>
        <w:wordWrap/>
        <w:ind w:firstLine="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786A8EC">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kern w:val="0"/>
          <w:sz w:val="32"/>
          <w:szCs w:val="32"/>
          <w:highlight w:val="none"/>
          <w:lang w:val="en-US" w:eastAsia="zh-CN" w:bidi="ar"/>
        </w:rPr>
        <w:t>承诺函</w:t>
      </w:r>
    </w:p>
    <w:p w14:paraId="53B606C3">
      <w:pPr>
        <w:pStyle w:val="57"/>
        <w:keepNext w:val="0"/>
        <w:keepLines w:val="0"/>
        <w:widowControl/>
        <w:suppressLineNumbers w:val="0"/>
        <w:wordWrap w:val="0"/>
        <w:adjustRightInd/>
        <w:spacing w:before="0" w:beforeAutospacing="0" w:after="0" w:afterAutospacing="0"/>
        <w:ind w:left="0" w:right="0"/>
        <w:jc w:val="both"/>
        <w:rPr>
          <w:rFonts w:hint="eastAsia" w:ascii="仿宋" w:hAnsi="仿宋" w:eastAsia="仿宋" w:cs="仿宋"/>
          <w:b/>
          <w:bCs w:val="0"/>
          <w:color w:val="auto"/>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38E66698">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杭州市城市水设施和河道保护管理中心</w:t>
      </w:r>
      <w:r>
        <w:rPr>
          <w:rFonts w:hint="eastAsia" w:ascii="仿宋" w:hAnsi="仿宋" w:eastAsia="仿宋" w:cs="仿宋"/>
          <w:bCs/>
          <w:color w:val="auto"/>
          <w:kern w:val="0"/>
          <w:sz w:val="24"/>
          <w:szCs w:val="24"/>
          <w:highlight w:val="none"/>
          <w:lang w:val="en-US" w:eastAsia="zh-CN" w:bidi="ar"/>
        </w:rPr>
        <w:t xml:space="preserve"> ：</w:t>
      </w:r>
    </w:p>
    <w:p w14:paraId="21C383E6">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 xml:space="preserve"> </w:t>
      </w:r>
    </w:p>
    <w:p w14:paraId="6D96AC00">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 xml:space="preserve">我单位参加古荡公园泵站、古荡湾（水）闸、冯家港船闸等养护服务采购项目【 </w:t>
      </w:r>
      <w:r>
        <w:rPr>
          <w:rFonts w:hint="eastAsia" w:ascii="仿宋" w:hAnsi="仿宋" w:eastAsia="仿宋" w:cs="仿宋"/>
          <w:color w:val="auto"/>
          <w:kern w:val="2"/>
          <w:sz w:val="24"/>
          <w:szCs w:val="24"/>
          <w:highlight w:val="none"/>
          <w:u w:val="single"/>
          <w:lang w:val="en-US" w:eastAsia="zh-CN" w:bidi="ar"/>
        </w:rPr>
        <w:t>ZJCT6-HD2025-02</w:t>
      </w:r>
      <w:r>
        <w:rPr>
          <w:rFonts w:hint="eastAsia" w:ascii="仿宋" w:hAnsi="仿宋" w:eastAsia="仿宋" w:cs="仿宋"/>
          <w:bCs/>
          <w:color w:val="auto"/>
          <w:kern w:val="0"/>
          <w:sz w:val="24"/>
          <w:szCs w:val="24"/>
          <w:highlight w:val="none"/>
          <w:lang w:val="en-US" w:eastAsia="zh-CN" w:bidi="ar"/>
        </w:rPr>
        <w:t xml:space="preserve"> 】的投标，下表中作业设备在投标截至前暂不具备，以承诺书作为投标响应，并承诺</w:t>
      </w:r>
      <w:r>
        <w:rPr>
          <w:rFonts w:hint="eastAsia" w:ascii="仿宋" w:hAnsi="仿宋" w:eastAsia="仿宋" w:cs="仿宋"/>
          <w:color w:val="auto"/>
          <w:kern w:val="2"/>
          <w:sz w:val="24"/>
          <w:szCs w:val="24"/>
          <w:highlight w:val="none"/>
          <w:lang w:val="en-US" w:eastAsia="zh-CN" w:bidi="ar"/>
        </w:rPr>
        <w:t>中标通知书发出后5日历天内全部配备到位，否则视为主动放弃签订合同。</w:t>
      </w:r>
    </w:p>
    <w:p w14:paraId="0FEB529D">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val="en-US" w:eastAsia="zh-CN" w:bidi="ar"/>
        </w:rPr>
        <w:t>作业设备配备情况一览表</w:t>
      </w:r>
    </w:p>
    <w:tbl>
      <w:tblPr>
        <w:tblStyle w:val="62"/>
        <w:tblW w:w="463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2"/>
        <w:gridCol w:w="1291"/>
        <w:gridCol w:w="1131"/>
        <w:gridCol w:w="1032"/>
        <w:gridCol w:w="1231"/>
        <w:gridCol w:w="1134"/>
        <w:gridCol w:w="796"/>
        <w:gridCol w:w="1024"/>
      </w:tblGrid>
      <w:tr w14:paraId="121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B04B48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序号</w:t>
            </w: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64CA150A">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名称</w:t>
            </w: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6E47CEC6">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规格</w:t>
            </w: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8E88E5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10408B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主要技术参数</w:t>
            </w: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162D3F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自有/租赁</w:t>
            </w: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5A153B2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数量</w:t>
            </w: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70536D1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备注</w:t>
            </w:r>
          </w:p>
        </w:tc>
      </w:tr>
      <w:tr w14:paraId="7CE5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0585E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389568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E5EF88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02E48B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C80243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4BC2409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C67334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56AE98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035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4AC7A1B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7F8D44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D7C616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145FC4C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3388DD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29EA42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0610A3F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28B26E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6B8D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6D3B24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68F0CD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2E024E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D050B4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16124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6F3B8FA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8C58E3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648D97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018C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E182D0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38C607B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42A42A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C5A48B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17C358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BBF41E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B32070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36BE9F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2D6C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1AD1FE3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04DDB7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279DA06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7662601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325EB1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6A82B5E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2EB2DE9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853C7A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4B29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0A938CB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C7A432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B86DDC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2C7CCD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3B52A9D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D19B42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FBA8CC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C9E8D0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634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D3A762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0960D2C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9168C6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620004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17087A2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DAA356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902004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24D22C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bl>
    <w:p w14:paraId="1591C21E">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注：1.投标人可按上述的格式自行编制。</w:t>
      </w:r>
    </w:p>
    <w:p w14:paraId="00AF93E6">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0494E533">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投标人名称（电子签名）：</w:t>
      </w:r>
    </w:p>
    <w:p w14:paraId="788760DC">
      <w:pPr>
        <w:keepNext w:val="0"/>
        <w:keepLines w:val="0"/>
        <w:widowControl w:val="0"/>
        <w:suppressLineNumbers w:val="0"/>
        <w:adjustRightInd w:val="0"/>
        <w:spacing w:before="0" w:beforeAutospacing="0" w:after="0" w:afterAutospacing="0"/>
        <w:ind w:left="0" w:right="0"/>
        <w:jc w:val="both"/>
        <w:rPr>
          <w:color w:val="auto"/>
          <w:highlight w:val="none"/>
        </w:rPr>
      </w:pPr>
      <w:r>
        <w:rPr>
          <w:rFonts w:hint="eastAsia" w:ascii="仿宋" w:hAnsi="仿宋" w:eastAsia="仿宋" w:cs="仿宋"/>
          <w:color w:val="auto"/>
          <w:kern w:val="0"/>
          <w:sz w:val="24"/>
          <w:szCs w:val="24"/>
          <w:highlight w:val="none"/>
          <w:lang w:val="en-US" w:eastAsia="zh-CN" w:bidi="ar"/>
        </w:rPr>
        <w:t>日期：</w:t>
      </w:r>
    </w:p>
    <w:p w14:paraId="45A5FE22">
      <w:pPr>
        <w:wordWrap w:val="0"/>
        <w:ind w:firstLine="643"/>
        <w:rPr>
          <w:rFonts w:hint="eastAsia" w:ascii="仿宋" w:hAnsi="仿宋" w:eastAsia="仿宋" w:cs="仿宋"/>
          <w:b/>
          <w:color w:val="auto"/>
          <w:kern w:val="0"/>
          <w:sz w:val="32"/>
          <w:szCs w:val="32"/>
          <w:highlight w:val="none"/>
          <w:lang w:val="zh-CN"/>
        </w:rPr>
      </w:pPr>
    </w:p>
    <w:p w14:paraId="56C9AAE6">
      <w:pPr>
        <w:wordWrap w:val="0"/>
        <w:ind w:firstLine="643"/>
        <w:rPr>
          <w:rFonts w:hint="eastAsia" w:ascii="仿宋" w:hAnsi="仿宋" w:eastAsia="仿宋" w:cs="仿宋"/>
          <w:b/>
          <w:color w:val="auto"/>
          <w:kern w:val="0"/>
          <w:sz w:val="32"/>
          <w:szCs w:val="32"/>
          <w:highlight w:val="none"/>
          <w:lang w:val="zh-CN"/>
        </w:rPr>
      </w:pPr>
    </w:p>
    <w:p w14:paraId="4F370127">
      <w:pPr>
        <w:wordWrap w:val="0"/>
        <w:ind w:firstLine="643"/>
        <w:rPr>
          <w:rFonts w:hint="eastAsia" w:ascii="仿宋" w:hAnsi="仿宋" w:eastAsia="仿宋" w:cs="仿宋"/>
          <w:b/>
          <w:color w:val="auto"/>
          <w:kern w:val="0"/>
          <w:sz w:val="32"/>
          <w:szCs w:val="32"/>
          <w:highlight w:val="none"/>
          <w:lang w:val="zh-CN"/>
        </w:rPr>
      </w:pPr>
    </w:p>
    <w:p w14:paraId="697549D7">
      <w:pPr>
        <w:wordWrap w:val="0"/>
        <w:ind w:firstLine="643"/>
        <w:rPr>
          <w:rFonts w:hint="eastAsia" w:ascii="仿宋" w:hAnsi="仿宋" w:eastAsia="仿宋" w:cs="仿宋"/>
          <w:b/>
          <w:color w:val="auto"/>
          <w:kern w:val="0"/>
          <w:sz w:val="32"/>
          <w:szCs w:val="32"/>
          <w:highlight w:val="none"/>
          <w:lang w:val="zh-CN"/>
        </w:rPr>
      </w:pPr>
    </w:p>
    <w:p w14:paraId="01CECE50">
      <w:pPr>
        <w:wordWrap w:val="0"/>
        <w:ind w:firstLine="643"/>
        <w:rPr>
          <w:rFonts w:hint="eastAsia" w:ascii="仿宋" w:hAnsi="仿宋" w:eastAsia="仿宋" w:cs="仿宋"/>
          <w:b/>
          <w:color w:val="auto"/>
          <w:kern w:val="0"/>
          <w:sz w:val="32"/>
          <w:szCs w:val="32"/>
          <w:highlight w:val="none"/>
          <w:lang w:val="zh-CN"/>
        </w:rPr>
      </w:pPr>
    </w:p>
    <w:p w14:paraId="1BEFDAEC">
      <w:pPr>
        <w:wordWrap w:val="0"/>
        <w:ind w:firstLine="643"/>
        <w:rPr>
          <w:rFonts w:hint="eastAsia" w:ascii="仿宋" w:hAnsi="仿宋" w:eastAsia="仿宋" w:cs="仿宋"/>
          <w:b/>
          <w:color w:val="auto"/>
          <w:kern w:val="0"/>
          <w:sz w:val="32"/>
          <w:szCs w:val="32"/>
          <w:highlight w:val="none"/>
          <w:lang w:val="zh-CN"/>
        </w:rPr>
        <w:sectPr>
          <w:pgSz w:w="11905" w:h="16838"/>
          <w:pgMar w:top="652" w:right="1417" w:bottom="680" w:left="1417" w:header="227" w:footer="425" w:gutter="0"/>
          <w:cols w:space="0" w:num="1"/>
          <w:titlePg/>
          <w:docGrid w:linePitch="312" w:charSpace="0"/>
        </w:sectPr>
      </w:pPr>
    </w:p>
    <w:p w14:paraId="22B6864A">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）投标人为完成本项目组建的养护人员名单</w:t>
      </w:r>
    </w:p>
    <w:p w14:paraId="22B6864B">
      <w:pPr>
        <w:wordWrap w:val="0"/>
        <w:autoSpaceDE w:val="0"/>
        <w:autoSpaceDN w:val="0"/>
        <w:spacing w:line="360" w:lineRule="auto"/>
        <w:ind w:firstLine="482"/>
        <w:rPr>
          <w:rFonts w:hint="eastAsia" w:ascii="仿宋" w:hAnsi="仿宋" w:eastAsia="仿宋" w:cs="仿宋"/>
          <w:b/>
          <w:color w:val="auto"/>
          <w:sz w:val="24"/>
          <w:highlight w:val="none"/>
        </w:rPr>
      </w:pPr>
    </w:p>
    <w:p w14:paraId="22B6864C">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14:paraId="22B68650">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4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22B6864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22B6864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近3年业绩及承担的主要工作情况，曾担任项目负责人的项目应列明细</w:t>
            </w:r>
          </w:p>
        </w:tc>
      </w:tr>
      <w:tr w14:paraId="22B68654">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22B6865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2B6865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58">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22B6865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7">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5C">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22B6865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0">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22B6865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4">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22B6866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8">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22B6866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7">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C">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22B6866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70">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22B6866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74">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7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22B6867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7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14:paraId="22B68675">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676">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附表B:本项目的项目管理班组人员配备表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680">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677">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67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67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67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67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67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67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67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67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68A">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8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8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8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8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8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8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8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8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8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94">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68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8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8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8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8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9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9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9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9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9E">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69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9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9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9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9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9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9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9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9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A8">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69F">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A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A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A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A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A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A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A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A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B2">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A9">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A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A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A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A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A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A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B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B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BC">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6B3">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B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B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B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B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B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B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B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B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C6">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6B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B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B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C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C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C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C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C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C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6C7">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6C8">
      <w:pPr>
        <w:wordWrap w:val="0"/>
        <w:ind w:firstLine="480" w:firstLineChars="200"/>
        <w:rPr>
          <w:rFonts w:hint="eastAsia" w:ascii="仿宋" w:hAnsi="仿宋" w:eastAsia="仿宋" w:cs="仿宋"/>
          <w:color w:val="auto"/>
          <w:sz w:val="24"/>
          <w:highlight w:val="none"/>
        </w:rPr>
      </w:pPr>
    </w:p>
    <w:p w14:paraId="22B686C9">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附表C:本项目的现场运行班组人员配备表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6D3">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6CA">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6C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6C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6C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6C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6C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6D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6D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6D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6DD">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D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D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D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D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D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D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D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E7">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6D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D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E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E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E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E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E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E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E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F1">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6E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E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E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E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E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E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E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E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F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FB">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6F2">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F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F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F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F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F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F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F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F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05">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FC">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F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F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F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0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0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0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0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0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0F">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706">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0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0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0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0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0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0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0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0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19">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710">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1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1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1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1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1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1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1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1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71A">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71B">
      <w:pPr>
        <w:pStyle w:val="32"/>
        <w:rPr>
          <w:rFonts w:hint="eastAsia" w:ascii="仿宋" w:hAnsi="仿宋" w:eastAsia="仿宋" w:cs="仿宋"/>
          <w:color w:val="auto"/>
          <w:sz w:val="24"/>
          <w:highlight w:val="none"/>
        </w:rPr>
      </w:pPr>
    </w:p>
    <w:p w14:paraId="22B6871C">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附表D:本项目的维保专业班组人员配备表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726">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71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71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71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72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72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72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72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72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72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730">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72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2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2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2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2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2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2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2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2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3A">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73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3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3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3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3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3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3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3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3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44">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73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3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3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3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3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4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4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4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4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4E">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745">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4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4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4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4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4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4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4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4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58">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74F">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5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5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5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5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5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5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5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5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62">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759">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5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5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5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5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5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5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6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6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6C">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763">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6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6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6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6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6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6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6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6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76D">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76E">
      <w:pPr>
        <w:pStyle w:val="32"/>
        <w:rPr>
          <w:rFonts w:hint="eastAsia" w:ascii="仿宋" w:hAnsi="仿宋" w:eastAsia="仿宋" w:cs="仿宋"/>
          <w:color w:val="auto"/>
          <w:sz w:val="24"/>
          <w:highlight w:val="none"/>
        </w:rPr>
      </w:pPr>
    </w:p>
    <w:p w14:paraId="22B6876F">
      <w:pPr>
        <w:pStyle w:val="33"/>
        <w:ind w:left="5250"/>
        <w:rPr>
          <w:color w:val="auto"/>
          <w:highlight w:val="none"/>
        </w:rPr>
      </w:pPr>
    </w:p>
    <w:p w14:paraId="22B68770">
      <w:pPr>
        <w:pStyle w:val="33"/>
        <w:ind w:left="5250"/>
        <w:rPr>
          <w:color w:val="auto"/>
          <w:highlight w:val="none"/>
        </w:rPr>
      </w:pPr>
    </w:p>
    <w:p w14:paraId="22B68771">
      <w:pPr>
        <w:pStyle w:val="61"/>
        <w:wordWrap w:val="0"/>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772">
      <w:pPr>
        <w:wordWrap w:val="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14:paraId="22B68773">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bookmarkStart w:id="1133" w:name="_GoBack"/>
      <w:bookmarkEnd w:id="1133"/>
    </w:p>
    <w:p w14:paraId="22B68774">
      <w:pPr>
        <w:wordWrap w:val="0"/>
        <w:ind w:firstLine="643"/>
        <w:outlineLvl w:val="2"/>
        <w:rPr>
          <w:rFonts w:hint="eastAsia" w:ascii="仿宋" w:hAnsi="仿宋" w:eastAsia="仿宋" w:cs="仿宋"/>
          <w:b/>
          <w:color w:val="auto"/>
          <w:kern w:val="0"/>
          <w:sz w:val="32"/>
          <w:szCs w:val="32"/>
          <w:highlight w:val="none"/>
        </w:rPr>
      </w:pPr>
      <w:bookmarkStart w:id="765" w:name="_Toc11318"/>
      <w:bookmarkStart w:id="766" w:name="_Toc3004"/>
      <w:bookmarkStart w:id="767" w:name="_Toc9403"/>
      <w:bookmarkStart w:id="768" w:name="_Toc14279"/>
      <w:r>
        <w:rPr>
          <w:rFonts w:hint="eastAsia" w:ascii="仿宋" w:hAnsi="仿宋" w:eastAsia="仿宋" w:cs="仿宋"/>
          <w:b/>
          <w:color w:val="auto"/>
          <w:kern w:val="0"/>
          <w:sz w:val="32"/>
          <w:szCs w:val="32"/>
          <w:highlight w:val="none"/>
        </w:rPr>
        <w:t>（五）承诺书</w:t>
      </w:r>
    </w:p>
    <w:p w14:paraId="22B68775">
      <w:pPr>
        <w:spacing w:line="360" w:lineRule="auto"/>
        <w:ind w:firstLine="1506" w:firstLineChars="500"/>
        <w:jc w:val="left"/>
        <w:rPr>
          <w:rFonts w:hint="eastAsia" w:ascii="仿宋" w:hAnsi="仿宋" w:eastAsia="仿宋" w:cs="仿宋"/>
          <w:b/>
          <w:bCs/>
          <w:color w:val="auto"/>
          <w:kern w:val="0"/>
          <w:sz w:val="30"/>
          <w:szCs w:val="30"/>
          <w:highlight w:val="none"/>
        </w:rPr>
      </w:pPr>
    </w:p>
    <w:p w14:paraId="22B68776">
      <w:pPr>
        <w:spacing w:line="360" w:lineRule="auto"/>
        <w:ind w:firstLine="602"/>
        <w:jc w:val="center"/>
        <w:rPr>
          <w:rFonts w:hint="eastAsia" w:ascii="仿宋" w:hAnsi="仿宋" w:eastAsia="仿宋" w:cs="仿宋"/>
          <w:color w:val="auto"/>
          <w:sz w:val="24"/>
          <w:highlight w:val="none"/>
        </w:rPr>
      </w:pPr>
      <w:r>
        <w:rPr>
          <w:rFonts w:hint="eastAsia" w:ascii="仿宋" w:hAnsi="仿宋" w:eastAsia="仿宋" w:cs="仿宋"/>
          <w:b/>
          <w:bCs/>
          <w:color w:val="auto"/>
          <w:kern w:val="0"/>
          <w:sz w:val="30"/>
          <w:szCs w:val="30"/>
          <w:highlight w:val="none"/>
        </w:rPr>
        <w:t>承诺书</w:t>
      </w:r>
    </w:p>
    <w:p w14:paraId="22B687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杭州市城市水设施和河道保护管理中心：</w:t>
      </w:r>
    </w:p>
    <w:p w14:paraId="22B68778">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我单位针对</w:t>
      </w:r>
      <w:r>
        <w:rPr>
          <w:rFonts w:hint="eastAsia" w:ascii="仿宋" w:hAnsi="仿宋" w:eastAsia="仿宋" w:cs="仿宋"/>
          <w:color w:val="auto"/>
          <w:sz w:val="24"/>
          <w:highlight w:val="none"/>
          <w:lang w:eastAsia="zh-CN"/>
        </w:rPr>
        <w:t>古荡公园泵站、古荡湾（水）闸、冯家港船闸等养护服务采购项目</w:t>
      </w:r>
      <w:r>
        <w:rPr>
          <w:rFonts w:hint="eastAsia" w:ascii="仿宋" w:hAnsi="仿宋" w:eastAsia="仿宋" w:cs="仿宋"/>
          <w:color w:val="auto"/>
          <w:sz w:val="24"/>
          <w:highlight w:val="none"/>
        </w:rPr>
        <w:t>承诺如下：</w:t>
      </w:r>
    </w:p>
    <w:p w14:paraId="22B68779">
      <w:pPr>
        <w:numPr>
          <w:ilvl w:val="1"/>
          <w:numId w:val="0"/>
        </w:num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本项目拟派项目负责人（填写姓名、身份证号）</w:t>
      </w:r>
      <w:r>
        <w:rPr>
          <w:rFonts w:hint="eastAsia" w:ascii="仿宋" w:hAnsi="仿宋" w:eastAsia="仿宋" w:cs="仿宋"/>
          <w:color w:val="auto"/>
          <w:sz w:val="24"/>
          <w:highlight w:val="none"/>
          <w:lang w:val="en-US" w:eastAsia="zh-CN"/>
        </w:rPr>
        <w:t>承诺按要求参加甲方组织的各类检查、会议、活动等工作</w:t>
      </w:r>
      <w:r>
        <w:rPr>
          <w:rFonts w:hint="eastAsia" w:ascii="仿宋" w:hAnsi="仿宋" w:eastAsia="仿宋" w:cs="仿宋"/>
          <w:color w:val="auto"/>
          <w:sz w:val="24"/>
          <w:highlight w:val="none"/>
        </w:rPr>
        <w:t>。</w:t>
      </w:r>
    </w:p>
    <w:p w14:paraId="22B6877A">
      <w:pPr>
        <w:numPr>
          <w:ilvl w:val="1"/>
          <w:numId w:val="0"/>
        </w:num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2.我单位在投标期间（招标公告发布之日至中标通知书发出之日），资质条件在“浙江省建筑市场监管公共服务系统 ”上动态核查结果处于“合格”状态，若为“不合格 ”状态，同意按视为主动放弃签订合同处理。</w:t>
      </w:r>
    </w:p>
    <w:p w14:paraId="22B6877B">
      <w:pPr>
        <w:numPr>
          <w:ilvl w:val="1"/>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3.近三年内（2022年1月1日起）我单位发生安全事故，造成人员受伤，受伤程度达到《道路交通事故受伤人员伤残评定》或《职工工伤与职业病致残程度鉴定标准》规定的最低标准的有（   ）起；造成人员死亡的有（  ）起。</w:t>
      </w:r>
    </w:p>
    <w:p w14:paraId="22B6877C">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4.承诺在接到采购人通知后派遣人员携带所需设施设备、工具材料、物资等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）小时内</w:t>
      </w:r>
      <w:r>
        <w:rPr>
          <w:rFonts w:hint="eastAsia" w:ascii="仿宋" w:hAnsi="仿宋" w:eastAsia="仿宋" w:cs="仿宋"/>
          <w:color w:val="auto"/>
          <w:sz w:val="24"/>
          <w:highlight w:val="none"/>
        </w:rPr>
        <w:t>到达现场开展检修、维修、应急抢修等养护工作</w:t>
      </w:r>
      <w:r>
        <w:rPr>
          <w:rFonts w:hint="eastAsia" w:ascii="仿宋" w:hAnsi="仿宋" w:eastAsia="仿宋" w:cs="仿宋"/>
          <w:color w:val="auto"/>
          <w:sz w:val="24"/>
          <w:highlight w:val="none"/>
          <w:lang w:eastAsia="zh-CN"/>
        </w:rPr>
        <w:t>。</w:t>
      </w:r>
    </w:p>
    <w:p w14:paraId="22B6877F">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780">
      <w:pPr>
        <w:pStyle w:val="32"/>
        <w:rPr>
          <w:color w:val="auto"/>
          <w:highlight w:val="none"/>
        </w:rPr>
      </w:pPr>
    </w:p>
    <w:p w14:paraId="009E4956">
      <w:pPr>
        <w:numPr>
          <w:ilvl w:val="255"/>
          <w:numId w:val="0"/>
        </w:numPr>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B68783">
      <w:pPr>
        <w:wordWrap w:val="0"/>
        <w:jc w:val="righ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w:t>
      </w:r>
    </w:p>
    <w:p w14:paraId="22B6878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注：1.如中标后发现供应商提供的说明与事实不符合，可认定供应商提供虚假材料以无效标处理并接受贵方上报监管部门所产生的处罚结果</w:t>
      </w:r>
      <w:r>
        <w:rPr>
          <w:rFonts w:hint="eastAsia" w:ascii="仿宋" w:hAnsi="仿宋" w:eastAsia="仿宋" w:cs="仿宋"/>
          <w:color w:val="auto"/>
          <w:sz w:val="24"/>
          <w:highlight w:val="none"/>
          <w:lang w:eastAsia="zh-CN"/>
        </w:rPr>
        <w:t>。</w:t>
      </w:r>
    </w:p>
    <w:p w14:paraId="22B68785">
      <w:pPr>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786">
      <w:pPr>
        <w:wordWrap w:val="0"/>
        <w:ind w:firstLine="643"/>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bookmarkEnd w:id="765"/>
      <w:bookmarkEnd w:id="766"/>
      <w:bookmarkEnd w:id="767"/>
      <w:bookmarkEnd w:id="768"/>
    </w:p>
    <w:p w14:paraId="22B68787">
      <w:pPr>
        <w:numPr>
          <w:ilvl w:val="255"/>
          <w:numId w:val="0"/>
        </w:numPr>
        <w:wordWrap w:val="0"/>
        <w:jc w:val="left"/>
        <w:rPr>
          <w:rFonts w:hint="eastAsia" w:ascii="仿宋" w:hAnsi="仿宋" w:eastAsia="仿宋" w:cs="仿宋"/>
          <w:b/>
          <w:color w:val="auto"/>
          <w:kern w:val="0"/>
          <w:sz w:val="32"/>
          <w:szCs w:val="32"/>
          <w:highlight w:val="none"/>
        </w:rPr>
      </w:pPr>
    </w:p>
    <w:p w14:paraId="22B68788">
      <w:pPr>
        <w:numPr>
          <w:ilvl w:val="255"/>
          <w:numId w:val="0"/>
        </w:numPr>
        <w:wordWrap w:val="0"/>
        <w:jc w:val="center"/>
        <w:outlineLvl w:val="2"/>
        <w:rPr>
          <w:rFonts w:hint="eastAsia" w:ascii="仿宋" w:hAnsi="仿宋" w:eastAsia="仿宋" w:cs="仿宋"/>
          <w:b/>
          <w:color w:val="auto"/>
          <w:kern w:val="0"/>
          <w:sz w:val="32"/>
          <w:szCs w:val="32"/>
          <w:highlight w:val="none"/>
        </w:rPr>
      </w:pPr>
      <w:bookmarkStart w:id="769" w:name="_Toc1061"/>
      <w:r>
        <w:rPr>
          <w:rFonts w:hint="eastAsia" w:ascii="仿宋" w:hAnsi="仿宋" w:eastAsia="仿宋" w:cs="仿宋"/>
          <w:b/>
          <w:color w:val="auto"/>
          <w:kern w:val="0"/>
          <w:sz w:val="32"/>
          <w:szCs w:val="32"/>
          <w:highlight w:val="none"/>
        </w:rPr>
        <w:t>商务偏离表</w:t>
      </w:r>
      <w:bookmarkEnd w:id="769"/>
    </w:p>
    <w:p w14:paraId="22B68789">
      <w:pPr>
        <w:numPr>
          <w:ilvl w:val="255"/>
          <w:numId w:val="0"/>
        </w:numPr>
        <w:wordWrap w:val="0"/>
        <w:rPr>
          <w:rFonts w:hint="eastAsia" w:ascii="仿宋" w:hAnsi="仿宋" w:eastAsia="仿宋" w:cs="仿宋"/>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14:paraId="22B6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14:paraId="22B6878A">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14:paraId="22B6878B">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14:paraId="22B6878C">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22B6878D">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14:paraId="22B6878F">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14:paraId="22B68794">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6">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14:paraId="22B68799">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B">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14:paraId="22B6879E">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A0">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A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14:paraId="22B687A3">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14:paraId="22B687A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A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430" w:type="dxa"/>
          </w:tcPr>
          <w:p w14:paraId="22B687A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7A8">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14:paraId="22B687A9">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22B687AA">
      <w:pPr>
        <w:numPr>
          <w:ilvl w:val="255"/>
          <w:numId w:val="0"/>
        </w:numPr>
        <w:wordWrap w:val="0"/>
        <w:jc w:val="left"/>
        <w:rPr>
          <w:rFonts w:hint="eastAsia" w:ascii="仿宋" w:hAnsi="仿宋" w:eastAsia="仿宋" w:cs="仿宋"/>
          <w:b/>
          <w:color w:val="auto"/>
          <w:kern w:val="0"/>
          <w:sz w:val="32"/>
          <w:szCs w:val="32"/>
          <w:highlight w:val="none"/>
        </w:rPr>
      </w:pPr>
    </w:p>
    <w:p w14:paraId="22B687AB">
      <w:pPr>
        <w:numPr>
          <w:ilvl w:val="255"/>
          <w:numId w:val="0"/>
        </w:numPr>
        <w:wordWrap w:val="0"/>
        <w:jc w:val="left"/>
        <w:rPr>
          <w:rFonts w:hint="eastAsia" w:ascii="仿宋" w:hAnsi="仿宋" w:eastAsia="仿宋" w:cs="仿宋"/>
          <w:b/>
          <w:color w:val="auto"/>
          <w:kern w:val="0"/>
          <w:sz w:val="32"/>
          <w:szCs w:val="32"/>
          <w:highlight w:val="none"/>
        </w:rPr>
      </w:pPr>
    </w:p>
    <w:p w14:paraId="22B687AC">
      <w:pPr>
        <w:numPr>
          <w:ilvl w:val="255"/>
          <w:numId w:val="0"/>
        </w:numPr>
        <w:wordWrap w:val="0"/>
        <w:jc w:val="left"/>
        <w:rPr>
          <w:rFonts w:hint="eastAsia" w:ascii="仿宋" w:hAnsi="仿宋" w:eastAsia="仿宋" w:cs="仿宋"/>
          <w:b/>
          <w:color w:val="auto"/>
          <w:kern w:val="0"/>
          <w:sz w:val="32"/>
          <w:szCs w:val="32"/>
          <w:highlight w:val="none"/>
        </w:rPr>
      </w:pPr>
    </w:p>
    <w:p w14:paraId="22B687AD">
      <w:pPr>
        <w:numPr>
          <w:ilvl w:val="255"/>
          <w:numId w:val="0"/>
        </w:numPr>
        <w:wordWrap w:val="0"/>
        <w:jc w:val="left"/>
        <w:rPr>
          <w:rFonts w:hint="eastAsia" w:ascii="仿宋" w:hAnsi="仿宋" w:eastAsia="仿宋" w:cs="仿宋"/>
          <w:b/>
          <w:color w:val="auto"/>
          <w:kern w:val="0"/>
          <w:sz w:val="32"/>
          <w:szCs w:val="32"/>
          <w:highlight w:val="none"/>
        </w:rPr>
      </w:pPr>
    </w:p>
    <w:p w14:paraId="22B687AE">
      <w:pPr>
        <w:numPr>
          <w:ilvl w:val="255"/>
          <w:numId w:val="0"/>
        </w:numPr>
        <w:wordWrap w:val="0"/>
        <w:jc w:val="left"/>
        <w:rPr>
          <w:rFonts w:hint="eastAsia" w:ascii="仿宋" w:hAnsi="仿宋" w:eastAsia="仿宋" w:cs="仿宋"/>
          <w:b/>
          <w:color w:val="auto"/>
          <w:kern w:val="0"/>
          <w:sz w:val="32"/>
          <w:szCs w:val="32"/>
          <w:highlight w:val="none"/>
        </w:rPr>
      </w:pPr>
    </w:p>
    <w:p w14:paraId="22B687AF">
      <w:pPr>
        <w:numPr>
          <w:ilvl w:val="255"/>
          <w:numId w:val="0"/>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14:paraId="22B687B0">
      <w:pPr>
        <w:pStyle w:val="61"/>
        <w:numPr>
          <w:ilvl w:val="255"/>
          <w:numId w:val="0"/>
        </w:numPr>
        <w:wordWrap w:val="0"/>
        <w:rPr>
          <w:rFonts w:hint="eastAsia" w:ascii="仿宋" w:hAnsi="仿宋" w:eastAsia="仿宋" w:cs="仿宋"/>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14:paraId="22B6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14:paraId="22B687B1">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7" w:type="dxa"/>
          </w:tcPr>
          <w:p w14:paraId="22B687B2">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5015" w:type="dxa"/>
          </w:tcPr>
          <w:p w14:paraId="22B687B3">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22B687B4">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6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14:paraId="22B687B6">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1667" w:type="dxa"/>
            <w:vAlign w:val="center"/>
          </w:tcPr>
          <w:p w14:paraId="22B687B7">
            <w:pPr>
              <w:pStyle w:val="23"/>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32"/>
                <w:szCs w:val="32"/>
                <w:highlight w:val="none"/>
              </w:rPr>
            </w:pPr>
          </w:p>
        </w:tc>
        <w:tc>
          <w:tcPr>
            <w:tcW w:w="5015" w:type="dxa"/>
          </w:tcPr>
          <w:p w14:paraId="22B687B8">
            <w:pPr>
              <w:pStyle w:val="23"/>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21"/>
                <w:highlight w:val="none"/>
              </w:rPr>
            </w:pPr>
          </w:p>
        </w:tc>
        <w:tc>
          <w:tcPr>
            <w:tcW w:w="1430" w:type="dxa"/>
          </w:tcPr>
          <w:p w14:paraId="22B687B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14:paraId="22B687BB">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67" w:type="dxa"/>
            <w:vAlign w:val="center"/>
          </w:tcPr>
          <w:p w14:paraId="22B687B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015" w:type="dxa"/>
          </w:tcPr>
          <w:p w14:paraId="22B687B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B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14:paraId="22B687C0">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67" w:type="dxa"/>
            <w:vAlign w:val="center"/>
          </w:tcPr>
          <w:p w14:paraId="22B687C1">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p>
        </w:tc>
        <w:tc>
          <w:tcPr>
            <w:tcW w:w="5015" w:type="dxa"/>
          </w:tcPr>
          <w:p w14:paraId="22B687C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1430" w:type="dxa"/>
          </w:tcPr>
          <w:p w14:paraId="22B687C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14:paraId="22B687C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67" w:type="dxa"/>
          </w:tcPr>
          <w:p w14:paraId="22B687C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015" w:type="dxa"/>
          </w:tcPr>
          <w:p w14:paraId="22B687C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430" w:type="dxa"/>
          </w:tcPr>
          <w:p w14:paraId="22B687C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7CA">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14:paraId="22B687CB">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22B687CC">
      <w:pPr>
        <w:pStyle w:val="79"/>
        <w:wordWrap w:val="0"/>
        <w:spacing w:line="360" w:lineRule="auto"/>
        <w:rPr>
          <w:rFonts w:hint="eastAsia" w:ascii="仿宋" w:hAnsi="仿宋" w:eastAsia="仿宋" w:cs="仿宋"/>
          <w:color w:val="auto"/>
          <w:highlight w:val="none"/>
        </w:rPr>
      </w:pPr>
    </w:p>
    <w:p w14:paraId="22B687CD">
      <w:pPr>
        <w:wordWrap w:val="0"/>
        <w:ind w:firstLine="643"/>
        <w:rPr>
          <w:rFonts w:hint="eastAsia" w:ascii="仿宋" w:hAnsi="仿宋" w:eastAsia="仿宋" w:cs="仿宋"/>
          <w:b/>
          <w:color w:val="auto"/>
          <w:kern w:val="0"/>
          <w:sz w:val="32"/>
          <w:szCs w:val="32"/>
          <w:highlight w:val="none"/>
        </w:rPr>
      </w:pPr>
    </w:p>
    <w:p w14:paraId="22B687CE">
      <w:pPr>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7CF">
      <w:pPr>
        <w:wordWrap w:val="0"/>
        <w:ind w:firstLine="1911" w:firstLineChars="595"/>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22B687D0">
      <w:pPr>
        <w:wordWrap w:val="0"/>
        <w:snapToGrid w:val="0"/>
        <w:spacing w:line="360" w:lineRule="auto"/>
        <w:rPr>
          <w:rFonts w:hint="eastAsia" w:ascii="仿宋" w:hAnsi="仿宋" w:eastAsia="仿宋" w:cs="仿宋"/>
          <w:color w:val="auto"/>
          <w:sz w:val="24"/>
          <w:highlight w:val="none"/>
        </w:rPr>
      </w:pPr>
    </w:p>
    <w:p w14:paraId="22B687D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7D2">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B687D3">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B687D4">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2B687D5">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2B687D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2B687D7">
      <w:pPr>
        <w:wordWrap w:val="0"/>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2B687D8">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2B687D9">
      <w:pPr>
        <w:numPr>
          <w:ilvl w:val="0"/>
          <w:numId w:val="12"/>
        </w:numPr>
        <w:wordWrap w:val="0"/>
        <w:autoSpaceDE w:val="0"/>
        <w:autoSpaceDN w:val="0"/>
        <w:spacing w:line="360" w:lineRule="auto"/>
        <w:ind w:left="481" w:leftChars="229"/>
        <w:jc w:val="left"/>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22B687DA">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B687DB">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2B687DC">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22B687DD">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22B687DE">
      <w:pPr>
        <w:wordWrap w:val="0"/>
        <w:autoSpaceDE w:val="0"/>
        <w:autoSpaceDN w:val="0"/>
        <w:spacing w:line="360" w:lineRule="auto"/>
        <w:ind w:left="2"/>
        <w:jc w:val="right"/>
        <w:rPr>
          <w:rFonts w:hint="eastAsia" w:ascii="仿宋" w:hAnsi="仿宋" w:eastAsia="仿宋" w:cs="仿宋"/>
          <w:color w:val="auto"/>
          <w:kern w:val="0"/>
          <w:sz w:val="24"/>
          <w:highlight w:val="none"/>
          <w:lang w:val="zh-CN"/>
        </w:rPr>
      </w:pPr>
    </w:p>
    <w:p w14:paraId="22B687DF">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2B687E0">
      <w:pPr>
        <w:wordWrap w:val="0"/>
        <w:spacing w:line="360" w:lineRule="auto"/>
        <w:ind w:firstLine="482"/>
        <w:jc w:val="center"/>
        <w:rPr>
          <w:rFonts w:hint="eastAsia" w:ascii="仿宋" w:hAnsi="仿宋" w:eastAsia="仿宋" w:cs="仿宋"/>
          <w:b/>
          <w:bCs/>
          <w:color w:val="auto"/>
          <w:sz w:val="24"/>
          <w:highlight w:val="none"/>
        </w:rPr>
      </w:pPr>
    </w:p>
    <w:p w14:paraId="6D2EA66C">
      <w:pPr>
        <w:wordWrap w:val="0"/>
        <w:spacing w:line="360" w:lineRule="auto"/>
        <w:ind w:firstLine="482"/>
        <w:jc w:val="center"/>
        <w:rPr>
          <w:rFonts w:hint="eastAsia"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14:paraId="22B687E2">
      <w:pPr>
        <w:wordWrap w:val="0"/>
        <w:spacing w:line="360" w:lineRule="auto"/>
        <w:ind w:firstLine="723"/>
        <w:jc w:val="center"/>
        <w:rPr>
          <w:rFonts w:hint="eastAsia" w:ascii="仿宋" w:hAnsi="仿宋" w:eastAsia="仿宋" w:cs="仿宋"/>
          <w:b/>
          <w:color w:val="auto"/>
          <w:kern w:val="0"/>
          <w:sz w:val="36"/>
          <w:szCs w:val="36"/>
          <w:highlight w:val="none"/>
        </w:rPr>
      </w:pPr>
    </w:p>
    <w:p w14:paraId="22B687E3">
      <w:pPr>
        <w:wordWrap w:val="0"/>
        <w:spacing w:line="360" w:lineRule="auto"/>
        <w:ind w:firstLine="723"/>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B687E4">
      <w:pPr>
        <w:wordWrap w:val="0"/>
        <w:spacing w:line="360" w:lineRule="auto"/>
        <w:ind w:firstLine="723"/>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B687E5">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2B687E6">
      <w:pPr>
        <w:numPr>
          <w:ilvl w:val="255"/>
          <w:numId w:val="0"/>
        </w:numPr>
        <w:adjustRightInd/>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（2）报价情况说明（如供应商报价低于最高限价50%的，应当提交本文档，详细阐述不影响服务质量或者诚信履约的具体原因）………………………………………（页码）</w:t>
      </w:r>
    </w:p>
    <w:p w14:paraId="22B687E7">
      <w:pPr>
        <w:numPr>
          <w:ilvl w:val="255"/>
          <w:numId w:val="0"/>
        </w:numPr>
        <w:adjustRightInd/>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（3）供应商针对报价需要说明的其他文件和说明………………………………（页码）</w:t>
      </w:r>
    </w:p>
    <w:p w14:paraId="22B687E8">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9">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A">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B">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C">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D">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E">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F">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0">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1">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2">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3">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4">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5">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08DDFBDD">
      <w:pPr>
        <w:pStyle w:val="692"/>
        <w:keepNext w:val="0"/>
        <w:pageBreakBefore w:val="0"/>
        <w:tabs>
          <w:tab w:val="clear" w:pos="720"/>
        </w:tabs>
        <w:wordWrap w:val="0"/>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652" w:right="1417" w:bottom="680" w:left="1417" w:header="539" w:footer="425" w:gutter="0"/>
          <w:cols w:space="0" w:num="1"/>
          <w:titlePg/>
          <w:docGrid w:linePitch="312" w:charSpace="0"/>
        </w:sectPr>
      </w:pPr>
    </w:p>
    <w:p w14:paraId="22B687F7">
      <w:pPr>
        <w:pStyle w:val="692"/>
        <w:keepNext w:val="0"/>
        <w:tabs>
          <w:tab w:val="clear" w:pos="720"/>
        </w:tabs>
        <w:wordWrap w:val="0"/>
        <w:snapToGrid w:val="0"/>
        <w:spacing w:before="120" w:after="120"/>
        <w:ind w:firstLine="643"/>
        <w:outlineLvl w:val="2"/>
        <w:rPr>
          <w:rFonts w:hint="eastAsia" w:ascii="仿宋" w:hAnsi="仿宋" w:eastAsia="仿宋" w:cs="仿宋"/>
          <w:color w:val="auto"/>
          <w:kern w:val="2"/>
          <w:sz w:val="32"/>
          <w:szCs w:val="32"/>
          <w:highlight w:val="none"/>
        </w:rPr>
      </w:pPr>
      <w:bookmarkStart w:id="770" w:name="_Toc11634"/>
      <w:bookmarkStart w:id="771" w:name="_Toc10436"/>
      <w:bookmarkStart w:id="772" w:name="_Toc4763"/>
      <w:bookmarkStart w:id="773" w:name="_Toc8787"/>
      <w:bookmarkStart w:id="774" w:name="_Toc14192"/>
      <w:bookmarkStart w:id="775" w:name="_Toc22252"/>
      <w:bookmarkStart w:id="776" w:name="_Toc7330"/>
      <w:bookmarkStart w:id="777" w:name="_Toc4192"/>
      <w:bookmarkStart w:id="778" w:name="_Toc23456"/>
      <w:r>
        <w:rPr>
          <w:rFonts w:hint="eastAsia" w:ascii="仿宋" w:hAnsi="仿宋" w:eastAsia="仿宋" w:cs="仿宋"/>
          <w:color w:val="auto"/>
          <w:kern w:val="2"/>
          <w:sz w:val="32"/>
          <w:szCs w:val="32"/>
          <w:highlight w:val="none"/>
        </w:rPr>
        <w:t>一、开标一览表（报价表）</w:t>
      </w:r>
      <w:bookmarkEnd w:id="770"/>
      <w:bookmarkEnd w:id="771"/>
      <w:bookmarkEnd w:id="772"/>
      <w:bookmarkEnd w:id="773"/>
      <w:bookmarkEnd w:id="774"/>
      <w:bookmarkEnd w:id="775"/>
      <w:bookmarkEnd w:id="776"/>
      <w:bookmarkEnd w:id="777"/>
      <w:bookmarkEnd w:id="778"/>
    </w:p>
    <w:p w14:paraId="22B687F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7F9">
      <w:pPr>
        <w:wordWrap w:val="0"/>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22B687FA">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w:t>
      </w:r>
      <w:r>
        <w:rPr>
          <w:rFonts w:hint="eastAsia" w:ascii="仿宋" w:hAnsi="仿宋" w:eastAsia="仿宋" w:cs="仿宋"/>
          <w:color w:val="auto"/>
          <w:kern w:val="0"/>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22B687FB">
      <w:pPr>
        <w:wordWrap w:val="0"/>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2860"/>
        <w:gridCol w:w="1354"/>
        <w:gridCol w:w="898"/>
        <w:gridCol w:w="1052"/>
        <w:gridCol w:w="822"/>
        <w:gridCol w:w="1320"/>
        <w:gridCol w:w="560"/>
      </w:tblGrid>
      <w:tr w14:paraId="2C83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0" w:type="pct"/>
            <w:vAlign w:val="center"/>
          </w:tcPr>
          <w:p w14:paraId="2C83F7B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541" w:type="pct"/>
            <w:vAlign w:val="center"/>
          </w:tcPr>
          <w:p w14:paraId="2C83F7B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闸站名称</w:t>
            </w:r>
          </w:p>
        </w:tc>
        <w:tc>
          <w:tcPr>
            <w:tcW w:w="1399" w:type="dxa"/>
            <w:vAlign w:val="center"/>
          </w:tcPr>
          <w:p w14:paraId="2C83F7B4">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bidi="ar"/>
              </w:rPr>
              <w:t>定额费用</w:t>
            </w:r>
          </w:p>
          <w:p w14:paraId="2C83F7B5">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lang w:bidi="ar"/>
              </w:rPr>
              <w:t>（元/年）</w:t>
            </w:r>
          </w:p>
        </w:tc>
        <w:tc>
          <w:tcPr>
            <w:tcW w:w="927" w:type="dxa"/>
            <w:vAlign w:val="center"/>
          </w:tcPr>
          <w:p w14:paraId="2C83F7B6">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bidi="ar"/>
              </w:rPr>
              <w:t>下浮率</w:t>
            </w:r>
          </w:p>
          <w:p w14:paraId="2C83F7B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lang w:bidi="ar"/>
              </w:rPr>
              <w:t>（%）</w:t>
            </w:r>
          </w:p>
        </w:tc>
        <w:tc>
          <w:tcPr>
            <w:tcW w:w="1086" w:type="dxa"/>
            <w:vAlign w:val="center"/>
          </w:tcPr>
          <w:p w14:paraId="2C83F7B8">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年养护费（元/年）</w:t>
            </w:r>
          </w:p>
        </w:tc>
        <w:tc>
          <w:tcPr>
            <w:tcW w:w="849" w:type="dxa"/>
            <w:vAlign w:val="center"/>
          </w:tcPr>
          <w:p w14:paraId="2C83F7B9">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服务期（年）</w:t>
            </w:r>
          </w:p>
        </w:tc>
        <w:tc>
          <w:tcPr>
            <w:tcW w:w="1364" w:type="dxa"/>
            <w:vAlign w:val="center"/>
          </w:tcPr>
          <w:p w14:paraId="2C83F7BA">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三年总养护费（元）</w:t>
            </w:r>
          </w:p>
        </w:tc>
        <w:tc>
          <w:tcPr>
            <w:tcW w:w="579" w:type="dxa"/>
            <w:vAlign w:val="center"/>
          </w:tcPr>
          <w:p w14:paraId="2C83F7BB">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备注</w:t>
            </w:r>
          </w:p>
        </w:tc>
      </w:tr>
      <w:tr w14:paraId="2C83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0" w:type="pct"/>
            <w:vAlign w:val="center"/>
          </w:tcPr>
          <w:p w14:paraId="2C83F7B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1541" w:type="pct"/>
            <w:vAlign w:val="center"/>
          </w:tcPr>
          <w:p w14:paraId="2C83F7B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730" w:type="pct"/>
            <w:vAlign w:val="center"/>
          </w:tcPr>
          <w:p w14:paraId="2C83F7B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484" w:type="pct"/>
            <w:vAlign w:val="center"/>
          </w:tcPr>
          <w:p w14:paraId="2C83F7C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567" w:type="pct"/>
            <w:vAlign w:val="center"/>
          </w:tcPr>
          <w:p w14:paraId="2C83F7C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w:t>
            </w:r>
          </w:p>
        </w:tc>
        <w:tc>
          <w:tcPr>
            <w:tcW w:w="443" w:type="pct"/>
            <w:vAlign w:val="center"/>
          </w:tcPr>
          <w:p w14:paraId="2C83F7C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w:t>
            </w:r>
          </w:p>
        </w:tc>
        <w:tc>
          <w:tcPr>
            <w:tcW w:w="712" w:type="pct"/>
            <w:vAlign w:val="center"/>
          </w:tcPr>
          <w:p w14:paraId="2C83F7C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（5）</w:t>
            </w:r>
          </w:p>
        </w:tc>
        <w:tc>
          <w:tcPr>
            <w:tcW w:w="298" w:type="pct"/>
            <w:vAlign w:val="center"/>
          </w:tcPr>
          <w:p w14:paraId="2C83F7C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r>
      <w:tr w14:paraId="2C83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7C6">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41" w:type="pct"/>
            <w:vAlign w:val="center"/>
          </w:tcPr>
          <w:p w14:paraId="2C83F7C7">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古荡公园泵站</w:t>
            </w:r>
          </w:p>
        </w:tc>
        <w:tc>
          <w:tcPr>
            <w:tcW w:w="730" w:type="pct"/>
            <w:vMerge w:val="restart"/>
            <w:vAlign w:val="center"/>
          </w:tcPr>
          <w:p w14:paraId="2C83F7C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201099</w:t>
            </w:r>
          </w:p>
        </w:tc>
        <w:tc>
          <w:tcPr>
            <w:tcW w:w="484" w:type="pct"/>
            <w:vMerge w:val="restart"/>
            <w:vAlign w:val="center"/>
          </w:tcPr>
          <w:p w14:paraId="2C83F7C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7CA">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7C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7C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7C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7CF">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7D0">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配套的泵池拍门（2个）</w:t>
            </w:r>
          </w:p>
        </w:tc>
        <w:tc>
          <w:tcPr>
            <w:tcW w:w="730" w:type="pct"/>
            <w:vMerge w:val="continue"/>
            <w:vAlign w:val="center"/>
          </w:tcPr>
          <w:p w14:paraId="2C83F7D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7D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7D3">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7D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7D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7D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7D8">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7D9">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配套的1座节制闸</w:t>
            </w:r>
          </w:p>
        </w:tc>
        <w:tc>
          <w:tcPr>
            <w:tcW w:w="730" w:type="pct"/>
            <w:vMerge w:val="continue"/>
            <w:vAlign w:val="center"/>
          </w:tcPr>
          <w:p w14:paraId="2C83F7D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7D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7DC">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7D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7D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7D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0" w:type="pct"/>
            <w:vAlign w:val="center"/>
          </w:tcPr>
          <w:p w14:paraId="2C83F7E1">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541" w:type="pct"/>
            <w:vAlign w:val="center"/>
          </w:tcPr>
          <w:p w14:paraId="2C83F7E2">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古荡湾（水）闸</w:t>
            </w:r>
          </w:p>
        </w:tc>
        <w:tc>
          <w:tcPr>
            <w:tcW w:w="730" w:type="pct"/>
            <w:vAlign w:val="center"/>
          </w:tcPr>
          <w:p w14:paraId="2C83F7E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185569</w:t>
            </w:r>
          </w:p>
        </w:tc>
        <w:tc>
          <w:tcPr>
            <w:tcW w:w="484" w:type="pct"/>
            <w:vAlign w:val="center"/>
          </w:tcPr>
          <w:p w14:paraId="2C83F7E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Align w:val="center"/>
          </w:tcPr>
          <w:p w14:paraId="2C83F7E5">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Align w:val="center"/>
          </w:tcPr>
          <w:p w14:paraId="2C83F7E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Align w:val="center"/>
          </w:tcPr>
          <w:p w14:paraId="2C83F7E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Align w:val="center"/>
          </w:tcPr>
          <w:p w14:paraId="2C83F7E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7EA">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541" w:type="pct"/>
            <w:vAlign w:val="center"/>
          </w:tcPr>
          <w:p w14:paraId="2C83F7EB">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冯家港船闸</w:t>
            </w:r>
          </w:p>
        </w:tc>
        <w:tc>
          <w:tcPr>
            <w:tcW w:w="730" w:type="pct"/>
            <w:vMerge w:val="restart"/>
            <w:vAlign w:val="center"/>
          </w:tcPr>
          <w:p w14:paraId="2C83F7E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375211.8</w:t>
            </w:r>
          </w:p>
        </w:tc>
        <w:tc>
          <w:tcPr>
            <w:tcW w:w="484" w:type="pct"/>
            <w:vMerge w:val="restart"/>
            <w:vAlign w:val="center"/>
          </w:tcPr>
          <w:p w14:paraId="2C83F7E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7EE">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7E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7F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7F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7F3">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7F4">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配套的输水廊道进出水闸门</w:t>
            </w:r>
          </w:p>
        </w:tc>
        <w:tc>
          <w:tcPr>
            <w:tcW w:w="730" w:type="pct"/>
            <w:vMerge w:val="continue"/>
            <w:vAlign w:val="center"/>
          </w:tcPr>
          <w:p w14:paraId="2C83F7F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7F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7F7">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7F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7F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7F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7FC">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541" w:type="pct"/>
            <w:vAlign w:val="center"/>
          </w:tcPr>
          <w:p w14:paraId="2C83F7FD">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莲花港船闸</w:t>
            </w:r>
          </w:p>
        </w:tc>
        <w:tc>
          <w:tcPr>
            <w:tcW w:w="730" w:type="pct"/>
            <w:vMerge w:val="restart"/>
            <w:vAlign w:val="center"/>
          </w:tcPr>
          <w:p w14:paraId="2C83F7F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626300.95</w:t>
            </w:r>
          </w:p>
        </w:tc>
        <w:tc>
          <w:tcPr>
            <w:tcW w:w="484" w:type="pct"/>
            <w:vMerge w:val="restart"/>
            <w:vAlign w:val="center"/>
          </w:tcPr>
          <w:p w14:paraId="2C83F7F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800">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80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80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80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805">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806">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配套的输水廊道进出水闸门</w:t>
            </w:r>
          </w:p>
        </w:tc>
        <w:tc>
          <w:tcPr>
            <w:tcW w:w="730" w:type="pct"/>
            <w:vMerge w:val="continue"/>
            <w:vAlign w:val="center"/>
          </w:tcPr>
          <w:p w14:paraId="2C83F80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80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809">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80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80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80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80E">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541" w:type="pct"/>
            <w:vAlign w:val="center"/>
          </w:tcPr>
          <w:p w14:paraId="2C83F80F">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紫金港船闸</w:t>
            </w:r>
          </w:p>
        </w:tc>
        <w:tc>
          <w:tcPr>
            <w:tcW w:w="730" w:type="pct"/>
            <w:vMerge w:val="restart"/>
            <w:vAlign w:val="center"/>
          </w:tcPr>
          <w:p w14:paraId="2C83F81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648707.4</w:t>
            </w:r>
          </w:p>
        </w:tc>
        <w:tc>
          <w:tcPr>
            <w:tcW w:w="484" w:type="pct"/>
            <w:vMerge w:val="restart"/>
            <w:vAlign w:val="center"/>
          </w:tcPr>
          <w:p w14:paraId="2C83F81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812">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81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81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81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817">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818">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配套的输水廊道进出水闸门</w:t>
            </w:r>
          </w:p>
        </w:tc>
        <w:tc>
          <w:tcPr>
            <w:tcW w:w="730" w:type="pct"/>
            <w:vMerge w:val="continue"/>
            <w:vAlign w:val="center"/>
          </w:tcPr>
          <w:p w14:paraId="2C83F81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81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81B">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81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81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81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820">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541" w:type="pct"/>
            <w:vAlign w:val="center"/>
          </w:tcPr>
          <w:p w14:paraId="2C83F821">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蒋村港船闸</w:t>
            </w:r>
          </w:p>
        </w:tc>
        <w:tc>
          <w:tcPr>
            <w:tcW w:w="730" w:type="pct"/>
            <w:vMerge w:val="restart"/>
            <w:vAlign w:val="center"/>
          </w:tcPr>
          <w:p w14:paraId="2C83F82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624796.88</w:t>
            </w:r>
          </w:p>
        </w:tc>
        <w:tc>
          <w:tcPr>
            <w:tcW w:w="484" w:type="pct"/>
            <w:vMerge w:val="restart"/>
            <w:vAlign w:val="center"/>
          </w:tcPr>
          <w:p w14:paraId="2C83F82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824">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82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82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82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829">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82A">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配套的输水廊道进出水闸门</w:t>
            </w:r>
          </w:p>
        </w:tc>
        <w:tc>
          <w:tcPr>
            <w:tcW w:w="730" w:type="pct"/>
            <w:vMerge w:val="continue"/>
            <w:vAlign w:val="center"/>
          </w:tcPr>
          <w:p w14:paraId="2C83F82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82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82D">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82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82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83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832">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541" w:type="pct"/>
            <w:vAlign w:val="center"/>
          </w:tcPr>
          <w:p w14:paraId="2C83F833">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五常港船闸</w:t>
            </w:r>
          </w:p>
        </w:tc>
        <w:tc>
          <w:tcPr>
            <w:tcW w:w="730" w:type="pct"/>
            <w:vMerge w:val="restart"/>
            <w:vAlign w:val="center"/>
          </w:tcPr>
          <w:p w14:paraId="2C83F83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631252.63</w:t>
            </w:r>
          </w:p>
        </w:tc>
        <w:tc>
          <w:tcPr>
            <w:tcW w:w="484" w:type="pct"/>
            <w:vMerge w:val="restart"/>
            <w:vAlign w:val="center"/>
          </w:tcPr>
          <w:p w14:paraId="2C83F83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836">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83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83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83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83B">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83C">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配套的输水廊道进出水闸门</w:t>
            </w:r>
          </w:p>
        </w:tc>
        <w:tc>
          <w:tcPr>
            <w:tcW w:w="730" w:type="pct"/>
            <w:vMerge w:val="continue"/>
            <w:vAlign w:val="center"/>
          </w:tcPr>
          <w:p w14:paraId="2C83F83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83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83F">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84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84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84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restart"/>
            <w:vAlign w:val="center"/>
          </w:tcPr>
          <w:p w14:paraId="2C83F844">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541" w:type="pct"/>
            <w:vAlign w:val="center"/>
          </w:tcPr>
          <w:p w14:paraId="2C83F845">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蓬驾桥泵站</w:t>
            </w:r>
          </w:p>
        </w:tc>
        <w:tc>
          <w:tcPr>
            <w:tcW w:w="730" w:type="pct"/>
            <w:vMerge w:val="restart"/>
            <w:vAlign w:val="center"/>
          </w:tcPr>
          <w:p w14:paraId="2C83F84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481152.98</w:t>
            </w:r>
          </w:p>
        </w:tc>
        <w:tc>
          <w:tcPr>
            <w:tcW w:w="484" w:type="pct"/>
            <w:vMerge w:val="restart"/>
            <w:vAlign w:val="center"/>
          </w:tcPr>
          <w:p w14:paraId="2C83F84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restart"/>
            <w:vAlign w:val="center"/>
          </w:tcPr>
          <w:p w14:paraId="2C83F848">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2C83F84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2C83F84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restart"/>
            <w:vAlign w:val="center"/>
          </w:tcPr>
          <w:p w14:paraId="2C83F84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0" w:type="pct"/>
            <w:vMerge w:val="continue"/>
            <w:vAlign w:val="center"/>
          </w:tcPr>
          <w:p w14:paraId="2C83F84D">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84E">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配套的泵池进出水检修闸（3个）</w:t>
            </w:r>
          </w:p>
        </w:tc>
        <w:tc>
          <w:tcPr>
            <w:tcW w:w="730" w:type="pct"/>
            <w:vMerge w:val="continue"/>
            <w:vAlign w:val="center"/>
          </w:tcPr>
          <w:p w14:paraId="2C83F84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85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851">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85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85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85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0" w:type="pct"/>
            <w:vMerge w:val="continue"/>
            <w:vAlign w:val="center"/>
          </w:tcPr>
          <w:p w14:paraId="2C83F856">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vAlign w:val="center"/>
          </w:tcPr>
          <w:p w14:paraId="2C83F857">
            <w:pPr>
              <w:keepNext w:val="0"/>
              <w:keepLines w:val="0"/>
              <w:suppressLineNumbers w:val="0"/>
              <w:adjustRightInd/>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配套的1个节制闸（挡潮闸）</w:t>
            </w:r>
          </w:p>
        </w:tc>
        <w:tc>
          <w:tcPr>
            <w:tcW w:w="730" w:type="pct"/>
            <w:vMerge w:val="continue"/>
            <w:vAlign w:val="center"/>
          </w:tcPr>
          <w:p w14:paraId="2C83F85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4" w:type="pct"/>
            <w:vMerge w:val="continue"/>
            <w:vAlign w:val="center"/>
          </w:tcPr>
          <w:p w14:paraId="2C83F85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7" w:type="pct"/>
            <w:vMerge w:val="continue"/>
            <w:vAlign w:val="center"/>
          </w:tcPr>
          <w:p w14:paraId="2C83F85A">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2C83F85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2C83F85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98" w:type="pct"/>
            <w:vMerge w:val="continue"/>
            <w:vAlign w:val="center"/>
          </w:tcPr>
          <w:p w14:paraId="2C83F85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pct"/>
            <w:gridSpan w:val="2"/>
            <w:vAlign w:val="center"/>
          </w:tcPr>
          <w:p w14:paraId="2C83F85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合计</w:t>
            </w:r>
          </w:p>
        </w:tc>
        <w:tc>
          <w:tcPr>
            <w:tcW w:w="730" w:type="pct"/>
            <w:vAlign w:val="center"/>
          </w:tcPr>
          <w:p w14:paraId="2C83F86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3774090.64</w:t>
            </w:r>
          </w:p>
        </w:tc>
        <w:tc>
          <w:tcPr>
            <w:tcW w:w="484" w:type="pct"/>
            <w:vAlign w:val="center"/>
          </w:tcPr>
          <w:p w14:paraId="2C83F86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567" w:type="pct"/>
            <w:vAlign w:val="center"/>
          </w:tcPr>
          <w:p w14:paraId="2C83F862">
            <w:pPr>
              <w:keepNext w:val="0"/>
              <w:keepLines w:val="0"/>
              <w:suppressLineNumbers w:val="0"/>
              <w:adjustRightInd/>
              <w:spacing w:before="0" w:beforeAutospacing="0" w:after="0" w:afterAutospacing="0" w:line="240" w:lineRule="exact"/>
              <w:ind w:left="0" w:right="0"/>
              <w:rPr>
                <w:rFonts w:hint="eastAsia" w:ascii="仿宋" w:hAnsi="仿宋" w:eastAsia="仿宋" w:cs="仿宋"/>
                <w:b/>
                <w:color w:val="auto"/>
                <w:szCs w:val="21"/>
                <w:highlight w:val="none"/>
              </w:rPr>
            </w:pPr>
          </w:p>
        </w:tc>
        <w:tc>
          <w:tcPr>
            <w:tcW w:w="443" w:type="pct"/>
            <w:vAlign w:val="center"/>
          </w:tcPr>
          <w:p w14:paraId="2C83F86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3</w:t>
            </w:r>
          </w:p>
        </w:tc>
        <w:tc>
          <w:tcPr>
            <w:tcW w:w="712" w:type="pct"/>
            <w:vAlign w:val="center"/>
          </w:tcPr>
          <w:p w14:paraId="2C83F86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298" w:type="pct"/>
            <w:vAlign w:val="center"/>
          </w:tcPr>
          <w:p w14:paraId="2C83F86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r>
      <w:tr w14:paraId="2C83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00" w:type="pct"/>
            <w:gridSpan w:val="8"/>
            <w:vAlign w:val="center"/>
          </w:tcPr>
          <w:p w14:paraId="2C83F867">
            <w:pPr>
              <w:keepNext w:val="0"/>
              <w:keepLines w:val="0"/>
              <w:suppressLineNumbers w:val="0"/>
              <w:adjustRightInd/>
              <w:spacing w:before="0" w:beforeAutospacing="0" w:after="0" w:afterAutospacing="0" w:line="240" w:lineRule="exact"/>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投标总报价（三年）</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小写：                   大写：</w:t>
            </w:r>
          </w:p>
        </w:tc>
      </w:tr>
    </w:tbl>
    <w:p w14:paraId="7F138CBF">
      <w:pPr>
        <w:wordWrap w:val="0"/>
        <w:snapToGrid w:val="0"/>
        <w:spacing w:line="360" w:lineRule="auto"/>
        <w:jc w:val="left"/>
        <w:rPr>
          <w:rFonts w:hint="eastAsia" w:ascii="仿宋" w:hAnsi="仿宋" w:eastAsia="仿宋" w:cs="仿宋"/>
          <w:b/>
          <w:color w:val="auto"/>
          <w:kern w:val="0"/>
          <w:sz w:val="24"/>
          <w:highlight w:val="none"/>
          <w:lang w:val="zh-CN"/>
        </w:rPr>
      </w:pPr>
    </w:p>
    <w:p w14:paraId="22B68892">
      <w:pPr>
        <w:wordWrap w:val="0"/>
        <w:snapToGrid w:val="0"/>
        <w:spacing w:line="360" w:lineRule="auto"/>
        <w:ind w:left="480" w:firstLine="482"/>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2B68893">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1、投标人需按本表格式填写，格式、已列内容不得自行更改。若投标人根据以上列明的采购内容需进行分项明细报价，请另行以附件形式提供，格式自拟。</w:t>
      </w:r>
    </w:p>
    <w:p w14:paraId="22B68894">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计算公式：（3）=（1）*[1-（2）]；（5）=（3）*（4）</w:t>
      </w:r>
    </w:p>
    <w:p w14:paraId="22B68895">
      <w:pPr>
        <w:wordWrap w:val="0"/>
        <w:snapToGrid w:val="0"/>
        <w:spacing w:line="360" w:lineRule="auto"/>
        <w:ind w:firstLine="480" w:firstLineChars="200"/>
        <w:jc w:val="left"/>
        <w:rPr>
          <w:rFonts w:hint="eastAsia" w:ascii="仿宋" w:hAnsi="仿宋" w:eastAsia="仿宋" w:cs="仿宋"/>
          <w:b/>
          <w:bCs/>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单项定额费用为最高单价限价，单年养护费报价不得超过定额费用。</w:t>
      </w:r>
    </w:p>
    <w:p w14:paraId="22B68896">
      <w:pPr>
        <w:wordWrap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仿宋" w:hAnsi="仿宋" w:eastAsia="仿宋" w:cs="仿宋"/>
          <w:bCs/>
          <w:color w:val="auto"/>
          <w:kern w:val="0"/>
          <w:sz w:val="24"/>
          <w:highlight w:val="none"/>
          <w:lang w:val="zh-CN"/>
        </w:rPr>
        <w:t>。</w:t>
      </w:r>
    </w:p>
    <w:p w14:paraId="22B68897">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、以上表格要求细分项目及报价，在“规格型号（或具体服务）”一栏中，</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服务类项目填写具体服务。</w:t>
      </w:r>
    </w:p>
    <w:p w14:paraId="22B68898">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22B68899">
      <w:pPr>
        <w:pStyle w:val="61"/>
        <w:wordWrap w:val="0"/>
        <w:spacing w:after="0" w:line="360" w:lineRule="auto"/>
        <w:ind w:left="0" w:leftChars="0"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A8"/>
      </w:r>
      <w:r>
        <w:rPr>
          <w:rFonts w:hint="eastAsia" w:ascii="仿宋" w:hAnsi="仿宋" w:eastAsia="仿宋" w:cs="仿宋"/>
          <w:color w:val="auto"/>
          <w:kern w:val="0"/>
          <w:sz w:val="24"/>
          <w:szCs w:val="22"/>
          <w:highlight w:val="none"/>
        </w:rPr>
        <w:t>7</w:t>
      </w:r>
      <w:r>
        <w:rPr>
          <w:rFonts w:hint="eastAsia" w:ascii="仿宋" w:hAnsi="仿宋" w:eastAsia="仿宋" w:cs="仿宋"/>
          <w:color w:val="auto"/>
          <w:kern w:val="0"/>
          <w:sz w:val="24"/>
          <w:szCs w:val="22"/>
          <w:highlight w:val="none"/>
          <w:lang w:val="zh-CN"/>
        </w:rPr>
        <w:t>、</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14:paraId="22B6889A">
      <w:pPr>
        <w:pStyle w:val="61"/>
        <w:wordWrap w:val="0"/>
        <w:spacing w:after="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2B6889B">
      <w:pPr>
        <w:pStyle w:val="61"/>
        <w:wordWrap w:val="0"/>
        <w:spacing w:after="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22B6889C">
      <w:pPr>
        <w:ind w:firstLine="640"/>
        <w:rPr>
          <w:rFonts w:hint="eastAsia" w:ascii="仿宋" w:hAnsi="仿宋" w:eastAsia="仿宋" w:cs="仿宋"/>
          <w:color w:val="auto"/>
          <w:sz w:val="32"/>
          <w:szCs w:val="32"/>
          <w:highlight w:val="none"/>
        </w:rPr>
      </w:pPr>
      <w:bookmarkStart w:id="779" w:name="_Toc16528"/>
      <w:bookmarkStart w:id="780" w:name="_Toc26887"/>
      <w:bookmarkStart w:id="781" w:name="_Toc10965"/>
      <w:bookmarkStart w:id="782" w:name="_Toc16669"/>
      <w:bookmarkStart w:id="783" w:name="_Toc16525"/>
      <w:bookmarkStart w:id="784" w:name="_Toc19744"/>
      <w:bookmarkStart w:id="785" w:name="_Toc24377"/>
      <w:bookmarkStart w:id="786" w:name="_Toc15901"/>
      <w:bookmarkStart w:id="787" w:name="_Toc29327"/>
      <w:r>
        <w:rPr>
          <w:rFonts w:hint="eastAsia" w:ascii="仿宋" w:hAnsi="仿宋" w:eastAsia="仿宋" w:cs="仿宋"/>
          <w:color w:val="auto"/>
          <w:sz w:val="32"/>
          <w:szCs w:val="32"/>
          <w:highlight w:val="none"/>
        </w:rPr>
        <w:br w:type="page"/>
      </w:r>
    </w:p>
    <w:p w14:paraId="22B6889D">
      <w:pPr>
        <w:pStyle w:val="692"/>
        <w:keepNext w:val="0"/>
        <w:pageBreakBefore w:val="0"/>
        <w:tabs>
          <w:tab w:val="clear" w:pos="720"/>
        </w:tabs>
        <w:snapToGrid w:val="0"/>
        <w:spacing w:before="120" w:after="120"/>
        <w:ind w:firstLine="643"/>
        <w:outlineLvl w:val="2"/>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二、投标价格组成明细表</w:t>
      </w:r>
    </w:p>
    <w:tbl>
      <w:tblPr>
        <w:tblStyle w:val="62"/>
        <w:tblW w:w="4896"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846"/>
        <w:gridCol w:w="426"/>
        <w:gridCol w:w="426"/>
        <w:gridCol w:w="636"/>
        <w:gridCol w:w="426"/>
        <w:gridCol w:w="426"/>
        <w:gridCol w:w="397"/>
        <w:gridCol w:w="397"/>
        <w:gridCol w:w="397"/>
        <w:gridCol w:w="669"/>
        <w:gridCol w:w="669"/>
        <w:gridCol w:w="669"/>
        <w:gridCol w:w="669"/>
        <w:gridCol w:w="669"/>
        <w:gridCol w:w="578"/>
        <w:gridCol w:w="397"/>
      </w:tblGrid>
      <w:tr w14:paraId="2C8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 w:type="pct"/>
            <w:vAlign w:val="center"/>
          </w:tcPr>
          <w:p w14:paraId="2C83F876">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序号</w:t>
            </w:r>
          </w:p>
        </w:tc>
        <w:tc>
          <w:tcPr>
            <w:tcW w:w="465" w:type="pct"/>
            <w:vAlign w:val="center"/>
          </w:tcPr>
          <w:p w14:paraId="2C83F877">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闸站名称</w:t>
            </w:r>
          </w:p>
        </w:tc>
        <w:tc>
          <w:tcPr>
            <w:tcW w:w="234" w:type="pct"/>
            <w:vAlign w:val="center"/>
          </w:tcPr>
          <w:p w14:paraId="2C83F87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所在</w:t>
            </w:r>
          </w:p>
          <w:p w14:paraId="2C83F879">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片区</w:t>
            </w:r>
          </w:p>
        </w:tc>
        <w:tc>
          <w:tcPr>
            <w:tcW w:w="234" w:type="pct"/>
            <w:vAlign w:val="center"/>
          </w:tcPr>
          <w:p w14:paraId="2C83F87A">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有无管养用房</w:t>
            </w:r>
          </w:p>
        </w:tc>
        <w:tc>
          <w:tcPr>
            <w:tcW w:w="349" w:type="pct"/>
            <w:vAlign w:val="center"/>
          </w:tcPr>
          <w:p w14:paraId="2C83F87B">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使用</w:t>
            </w:r>
          </w:p>
          <w:p w14:paraId="2C83F87C">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功能</w:t>
            </w:r>
          </w:p>
        </w:tc>
        <w:tc>
          <w:tcPr>
            <w:tcW w:w="234" w:type="pct"/>
            <w:vAlign w:val="center"/>
          </w:tcPr>
          <w:p w14:paraId="2C83F87D">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等级</w:t>
            </w:r>
          </w:p>
        </w:tc>
        <w:tc>
          <w:tcPr>
            <w:tcW w:w="234" w:type="pct"/>
            <w:vAlign w:val="center"/>
          </w:tcPr>
          <w:p w14:paraId="2C83F87E">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w:t>
            </w:r>
          </w:p>
          <w:p w14:paraId="2C83F87F">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模式</w:t>
            </w:r>
          </w:p>
        </w:tc>
        <w:tc>
          <w:tcPr>
            <w:tcW w:w="218" w:type="pct"/>
            <w:vAlign w:val="center"/>
          </w:tcPr>
          <w:p w14:paraId="2C83F88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每班人数</w:t>
            </w:r>
          </w:p>
        </w:tc>
        <w:tc>
          <w:tcPr>
            <w:tcW w:w="218" w:type="pct"/>
            <w:vAlign w:val="center"/>
          </w:tcPr>
          <w:p w14:paraId="2C83F881">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运行人员总数</w:t>
            </w:r>
          </w:p>
        </w:tc>
        <w:tc>
          <w:tcPr>
            <w:tcW w:w="218" w:type="pct"/>
            <w:vAlign w:val="center"/>
          </w:tcPr>
          <w:p w14:paraId="2C83F882">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班组长</w:t>
            </w:r>
          </w:p>
        </w:tc>
        <w:tc>
          <w:tcPr>
            <w:tcW w:w="367" w:type="pct"/>
            <w:vAlign w:val="center"/>
          </w:tcPr>
          <w:p w14:paraId="2C83F884">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（1）</w:t>
            </w:r>
          </w:p>
          <w:p w14:paraId="2C83F885">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工资总额</w:t>
            </w:r>
          </w:p>
          <w:p w14:paraId="2C83F886">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（元/年）</w:t>
            </w:r>
          </w:p>
        </w:tc>
        <w:tc>
          <w:tcPr>
            <w:tcW w:w="367" w:type="pct"/>
            <w:vAlign w:val="center"/>
          </w:tcPr>
          <w:p w14:paraId="2C83F887">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（2）</w:t>
            </w:r>
          </w:p>
          <w:p w14:paraId="2C83F88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维修养护费用</w:t>
            </w:r>
          </w:p>
          <w:p w14:paraId="2C83F889">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（元/年）</w:t>
            </w:r>
          </w:p>
        </w:tc>
        <w:tc>
          <w:tcPr>
            <w:tcW w:w="367" w:type="pct"/>
            <w:vAlign w:val="center"/>
          </w:tcPr>
          <w:p w14:paraId="2C83F88A">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（3）</w:t>
            </w:r>
          </w:p>
          <w:p w14:paraId="2C83F88B">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绿化保维费用（元/年）</w:t>
            </w:r>
          </w:p>
        </w:tc>
        <w:tc>
          <w:tcPr>
            <w:tcW w:w="367" w:type="pct"/>
            <w:vAlign w:val="center"/>
          </w:tcPr>
          <w:p w14:paraId="2C83F88C">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（4）</w:t>
            </w:r>
          </w:p>
          <w:p w14:paraId="2C83F88D">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硬化保维费用（元/年）</w:t>
            </w:r>
          </w:p>
        </w:tc>
        <w:tc>
          <w:tcPr>
            <w:tcW w:w="367" w:type="pct"/>
            <w:vAlign w:val="center"/>
          </w:tcPr>
          <w:p w14:paraId="2C83F88E">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（5）</w:t>
            </w:r>
          </w:p>
          <w:p w14:paraId="2C83F88F">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航标维护费用（元/年）</w:t>
            </w:r>
          </w:p>
        </w:tc>
        <w:tc>
          <w:tcPr>
            <w:tcW w:w="317" w:type="pct"/>
            <w:vAlign w:val="center"/>
          </w:tcPr>
          <w:p w14:paraId="2C83F89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前5项</w:t>
            </w:r>
          </w:p>
          <w:p w14:paraId="2C83F891">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运行维护</w:t>
            </w:r>
          </w:p>
          <w:p w14:paraId="2C83F892">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小计</w:t>
            </w:r>
          </w:p>
          <w:p w14:paraId="2C83F893">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（元/年）</w:t>
            </w:r>
          </w:p>
        </w:tc>
        <w:tc>
          <w:tcPr>
            <w:tcW w:w="218" w:type="pct"/>
            <w:vAlign w:val="center"/>
          </w:tcPr>
          <w:p w14:paraId="2C83F894">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备注</w:t>
            </w:r>
          </w:p>
        </w:tc>
      </w:tr>
      <w:tr w14:paraId="2C83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89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5" w:type="pct"/>
            <w:vAlign w:val="center"/>
          </w:tcPr>
          <w:p w14:paraId="2C83F89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古荡公园泵站</w:t>
            </w:r>
          </w:p>
        </w:tc>
        <w:tc>
          <w:tcPr>
            <w:tcW w:w="234" w:type="pct"/>
            <w:vMerge w:val="restart"/>
            <w:vAlign w:val="center"/>
          </w:tcPr>
          <w:p w14:paraId="2C83F89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788" w:name="_Toc21626"/>
            <w:bookmarkStart w:id="789" w:name="_Toc21140"/>
            <w:bookmarkStart w:id="790" w:name="_Toc20453"/>
            <w:r>
              <w:rPr>
                <w:rFonts w:hint="eastAsia" w:ascii="仿宋" w:hAnsi="仿宋" w:eastAsia="仿宋" w:cs="仿宋"/>
                <w:color w:val="auto"/>
                <w:szCs w:val="21"/>
                <w:highlight w:val="none"/>
              </w:rPr>
              <w:t>运西老城片</w:t>
            </w:r>
            <w:bookmarkEnd w:id="788"/>
            <w:bookmarkEnd w:id="789"/>
            <w:bookmarkEnd w:id="790"/>
          </w:p>
        </w:tc>
        <w:tc>
          <w:tcPr>
            <w:tcW w:w="234" w:type="pct"/>
            <w:vMerge w:val="restart"/>
            <w:vAlign w:val="center"/>
          </w:tcPr>
          <w:p w14:paraId="2C83F89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p>
        </w:tc>
        <w:tc>
          <w:tcPr>
            <w:tcW w:w="349" w:type="pct"/>
            <w:vMerge w:val="restart"/>
            <w:vAlign w:val="center"/>
          </w:tcPr>
          <w:p w14:paraId="2C83F89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791" w:name="_Toc21524"/>
            <w:bookmarkStart w:id="792" w:name="_Toc26690"/>
            <w:r>
              <w:rPr>
                <w:rFonts w:hint="eastAsia" w:ascii="仿宋" w:hAnsi="仿宋" w:eastAsia="仿宋" w:cs="仿宋"/>
                <w:color w:val="auto"/>
                <w:szCs w:val="21"/>
                <w:highlight w:val="none"/>
              </w:rPr>
              <w:t>排涝、配水</w:t>
            </w:r>
            <w:bookmarkEnd w:id="791"/>
            <w:bookmarkEnd w:id="792"/>
          </w:p>
        </w:tc>
        <w:tc>
          <w:tcPr>
            <w:tcW w:w="234" w:type="pct"/>
            <w:vAlign w:val="center"/>
          </w:tcPr>
          <w:p w14:paraId="2C83F89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793" w:name="_Toc28011"/>
            <w:bookmarkStart w:id="794" w:name="_Toc13861"/>
            <w:bookmarkStart w:id="795" w:name="_Toc7586"/>
            <w:r>
              <w:rPr>
                <w:rFonts w:hint="eastAsia" w:ascii="仿宋" w:hAnsi="仿宋" w:eastAsia="仿宋" w:cs="仿宋"/>
                <w:color w:val="auto"/>
                <w:szCs w:val="21"/>
                <w:highlight w:val="none"/>
              </w:rPr>
              <w:t>四级</w:t>
            </w:r>
            <w:bookmarkEnd w:id="793"/>
            <w:bookmarkEnd w:id="794"/>
            <w:bookmarkEnd w:id="795"/>
          </w:p>
        </w:tc>
        <w:tc>
          <w:tcPr>
            <w:tcW w:w="234" w:type="pct"/>
            <w:vMerge w:val="restart"/>
            <w:vAlign w:val="center"/>
          </w:tcPr>
          <w:p w14:paraId="2C83F89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796" w:name="_Toc7977"/>
            <w:bookmarkStart w:id="797" w:name="_Toc27935"/>
            <w:bookmarkStart w:id="798" w:name="_Toc7511"/>
            <w:r>
              <w:rPr>
                <w:rFonts w:hint="eastAsia" w:ascii="仿宋" w:hAnsi="仿宋" w:eastAsia="仿宋" w:cs="仿宋"/>
                <w:color w:val="auto"/>
                <w:szCs w:val="21"/>
                <w:highlight w:val="none"/>
              </w:rPr>
              <w:t>三班二运转</w:t>
            </w:r>
            <w:bookmarkEnd w:id="796"/>
            <w:bookmarkEnd w:id="797"/>
            <w:bookmarkEnd w:id="798"/>
          </w:p>
        </w:tc>
        <w:tc>
          <w:tcPr>
            <w:tcW w:w="218" w:type="pct"/>
            <w:vMerge w:val="restart"/>
            <w:vAlign w:val="center"/>
          </w:tcPr>
          <w:p w14:paraId="2C83F89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799" w:name="_Toc20402"/>
            <w:bookmarkStart w:id="800" w:name="_Toc18150"/>
            <w:bookmarkStart w:id="801" w:name="_Toc24762"/>
            <w:r>
              <w:rPr>
                <w:rFonts w:hint="eastAsia" w:ascii="仿宋" w:hAnsi="仿宋" w:eastAsia="仿宋" w:cs="仿宋"/>
                <w:color w:val="auto"/>
                <w:szCs w:val="21"/>
                <w:highlight w:val="none"/>
              </w:rPr>
              <w:t>1</w:t>
            </w:r>
            <w:bookmarkEnd w:id="799"/>
            <w:bookmarkEnd w:id="800"/>
            <w:bookmarkEnd w:id="801"/>
          </w:p>
        </w:tc>
        <w:tc>
          <w:tcPr>
            <w:tcW w:w="218" w:type="pct"/>
            <w:vMerge w:val="restart"/>
            <w:vAlign w:val="center"/>
          </w:tcPr>
          <w:p w14:paraId="2C83F89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02" w:name="_Toc23447"/>
            <w:bookmarkStart w:id="803" w:name="_Toc28584"/>
            <w:bookmarkStart w:id="804" w:name="_Toc29080"/>
            <w:r>
              <w:rPr>
                <w:rFonts w:hint="eastAsia" w:ascii="仿宋" w:hAnsi="仿宋" w:eastAsia="仿宋" w:cs="仿宋"/>
                <w:color w:val="auto"/>
                <w:szCs w:val="21"/>
                <w:highlight w:val="none"/>
              </w:rPr>
              <w:t>3</w:t>
            </w:r>
            <w:bookmarkEnd w:id="802"/>
            <w:bookmarkEnd w:id="803"/>
            <w:bookmarkEnd w:id="804"/>
          </w:p>
        </w:tc>
        <w:tc>
          <w:tcPr>
            <w:tcW w:w="218" w:type="pct"/>
            <w:vMerge w:val="restart"/>
            <w:vAlign w:val="center"/>
          </w:tcPr>
          <w:p w14:paraId="2C83F89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05" w:name="_Toc18498"/>
            <w:bookmarkStart w:id="806" w:name="_Toc7196"/>
            <w:r>
              <w:rPr>
                <w:rFonts w:hint="eastAsia" w:ascii="仿宋" w:hAnsi="仿宋" w:eastAsia="仿宋" w:cs="仿宋"/>
                <w:color w:val="auto"/>
                <w:szCs w:val="21"/>
                <w:highlight w:val="none"/>
              </w:rPr>
              <w:t>0</w:t>
            </w:r>
            <w:bookmarkEnd w:id="805"/>
            <w:bookmarkEnd w:id="806"/>
          </w:p>
        </w:tc>
        <w:tc>
          <w:tcPr>
            <w:tcW w:w="367" w:type="pct"/>
            <w:vMerge w:val="restart"/>
            <w:vAlign w:val="center"/>
          </w:tcPr>
          <w:p w14:paraId="2C83F8A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A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8A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8A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8A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noWrap/>
            <w:vAlign w:val="center"/>
          </w:tcPr>
          <w:p w14:paraId="2C83F8A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8A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8A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8A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07" w:name="_Toc3257"/>
            <w:bookmarkStart w:id="808" w:name="_Toc10136"/>
            <w:bookmarkStart w:id="809" w:name="_Toc9345"/>
            <w:r>
              <w:rPr>
                <w:rFonts w:hint="eastAsia" w:ascii="仿宋" w:hAnsi="仿宋" w:eastAsia="仿宋" w:cs="仿宋"/>
                <w:color w:val="auto"/>
                <w:sz w:val="15"/>
                <w:szCs w:val="15"/>
                <w:highlight w:val="none"/>
              </w:rPr>
              <w:t>配套的泵池拍门（2个）</w:t>
            </w:r>
            <w:bookmarkEnd w:id="807"/>
            <w:bookmarkEnd w:id="808"/>
            <w:bookmarkEnd w:id="809"/>
          </w:p>
        </w:tc>
        <w:tc>
          <w:tcPr>
            <w:tcW w:w="234" w:type="pct"/>
            <w:vMerge w:val="continue"/>
            <w:vAlign w:val="center"/>
          </w:tcPr>
          <w:p w14:paraId="2C83F8A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8A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8A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8A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10" w:name="_Toc30591"/>
            <w:bookmarkStart w:id="811" w:name="_Toc6132"/>
            <w:bookmarkStart w:id="812" w:name="_Toc3287"/>
            <w:r>
              <w:rPr>
                <w:rFonts w:hint="eastAsia" w:ascii="仿宋" w:hAnsi="仿宋" w:eastAsia="仿宋" w:cs="仿宋"/>
                <w:color w:val="auto"/>
                <w:szCs w:val="21"/>
                <w:highlight w:val="none"/>
              </w:rPr>
              <w:t>五级</w:t>
            </w:r>
            <w:bookmarkEnd w:id="810"/>
            <w:bookmarkEnd w:id="811"/>
            <w:bookmarkEnd w:id="812"/>
          </w:p>
        </w:tc>
        <w:tc>
          <w:tcPr>
            <w:tcW w:w="234" w:type="pct"/>
            <w:vMerge w:val="continue"/>
            <w:vAlign w:val="center"/>
          </w:tcPr>
          <w:p w14:paraId="2C83F8A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B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B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B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B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B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B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B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B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8B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8B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continue"/>
            <w:vAlign w:val="center"/>
          </w:tcPr>
          <w:p w14:paraId="2C83F8B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8B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13" w:name="_Toc27067"/>
            <w:bookmarkStart w:id="814" w:name="_Toc22185"/>
            <w:bookmarkStart w:id="815" w:name="_Toc27124"/>
            <w:r>
              <w:rPr>
                <w:rFonts w:hint="eastAsia" w:ascii="仿宋" w:hAnsi="仿宋" w:eastAsia="仿宋" w:cs="仿宋"/>
                <w:color w:val="auto"/>
                <w:sz w:val="18"/>
                <w:szCs w:val="18"/>
                <w:highlight w:val="none"/>
              </w:rPr>
              <w:t>配套的1座节制闸</w:t>
            </w:r>
            <w:bookmarkEnd w:id="813"/>
            <w:bookmarkEnd w:id="814"/>
            <w:bookmarkEnd w:id="815"/>
          </w:p>
        </w:tc>
        <w:tc>
          <w:tcPr>
            <w:tcW w:w="234" w:type="pct"/>
            <w:vMerge w:val="continue"/>
            <w:vAlign w:val="center"/>
          </w:tcPr>
          <w:p w14:paraId="2C83F8B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8B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8C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8C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16" w:name="_Toc30902"/>
            <w:bookmarkStart w:id="817" w:name="_Toc26274"/>
            <w:bookmarkStart w:id="818" w:name="_Toc17468"/>
            <w:r>
              <w:rPr>
                <w:rFonts w:hint="eastAsia" w:ascii="仿宋" w:hAnsi="仿宋" w:eastAsia="仿宋" w:cs="仿宋"/>
                <w:color w:val="auto"/>
                <w:szCs w:val="21"/>
                <w:highlight w:val="none"/>
              </w:rPr>
              <w:t>二级</w:t>
            </w:r>
            <w:bookmarkEnd w:id="816"/>
            <w:bookmarkEnd w:id="817"/>
            <w:bookmarkEnd w:id="818"/>
          </w:p>
        </w:tc>
        <w:tc>
          <w:tcPr>
            <w:tcW w:w="234" w:type="pct"/>
            <w:vMerge w:val="continue"/>
            <w:vAlign w:val="center"/>
          </w:tcPr>
          <w:p w14:paraId="2C83F8C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C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C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C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C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C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C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C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8C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8C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8C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Align w:val="center"/>
          </w:tcPr>
          <w:p w14:paraId="2C83F8C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65" w:type="pct"/>
            <w:vAlign w:val="center"/>
          </w:tcPr>
          <w:p w14:paraId="2C83F8D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19" w:name="_Toc24100"/>
            <w:bookmarkStart w:id="820" w:name="_Toc3674"/>
            <w:bookmarkStart w:id="821" w:name="_Toc22461"/>
            <w:r>
              <w:rPr>
                <w:rFonts w:hint="eastAsia" w:ascii="仿宋" w:hAnsi="仿宋" w:eastAsia="仿宋" w:cs="仿宋"/>
                <w:color w:val="auto"/>
                <w:szCs w:val="21"/>
                <w:highlight w:val="none"/>
              </w:rPr>
              <w:t>古荡湾（水）闸</w:t>
            </w:r>
            <w:bookmarkEnd w:id="819"/>
            <w:bookmarkEnd w:id="820"/>
            <w:bookmarkEnd w:id="821"/>
          </w:p>
        </w:tc>
        <w:tc>
          <w:tcPr>
            <w:tcW w:w="234" w:type="pct"/>
            <w:vAlign w:val="center"/>
          </w:tcPr>
          <w:p w14:paraId="2C83F8D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22" w:name="_Toc11964"/>
            <w:bookmarkStart w:id="823" w:name="_Toc2288"/>
            <w:bookmarkStart w:id="824" w:name="_Toc25011"/>
            <w:r>
              <w:rPr>
                <w:rFonts w:hint="eastAsia" w:ascii="仿宋" w:hAnsi="仿宋" w:eastAsia="仿宋" w:cs="仿宋"/>
                <w:color w:val="auto"/>
                <w:szCs w:val="21"/>
                <w:highlight w:val="none"/>
              </w:rPr>
              <w:t>运西老城片</w:t>
            </w:r>
            <w:bookmarkEnd w:id="822"/>
            <w:bookmarkEnd w:id="823"/>
            <w:bookmarkEnd w:id="824"/>
          </w:p>
        </w:tc>
        <w:tc>
          <w:tcPr>
            <w:tcW w:w="234" w:type="pct"/>
            <w:vAlign w:val="center"/>
          </w:tcPr>
          <w:p w14:paraId="2C83F8D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25" w:name="_Toc3143"/>
            <w:bookmarkStart w:id="826" w:name="_Toc16972"/>
            <w:bookmarkStart w:id="827" w:name="_Toc6869"/>
            <w:r>
              <w:rPr>
                <w:rFonts w:hint="eastAsia" w:ascii="仿宋" w:hAnsi="仿宋" w:eastAsia="仿宋" w:cs="仿宋"/>
                <w:color w:val="auto"/>
                <w:szCs w:val="21"/>
                <w:highlight w:val="none"/>
              </w:rPr>
              <w:t>有</w:t>
            </w:r>
            <w:bookmarkEnd w:id="825"/>
            <w:bookmarkEnd w:id="826"/>
            <w:bookmarkEnd w:id="827"/>
          </w:p>
        </w:tc>
        <w:tc>
          <w:tcPr>
            <w:tcW w:w="349" w:type="pct"/>
            <w:vAlign w:val="center"/>
          </w:tcPr>
          <w:p w14:paraId="2C83F8D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28" w:name="_Toc897"/>
            <w:bookmarkStart w:id="829" w:name="_Toc6332"/>
            <w:bookmarkStart w:id="830" w:name="_Toc702"/>
            <w:r>
              <w:rPr>
                <w:rFonts w:hint="eastAsia" w:ascii="仿宋" w:hAnsi="仿宋" w:eastAsia="仿宋" w:cs="仿宋"/>
                <w:color w:val="auto"/>
                <w:szCs w:val="21"/>
                <w:highlight w:val="none"/>
              </w:rPr>
              <w:t>排涝、配水</w:t>
            </w:r>
            <w:bookmarkEnd w:id="828"/>
            <w:bookmarkEnd w:id="829"/>
            <w:bookmarkEnd w:id="830"/>
          </w:p>
        </w:tc>
        <w:tc>
          <w:tcPr>
            <w:tcW w:w="234" w:type="pct"/>
            <w:vAlign w:val="center"/>
          </w:tcPr>
          <w:p w14:paraId="2C83F8D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31" w:name="_Toc16802"/>
            <w:bookmarkStart w:id="832" w:name="_Toc7456"/>
            <w:bookmarkStart w:id="833" w:name="_Toc17540"/>
            <w:r>
              <w:rPr>
                <w:rFonts w:hint="eastAsia" w:ascii="仿宋" w:hAnsi="仿宋" w:eastAsia="仿宋" w:cs="仿宋"/>
                <w:color w:val="auto"/>
                <w:szCs w:val="21"/>
                <w:highlight w:val="none"/>
              </w:rPr>
              <w:t>二级</w:t>
            </w:r>
            <w:bookmarkEnd w:id="831"/>
            <w:bookmarkEnd w:id="832"/>
            <w:bookmarkEnd w:id="833"/>
          </w:p>
        </w:tc>
        <w:tc>
          <w:tcPr>
            <w:tcW w:w="234" w:type="pct"/>
            <w:vAlign w:val="center"/>
          </w:tcPr>
          <w:p w14:paraId="2C83F8D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34" w:name="_Toc20348"/>
            <w:bookmarkStart w:id="835" w:name="_Toc24272"/>
            <w:bookmarkStart w:id="836" w:name="_Toc19090"/>
            <w:r>
              <w:rPr>
                <w:rFonts w:hint="eastAsia" w:ascii="仿宋" w:hAnsi="仿宋" w:eastAsia="仿宋" w:cs="仿宋"/>
                <w:color w:val="auto"/>
                <w:szCs w:val="21"/>
                <w:highlight w:val="none"/>
              </w:rPr>
              <w:t>三班二运转</w:t>
            </w:r>
            <w:bookmarkEnd w:id="834"/>
            <w:bookmarkEnd w:id="835"/>
            <w:bookmarkEnd w:id="836"/>
          </w:p>
        </w:tc>
        <w:tc>
          <w:tcPr>
            <w:tcW w:w="218" w:type="pct"/>
            <w:vAlign w:val="center"/>
          </w:tcPr>
          <w:p w14:paraId="2C83F8D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37" w:name="_Toc9424"/>
            <w:bookmarkStart w:id="838" w:name="_Toc22808"/>
            <w:bookmarkStart w:id="839" w:name="_Toc28312"/>
            <w:r>
              <w:rPr>
                <w:rFonts w:hint="eastAsia" w:ascii="仿宋" w:hAnsi="仿宋" w:eastAsia="仿宋" w:cs="仿宋"/>
                <w:color w:val="auto"/>
                <w:szCs w:val="21"/>
                <w:highlight w:val="none"/>
              </w:rPr>
              <w:t>1</w:t>
            </w:r>
            <w:bookmarkEnd w:id="837"/>
            <w:bookmarkEnd w:id="838"/>
            <w:bookmarkEnd w:id="839"/>
          </w:p>
        </w:tc>
        <w:tc>
          <w:tcPr>
            <w:tcW w:w="218" w:type="pct"/>
            <w:vAlign w:val="center"/>
          </w:tcPr>
          <w:p w14:paraId="2C83F8D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40" w:name="_Toc27559"/>
            <w:bookmarkStart w:id="841" w:name="_Toc19678"/>
            <w:bookmarkStart w:id="842" w:name="_Toc29221"/>
            <w:r>
              <w:rPr>
                <w:rFonts w:hint="eastAsia" w:ascii="仿宋" w:hAnsi="仿宋" w:eastAsia="仿宋" w:cs="仿宋"/>
                <w:color w:val="auto"/>
                <w:szCs w:val="21"/>
                <w:highlight w:val="none"/>
              </w:rPr>
              <w:t>3</w:t>
            </w:r>
            <w:bookmarkEnd w:id="840"/>
            <w:bookmarkEnd w:id="841"/>
            <w:bookmarkEnd w:id="842"/>
          </w:p>
        </w:tc>
        <w:tc>
          <w:tcPr>
            <w:tcW w:w="218" w:type="pct"/>
            <w:vAlign w:val="center"/>
          </w:tcPr>
          <w:p w14:paraId="2C83F8D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43" w:name="_Toc11906"/>
            <w:bookmarkStart w:id="844" w:name="_Toc32125"/>
            <w:bookmarkStart w:id="845" w:name="_Toc22019"/>
            <w:r>
              <w:rPr>
                <w:rFonts w:hint="eastAsia" w:ascii="仿宋" w:hAnsi="仿宋" w:eastAsia="仿宋" w:cs="仿宋"/>
                <w:color w:val="auto"/>
                <w:szCs w:val="21"/>
                <w:highlight w:val="none"/>
              </w:rPr>
              <w:t>0</w:t>
            </w:r>
            <w:bookmarkEnd w:id="843"/>
            <w:bookmarkEnd w:id="844"/>
            <w:bookmarkEnd w:id="845"/>
          </w:p>
        </w:tc>
        <w:tc>
          <w:tcPr>
            <w:tcW w:w="367" w:type="pct"/>
            <w:vAlign w:val="center"/>
          </w:tcPr>
          <w:p w14:paraId="2C83F8D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D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D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D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D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Align w:val="center"/>
          </w:tcPr>
          <w:p w14:paraId="2C83F8D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8E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8E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65" w:type="pct"/>
            <w:vAlign w:val="center"/>
          </w:tcPr>
          <w:p w14:paraId="2C83F8E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46" w:name="_Toc7367"/>
            <w:bookmarkStart w:id="847" w:name="_Toc7649"/>
            <w:bookmarkStart w:id="848" w:name="_Toc6624"/>
            <w:r>
              <w:rPr>
                <w:rFonts w:hint="eastAsia" w:ascii="仿宋" w:hAnsi="仿宋" w:eastAsia="仿宋" w:cs="仿宋"/>
                <w:color w:val="auto"/>
                <w:szCs w:val="21"/>
                <w:highlight w:val="none"/>
              </w:rPr>
              <w:t>冯家港船闸</w:t>
            </w:r>
            <w:bookmarkEnd w:id="846"/>
            <w:bookmarkEnd w:id="847"/>
            <w:bookmarkEnd w:id="848"/>
          </w:p>
        </w:tc>
        <w:tc>
          <w:tcPr>
            <w:tcW w:w="234" w:type="pct"/>
            <w:vMerge w:val="restart"/>
            <w:vAlign w:val="center"/>
          </w:tcPr>
          <w:p w14:paraId="2C83F8E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49" w:name="_Toc17718"/>
            <w:bookmarkStart w:id="850" w:name="_Toc26459"/>
            <w:bookmarkStart w:id="851" w:name="_Toc20389"/>
            <w:r>
              <w:rPr>
                <w:rFonts w:hint="eastAsia" w:ascii="仿宋" w:hAnsi="仿宋" w:eastAsia="仿宋" w:cs="仿宋"/>
                <w:color w:val="auto"/>
                <w:szCs w:val="21"/>
                <w:highlight w:val="none"/>
              </w:rPr>
              <w:t>运西蒋村片</w:t>
            </w:r>
            <w:bookmarkEnd w:id="849"/>
            <w:bookmarkEnd w:id="850"/>
            <w:bookmarkEnd w:id="851"/>
          </w:p>
        </w:tc>
        <w:tc>
          <w:tcPr>
            <w:tcW w:w="234" w:type="pct"/>
            <w:vMerge w:val="restart"/>
            <w:vAlign w:val="center"/>
          </w:tcPr>
          <w:p w14:paraId="2C83F8E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52" w:name="_Toc26380"/>
            <w:bookmarkStart w:id="853" w:name="_Toc9097"/>
            <w:bookmarkStart w:id="854" w:name="_Toc8053"/>
            <w:r>
              <w:rPr>
                <w:rFonts w:hint="eastAsia" w:ascii="仿宋" w:hAnsi="仿宋" w:eastAsia="仿宋" w:cs="仿宋"/>
                <w:color w:val="auto"/>
                <w:szCs w:val="21"/>
                <w:highlight w:val="none"/>
              </w:rPr>
              <w:t>有</w:t>
            </w:r>
            <w:bookmarkEnd w:id="852"/>
            <w:bookmarkEnd w:id="853"/>
            <w:bookmarkEnd w:id="854"/>
          </w:p>
        </w:tc>
        <w:tc>
          <w:tcPr>
            <w:tcW w:w="349" w:type="pct"/>
            <w:vMerge w:val="restart"/>
            <w:vAlign w:val="center"/>
          </w:tcPr>
          <w:p w14:paraId="2C83F8E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55" w:name="_Toc27126"/>
            <w:bookmarkStart w:id="856" w:name="_Toc29447"/>
            <w:r>
              <w:rPr>
                <w:rFonts w:hint="eastAsia" w:ascii="仿宋" w:hAnsi="仿宋" w:eastAsia="仿宋" w:cs="仿宋"/>
                <w:color w:val="auto"/>
                <w:szCs w:val="21"/>
                <w:highlight w:val="none"/>
              </w:rPr>
              <w:t>排涝、配水、通航</w:t>
            </w:r>
            <w:bookmarkEnd w:id="855"/>
            <w:bookmarkEnd w:id="856"/>
          </w:p>
        </w:tc>
        <w:tc>
          <w:tcPr>
            <w:tcW w:w="234" w:type="pct"/>
            <w:vAlign w:val="center"/>
          </w:tcPr>
          <w:p w14:paraId="2C83F8E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57" w:name="_Toc20186"/>
            <w:bookmarkStart w:id="858" w:name="_Toc19986"/>
            <w:bookmarkStart w:id="859" w:name="_Toc29874"/>
            <w:r>
              <w:rPr>
                <w:rFonts w:hint="eastAsia" w:ascii="仿宋" w:hAnsi="仿宋" w:eastAsia="仿宋" w:cs="仿宋"/>
                <w:color w:val="auto"/>
                <w:szCs w:val="21"/>
                <w:highlight w:val="none"/>
              </w:rPr>
              <w:t>四级</w:t>
            </w:r>
            <w:bookmarkEnd w:id="857"/>
            <w:bookmarkEnd w:id="858"/>
            <w:bookmarkEnd w:id="859"/>
          </w:p>
        </w:tc>
        <w:tc>
          <w:tcPr>
            <w:tcW w:w="234" w:type="pct"/>
            <w:vMerge w:val="restart"/>
            <w:vAlign w:val="center"/>
          </w:tcPr>
          <w:p w14:paraId="2C83F8E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60" w:name="_Toc3774"/>
            <w:bookmarkStart w:id="861" w:name="_Toc32622"/>
            <w:bookmarkStart w:id="862" w:name="_Toc3511"/>
            <w:r>
              <w:rPr>
                <w:rFonts w:hint="eastAsia" w:ascii="仿宋" w:hAnsi="仿宋" w:eastAsia="仿宋" w:cs="仿宋"/>
                <w:color w:val="auto"/>
                <w:szCs w:val="21"/>
                <w:highlight w:val="none"/>
              </w:rPr>
              <w:t>三班二运转</w:t>
            </w:r>
            <w:bookmarkEnd w:id="860"/>
            <w:bookmarkEnd w:id="861"/>
            <w:bookmarkEnd w:id="862"/>
          </w:p>
        </w:tc>
        <w:tc>
          <w:tcPr>
            <w:tcW w:w="218" w:type="pct"/>
            <w:vMerge w:val="restart"/>
            <w:vAlign w:val="center"/>
          </w:tcPr>
          <w:p w14:paraId="2C83F8E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63" w:name="_Toc30909"/>
            <w:bookmarkStart w:id="864" w:name="_Toc11028"/>
            <w:bookmarkStart w:id="865" w:name="_Toc28461"/>
            <w:r>
              <w:rPr>
                <w:rFonts w:hint="eastAsia" w:ascii="仿宋" w:hAnsi="仿宋" w:eastAsia="仿宋" w:cs="仿宋"/>
                <w:color w:val="auto"/>
                <w:szCs w:val="21"/>
                <w:highlight w:val="none"/>
              </w:rPr>
              <w:t>2</w:t>
            </w:r>
            <w:bookmarkEnd w:id="863"/>
            <w:bookmarkEnd w:id="864"/>
            <w:bookmarkEnd w:id="865"/>
          </w:p>
        </w:tc>
        <w:tc>
          <w:tcPr>
            <w:tcW w:w="218" w:type="pct"/>
            <w:vMerge w:val="restart"/>
            <w:vAlign w:val="center"/>
          </w:tcPr>
          <w:p w14:paraId="2C83F8E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66" w:name="_Toc31911"/>
            <w:bookmarkStart w:id="867" w:name="_Toc9756"/>
            <w:bookmarkStart w:id="868" w:name="_Toc6320"/>
            <w:r>
              <w:rPr>
                <w:rFonts w:hint="eastAsia" w:ascii="仿宋" w:hAnsi="仿宋" w:eastAsia="仿宋" w:cs="仿宋"/>
                <w:color w:val="auto"/>
                <w:szCs w:val="21"/>
                <w:highlight w:val="none"/>
              </w:rPr>
              <w:t>6</w:t>
            </w:r>
            <w:bookmarkEnd w:id="866"/>
            <w:bookmarkEnd w:id="867"/>
            <w:bookmarkEnd w:id="868"/>
          </w:p>
        </w:tc>
        <w:tc>
          <w:tcPr>
            <w:tcW w:w="218" w:type="pct"/>
            <w:vMerge w:val="restart"/>
            <w:vAlign w:val="center"/>
          </w:tcPr>
          <w:p w14:paraId="2C83F8E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69" w:name="_Toc12021"/>
            <w:bookmarkStart w:id="870" w:name="_Toc25290"/>
            <w:bookmarkStart w:id="871" w:name="_Toc22617"/>
            <w:r>
              <w:rPr>
                <w:rFonts w:hint="eastAsia" w:ascii="仿宋" w:hAnsi="仿宋" w:eastAsia="仿宋" w:cs="仿宋"/>
                <w:color w:val="auto"/>
                <w:szCs w:val="21"/>
                <w:highlight w:val="none"/>
              </w:rPr>
              <w:t>0</w:t>
            </w:r>
            <w:bookmarkEnd w:id="869"/>
            <w:bookmarkEnd w:id="870"/>
            <w:bookmarkEnd w:id="871"/>
          </w:p>
        </w:tc>
        <w:tc>
          <w:tcPr>
            <w:tcW w:w="367" w:type="pct"/>
            <w:vMerge w:val="restart"/>
            <w:vAlign w:val="center"/>
          </w:tcPr>
          <w:p w14:paraId="2C83F8E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8E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8E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8F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8F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vAlign w:val="center"/>
          </w:tcPr>
          <w:p w14:paraId="2C83F8F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8F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8F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8F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72" w:name="_Toc10048"/>
            <w:bookmarkStart w:id="873" w:name="_Toc25825"/>
            <w:bookmarkStart w:id="874" w:name="_Toc11659"/>
            <w:r>
              <w:rPr>
                <w:rFonts w:hint="eastAsia" w:ascii="仿宋" w:hAnsi="仿宋" w:eastAsia="仿宋" w:cs="仿宋"/>
                <w:color w:val="auto"/>
                <w:sz w:val="11"/>
                <w:szCs w:val="11"/>
                <w:highlight w:val="none"/>
              </w:rPr>
              <w:t>配套的输水廊道进出水闸门</w:t>
            </w:r>
            <w:bookmarkEnd w:id="872"/>
            <w:bookmarkEnd w:id="873"/>
            <w:bookmarkEnd w:id="874"/>
          </w:p>
        </w:tc>
        <w:tc>
          <w:tcPr>
            <w:tcW w:w="234" w:type="pct"/>
            <w:vMerge w:val="continue"/>
            <w:vAlign w:val="center"/>
          </w:tcPr>
          <w:p w14:paraId="2C83F8F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8F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8F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8F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75" w:name="_Toc6517"/>
            <w:bookmarkStart w:id="876" w:name="_Toc27996"/>
            <w:bookmarkStart w:id="877" w:name="_Toc10668"/>
            <w:r>
              <w:rPr>
                <w:rFonts w:hint="eastAsia" w:ascii="仿宋" w:hAnsi="仿宋" w:eastAsia="仿宋" w:cs="仿宋"/>
                <w:color w:val="auto"/>
                <w:szCs w:val="21"/>
                <w:highlight w:val="none"/>
              </w:rPr>
              <w:t>四级</w:t>
            </w:r>
            <w:bookmarkEnd w:id="875"/>
            <w:bookmarkEnd w:id="876"/>
            <w:bookmarkEnd w:id="877"/>
          </w:p>
        </w:tc>
        <w:tc>
          <w:tcPr>
            <w:tcW w:w="234" w:type="pct"/>
            <w:vMerge w:val="continue"/>
            <w:vAlign w:val="center"/>
          </w:tcPr>
          <w:p w14:paraId="2C83F8F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F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F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8F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0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0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0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0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0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0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0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90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65" w:type="pct"/>
            <w:vAlign w:val="center"/>
          </w:tcPr>
          <w:p w14:paraId="2C83F90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78" w:name="_Toc4099"/>
            <w:bookmarkStart w:id="879" w:name="_Toc20651"/>
            <w:bookmarkStart w:id="880" w:name="_Toc3194"/>
            <w:r>
              <w:rPr>
                <w:rFonts w:hint="eastAsia" w:ascii="仿宋" w:hAnsi="仿宋" w:eastAsia="仿宋" w:cs="仿宋"/>
                <w:color w:val="auto"/>
                <w:szCs w:val="21"/>
                <w:highlight w:val="none"/>
              </w:rPr>
              <w:t>莲花港船闸</w:t>
            </w:r>
            <w:bookmarkEnd w:id="878"/>
            <w:bookmarkEnd w:id="879"/>
            <w:bookmarkEnd w:id="880"/>
          </w:p>
        </w:tc>
        <w:tc>
          <w:tcPr>
            <w:tcW w:w="234" w:type="pct"/>
            <w:vMerge w:val="restart"/>
            <w:vAlign w:val="center"/>
          </w:tcPr>
          <w:p w14:paraId="2C83F90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81" w:name="_Toc18605"/>
            <w:bookmarkStart w:id="882" w:name="_Toc9542"/>
            <w:bookmarkStart w:id="883" w:name="_Toc10934"/>
            <w:r>
              <w:rPr>
                <w:rFonts w:hint="eastAsia" w:ascii="仿宋" w:hAnsi="仿宋" w:eastAsia="仿宋" w:cs="仿宋"/>
                <w:color w:val="auto"/>
                <w:szCs w:val="21"/>
                <w:highlight w:val="none"/>
              </w:rPr>
              <w:t>运西蒋村片</w:t>
            </w:r>
            <w:bookmarkEnd w:id="881"/>
            <w:bookmarkEnd w:id="882"/>
            <w:bookmarkEnd w:id="883"/>
          </w:p>
        </w:tc>
        <w:tc>
          <w:tcPr>
            <w:tcW w:w="234" w:type="pct"/>
            <w:vMerge w:val="restart"/>
            <w:vAlign w:val="center"/>
          </w:tcPr>
          <w:p w14:paraId="2C83F90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84" w:name="_Toc16257"/>
            <w:bookmarkStart w:id="885" w:name="_Toc17665"/>
            <w:bookmarkStart w:id="886" w:name="_Toc15869"/>
            <w:r>
              <w:rPr>
                <w:rFonts w:hint="eastAsia" w:ascii="仿宋" w:hAnsi="仿宋" w:eastAsia="仿宋" w:cs="仿宋"/>
                <w:color w:val="auto"/>
                <w:szCs w:val="21"/>
                <w:highlight w:val="none"/>
              </w:rPr>
              <w:t>有</w:t>
            </w:r>
            <w:bookmarkEnd w:id="884"/>
            <w:bookmarkEnd w:id="885"/>
            <w:bookmarkEnd w:id="886"/>
          </w:p>
        </w:tc>
        <w:tc>
          <w:tcPr>
            <w:tcW w:w="349" w:type="pct"/>
            <w:vMerge w:val="restart"/>
            <w:vAlign w:val="center"/>
          </w:tcPr>
          <w:p w14:paraId="2C83F90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87" w:name="_Toc20541"/>
            <w:bookmarkStart w:id="888" w:name="_Toc30219"/>
            <w:bookmarkStart w:id="889" w:name="_Toc31029"/>
            <w:r>
              <w:rPr>
                <w:rFonts w:hint="eastAsia" w:ascii="仿宋" w:hAnsi="仿宋" w:eastAsia="仿宋" w:cs="仿宋"/>
                <w:color w:val="auto"/>
                <w:szCs w:val="21"/>
                <w:highlight w:val="none"/>
              </w:rPr>
              <w:t>排涝、配水、通航</w:t>
            </w:r>
            <w:bookmarkEnd w:id="887"/>
            <w:bookmarkEnd w:id="888"/>
            <w:bookmarkEnd w:id="889"/>
          </w:p>
        </w:tc>
        <w:tc>
          <w:tcPr>
            <w:tcW w:w="234" w:type="pct"/>
            <w:vAlign w:val="center"/>
          </w:tcPr>
          <w:p w14:paraId="2C83F90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90" w:name="_Toc30542"/>
            <w:bookmarkStart w:id="891" w:name="_Toc14238"/>
            <w:bookmarkStart w:id="892" w:name="_Toc27497"/>
            <w:r>
              <w:rPr>
                <w:rFonts w:hint="eastAsia" w:ascii="仿宋" w:hAnsi="仿宋" w:eastAsia="仿宋" w:cs="仿宋"/>
                <w:color w:val="auto"/>
                <w:szCs w:val="21"/>
                <w:highlight w:val="none"/>
              </w:rPr>
              <w:t>二级</w:t>
            </w:r>
            <w:bookmarkEnd w:id="890"/>
            <w:bookmarkEnd w:id="891"/>
            <w:bookmarkEnd w:id="892"/>
          </w:p>
        </w:tc>
        <w:tc>
          <w:tcPr>
            <w:tcW w:w="234" w:type="pct"/>
            <w:vMerge w:val="restart"/>
            <w:vAlign w:val="center"/>
          </w:tcPr>
          <w:p w14:paraId="2C83F90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93" w:name="_Toc19819"/>
            <w:bookmarkStart w:id="894" w:name="_Toc14209"/>
            <w:bookmarkStart w:id="895" w:name="_Toc2944"/>
            <w:r>
              <w:rPr>
                <w:rFonts w:hint="eastAsia" w:ascii="仿宋" w:hAnsi="仿宋" w:eastAsia="仿宋" w:cs="仿宋"/>
                <w:color w:val="auto"/>
                <w:szCs w:val="21"/>
                <w:highlight w:val="none"/>
              </w:rPr>
              <w:t>三班二运转</w:t>
            </w:r>
            <w:bookmarkEnd w:id="893"/>
            <w:bookmarkEnd w:id="894"/>
            <w:bookmarkEnd w:id="895"/>
          </w:p>
        </w:tc>
        <w:tc>
          <w:tcPr>
            <w:tcW w:w="218" w:type="pct"/>
            <w:vMerge w:val="restart"/>
            <w:vAlign w:val="center"/>
          </w:tcPr>
          <w:p w14:paraId="2C83F90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96" w:name="_Toc13097"/>
            <w:bookmarkStart w:id="897" w:name="_Toc20730"/>
            <w:bookmarkStart w:id="898" w:name="_Toc25074"/>
            <w:r>
              <w:rPr>
                <w:rFonts w:hint="eastAsia" w:ascii="仿宋" w:hAnsi="仿宋" w:eastAsia="仿宋" w:cs="仿宋"/>
                <w:color w:val="auto"/>
                <w:szCs w:val="21"/>
                <w:highlight w:val="none"/>
              </w:rPr>
              <w:t>3</w:t>
            </w:r>
            <w:bookmarkEnd w:id="896"/>
            <w:bookmarkEnd w:id="897"/>
            <w:bookmarkEnd w:id="898"/>
          </w:p>
        </w:tc>
        <w:tc>
          <w:tcPr>
            <w:tcW w:w="218" w:type="pct"/>
            <w:vMerge w:val="restart"/>
            <w:vAlign w:val="center"/>
          </w:tcPr>
          <w:p w14:paraId="2C83F91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899" w:name="_Toc15492"/>
            <w:bookmarkStart w:id="900" w:name="_Toc19999"/>
            <w:bookmarkStart w:id="901" w:name="_Toc3900"/>
            <w:r>
              <w:rPr>
                <w:rFonts w:hint="eastAsia" w:ascii="仿宋" w:hAnsi="仿宋" w:eastAsia="仿宋" w:cs="仿宋"/>
                <w:color w:val="auto"/>
                <w:szCs w:val="21"/>
                <w:highlight w:val="none"/>
              </w:rPr>
              <w:t>9</w:t>
            </w:r>
            <w:bookmarkEnd w:id="899"/>
            <w:bookmarkEnd w:id="900"/>
            <w:bookmarkEnd w:id="901"/>
          </w:p>
        </w:tc>
        <w:tc>
          <w:tcPr>
            <w:tcW w:w="218" w:type="pct"/>
            <w:vMerge w:val="restart"/>
            <w:vAlign w:val="center"/>
          </w:tcPr>
          <w:p w14:paraId="2C83F91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02" w:name="_Toc22153"/>
            <w:bookmarkStart w:id="903" w:name="_Toc19293"/>
            <w:bookmarkStart w:id="904" w:name="_Toc26777"/>
            <w:r>
              <w:rPr>
                <w:rFonts w:hint="eastAsia" w:ascii="仿宋" w:hAnsi="仿宋" w:eastAsia="仿宋" w:cs="仿宋"/>
                <w:color w:val="auto"/>
                <w:szCs w:val="21"/>
                <w:highlight w:val="none"/>
              </w:rPr>
              <w:t>1</w:t>
            </w:r>
            <w:bookmarkEnd w:id="902"/>
            <w:bookmarkEnd w:id="903"/>
            <w:bookmarkEnd w:id="904"/>
          </w:p>
        </w:tc>
        <w:tc>
          <w:tcPr>
            <w:tcW w:w="367" w:type="pct"/>
            <w:vMerge w:val="restart"/>
            <w:vAlign w:val="center"/>
          </w:tcPr>
          <w:p w14:paraId="2C83F91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1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1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1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1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vAlign w:val="center"/>
          </w:tcPr>
          <w:p w14:paraId="2C83F91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1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91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91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05" w:name="_Toc22294"/>
            <w:bookmarkStart w:id="906" w:name="_Toc21851"/>
            <w:bookmarkStart w:id="907" w:name="_Toc27947"/>
            <w:r>
              <w:rPr>
                <w:rFonts w:hint="eastAsia" w:ascii="仿宋" w:hAnsi="仿宋" w:eastAsia="仿宋" w:cs="仿宋"/>
                <w:color w:val="auto"/>
                <w:sz w:val="11"/>
                <w:szCs w:val="11"/>
                <w:highlight w:val="none"/>
              </w:rPr>
              <w:t>配套的输水廊道进出水闸门</w:t>
            </w:r>
            <w:bookmarkEnd w:id="905"/>
            <w:bookmarkEnd w:id="906"/>
            <w:bookmarkEnd w:id="907"/>
          </w:p>
        </w:tc>
        <w:tc>
          <w:tcPr>
            <w:tcW w:w="234" w:type="pct"/>
            <w:vMerge w:val="continue"/>
            <w:vAlign w:val="center"/>
          </w:tcPr>
          <w:p w14:paraId="2C83F91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91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91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92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08" w:name="_Toc21884"/>
            <w:bookmarkStart w:id="909" w:name="_Toc20388"/>
            <w:bookmarkStart w:id="910" w:name="_Toc455"/>
            <w:r>
              <w:rPr>
                <w:rFonts w:hint="eastAsia" w:ascii="仿宋" w:hAnsi="仿宋" w:eastAsia="仿宋" w:cs="仿宋"/>
                <w:color w:val="auto"/>
                <w:szCs w:val="21"/>
                <w:highlight w:val="none"/>
              </w:rPr>
              <w:t>四级</w:t>
            </w:r>
            <w:bookmarkEnd w:id="908"/>
            <w:bookmarkEnd w:id="909"/>
            <w:bookmarkEnd w:id="910"/>
          </w:p>
        </w:tc>
        <w:tc>
          <w:tcPr>
            <w:tcW w:w="234" w:type="pct"/>
            <w:vMerge w:val="continue"/>
            <w:vAlign w:val="center"/>
          </w:tcPr>
          <w:p w14:paraId="2C83F92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2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2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2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2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2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2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2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2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2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2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92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65" w:type="pct"/>
            <w:vAlign w:val="center"/>
          </w:tcPr>
          <w:p w14:paraId="2C83F92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11" w:name="_Toc26178"/>
            <w:bookmarkStart w:id="912" w:name="_Toc28313"/>
            <w:bookmarkStart w:id="913" w:name="_Toc32346"/>
            <w:r>
              <w:rPr>
                <w:rFonts w:hint="eastAsia" w:ascii="仿宋" w:hAnsi="仿宋" w:eastAsia="仿宋" w:cs="仿宋"/>
                <w:color w:val="auto"/>
                <w:szCs w:val="21"/>
                <w:highlight w:val="none"/>
              </w:rPr>
              <w:t>紫金港船闸</w:t>
            </w:r>
            <w:bookmarkEnd w:id="911"/>
            <w:bookmarkEnd w:id="912"/>
            <w:bookmarkEnd w:id="913"/>
          </w:p>
        </w:tc>
        <w:tc>
          <w:tcPr>
            <w:tcW w:w="234" w:type="pct"/>
            <w:vMerge w:val="restart"/>
            <w:vAlign w:val="center"/>
          </w:tcPr>
          <w:p w14:paraId="2C83F93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14" w:name="_Toc6070"/>
            <w:bookmarkStart w:id="915" w:name="_Toc13917"/>
            <w:bookmarkStart w:id="916" w:name="_Toc26587"/>
            <w:r>
              <w:rPr>
                <w:rFonts w:hint="eastAsia" w:ascii="仿宋" w:hAnsi="仿宋" w:eastAsia="仿宋" w:cs="仿宋"/>
                <w:color w:val="auto"/>
                <w:szCs w:val="21"/>
                <w:highlight w:val="none"/>
              </w:rPr>
              <w:t>运西蒋村片</w:t>
            </w:r>
            <w:bookmarkEnd w:id="914"/>
            <w:bookmarkEnd w:id="915"/>
            <w:bookmarkEnd w:id="916"/>
          </w:p>
        </w:tc>
        <w:tc>
          <w:tcPr>
            <w:tcW w:w="234" w:type="pct"/>
            <w:vMerge w:val="restart"/>
            <w:vAlign w:val="center"/>
          </w:tcPr>
          <w:p w14:paraId="2C83F93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17" w:name="_Toc11430"/>
            <w:bookmarkStart w:id="918" w:name="_Toc21954"/>
            <w:bookmarkStart w:id="919" w:name="_Toc20171"/>
            <w:r>
              <w:rPr>
                <w:rFonts w:hint="eastAsia" w:ascii="仿宋" w:hAnsi="仿宋" w:eastAsia="仿宋" w:cs="仿宋"/>
                <w:color w:val="auto"/>
                <w:szCs w:val="21"/>
                <w:highlight w:val="none"/>
              </w:rPr>
              <w:t>有</w:t>
            </w:r>
            <w:bookmarkEnd w:id="917"/>
            <w:bookmarkEnd w:id="918"/>
            <w:bookmarkEnd w:id="919"/>
          </w:p>
        </w:tc>
        <w:tc>
          <w:tcPr>
            <w:tcW w:w="349" w:type="pct"/>
            <w:vMerge w:val="restart"/>
            <w:vAlign w:val="center"/>
          </w:tcPr>
          <w:p w14:paraId="2C83F93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20" w:name="_Toc11901"/>
            <w:bookmarkStart w:id="921" w:name="_Toc22869"/>
            <w:bookmarkStart w:id="922" w:name="_Toc6548"/>
            <w:r>
              <w:rPr>
                <w:rFonts w:hint="eastAsia" w:ascii="仿宋" w:hAnsi="仿宋" w:eastAsia="仿宋" w:cs="仿宋"/>
                <w:color w:val="auto"/>
                <w:szCs w:val="21"/>
                <w:highlight w:val="none"/>
              </w:rPr>
              <w:t>排涝、配水、通航</w:t>
            </w:r>
            <w:bookmarkEnd w:id="920"/>
            <w:bookmarkEnd w:id="921"/>
            <w:bookmarkEnd w:id="922"/>
          </w:p>
        </w:tc>
        <w:tc>
          <w:tcPr>
            <w:tcW w:w="234" w:type="pct"/>
            <w:vAlign w:val="center"/>
          </w:tcPr>
          <w:p w14:paraId="2C83F93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23" w:name="_Toc21139"/>
            <w:bookmarkStart w:id="924" w:name="_Toc13993"/>
            <w:bookmarkStart w:id="925" w:name="_Toc15513"/>
            <w:r>
              <w:rPr>
                <w:rFonts w:hint="eastAsia" w:ascii="仿宋" w:hAnsi="仿宋" w:eastAsia="仿宋" w:cs="仿宋"/>
                <w:color w:val="auto"/>
                <w:szCs w:val="21"/>
                <w:highlight w:val="none"/>
              </w:rPr>
              <w:t>一级</w:t>
            </w:r>
            <w:bookmarkEnd w:id="923"/>
            <w:bookmarkEnd w:id="924"/>
            <w:bookmarkEnd w:id="925"/>
          </w:p>
        </w:tc>
        <w:tc>
          <w:tcPr>
            <w:tcW w:w="234" w:type="pct"/>
            <w:vMerge w:val="restart"/>
            <w:vAlign w:val="center"/>
          </w:tcPr>
          <w:p w14:paraId="2C83F93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26" w:name="_Toc17142"/>
            <w:bookmarkStart w:id="927" w:name="_Toc8819"/>
            <w:bookmarkStart w:id="928" w:name="_Toc730"/>
            <w:r>
              <w:rPr>
                <w:rFonts w:hint="eastAsia" w:ascii="仿宋" w:hAnsi="仿宋" w:eastAsia="仿宋" w:cs="仿宋"/>
                <w:color w:val="auto"/>
                <w:szCs w:val="21"/>
                <w:highlight w:val="none"/>
              </w:rPr>
              <w:t>三班二运转</w:t>
            </w:r>
            <w:bookmarkEnd w:id="926"/>
            <w:bookmarkEnd w:id="927"/>
            <w:bookmarkEnd w:id="928"/>
          </w:p>
        </w:tc>
        <w:tc>
          <w:tcPr>
            <w:tcW w:w="218" w:type="pct"/>
            <w:vMerge w:val="restart"/>
            <w:vAlign w:val="center"/>
          </w:tcPr>
          <w:p w14:paraId="2C83F93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29" w:name="_Toc13780"/>
            <w:bookmarkStart w:id="930" w:name="_Toc23520"/>
            <w:r>
              <w:rPr>
                <w:rFonts w:hint="eastAsia" w:ascii="仿宋" w:hAnsi="仿宋" w:eastAsia="仿宋" w:cs="仿宋"/>
                <w:color w:val="auto"/>
                <w:szCs w:val="21"/>
                <w:highlight w:val="none"/>
              </w:rPr>
              <w:t>3</w:t>
            </w:r>
            <w:bookmarkEnd w:id="929"/>
            <w:bookmarkEnd w:id="930"/>
          </w:p>
        </w:tc>
        <w:tc>
          <w:tcPr>
            <w:tcW w:w="218" w:type="pct"/>
            <w:vMerge w:val="restart"/>
            <w:vAlign w:val="center"/>
          </w:tcPr>
          <w:p w14:paraId="2C83F93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31" w:name="_Toc6052"/>
            <w:bookmarkStart w:id="932" w:name="_Toc7748"/>
            <w:bookmarkStart w:id="933" w:name="_Toc4257"/>
            <w:r>
              <w:rPr>
                <w:rFonts w:hint="eastAsia" w:ascii="仿宋" w:hAnsi="仿宋" w:eastAsia="仿宋" w:cs="仿宋"/>
                <w:color w:val="auto"/>
                <w:szCs w:val="21"/>
                <w:highlight w:val="none"/>
              </w:rPr>
              <w:t>9</w:t>
            </w:r>
            <w:bookmarkEnd w:id="931"/>
            <w:bookmarkEnd w:id="932"/>
            <w:bookmarkEnd w:id="933"/>
          </w:p>
        </w:tc>
        <w:tc>
          <w:tcPr>
            <w:tcW w:w="218" w:type="pct"/>
            <w:vMerge w:val="restart"/>
            <w:vAlign w:val="center"/>
          </w:tcPr>
          <w:p w14:paraId="2C83F93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34" w:name="_Toc22074"/>
            <w:bookmarkStart w:id="935" w:name="_Toc20738"/>
            <w:bookmarkStart w:id="936" w:name="_Toc8854"/>
            <w:r>
              <w:rPr>
                <w:rFonts w:hint="eastAsia" w:ascii="仿宋" w:hAnsi="仿宋" w:eastAsia="仿宋" w:cs="仿宋"/>
                <w:color w:val="auto"/>
                <w:szCs w:val="21"/>
                <w:highlight w:val="none"/>
              </w:rPr>
              <w:t>1</w:t>
            </w:r>
            <w:bookmarkEnd w:id="934"/>
            <w:bookmarkEnd w:id="935"/>
            <w:bookmarkEnd w:id="936"/>
          </w:p>
        </w:tc>
        <w:tc>
          <w:tcPr>
            <w:tcW w:w="367" w:type="pct"/>
            <w:vMerge w:val="restart"/>
            <w:vAlign w:val="center"/>
          </w:tcPr>
          <w:p w14:paraId="2C83F93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3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3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3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3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vAlign w:val="center"/>
          </w:tcPr>
          <w:p w14:paraId="2C83F93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3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94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94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37" w:name="_Toc24648"/>
            <w:bookmarkStart w:id="938" w:name="_Toc19362"/>
            <w:bookmarkStart w:id="939" w:name="_Toc24144"/>
            <w:r>
              <w:rPr>
                <w:rFonts w:hint="eastAsia" w:ascii="仿宋" w:hAnsi="仿宋" w:eastAsia="仿宋" w:cs="仿宋"/>
                <w:color w:val="auto"/>
                <w:sz w:val="11"/>
                <w:szCs w:val="11"/>
                <w:highlight w:val="none"/>
              </w:rPr>
              <w:t>配套的输水廊道进出水闸门</w:t>
            </w:r>
            <w:bookmarkEnd w:id="937"/>
            <w:bookmarkEnd w:id="938"/>
            <w:bookmarkEnd w:id="939"/>
          </w:p>
        </w:tc>
        <w:tc>
          <w:tcPr>
            <w:tcW w:w="234" w:type="pct"/>
            <w:vMerge w:val="continue"/>
            <w:vAlign w:val="center"/>
          </w:tcPr>
          <w:p w14:paraId="2C83F94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94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94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94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40" w:name="_Toc12488"/>
            <w:bookmarkStart w:id="941" w:name="_Toc16070"/>
            <w:bookmarkStart w:id="942" w:name="_Toc3258"/>
            <w:r>
              <w:rPr>
                <w:rFonts w:hint="eastAsia" w:ascii="仿宋" w:hAnsi="仿宋" w:eastAsia="仿宋" w:cs="仿宋"/>
                <w:color w:val="auto"/>
                <w:szCs w:val="21"/>
                <w:highlight w:val="none"/>
              </w:rPr>
              <w:t>四级</w:t>
            </w:r>
            <w:bookmarkEnd w:id="940"/>
            <w:bookmarkEnd w:id="941"/>
            <w:bookmarkEnd w:id="942"/>
          </w:p>
        </w:tc>
        <w:tc>
          <w:tcPr>
            <w:tcW w:w="234" w:type="pct"/>
            <w:vMerge w:val="continue"/>
            <w:vAlign w:val="center"/>
          </w:tcPr>
          <w:p w14:paraId="2C83F94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4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4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4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4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4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4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4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5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5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5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95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65" w:type="pct"/>
            <w:vAlign w:val="center"/>
          </w:tcPr>
          <w:p w14:paraId="2C83F95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43" w:name="_Toc19954"/>
            <w:bookmarkStart w:id="944" w:name="_Toc27842"/>
            <w:bookmarkStart w:id="945" w:name="_Toc23737"/>
            <w:r>
              <w:rPr>
                <w:rFonts w:hint="eastAsia" w:ascii="仿宋" w:hAnsi="仿宋" w:eastAsia="仿宋" w:cs="仿宋"/>
                <w:color w:val="auto"/>
                <w:szCs w:val="21"/>
                <w:highlight w:val="none"/>
              </w:rPr>
              <w:t>蒋村港船闸</w:t>
            </w:r>
            <w:bookmarkEnd w:id="943"/>
            <w:bookmarkEnd w:id="944"/>
            <w:bookmarkEnd w:id="945"/>
          </w:p>
        </w:tc>
        <w:tc>
          <w:tcPr>
            <w:tcW w:w="234" w:type="pct"/>
            <w:vMerge w:val="restart"/>
            <w:vAlign w:val="center"/>
          </w:tcPr>
          <w:p w14:paraId="2C83F95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46" w:name="_Toc17787"/>
            <w:bookmarkStart w:id="947" w:name="_Toc26726"/>
            <w:bookmarkStart w:id="948" w:name="_Toc4868"/>
            <w:r>
              <w:rPr>
                <w:rFonts w:hint="eastAsia" w:ascii="仿宋" w:hAnsi="仿宋" w:eastAsia="仿宋" w:cs="仿宋"/>
                <w:color w:val="auto"/>
                <w:szCs w:val="21"/>
                <w:highlight w:val="none"/>
              </w:rPr>
              <w:t>运西蒋村片</w:t>
            </w:r>
            <w:bookmarkEnd w:id="946"/>
            <w:bookmarkEnd w:id="947"/>
            <w:bookmarkEnd w:id="948"/>
          </w:p>
        </w:tc>
        <w:tc>
          <w:tcPr>
            <w:tcW w:w="234" w:type="pct"/>
            <w:vMerge w:val="restart"/>
            <w:vAlign w:val="center"/>
          </w:tcPr>
          <w:p w14:paraId="2C83F95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49" w:name="_Toc7390"/>
            <w:bookmarkStart w:id="950" w:name="_Toc28851"/>
            <w:bookmarkStart w:id="951" w:name="_Toc8476"/>
            <w:r>
              <w:rPr>
                <w:rFonts w:hint="eastAsia" w:ascii="仿宋" w:hAnsi="仿宋" w:eastAsia="仿宋" w:cs="仿宋"/>
                <w:color w:val="auto"/>
                <w:szCs w:val="21"/>
                <w:highlight w:val="none"/>
              </w:rPr>
              <w:t>有</w:t>
            </w:r>
            <w:bookmarkEnd w:id="949"/>
            <w:bookmarkEnd w:id="950"/>
            <w:bookmarkEnd w:id="951"/>
          </w:p>
        </w:tc>
        <w:tc>
          <w:tcPr>
            <w:tcW w:w="349" w:type="pct"/>
            <w:vMerge w:val="restart"/>
            <w:vAlign w:val="center"/>
          </w:tcPr>
          <w:p w14:paraId="2C83F95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52" w:name="_Toc9093"/>
            <w:bookmarkStart w:id="953" w:name="_Toc17004"/>
            <w:bookmarkStart w:id="954" w:name="_Toc6189"/>
            <w:r>
              <w:rPr>
                <w:rFonts w:hint="eastAsia" w:ascii="仿宋" w:hAnsi="仿宋" w:eastAsia="仿宋" w:cs="仿宋"/>
                <w:color w:val="auto"/>
                <w:szCs w:val="21"/>
                <w:highlight w:val="none"/>
              </w:rPr>
              <w:t>排涝、配水、通航</w:t>
            </w:r>
            <w:bookmarkEnd w:id="952"/>
            <w:bookmarkEnd w:id="953"/>
            <w:bookmarkEnd w:id="954"/>
          </w:p>
        </w:tc>
        <w:tc>
          <w:tcPr>
            <w:tcW w:w="234" w:type="pct"/>
            <w:vAlign w:val="center"/>
          </w:tcPr>
          <w:p w14:paraId="2C83F95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55" w:name="_Toc28624"/>
            <w:bookmarkStart w:id="956" w:name="_Toc20775"/>
            <w:bookmarkStart w:id="957" w:name="_Toc16014"/>
            <w:r>
              <w:rPr>
                <w:rFonts w:hint="eastAsia" w:ascii="仿宋" w:hAnsi="仿宋" w:eastAsia="仿宋" w:cs="仿宋"/>
                <w:color w:val="auto"/>
                <w:szCs w:val="21"/>
                <w:highlight w:val="none"/>
              </w:rPr>
              <w:t>二级</w:t>
            </w:r>
            <w:bookmarkEnd w:id="955"/>
            <w:bookmarkEnd w:id="956"/>
            <w:bookmarkEnd w:id="957"/>
          </w:p>
        </w:tc>
        <w:tc>
          <w:tcPr>
            <w:tcW w:w="234" w:type="pct"/>
            <w:vMerge w:val="restart"/>
            <w:vAlign w:val="center"/>
          </w:tcPr>
          <w:p w14:paraId="2C83F95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58" w:name="_Toc6959"/>
            <w:bookmarkStart w:id="959" w:name="_Toc3234"/>
            <w:bookmarkStart w:id="960" w:name="_Toc5451"/>
            <w:r>
              <w:rPr>
                <w:rFonts w:hint="eastAsia" w:ascii="仿宋" w:hAnsi="仿宋" w:eastAsia="仿宋" w:cs="仿宋"/>
                <w:color w:val="auto"/>
                <w:szCs w:val="21"/>
                <w:highlight w:val="none"/>
              </w:rPr>
              <w:t>三班二运转</w:t>
            </w:r>
            <w:bookmarkEnd w:id="958"/>
            <w:bookmarkEnd w:id="959"/>
            <w:bookmarkEnd w:id="960"/>
          </w:p>
        </w:tc>
        <w:tc>
          <w:tcPr>
            <w:tcW w:w="218" w:type="pct"/>
            <w:vMerge w:val="restart"/>
            <w:vAlign w:val="center"/>
          </w:tcPr>
          <w:p w14:paraId="2C83F95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61" w:name="_Toc3054"/>
            <w:bookmarkStart w:id="962" w:name="_Toc9245"/>
            <w:bookmarkStart w:id="963" w:name="_Toc18021"/>
            <w:r>
              <w:rPr>
                <w:rFonts w:hint="eastAsia" w:ascii="仿宋" w:hAnsi="仿宋" w:eastAsia="仿宋" w:cs="仿宋"/>
                <w:color w:val="auto"/>
                <w:szCs w:val="21"/>
                <w:highlight w:val="none"/>
              </w:rPr>
              <w:t>3</w:t>
            </w:r>
            <w:bookmarkEnd w:id="961"/>
            <w:bookmarkEnd w:id="962"/>
            <w:bookmarkEnd w:id="963"/>
          </w:p>
        </w:tc>
        <w:tc>
          <w:tcPr>
            <w:tcW w:w="218" w:type="pct"/>
            <w:vMerge w:val="restart"/>
            <w:vAlign w:val="center"/>
          </w:tcPr>
          <w:p w14:paraId="2C83F95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64" w:name="_Toc15636"/>
            <w:bookmarkStart w:id="965" w:name="_Toc22648"/>
            <w:bookmarkStart w:id="966" w:name="_Toc1019"/>
            <w:r>
              <w:rPr>
                <w:rFonts w:hint="eastAsia" w:ascii="仿宋" w:hAnsi="仿宋" w:eastAsia="仿宋" w:cs="仿宋"/>
                <w:color w:val="auto"/>
                <w:szCs w:val="21"/>
                <w:highlight w:val="none"/>
              </w:rPr>
              <w:t>9</w:t>
            </w:r>
            <w:bookmarkEnd w:id="964"/>
            <w:bookmarkEnd w:id="965"/>
            <w:bookmarkEnd w:id="966"/>
          </w:p>
        </w:tc>
        <w:tc>
          <w:tcPr>
            <w:tcW w:w="218" w:type="pct"/>
            <w:vMerge w:val="restart"/>
            <w:vAlign w:val="center"/>
          </w:tcPr>
          <w:p w14:paraId="2C83F95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67" w:name="_Toc24206"/>
            <w:bookmarkStart w:id="968" w:name="_Toc23656"/>
            <w:bookmarkStart w:id="969" w:name="_Toc25190"/>
            <w:r>
              <w:rPr>
                <w:rFonts w:hint="eastAsia" w:ascii="仿宋" w:hAnsi="仿宋" w:eastAsia="仿宋" w:cs="仿宋"/>
                <w:color w:val="auto"/>
                <w:szCs w:val="21"/>
                <w:highlight w:val="none"/>
              </w:rPr>
              <w:t>1</w:t>
            </w:r>
            <w:bookmarkEnd w:id="967"/>
            <w:bookmarkEnd w:id="968"/>
            <w:bookmarkEnd w:id="969"/>
          </w:p>
        </w:tc>
        <w:tc>
          <w:tcPr>
            <w:tcW w:w="367" w:type="pct"/>
            <w:vMerge w:val="restart"/>
            <w:vAlign w:val="center"/>
          </w:tcPr>
          <w:p w14:paraId="2C83F95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6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6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6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6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vAlign w:val="center"/>
          </w:tcPr>
          <w:p w14:paraId="2C83F96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6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96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96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70" w:name="_Toc32223"/>
            <w:bookmarkStart w:id="971" w:name="_Toc30256"/>
            <w:bookmarkStart w:id="972" w:name="_Toc23616"/>
            <w:r>
              <w:rPr>
                <w:rFonts w:hint="eastAsia" w:ascii="仿宋" w:hAnsi="仿宋" w:eastAsia="仿宋" w:cs="仿宋"/>
                <w:color w:val="auto"/>
                <w:sz w:val="11"/>
                <w:szCs w:val="11"/>
                <w:highlight w:val="none"/>
              </w:rPr>
              <w:t>配套的输水廊道进出水闸门</w:t>
            </w:r>
            <w:bookmarkEnd w:id="970"/>
            <w:bookmarkEnd w:id="971"/>
            <w:bookmarkEnd w:id="972"/>
          </w:p>
        </w:tc>
        <w:tc>
          <w:tcPr>
            <w:tcW w:w="234" w:type="pct"/>
            <w:vMerge w:val="continue"/>
            <w:vAlign w:val="center"/>
          </w:tcPr>
          <w:p w14:paraId="2C83F96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96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96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96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73" w:name="_Toc7692"/>
            <w:bookmarkStart w:id="974" w:name="_Toc1031"/>
            <w:bookmarkStart w:id="975" w:name="_Toc6980"/>
            <w:r>
              <w:rPr>
                <w:rFonts w:hint="eastAsia" w:ascii="仿宋" w:hAnsi="仿宋" w:eastAsia="仿宋" w:cs="仿宋"/>
                <w:color w:val="auto"/>
                <w:szCs w:val="21"/>
                <w:highlight w:val="none"/>
              </w:rPr>
              <w:t>四级</w:t>
            </w:r>
            <w:bookmarkEnd w:id="973"/>
            <w:bookmarkEnd w:id="974"/>
            <w:bookmarkEnd w:id="975"/>
          </w:p>
        </w:tc>
        <w:tc>
          <w:tcPr>
            <w:tcW w:w="234" w:type="pct"/>
            <w:vMerge w:val="continue"/>
            <w:vAlign w:val="center"/>
          </w:tcPr>
          <w:p w14:paraId="2C83F96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6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6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7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7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7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7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7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7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7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7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97A">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465" w:type="pct"/>
            <w:vAlign w:val="center"/>
          </w:tcPr>
          <w:p w14:paraId="2C83F97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76" w:name="_Toc21713"/>
            <w:bookmarkStart w:id="977" w:name="_Toc24747"/>
            <w:bookmarkStart w:id="978" w:name="_Toc329"/>
            <w:r>
              <w:rPr>
                <w:rFonts w:hint="eastAsia" w:ascii="仿宋" w:hAnsi="仿宋" w:eastAsia="仿宋" w:cs="仿宋"/>
                <w:color w:val="auto"/>
                <w:szCs w:val="21"/>
                <w:highlight w:val="none"/>
              </w:rPr>
              <w:t>五常港船闸</w:t>
            </w:r>
            <w:bookmarkEnd w:id="976"/>
            <w:bookmarkEnd w:id="977"/>
            <w:bookmarkEnd w:id="978"/>
          </w:p>
        </w:tc>
        <w:tc>
          <w:tcPr>
            <w:tcW w:w="234" w:type="pct"/>
            <w:vMerge w:val="restart"/>
            <w:vAlign w:val="center"/>
          </w:tcPr>
          <w:p w14:paraId="2C83F97C">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79" w:name="_Toc9040"/>
            <w:bookmarkStart w:id="980" w:name="_Toc10076"/>
            <w:bookmarkStart w:id="981" w:name="_Toc8220"/>
            <w:r>
              <w:rPr>
                <w:rFonts w:hint="eastAsia" w:ascii="仿宋" w:hAnsi="仿宋" w:eastAsia="仿宋" w:cs="仿宋"/>
                <w:color w:val="auto"/>
                <w:szCs w:val="21"/>
                <w:highlight w:val="none"/>
              </w:rPr>
              <w:t>运西蒋村片</w:t>
            </w:r>
            <w:bookmarkEnd w:id="979"/>
            <w:bookmarkEnd w:id="980"/>
            <w:bookmarkEnd w:id="981"/>
          </w:p>
        </w:tc>
        <w:tc>
          <w:tcPr>
            <w:tcW w:w="234" w:type="pct"/>
            <w:vMerge w:val="restart"/>
            <w:vAlign w:val="center"/>
          </w:tcPr>
          <w:p w14:paraId="2C83F97D">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82" w:name="_Toc7035"/>
            <w:bookmarkStart w:id="983" w:name="_Toc21318"/>
            <w:bookmarkStart w:id="984" w:name="_Toc6457"/>
            <w:r>
              <w:rPr>
                <w:rFonts w:hint="eastAsia" w:ascii="仿宋" w:hAnsi="仿宋" w:eastAsia="仿宋" w:cs="仿宋"/>
                <w:color w:val="auto"/>
                <w:szCs w:val="21"/>
                <w:highlight w:val="none"/>
              </w:rPr>
              <w:t>有</w:t>
            </w:r>
            <w:bookmarkEnd w:id="982"/>
            <w:bookmarkEnd w:id="983"/>
            <w:bookmarkEnd w:id="984"/>
          </w:p>
        </w:tc>
        <w:tc>
          <w:tcPr>
            <w:tcW w:w="349" w:type="pct"/>
            <w:vMerge w:val="restart"/>
            <w:vAlign w:val="center"/>
          </w:tcPr>
          <w:p w14:paraId="2C83F97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85" w:name="_Toc31185"/>
            <w:bookmarkStart w:id="986" w:name="_Toc9155"/>
            <w:bookmarkStart w:id="987" w:name="_Toc10196"/>
            <w:r>
              <w:rPr>
                <w:rFonts w:hint="eastAsia" w:ascii="仿宋" w:hAnsi="仿宋" w:eastAsia="仿宋" w:cs="仿宋"/>
                <w:color w:val="auto"/>
                <w:szCs w:val="21"/>
                <w:highlight w:val="none"/>
              </w:rPr>
              <w:t>排涝、配水、通航</w:t>
            </w:r>
            <w:bookmarkEnd w:id="985"/>
            <w:bookmarkEnd w:id="986"/>
            <w:bookmarkEnd w:id="987"/>
          </w:p>
        </w:tc>
        <w:tc>
          <w:tcPr>
            <w:tcW w:w="234" w:type="pct"/>
            <w:vAlign w:val="center"/>
          </w:tcPr>
          <w:p w14:paraId="2C83F97F">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88" w:name="_Toc20015"/>
            <w:bookmarkStart w:id="989" w:name="_Toc30992"/>
            <w:bookmarkStart w:id="990" w:name="_Toc31943"/>
            <w:r>
              <w:rPr>
                <w:rFonts w:hint="eastAsia" w:ascii="仿宋" w:hAnsi="仿宋" w:eastAsia="仿宋" w:cs="仿宋"/>
                <w:color w:val="auto"/>
                <w:szCs w:val="21"/>
                <w:highlight w:val="none"/>
              </w:rPr>
              <w:t>一级</w:t>
            </w:r>
            <w:bookmarkEnd w:id="988"/>
            <w:bookmarkEnd w:id="989"/>
            <w:bookmarkEnd w:id="990"/>
          </w:p>
        </w:tc>
        <w:tc>
          <w:tcPr>
            <w:tcW w:w="234" w:type="pct"/>
            <w:vMerge w:val="restart"/>
            <w:vAlign w:val="center"/>
          </w:tcPr>
          <w:p w14:paraId="2C83F98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91" w:name="_Toc25750"/>
            <w:bookmarkStart w:id="992" w:name="_Toc29406"/>
            <w:bookmarkStart w:id="993" w:name="_Toc22222"/>
            <w:r>
              <w:rPr>
                <w:rFonts w:hint="eastAsia" w:ascii="仿宋" w:hAnsi="仿宋" w:eastAsia="仿宋" w:cs="仿宋"/>
                <w:color w:val="auto"/>
                <w:szCs w:val="21"/>
                <w:highlight w:val="none"/>
              </w:rPr>
              <w:t>三班二运转</w:t>
            </w:r>
            <w:bookmarkEnd w:id="991"/>
            <w:bookmarkEnd w:id="992"/>
            <w:bookmarkEnd w:id="993"/>
          </w:p>
        </w:tc>
        <w:tc>
          <w:tcPr>
            <w:tcW w:w="218" w:type="pct"/>
            <w:vMerge w:val="restart"/>
            <w:vAlign w:val="center"/>
          </w:tcPr>
          <w:p w14:paraId="2C83F98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94" w:name="_Toc17677"/>
            <w:bookmarkStart w:id="995" w:name="_Toc20180"/>
            <w:bookmarkStart w:id="996" w:name="_Toc16439"/>
            <w:r>
              <w:rPr>
                <w:rFonts w:hint="eastAsia" w:ascii="仿宋" w:hAnsi="仿宋" w:eastAsia="仿宋" w:cs="仿宋"/>
                <w:color w:val="auto"/>
                <w:szCs w:val="21"/>
                <w:highlight w:val="none"/>
              </w:rPr>
              <w:t>3</w:t>
            </w:r>
            <w:bookmarkEnd w:id="994"/>
            <w:bookmarkEnd w:id="995"/>
            <w:bookmarkEnd w:id="996"/>
          </w:p>
        </w:tc>
        <w:tc>
          <w:tcPr>
            <w:tcW w:w="218" w:type="pct"/>
            <w:vMerge w:val="restart"/>
            <w:vAlign w:val="center"/>
          </w:tcPr>
          <w:p w14:paraId="2C83F98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997" w:name="_Toc24066"/>
            <w:bookmarkStart w:id="998" w:name="_Toc24086"/>
            <w:bookmarkStart w:id="999" w:name="_Toc29807"/>
            <w:r>
              <w:rPr>
                <w:rFonts w:hint="eastAsia" w:ascii="仿宋" w:hAnsi="仿宋" w:eastAsia="仿宋" w:cs="仿宋"/>
                <w:color w:val="auto"/>
                <w:szCs w:val="21"/>
                <w:highlight w:val="none"/>
              </w:rPr>
              <w:t>9</w:t>
            </w:r>
            <w:bookmarkEnd w:id="997"/>
            <w:bookmarkEnd w:id="998"/>
            <w:bookmarkEnd w:id="999"/>
          </w:p>
        </w:tc>
        <w:tc>
          <w:tcPr>
            <w:tcW w:w="218" w:type="pct"/>
            <w:vMerge w:val="restart"/>
            <w:vAlign w:val="center"/>
          </w:tcPr>
          <w:p w14:paraId="2C83F98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00" w:name="_Toc29963"/>
            <w:bookmarkStart w:id="1001" w:name="_Toc13146"/>
            <w:bookmarkStart w:id="1002" w:name="_Toc22091"/>
            <w:r>
              <w:rPr>
                <w:rFonts w:hint="eastAsia" w:ascii="仿宋" w:hAnsi="仿宋" w:eastAsia="仿宋" w:cs="仿宋"/>
                <w:color w:val="auto"/>
                <w:szCs w:val="21"/>
                <w:highlight w:val="none"/>
              </w:rPr>
              <w:t>1</w:t>
            </w:r>
            <w:bookmarkEnd w:id="1000"/>
            <w:bookmarkEnd w:id="1001"/>
            <w:bookmarkEnd w:id="1002"/>
          </w:p>
        </w:tc>
        <w:tc>
          <w:tcPr>
            <w:tcW w:w="367" w:type="pct"/>
            <w:vMerge w:val="restart"/>
            <w:vAlign w:val="center"/>
          </w:tcPr>
          <w:p w14:paraId="2C83F98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8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8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8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8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vAlign w:val="center"/>
          </w:tcPr>
          <w:p w14:paraId="2C83F98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8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98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98E">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03" w:name="_Toc10060"/>
            <w:bookmarkStart w:id="1004" w:name="_Toc998"/>
            <w:bookmarkStart w:id="1005" w:name="_Toc21036"/>
            <w:r>
              <w:rPr>
                <w:rFonts w:hint="eastAsia" w:ascii="仿宋" w:hAnsi="仿宋" w:eastAsia="仿宋" w:cs="仿宋"/>
                <w:color w:val="auto"/>
                <w:sz w:val="11"/>
                <w:szCs w:val="11"/>
                <w:highlight w:val="none"/>
              </w:rPr>
              <w:t>配套的输水廊道进出水闸门</w:t>
            </w:r>
            <w:bookmarkEnd w:id="1003"/>
            <w:bookmarkEnd w:id="1004"/>
            <w:bookmarkEnd w:id="1005"/>
          </w:p>
        </w:tc>
        <w:tc>
          <w:tcPr>
            <w:tcW w:w="234" w:type="pct"/>
            <w:vMerge w:val="continue"/>
            <w:vAlign w:val="center"/>
          </w:tcPr>
          <w:p w14:paraId="2C83F98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99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99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99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06" w:name="_Toc15738"/>
            <w:bookmarkStart w:id="1007" w:name="_Toc4452"/>
            <w:bookmarkStart w:id="1008" w:name="_Toc31438"/>
            <w:r>
              <w:rPr>
                <w:rFonts w:hint="eastAsia" w:ascii="仿宋" w:hAnsi="仿宋" w:eastAsia="仿宋" w:cs="仿宋"/>
                <w:color w:val="auto"/>
                <w:szCs w:val="21"/>
                <w:highlight w:val="none"/>
              </w:rPr>
              <w:t>/</w:t>
            </w:r>
            <w:bookmarkEnd w:id="1006"/>
            <w:bookmarkEnd w:id="1007"/>
            <w:bookmarkEnd w:id="1008"/>
          </w:p>
        </w:tc>
        <w:tc>
          <w:tcPr>
            <w:tcW w:w="234" w:type="pct"/>
            <w:vMerge w:val="continue"/>
            <w:vAlign w:val="center"/>
          </w:tcPr>
          <w:p w14:paraId="2C83F99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9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9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9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9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9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9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9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9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9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9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8" w:type="pct"/>
            <w:vMerge w:val="restart"/>
            <w:vAlign w:val="center"/>
          </w:tcPr>
          <w:p w14:paraId="2C83F9A0">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465" w:type="pct"/>
            <w:vAlign w:val="center"/>
          </w:tcPr>
          <w:p w14:paraId="2C83F9A1">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蓬驾桥泵站</w:t>
            </w:r>
          </w:p>
        </w:tc>
        <w:tc>
          <w:tcPr>
            <w:tcW w:w="234" w:type="pct"/>
            <w:vMerge w:val="restart"/>
            <w:vAlign w:val="center"/>
          </w:tcPr>
          <w:p w14:paraId="2C83F9A2">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09" w:name="_Toc16740"/>
            <w:bookmarkStart w:id="1010" w:name="_Toc22887"/>
            <w:bookmarkStart w:id="1011" w:name="_Toc28529"/>
            <w:r>
              <w:rPr>
                <w:rFonts w:hint="eastAsia" w:ascii="仿宋" w:hAnsi="仿宋" w:eastAsia="仿宋" w:cs="仿宋"/>
                <w:color w:val="auto"/>
                <w:szCs w:val="21"/>
                <w:highlight w:val="none"/>
              </w:rPr>
              <w:t>三墩塘河片</w:t>
            </w:r>
            <w:bookmarkEnd w:id="1009"/>
            <w:bookmarkEnd w:id="1010"/>
            <w:bookmarkEnd w:id="1011"/>
          </w:p>
        </w:tc>
        <w:tc>
          <w:tcPr>
            <w:tcW w:w="234" w:type="pct"/>
            <w:vMerge w:val="restart"/>
            <w:vAlign w:val="center"/>
          </w:tcPr>
          <w:p w14:paraId="2C83F9A3">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12" w:name="_Toc26183"/>
            <w:bookmarkStart w:id="1013" w:name="_Toc31532"/>
            <w:bookmarkStart w:id="1014" w:name="_Toc23951"/>
            <w:r>
              <w:rPr>
                <w:rFonts w:hint="eastAsia" w:ascii="仿宋" w:hAnsi="仿宋" w:eastAsia="仿宋" w:cs="仿宋"/>
                <w:color w:val="auto"/>
                <w:szCs w:val="21"/>
                <w:highlight w:val="none"/>
              </w:rPr>
              <w:t>有</w:t>
            </w:r>
            <w:bookmarkEnd w:id="1012"/>
            <w:bookmarkEnd w:id="1013"/>
            <w:bookmarkEnd w:id="1014"/>
          </w:p>
        </w:tc>
        <w:tc>
          <w:tcPr>
            <w:tcW w:w="349" w:type="pct"/>
            <w:vMerge w:val="restart"/>
            <w:vAlign w:val="center"/>
          </w:tcPr>
          <w:p w14:paraId="2C83F9A4">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15" w:name="_Toc27955"/>
            <w:bookmarkStart w:id="1016" w:name="_Toc21350"/>
            <w:r>
              <w:rPr>
                <w:rFonts w:hint="eastAsia" w:ascii="仿宋" w:hAnsi="仿宋" w:eastAsia="仿宋" w:cs="仿宋"/>
                <w:color w:val="auto"/>
                <w:szCs w:val="21"/>
                <w:highlight w:val="none"/>
              </w:rPr>
              <w:t>配水</w:t>
            </w:r>
            <w:bookmarkEnd w:id="1015"/>
            <w:bookmarkEnd w:id="1016"/>
          </w:p>
        </w:tc>
        <w:tc>
          <w:tcPr>
            <w:tcW w:w="234" w:type="pct"/>
            <w:vAlign w:val="center"/>
          </w:tcPr>
          <w:p w14:paraId="2C83F9A5">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17" w:name="_Toc25606"/>
            <w:bookmarkStart w:id="1018" w:name="_Toc31231"/>
            <w:bookmarkStart w:id="1019" w:name="_Toc6329"/>
            <w:r>
              <w:rPr>
                <w:rFonts w:hint="eastAsia" w:ascii="仿宋" w:hAnsi="仿宋" w:eastAsia="仿宋" w:cs="仿宋"/>
                <w:color w:val="auto"/>
                <w:szCs w:val="21"/>
                <w:highlight w:val="none"/>
              </w:rPr>
              <w:t>二级</w:t>
            </w:r>
            <w:bookmarkEnd w:id="1017"/>
            <w:bookmarkEnd w:id="1018"/>
            <w:bookmarkEnd w:id="1019"/>
          </w:p>
        </w:tc>
        <w:tc>
          <w:tcPr>
            <w:tcW w:w="234" w:type="pct"/>
            <w:vMerge w:val="restart"/>
            <w:vAlign w:val="center"/>
          </w:tcPr>
          <w:p w14:paraId="2C83F9A6">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20" w:name="_Toc24582"/>
            <w:bookmarkStart w:id="1021" w:name="_Toc23356"/>
            <w:bookmarkStart w:id="1022" w:name="_Toc24044"/>
            <w:r>
              <w:rPr>
                <w:rFonts w:hint="eastAsia" w:ascii="仿宋" w:hAnsi="仿宋" w:eastAsia="仿宋" w:cs="仿宋"/>
                <w:color w:val="auto"/>
                <w:szCs w:val="21"/>
                <w:highlight w:val="none"/>
              </w:rPr>
              <w:t>三班二运转</w:t>
            </w:r>
            <w:bookmarkEnd w:id="1020"/>
            <w:bookmarkEnd w:id="1021"/>
            <w:bookmarkEnd w:id="1022"/>
          </w:p>
        </w:tc>
        <w:tc>
          <w:tcPr>
            <w:tcW w:w="218" w:type="pct"/>
            <w:vMerge w:val="restart"/>
            <w:vAlign w:val="center"/>
          </w:tcPr>
          <w:p w14:paraId="2C83F9A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23" w:name="_Toc29119"/>
            <w:bookmarkStart w:id="1024" w:name="_Toc13582"/>
            <w:bookmarkStart w:id="1025" w:name="_Toc7099"/>
            <w:r>
              <w:rPr>
                <w:rFonts w:hint="eastAsia" w:ascii="仿宋" w:hAnsi="仿宋" w:eastAsia="仿宋" w:cs="仿宋"/>
                <w:color w:val="auto"/>
                <w:szCs w:val="21"/>
                <w:highlight w:val="none"/>
              </w:rPr>
              <w:t>2</w:t>
            </w:r>
            <w:bookmarkEnd w:id="1023"/>
            <w:bookmarkEnd w:id="1024"/>
            <w:bookmarkEnd w:id="1025"/>
          </w:p>
        </w:tc>
        <w:tc>
          <w:tcPr>
            <w:tcW w:w="218" w:type="pct"/>
            <w:vMerge w:val="restart"/>
            <w:vAlign w:val="center"/>
          </w:tcPr>
          <w:p w14:paraId="2C83F9A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26" w:name="_Toc12169"/>
            <w:bookmarkStart w:id="1027" w:name="_Toc23435"/>
            <w:bookmarkStart w:id="1028" w:name="_Toc25393"/>
            <w:r>
              <w:rPr>
                <w:rFonts w:hint="eastAsia" w:ascii="仿宋" w:hAnsi="仿宋" w:eastAsia="仿宋" w:cs="仿宋"/>
                <w:color w:val="auto"/>
                <w:szCs w:val="21"/>
                <w:highlight w:val="none"/>
              </w:rPr>
              <w:t>6</w:t>
            </w:r>
            <w:bookmarkEnd w:id="1026"/>
            <w:bookmarkEnd w:id="1027"/>
            <w:bookmarkEnd w:id="1028"/>
          </w:p>
        </w:tc>
        <w:tc>
          <w:tcPr>
            <w:tcW w:w="218" w:type="pct"/>
            <w:vMerge w:val="restart"/>
            <w:vAlign w:val="center"/>
          </w:tcPr>
          <w:p w14:paraId="2C83F9A9">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29" w:name="_Toc11892"/>
            <w:bookmarkStart w:id="1030" w:name="_Toc13633"/>
            <w:bookmarkStart w:id="1031" w:name="_Toc17031"/>
            <w:r>
              <w:rPr>
                <w:rFonts w:hint="eastAsia" w:ascii="仿宋" w:hAnsi="仿宋" w:eastAsia="仿宋" w:cs="仿宋"/>
                <w:color w:val="auto"/>
                <w:szCs w:val="21"/>
                <w:highlight w:val="none"/>
              </w:rPr>
              <w:t>1</w:t>
            </w:r>
            <w:bookmarkEnd w:id="1029"/>
            <w:bookmarkEnd w:id="1030"/>
            <w:bookmarkEnd w:id="1031"/>
          </w:p>
        </w:tc>
        <w:tc>
          <w:tcPr>
            <w:tcW w:w="367" w:type="pct"/>
            <w:vMerge w:val="restart"/>
            <w:vAlign w:val="center"/>
          </w:tcPr>
          <w:p w14:paraId="2C83F9A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A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A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A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restart"/>
            <w:vAlign w:val="center"/>
          </w:tcPr>
          <w:p w14:paraId="2C83F9A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restart"/>
            <w:vAlign w:val="center"/>
          </w:tcPr>
          <w:p w14:paraId="2C83F9B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B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9B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9B4">
            <w:pPr>
              <w:keepNext w:val="0"/>
              <w:keepLines w:val="0"/>
              <w:suppressLineNumbers w:val="0"/>
              <w:adjustRightInd/>
              <w:spacing w:before="0" w:beforeAutospacing="0" w:after="0" w:afterAutospacing="0" w:line="240" w:lineRule="exact"/>
              <w:ind w:left="0" w:right="0"/>
              <w:outlineLvl w:val="0"/>
              <w:rPr>
                <w:rFonts w:hint="eastAsia" w:ascii="仿宋" w:hAnsi="仿宋" w:eastAsia="仿宋" w:cs="仿宋"/>
                <w:color w:val="auto"/>
                <w:sz w:val="11"/>
                <w:szCs w:val="11"/>
                <w:highlight w:val="none"/>
              </w:rPr>
            </w:pPr>
            <w:bookmarkStart w:id="1032" w:name="_Toc25488"/>
            <w:bookmarkStart w:id="1033" w:name="_Toc16419"/>
            <w:bookmarkStart w:id="1034" w:name="_Toc18302"/>
            <w:r>
              <w:rPr>
                <w:rFonts w:hint="eastAsia" w:ascii="仿宋" w:hAnsi="仿宋" w:eastAsia="仿宋" w:cs="仿宋"/>
                <w:color w:val="auto"/>
                <w:sz w:val="11"/>
                <w:szCs w:val="11"/>
                <w:highlight w:val="none"/>
              </w:rPr>
              <w:t>配套的泵池进出水检修闸（3个）</w:t>
            </w:r>
            <w:bookmarkEnd w:id="1032"/>
            <w:bookmarkEnd w:id="1033"/>
            <w:bookmarkEnd w:id="1034"/>
          </w:p>
        </w:tc>
        <w:tc>
          <w:tcPr>
            <w:tcW w:w="234" w:type="pct"/>
            <w:vMerge w:val="continue"/>
            <w:vAlign w:val="center"/>
          </w:tcPr>
          <w:p w14:paraId="2C83F9B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9B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9B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9B8">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35" w:name="_Toc20665"/>
            <w:bookmarkStart w:id="1036" w:name="_Toc7470"/>
            <w:bookmarkStart w:id="1037" w:name="_Toc23982"/>
            <w:r>
              <w:rPr>
                <w:rFonts w:hint="eastAsia" w:ascii="仿宋" w:hAnsi="仿宋" w:eastAsia="仿宋" w:cs="仿宋"/>
                <w:color w:val="auto"/>
                <w:szCs w:val="21"/>
                <w:highlight w:val="none"/>
              </w:rPr>
              <w:t>五级</w:t>
            </w:r>
            <w:bookmarkEnd w:id="1035"/>
            <w:bookmarkEnd w:id="1036"/>
            <w:bookmarkEnd w:id="1037"/>
          </w:p>
        </w:tc>
        <w:tc>
          <w:tcPr>
            <w:tcW w:w="234" w:type="pct"/>
            <w:vMerge w:val="continue"/>
            <w:vAlign w:val="center"/>
          </w:tcPr>
          <w:p w14:paraId="2C83F9B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B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B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B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B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B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C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C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C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C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C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2C83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8" w:type="pct"/>
            <w:vMerge w:val="continue"/>
            <w:vAlign w:val="center"/>
          </w:tcPr>
          <w:p w14:paraId="2C83F9C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65" w:type="pct"/>
            <w:vAlign w:val="center"/>
          </w:tcPr>
          <w:p w14:paraId="2C83F9C7">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 w:val="11"/>
                <w:szCs w:val="11"/>
                <w:highlight w:val="none"/>
              </w:rPr>
            </w:pPr>
            <w:bookmarkStart w:id="1038" w:name="_Toc21594"/>
            <w:bookmarkStart w:id="1039" w:name="_Toc22490"/>
            <w:bookmarkStart w:id="1040" w:name="_Toc13811"/>
            <w:r>
              <w:rPr>
                <w:rFonts w:hint="eastAsia" w:ascii="仿宋" w:hAnsi="仿宋" w:eastAsia="仿宋" w:cs="仿宋"/>
                <w:color w:val="auto"/>
                <w:sz w:val="11"/>
                <w:szCs w:val="11"/>
                <w:highlight w:val="none"/>
              </w:rPr>
              <w:t>配套的1个节制闸（挡潮闸）</w:t>
            </w:r>
            <w:bookmarkEnd w:id="1038"/>
            <w:bookmarkEnd w:id="1039"/>
            <w:bookmarkEnd w:id="1040"/>
          </w:p>
        </w:tc>
        <w:tc>
          <w:tcPr>
            <w:tcW w:w="234" w:type="pct"/>
            <w:vMerge w:val="continue"/>
            <w:vAlign w:val="center"/>
          </w:tcPr>
          <w:p w14:paraId="2C83F9C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Merge w:val="continue"/>
            <w:vAlign w:val="center"/>
          </w:tcPr>
          <w:p w14:paraId="2C83F9C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49" w:type="pct"/>
            <w:vMerge w:val="continue"/>
            <w:vAlign w:val="center"/>
          </w:tcPr>
          <w:p w14:paraId="2C83F9C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34" w:type="pct"/>
            <w:vAlign w:val="center"/>
          </w:tcPr>
          <w:p w14:paraId="2C83F9CB">
            <w:pPr>
              <w:keepNext w:val="0"/>
              <w:keepLines w:val="0"/>
              <w:suppressLineNumbers w:val="0"/>
              <w:adjustRightInd/>
              <w:spacing w:before="0" w:beforeAutospacing="0" w:after="0" w:afterAutospacing="0" w:line="240" w:lineRule="exact"/>
              <w:ind w:left="0" w:right="0"/>
              <w:jc w:val="center"/>
              <w:outlineLvl w:val="0"/>
              <w:rPr>
                <w:rFonts w:hint="eastAsia" w:ascii="仿宋" w:hAnsi="仿宋" w:eastAsia="仿宋" w:cs="仿宋"/>
                <w:color w:val="auto"/>
                <w:szCs w:val="21"/>
                <w:highlight w:val="none"/>
              </w:rPr>
            </w:pPr>
            <w:bookmarkStart w:id="1041" w:name="_Toc18971"/>
            <w:bookmarkStart w:id="1042" w:name="_Toc8849"/>
            <w:bookmarkStart w:id="1043" w:name="_Toc19414"/>
            <w:r>
              <w:rPr>
                <w:rFonts w:hint="eastAsia" w:ascii="仿宋" w:hAnsi="仿宋" w:eastAsia="仿宋" w:cs="仿宋"/>
                <w:color w:val="auto"/>
                <w:szCs w:val="21"/>
                <w:highlight w:val="none"/>
              </w:rPr>
              <w:t>一级</w:t>
            </w:r>
            <w:bookmarkEnd w:id="1041"/>
            <w:bookmarkEnd w:id="1042"/>
            <w:bookmarkEnd w:id="1043"/>
          </w:p>
        </w:tc>
        <w:tc>
          <w:tcPr>
            <w:tcW w:w="234" w:type="pct"/>
            <w:vMerge w:val="continue"/>
            <w:vAlign w:val="center"/>
          </w:tcPr>
          <w:p w14:paraId="2C83F9C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C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C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Merge w:val="continue"/>
            <w:vAlign w:val="center"/>
          </w:tcPr>
          <w:p w14:paraId="2C83F9C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D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Align w:val="center"/>
          </w:tcPr>
          <w:p w14:paraId="2C83F9D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D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D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67" w:type="pct"/>
            <w:vMerge w:val="continue"/>
            <w:vAlign w:val="center"/>
          </w:tcPr>
          <w:p w14:paraId="2C83F9D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17" w:type="pct"/>
            <w:vMerge w:val="continue"/>
            <w:vAlign w:val="center"/>
          </w:tcPr>
          <w:p w14:paraId="2C83F9D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218" w:type="pct"/>
            <w:vAlign w:val="center"/>
          </w:tcPr>
          <w:p w14:paraId="2C83F9D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bl>
    <w:p w14:paraId="1F03696C">
      <w:pPr>
        <w:pStyle w:val="32"/>
        <w:snapToGrid w:val="0"/>
        <w:spacing w:line="300" w:lineRule="auto"/>
        <w:rPr>
          <w:rFonts w:hint="eastAsia" w:ascii="仿宋" w:hAnsi="仿宋" w:eastAsia="仿宋" w:cs="仿宋"/>
          <w:color w:val="auto"/>
          <w:kern w:val="0"/>
          <w:sz w:val="24"/>
          <w:szCs w:val="24"/>
          <w:highlight w:val="none"/>
        </w:rPr>
      </w:pPr>
    </w:p>
    <w:p w14:paraId="22B689C4">
      <w:pPr>
        <w:pStyle w:val="32"/>
        <w:snapToGrid w:val="0"/>
        <w:spacing w:line="30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w:t>
      </w:r>
    </w:p>
    <w:p w14:paraId="22B689C5">
      <w:pPr>
        <w:snapToGrid w:val="0"/>
        <w:spacing w:line="30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（1）本项目的投标应以人民币报价，投标人报价应是包括为完成本工程项目可能发生的全部费用及成交人的利润和应交纳的税金等一切费用，采购项目不出具联系单。</w:t>
      </w:r>
    </w:p>
    <w:p w14:paraId="22B689C6">
      <w:pPr>
        <w:snapToGrid w:val="0"/>
        <w:spacing w:line="30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计量单位要求一致，该表格式不得擅自进行变更。投标人应注意各单位之间的换算。</w:t>
      </w:r>
    </w:p>
    <w:p w14:paraId="22B689C7">
      <w:pPr>
        <w:pStyle w:val="32"/>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（3）表中不得有给予采购人的赠品、回扣或者与本项目采购无关的其他商品、服务。</w:t>
      </w:r>
    </w:p>
    <w:p w14:paraId="22B689C9">
      <w:pPr>
        <w:autoSpaceDE w:val="0"/>
        <w:autoSpaceDN w:val="0"/>
        <w:spacing w:line="360" w:lineRule="auto"/>
        <w:ind w:right="1120"/>
        <w:jc w:val="left"/>
        <w:rPr>
          <w:rFonts w:hint="eastAsia" w:ascii="仿宋_GB2312" w:hAnsi="仿宋_GB2312" w:eastAsia="仿宋_GB2312" w:cs="仿宋_GB2312"/>
          <w:color w:val="auto"/>
          <w:kern w:val="0"/>
          <w:sz w:val="24"/>
          <w:highlight w:val="none"/>
          <w:lang w:val="zh-CN"/>
        </w:rPr>
      </w:pPr>
    </w:p>
    <w:p w14:paraId="22B689CA">
      <w:pPr>
        <w:autoSpaceDE w:val="0"/>
        <w:autoSpaceDN w:val="0"/>
        <w:spacing w:line="360" w:lineRule="auto"/>
        <w:ind w:right="112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2B689CB">
      <w:pPr>
        <w:rPr>
          <w:rFonts w:hint="eastAsia" w:ascii="仿宋" w:hAnsi="仿宋" w:eastAsia="仿宋" w:cs="仿宋"/>
          <w:color w:val="auto"/>
          <w:sz w:val="32"/>
          <w:szCs w:val="32"/>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22B689CC">
      <w:pPr>
        <w:pStyle w:val="692"/>
        <w:keepNext w:val="0"/>
        <w:tabs>
          <w:tab w:val="clear" w:pos="720"/>
        </w:tabs>
        <w:wordWrap w:val="0"/>
        <w:snapToGrid w:val="0"/>
        <w:spacing w:before="120" w:after="120"/>
        <w:ind w:firstLine="643"/>
        <w:outlineLvl w:val="2"/>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sym w:font="Wingdings" w:char="00A8"/>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779"/>
      <w:bookmarkEnd w:id="780"/>
      <w:bookmarkEnd w:id="781"/>
      <w:bookmarkEnd w:id="782"/>
      <w:bookmarkEnd w:id="783"/>
      <w:bookmarkEnd w:id="784"/>
      <w:bookmarkEnd w:id="785"/>
      <w:bookmarkEnd w:id="786"/>
      <w:bookmarkEnd w:id="787"/>
    </w:p>
    <w:p w14:paraId="22B689CD">
      <w:pPr>
        <w:widowControl/>
        <w:wordWrap w:val="0"/>
        <w:spacing w:line="360" w:lineRule="auto"/>
        <w:ind w:firstLine="120" w:firstLineChars="50"/>
        <w:jc w:val="left"/>
        <w:rPr>
          <w:rFonts w:hint="eastAsia" w:ascii="仿宋" w:hAnsi="仿宋" w:eastAsia="仿宋" w:cs="仿宋"/>
          <w:b/>
          <w:color w:val="auto"/>
          <w:sz w:val="24"/>
          <w:highlight w:val="none"/>
        </w:rPr>
      </w:pPr>
    </w:p>
    <w:p w14:paraId="22B689CE">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22B689CF">
      <w:pPr>
        <w:widowControl/>
        <w:wordWrap w:val="0"/>
        <w:spacing w:line="360" w:lineRule="auto"/>
        <w:ind w:firstLine="120" w:firstLineChars="50"/>
        <w:jc w:val="left"/>
        <w:rPr>
          <w:rFonts w:hint="eastAsia" w:ascii="仿宋" w:hAnsi="仿宋" w:eastAsia="仿宋" w:cs="仿宋"/>
          <w:b/>
          <w:color w:val="auto"/>
          <w:sz w:val="24"/>
          <w:highlight w:val="none"/>
        </w:rPr>
      </w:pPr>
    </w:p>
    <w:p w14:paraId="22B689D0">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2B689D1">
      <w:pPr>
        <w:wordWrap w:val="0"/>
        <w:spacing w:line="360" w:lineRule="auto"/>
        <w:ind w:right="420" w:firstLine="2409" w:firstLineChars="1000"/>
        <w:rPr>
          <w:rFonts w:hint="eastAsia" w:ascii="仿宋" w:hAnsi="仿宋" w:eastAsia="仿宋" w:cs="仿宋"/>
          <w:b/>
          <w:color w:val="auto"/>
          <w:kern w:val="0"/>
          <w:sz w:val="24"/>
          <w:highlight w:val="none"/>
        </w:rPr>
      </w:pPr>
    </w:p>
    <w:p w14:paraId="22B689D2">
      <w:pPr>
        <w:widowControl/>
        <w:wordWrap w:val="0"/>
        <w:spacing w:line="360" w:lineRule="auto"/>
        <w:ind w:firstLine="120" w:firstLineChar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22B689D3">
      <w:pPr>
        <w:widowControl/>
        <w:wordWrap w:val="0"/>
        <w:spacing w:line="360" w:lineRule="auto"/>
        <w:ind w:firstLine="120" w:firstLineChars="50"/>
        <w:rPr>
          <w:rFonts w:hint="eastAsia" w:ascii="仿宋" w:hAnsi="仿宋" w:eastAsia="仿宋" w:cs="仿宋"/>
          <w:b/>
          <w:color w:val="auto"/>
          <w:sz w:val="24"/>
          <w:highlight w:val="none"/>
        </w:rPr>
      </w:pPr>
    </w:p>
    <w:p w14:paraId="22B689D4">
      <w:pPr>
        <w:widowControl/>
        <w:wordWrap w:val="0"/>
        <w:spacing w:line="360" w:lineRule="auto"/>
        <w:ind w:firstLine="120" w:firstLineChar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2B689D5">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22B689D6">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22B689D7">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7E08EA3B">
      <w:pPr>
        <w:pStyle w:val="3"/>
        <w:keepNext w:val="0"/>
        <w:keepLines w:val="0"/>
        <w:widowControl/>
        <w:wordWrap w:val="0"/>
        <w:spacing w:before="100" w:beforeAutospacing="1" w:after="100" w:afterAutospacing="1" w:line="360" w:lineRule="auto"/>
        <w:ind w:firstLine="883"/>
        <w:rPr>
          <w:rFonts w:hint="eastAsia" w:ascii="仿宋" w:hAnsi="仿宋" w:eastAsia="仿宋" w:cs="仿宋"/>
          <w:color w:val="auto"/>
          <w:highlight w:val="none"/>
        </w:rPr>
        <w:sectPr>
          <w:footerReference r:id="rId23" w:type="first"/>
          <w:headerReference r:id="rId20" w:type="default"/>
          <w:footerReference r:id="rId21" w:type="default"/>
          <w:footerReference r:id="rId22" w:type="even"/>
          <w:pgSz w:w="11905" w:h="16838"/>
          <w:pgMar w:top="652" w:right="1417" w:bottom="680" w:left="1417" w:header="539" w:footer="425" w:gutter="0"/>
          <w:cols w:space="0" w:num="1"/>
          <w:titlePg/>
          <w:docGrid w:linePitch="312" w:charSpace="0"/>
        </w:sectPr>
      </w:pPr>
      <w:bookmarkStart w:id="1044" w:name="_Toc19385"/>
      <w:bookmarkStart w:id="1045" w:name="_Toc21803"/>
      <w:bookmarkStart w:id="1046" w:name="_Toc29548"/>
      <w:bookmarkStart w:id="1047" w:name="_Toc11681"/>
      <w:bookmarkStart w:id="1048" w:name="_Toc465665161"/>
      <w:bookmarkStart w:id="1049" w:name="_Toc18247"/>
    </w:p>
    <w:p w14:paraId="22B689D9">
      <w:pPr>
        <w:pStyle w:val="3"/>
        <w:keepNext w:val="0"/>
        <w:keepLines w:val="0"/>
        <w:widowControl/>
        <w:wordWrap w:val="0"/>
        <w:spacing w:before="100" w:beforeAutospacing="1" w:after="100" w:afterAutospacing="1" w:line="360" w:lineRule="auto"/>
        <w:ind w:firstLine="883"/>
        <w:rPr>
          <w:rFonts w:hint="eastAsia" w:ascii="仿宋" w:hAnsi="仿宋" w:eastAsia="仿宋" w:cs="仿宋"/>
          <w:color w:val="auto"/>
          <w:highlight w:val="none"/>
        </w:rPr>
      </w:pPr>
      <w:bookmarkStart w:id="1050" w:name="_Toc1812"/>
      <w:bookmarkStart w:id="1051" w:name="_Toc1515"/>
      <w:bookmarkStart w:id="1052" w:name="_Toc19751"/>
      <w:bookmarkStart w:id="1053" w:name="_Toc3626"/>
      <w:r>
        <w:rPr>
          <w:rFonts w:hint="eastAsia" w:ascii="仿宋" w:hAnsi="仿宋" w:eastAsia="仿宋" w:cs="仿宋"/>
          <w:color w:val="auto"/>
          <w:highlight w:val="none"/>
        </w:rPr>
        <w:t>附件</w:t>
      </w:r>
      <w:bookmarkEnd w:id="1044"/>
      <w:bookmarkEnd w:id="1045"/>
      <w:bookmarkEnd w:id="1046"/>
      <w:bookmarkEnd w:id="1047"/>
      <w:bookmarkEnd w:id="1048"/>
      <w:bookmarkEnd w:id="1049"/>
      <w:bookmarkEnd w:id="1050"/>
      <w:bookmarkEnd w:id="1051"/>
      <w:bookmarkEnd w:id="1052"/>
      <w:bookmarkEnd w:id="1053"/>
    </w:p>
    <w:p w14:paraId="22B689DA">
      <w:pPr>
        <w:wordWrap w:val="0"/>
        <w:spacing w:line="360" w:lineRule="auto"/>
        <w:ind w:firstLine="667"/>
        <w:outlineLvl w:val="0"/>
        <w:rPr>
          <w:rFonts w:hint="eastAsia" w:ascii="仿宋" w:hAnsi="仿宋" w:eastAsia="仿宋" w:cs="仿宋"/>
          <w:b/>
          <w:color w:val="auto"/>
          <w:spacing w:val="6"/>
          <w:sz w:val="32"/>
          <w:szCs w:val="32"/>
          <w:highlight w:val="none"/>
        </w:rPr>
      </w:pPr>
      <w:bookmarkStart w:id="1054" w:name="_Toc9886"/>
      <w:bookmarkStart w:id="1055" w:name="_Toc7995"/>
      <w:bookmarkStart w:id="1056" w:name="_Toc31021"/>
      <w:bookmarkStart w:id="1057" w:name="_Toc25826"/>
      <w:bookmarkStart w:id="1058" w:name="_Toc24540"/>
      <w:bookmarkStart w:id="1059" w:name="_Toc19435"/>
      <w:bookmarkStart w:id="1060" w:name="_Toc7886"/>
      <w:bookmarkStart w:id="1061" w:name="_Toc16510"/>
      <w:bookmarkStart w:id="1062" w:name="_Toc14817"/>
      <w:bookmarkStart w:id="1063" w:name="_Toc4640"/>
      <w:bookmarkStart w:id="1064" w:name="_Toc27238"/>
      <w:r>
        <w:rPr>
          <w:rFonts w:hint="eastAsia" w:ascii="仿宋" w:hAnsi="仿宋" w:eastAsia="仿宋" w:cs="仿宋"/>
          <w:b/>
          <w:color w:val="auto"/>
          <w:spacing w:val="6"/>
          <w:sz w:val="32"/>
          <w:szCs w:val="32"/>
          <w:highlight w:val="none"/>
        </w:rPr>
        <w:t>附件1：</w:t>
      </w:r>
      <w:bookmarkEnd w:id="1054"/>
      <w:bookmarkEnd w:id="1055"/>
      <w:bookmarkEnd w:id="1056"/>
      <w:bookmarkEnd w:id="1057"/>
      <w:bookmarkEnd w:id="1058"/>
      <w:bookmarkEnd w:id="1059"/>
      <w:bookmarkEnd w:id="1060"/>
      <w:bookmarkEnd w:id="1061"/>
      <w:bookmarkEnd w:id="1062"/>
      <w:bookmarkEnd w:id="1063"/>
      <w:bookmarkEnd w:id="1064"/>
    </w:p>
    <w:p w14:paraId="22B689DB">
      <w:pPr>
        <w:wordWrap w:val="0"/>
        <w:spacing w:line="360" w:lineRule="auto"/>
        <w:ind w:firstLine="667"/>
        <w:jc w:val="center"/>
        <w:rPr>
          <w:rFonts w:hint="eastAsia" w:ascii="仿宋" w:hAnsi="仿宋" w:eastAsia="仿宋" w:cs="仿宋"/>
          <w:b/>
          <w:color w:val="auto"/>
          <w:spacing w:val="6"/>
          <w:sz w:val="32"/>
          <w:szCs w:val="32"/>
          <w:highlight w:val="none"/>
        </w:rPr>
      </w:pPr>
      <w:bookmarkStart w:id="1065" w:name="OLE_LINK13"/>
      <w:bookmarkStart w:id="1066" w:name="OLE_LINK14"/>
      <w:r>
        <w:rPr>
          <w:rFonts w:hint="eastAsia" w:ascii="仿宋" w:hAnsi="仿宋" w:eastAsia="仿宋" w:cs="仿宋"/>
          <w:b/>
          <w:color w:val="auto"/>
          <w:spacing w:val="6"/>
          <w:sz w:val="32"/>
          <w:szCs w:val="32"/>
          <w:highlight w:val="none"/>
        </w:rPr>
        <w:t>残疾人福利性单位声明函</w:t>
      </w:r>
    </w:p>
    <w:bookmarkEnd w:id="1065"/>
    <w:bookmarkEnd w:id="1066"/>
    <w:p w14:paraId="22B689DC">
      <w:pPr>
        <w:wordWrap w:val="0"/>
        <w:spacing w:line="360" w:lineRule="auto"/>
        <w:ind w:firstLine="626"/>
        <w:rPr>
          <w:rFonts w:hint="eastAsia" w:ascii="仿宋" w:hAnsi="仿宋" w:eastAsia="仿宋" w:cs="仿宋"/>
          <w:b/>
          <w:color w:val="auto"/>
          <w:spacing w:val="6"/>
          <w:sz w:val="30"/>
          <w:szCs w:val="30"/>
          <w:highlight w:val="none"/>
        </w:rPr>
      </w:pPr>
    </w:p>
    <w:p w14:paraId="22B689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杭州市城市水设施和河道保护管理中心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古荡公园泵站、古荡湾（水）闸、冯家港船闸等养护服务采购项目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ZJCT6-HD2025-02</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22B689D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2B689DF">
      <w:pPr>
        <w:wordWrap w:val="0"/>
        <w:spacing w:line="360" w:lineRule="auto"/>
        <w:ind w:firstLine="480" w:firstLineChars="200"/>
        <w:rPr>
          <w:rFonts w:hint="eastAsia" w:ascii="仿宋" w:hAnsi="仿宋" w:eastAsia="仿宋" w:cs="仿宋"/>
          <w:color w:val="auto"/>
          <w:sz w:val="24"/>
          <w:highlight w:val="none"/>
        </w:rPr>
      </w:pPr>
    </w:p>
    <w:p w14:paraId="22B689E0">
      <w:pPr>
        <w:wordWrap w:val="0"/>
        <w:spacing w:line="360" w:lineRule="auto"/>
        <w:ind w:firstLine="480" w:firstLineChars="200"/>
        <w:rPr>
          <w:rFonts w:hint="eastAsia" w:ascii="仿宋" w:hAnsi="仿宋" w:eastAsia="仿宋" w:cs="仿宋"/>
          <w:color w:val="auto"/>
          <w:sz w:val="24"/>
          <w:highlight w:val="none"/>
        </w:rPr>
      </w:pPr>
    </w:p>
    <w:p w14:paraId="22B689E1">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2B689E2">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2B689E3">
      <w:pPr>
        <w:wordWrap w:val="0"/>
        <w:spacing w:line="360" w:lineRule="auto"/>
        <w:ind w:firstLine="480" w:firstLineChars="200"/>
        <w:rPr>
          <w:rFonts w:hint="eastAsia" w:ascii="仿宋" w:hAnsi="仿宋" w:eastAsia="仿宋" w:cs="仿宋"/>
          <w:color w:val="auto"/>
          <w:sz w:val="24"/>
          <w:highlight w:val="none"/>
        </w:rPr>
      </w:pPr>
    </w:p>
    <w:p w14:paraId="22B689E4">
      <w:pPr>
        <w:wordWrap w:val="0"/>
        <w:spacing w:line="360" w:lineRule="auto"/>
        <w:ind w:firstLine="420" w:firstLineChars="200"/>
        <w:rPr>
          <w:rFonts w:hint="eastAsia" w:ascii="仿宋" w:hAnsi="仿宋" w:eastAsia="仿宋" w:cs="仿宋"/>
          <w:color w:val="auto"/>
          <w:highlight w:val="none"/>
        </w:rPr>
      </w:pPr>
    </w:p>
    <w:p w14:paraId="22B689E5">
      <w:pPr>
        <w:wordWrap w:val="0"/>
        <w:spacing w:line="360" w:lineRule="auto"/>
        <w:ind w:firstLine="420" w:firstLineChars="200"/>
        <w:rPr>
          <w:rFonts w:hint="eastAsia" w:ascii="仿宋" w:hAnsi="仿宋" w:eastAsia="仿宋" w:cs="仿宋"/>
          <w:color w:val="auto"/>
          <w:highlight w:val="none"/>
        </w:rPr>
      </w:pPr>
    </w:p>
    <w:p w14:paraId="22B689E6">
      <w:pPr>
        <w:wordWrap w:val="0"/>
        <w:spacing w:line="360" w:lineRule="auto"/>
        <w:ind w:firstLine="420" w:firstLineChars="200"/>
        <w:rPr>
          <w:rFonts w:hint="eastAsia" w:ascii="仿宋" w:hAnsi="仿宋" w:eastAsia="仿宋" w:cs="仿宋"/>
          <w:color w:val="auto"/>
          <w:highlight w:val="none"/>
        </w:rPr>
      </w:pPr>
    </w:p>
    <w:p w14:paraId="22B689E7">
      <w:pPr>
        <w:wordWrap w:val="0"/>
        <w:spacing w:line="360" w:lineRule="auto"/>
        <w:ind w:firstLine="420" w:firstLineChars="200"/>
        <w:rPr>
          <w:rFonts w:hint="eastAsia" w:ascii="仿宋" w:hAnsi="仿宋" w:eastAsia="仿宋" w:cs="仿宋"/>
          <w:color w:val="auto"/>
          <w:highlight w:val="none"/>
        </w:rPr>
      </w:pPr>
    </w:p>
    <w:p w14:paraId="22B689E8">
      <w:pPr>
        <w:wordWrap w:val="0"/>
        <w:spacing w:line="360" w:lineRule="auto"/>
        <w:ind w:firstLine="482"/>
        <w:rPr>
          <w:rFonts w:hint="eastAsia" w:ascii="仿宋" w:hAnsi="仿宋" w:eastAsia="仿宋" w:cs="仿宋"/>
          <w:b/>
          <w:color w:val="auto"/>
          <w:sz w:val="24"/>
          <w:highlight w:val="none"/>
        </w:rPr>
      </w:pPr>
    </w:p>
    <w:p w14:paraId="22B689E9">
      <w:pPr>
        <w:wordWrap w:val="0"/>
        <w:spacing w:line="360" w:lineRule="auto"/>
        <w:ind w:firstLine="482"/>
        <w:rPr>
          <w:rFonts w:hint="eastAsia" w:ascii="仿宋" w:hAnsi="仿宋" w:eastAsia="仿宋" w:cs="仿宋"/>
          <w:b/>
          <w:color w:val="auto"/>
          <w:sz w:val="24"/>
          <w:highlight w:val="none"/>
        </w:rPr>
      </w:pPr>
    </w:p>
    <w:p w14:paraId="22B689EA">
      <w:pPr>
        <w:wordWrap w:val="0"/>
        <w:spacing w:line="360" w:lineRule="auto"/>
        <w:ind w:firstLine="482"/>
        <w:rPr>
          <w:rFonts w:hint="eastAsia" w:ascii="仿宋" w:hAnsi="仿宋" w:eastAsia="仿宋" w:cs="仿宋"/>
          <w:b/>
          <w:color w:val="auto"/>
          <w:sz w:val="24"/>
          <w:highlight w:val="none"/>
        </w:rPr>
      </w:pPr>
    </w:p>
    <w:p w14:paraId="22B689EB">
      <w:pPr>
        <w:wordWrap w:val="0"/>
        <w:spacing w:line="360" w:lineRule="auto"/>
        <w:ind w:firstLine="482"/>
        <w:rPr>
          <w:rFonts w:hint="eastAsia" w:ascii="仿宋" w:hAnsi="仿宋" w:eastAsia="仿宋" w:cs="仿宋"/>
          <w:b/>
          <w:color w:val="auto"/>
          <w:sz w:val="24"/>
          <w:highlight w:val="none"/>
        </w:rPr>
      </w:pPr>
    </w:p>
    <w:p w14:paraId="22B689EC">
      <w:pPr>
        <w:wordWrap w:val="0"/>
        <w:spacing w:line="360" w:lineRule="auto"/>
        <w:ind w:firstLine="482"/>
        <w:rPr>
          <w:rFonts w:hint="eastAsia" w:ascii="仿宋" w:hAnsi="仿宋" w:eastAsia="仿宋" w:cs="仿宋"/>
          <w:b/>
          <w:color w:val="auto"/>
          <w:sz w:val="24"/>
          <w:highlight w:val="none"/>
        </w:rPr>
      </w:pPr>
    </w:p>
    <w:p w14:paraId="22B689ED">
      <w:pPr>
        <w:wordWrap w:val="0"/>
        <w:spacing w:line="360" w:lineRule="auto"/>
        <w:ind w:firstLine="482"/>
        <w:rPr>
          <w:rFonts w:hint="eastAsia" w:ascii="仿宋" w:hAnsi="仿宋" w:eastAsia="仿宋" w:cs="仿宋"/>
          <w:b/>
          <w:color w:val="auto"/>
          <w:sz w:val="24"/>
          <w:highlight w:val="none"/>
        </w:rPr>
      </w:pPr>
    </w:p>
    <w:p w14:paraId="22B689EE">
      <w:pPr>
        <w:wordWrap w:val="0"/>
        <w:spacing w:line="360" w:lineRule="auto"/>
        <w:ind w:firstLine="482"/>
        <w:rPr>
          <w:rFonts w:hint="eastAsia" w:ascii="仿宋" w:hAnsi="仿宋" w:eastAsia="仿宋" w:cs="仿宋"/>
          <w:b/>
          <w:color w:val="auto"/>
          <w:sz w:val="24"/>
          <w:highlight w:val="none"/>
        </w:rPr>
      </w:pPr>
    </w:p>
    <w:p w14:paraId="22B689EF">
      <w:pPr>
        <w:wordWrap w:val="0"/>
        <w:spacing w:line="360" w:lineRule="auto"/>
        <w:ind w:firstLine="482"/>
        <w:rPr>
          <w:rFonts w:hint="eastAsia" w:ascii="仿宋" w:hAnsi="仿宋" w:eastAsia="仿宋" w:cs="仿宋"/>
          <w:b/>
          <w:color w:val="auto"/>
          <w:sz w:val="24"/>
          <w:highlight w:val="none"/>
        </w:rPr>
      </w:pPr>
    </w:p>
    <w:p w14:paraId="22B689F0">
      <w:pPr>
        <w:wordWrap w:val="0"/>
        <w:spacing w:line="360" w:lineRule="auto"/>
        <w:ind w:firstLine="482"/>
        <w:rPr>
          <w:rFonts w:hint="eastAsia" w:ascii="仿宋" w:hAnsi="仿宋" w:eastAsia="仿宋" w:cs="仿宋"/>
          <w:b/>
          <w:color w:val="auto"/>
          <w:sz w:val="24"/>
          <w:highlight w:val="none"/>
        </w:rPr>
      </w:pPr>
    </w:p>
    <w:p w14:paraId="22B689F1">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9F2">
      <w:pPr>
        <w:wordWrap w:val="0"/>
        <w:spacing w:line="360" w:lineRule="auto"/>
        <w:ind w:firstLine="667"/>
        <w:jc w:val="left"/>
        <w:outlineLvl w:val="0"/>
        <w:rPr>
          <w:rFonts w:hint="eastAsia" w:ascii="仿宋" w:hAnsi="仿宋" w:eastAsia="仿宋" w:cs="仿宋"/>
          <w:b/>
          <w:color w:val="auto"/>
          <w:spacing w:val="6"/>
          <w:sz w:val="32"/>
          <w:szCs w:val="32"/>
          <w:highlight w:val="none"/>
        </w:rPr>
      </w:pPr>
      <w:bookmarkStart w:id="1067" w:name="_Toc19664"/>
      <w:bookmarkStart w:id="1068" w:name="_Toc16744"/>
      <w:bookmarkStart w:id="1069" w:name="_Toc22640"/>
      <w:bookmarkStart w:id="1070" w:name="_Toc25285"/>
      <w:bookmarkStart w:id="1071" w:name="_Toc23206"/>
      <w:bookmarkStart w:id="1072" w:name="_Toc3891"/>
      <w:bookmarkStart w:id="1073" w:name="_Toc10890"/>
      <w:bookmarkStart w:id="1074" w:name="_Toc10405"/>
      <w:bookmarkStart w:id="1075" w:name="_Toc21976"/>
      <w:bookmarkStart w:id="1076" w:name="_Toc26207"/>
      <w:bookmarkStart w:id="1077" w:name="_Toc16946"/>
      <w:r>
        <w:rPr>
          <w:rFonts w:hint="eastAsia" w:ascii="仿宋" w:hAnsi="仿宋" w:eastAsia="仿宋" w:cs="仿宋"/>
          <w:b/>
          <w:color w:val="auto"/>
          <w:spacing w:val="6"/>
          <w:sz w:val="32"/>
          <w:szCs w:val="32"/>
          <w:highlight w:val="none"/>
        </w:rPr>
        <w:t>附件2：质疑函范本及制作说明</w:t>
      </w:r>
      <w:bookmarkEnd w:id="1067"/>
      <w:bookmarkEnd w:id="1068"/>
      <w:bookmarkEnd w:id="1069"/>
      <w:bookmarkEnd w:id="1070"/>
      <w:bookmarkEnd w:id="1071"/>
      <w:bookmarkEnd w:id="1072"/>
      <w:bookmarkEnd w:id="1073"/>
      <w:bookmarkEnd w:id="1074"/>
      <w:bookmarkEnd w:id="1075"/>
      <w:bookmarkEnd w:id="1076"/>
      <w:bookmarkEnd w:id="1077"/>
    </w:p>
    <w:p w14:paraId="22B689F3">
      <w:pPr>
        <w:wordWrap w:val="0"/>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2B689F4">
      <w:pPr>
        <w:wordWrap w:val="0"/>
        <w:snapToGrid w:val="0"/>
        <w:spacing w:before="240" w:beforeLine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2B689F5">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2B689F6">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2B689F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9F8">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2B689F9">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9FA">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2B689FB">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2B689FC">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2B689FD">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B689FE">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2B689FF">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B68A00">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B68A01">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B68A02">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B68A03">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2B68A04">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B68A05">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06">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2B68A0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B68A08">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B68A09">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2B68A0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B68A0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2B68A0C">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2B68A0D">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B68A0E">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B68A0F">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2B68A10">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2B68A11">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2B68A12">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22B68A13">
      <w:pPr>
        <w:widowControl/>
        <w:wordWrap w:val="0"/>
        <w:spacing w:line="360" w:lineRule="auto"/>
        <w:ind w:firstLine="600" w:firstLineChars="200"/>
        <w:jc w:val="left"/>
        <w:rPr>
          <w:rFonts w:hint="eastAsia" w:ascii="仿宋" w:hAnsi="仿宋" w:eastAsia="仿宋" w:cs="仿宋"/>
          <w:color w:val="auto"/>
          <w:sz w:val="30"/>
          <w:szCs w:val="30"/>
          <w:highlight w:val="none"/>
        </w:rPr>
      </w:pPr>
    </w:p>
    <w:p w14:paraId="22B68A14">
      <w:pPr>
        <w:wordWrap w:val="0"/>
        <w:spacing w:line="360" w:lineRule="auto"/>
        <w:ind w:firstLine="667"/>
        <w:jc w:val="center"/>
        <w:rPr>
          <w:rFonts w:hint="eastAsia" w:ascii="仿宋" w:hAnsi="仿宋" w:eastAsia="仿宋" w:cs="仿宋"/>
          <w:b/>
          <w:color w:val="auto"/>
          <w:spacing w:val="6"/>
          <w:sz w:val="32"/>
          <w:szCs w:val="32"/>
          <w:highlight w:val="none"/>
        </w:rPr>
      </w:pPr>
    </w:p>
    <w:p w14:paraId="22B68A15">
      <w:pPr>
        <w:wordWrap w:val="0"/>
        <w:spacing w:line="360" w:lineRule="auto"/>
        <w:ind w:firstLine="667"/>
        <w:jc w:val="center"/>
        <w:rPr>
          <w:rFonts w:hint="eastAsia" w:ascii="仿宋" w:hAnsi="仿宋" w:eastAsia="仿宋" w:cs="仿宋"/>
          <w:b/>
          <w:color w:val="auto"/>
          <w:spacing w:val="6"/>
          <w:sz w:val="32"/>
          <w:szCs w:val="32"/>
          <w:highlight w:val="none"/>
        </w:rPr>
      </w:pPr>
    </w:p>
    <w:p w14:paraId="22B68A16">
      <w:pPr>
        <w:wordWrap w:val="0"/>
        <w:spacing w:line="360" w:lineRule="auto"/>
        <w:ind w:firstLine="667"/>
        <w:jc w:val="center"/>
        <w:rPr>
          <w:rFonts w:hint="eastAsia" w:ascii="仿宋" w:hAnsi="仿宋" w:eastAsia="仿宋" w:cs="仿宋"/>
          <w:b/>
          <w:color w:val="auto"/>
          <w:spacing w:val="6"/>
          <w:sz w:val="32"/>
          <w:szCs w:val="32"/>
          <w:highlight w:val="none"/>
        </w:rPr>
      </w:pPr>
    </w:p>
    <w:p w14:paraId="22B68A17">
      <w:pPr>
        <w:wordWrap w:val="0"/>
        <w:spacing w:line="360" w:lineRule="auto"/>
        <w:ind w:firstLine="667"/>
        <w:jc w:val="center"/>
        <w:rPr>
          <w:rFonts w:hint="eastAsia" w:ascii="仿宋" w:hAnsi="仿宋" w:eastAsia="仿宋" w:cs="仿宋"/>
          <w:b/>
          <w:color w:val="auto"/>
          <w:spacing w:val="6"/>
          <w:sz w:val="32"/>
          <w:szCs w:val="32"/>
          <w:highlight w:val="none"/>
        </w:rPr>
      </w:pPr>
    </w:p>
    <w:p w14:paraId="22B68A18">
      <w:pPr>
        <w:wordWrap w:val="0"/>
        <w:spacing w:line="360" w:lineRule="auto"/>
        <w:ind w:firstLine="667"/>
        <w:jc w:val="left"/>
        <w:outlineLvl w:val="0"/>
        <w:rPr>
          <w:rFonts w:hint="eastAsia" w:ascii="仿宋" w:hAnsi="仿宋" w:eastAsia="仿宋" w:cs="仿宋"/>
          <w:b/>
          <w:color w:val="auto"/>
          <w:spacing w:val="6"/>
          <w:sz w:val="32"/>
          <w:szCs w:val="32"/>
          <w:highlight w:val="none"/>
        </w:rPr>
      </w:pPr>
      <w:bookmarkStart w:id="1078" w:name="_Toc19370"/>
      <w:bookmarkStart w:id="1079" w:name="_Toc14739"/>
      <w:bookmarkStart w:id="1080" w:name="_Toc26395"/>
      <w:bookmarkStart w:id="1081" w:name="_Toc4759"/>
      <w:bookmarkStart w:id="1082" w:name="_Toc23740"/>
      <w:bookmarkStart w:id="1083" w:name="_Toc13719"/>
      <w:bookmarkStart w:id="1084" w:name="_Toc29798"/>
      <w:bookmarkStart w:id="1085" w:name="_Toc5259"/>
      <w:bookmarkStart w:id="1086" w:name="_Toc1796"/>
      <w:bookmarkStart w:id="1087" w:name="_Toc15183"/>
      <w:bookmarkStart w:id="1088" w:name="_Toc10932"/>
      <w:r>
        <w:rPr>
          <w:rFonts w:hint="eastAsia" w:ascii="仿宋" w:hAnsi="仿宋" w:eastAsia="仿宋" w:cs="仿宋"/>
          <w:b/>
          <w:color w:val="auto"/>
          <w:spacing w:val="6"/>
          <w:sz w:val="32"/>
          <w:szCs w:val="32"/>
          <w:highlight w:val="none"/>
        </w:rPr>
        <w:t>附件3：投诉书范本及制作说明</w:t>
      </w:r>
      <w:bookmarkEnd w:id="1078"/>
      <w:bookmarkEnd w:id="1079"/>
      <w:bookmarkEnd w:id="1080"/>
      <w:bookmarkEnd w:id="1081"/>
      <w:bookmarkEnd w:id="1082"/>
      <w:bookmarkEnd w:id="1083"/>
      <w:bookmarkEnd w:id="1084"/>
      <w:bookmarkEnd w:id="1085"/>
      <w:bookmarkEnd w:id="1086"/>
      <w:bookmarkEnd w:id="1087"/>
      <w:bookmarkEnd w:id="1088"/>
    </w:p>
    <w:p w14:paraId="22B68A19">
      <w:pPr>
        <w:wordWrap w:val="0"/>
        <w:spacing w:line="360" w:lineRule="auto"/>
        <w:ind w:firstLine="482"/>
        <w:jc w:val="center"/>
        <w:rPr>
          <w:rFonts w:hint="eastAsia" w:ascii="仿宋" w:hAnsi="仿宋" w:eastAsia="仿宋" w:cs="仿宋"/>
          <w:b/>
          <w:color w:val="auto"/>
          <w:sz w:val="24"/>
          <w:highlight w:val="none"/>
        </w:rPr>
      </w:pPr>
    </w:p>
    <w:p w14:paraId="22B68A1A">
      <w:pPr>
        <w:wordWrap w:val="0"/>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2B68A1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2B68A1C">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2B68A1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1E">
      <w:pPr>
        <w:tabs>
          <w:tab w:val="left" w:pos="6510"/>
        </w:tabs>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1F">
      <w:pPr>
        <w:tabs>
          <w:tab w:val="left" w:pos="6510"/>
        </w:tabs>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A20">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A21">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2B68A22">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3">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4">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B68A26">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B68A27">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8">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2B68A2B">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2B68A2C">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B68A2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E">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2B68A2F">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B68A30">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B68A31">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B68A32">
      <w:pPr>
        <w:wordWrap w:val="0"/>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2B68A33">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34">
      <w:pPr>
        <w:wordWrap w:val="0"/>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2B68A3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2B68A36">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B68A37">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B68A38">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3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B68A3A">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3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2B68A3C">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B68A3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B68A3E">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3F">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2B68A40">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B68A41">
      <w:pPr>
        <w:wordWrap w:val="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2B68A42">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B68A43">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2B68A44">
      <w:pPr>
        <w:widowControl/>
        <w:wordWrap w:val="0"/>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2B68A45">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2B68A46">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2B68A47">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2B68A48">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2B68A49">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2B68A4A">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22B68A4B">
      <w:pPr>
        <w:wordWrap w:val="0"/>
        <w:spacing w:line="360" w:lineRule="auto"/>
        <w:ind w:firstLine="482"/>
        <w:rPr>
          <w:rFonts w:hint="eastAsia" w:ascii="仿宋" w:hAnsi="仿宋" w:eastAsia="仿宋" w:cs="仿宋"/>
          <w:b/>
          <w:color w:val="auto"/>
          <w:sz w:val="24"/>
          <w:highlight w:val="none"/>
        </w:rPr>
      </w:pPr>
    </w:p>
    <w:p w14:paraId="22B68A4C">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4D">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4E">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A4F">
      <w:pPr>
        <w:wordWrap w:val="0"/>
        <w:autoSpaceDE w:val="0"/>
        <w:autoSpaceDN w:val="0"/>
        <w:ind w:firstLine="667"/>
        <w:jc w:val="left"/>
        <w:outlineLvl w:val="0"/>
        <w:rPr>
          <w:rFonts w:hint="eastAsia" w:ascii="仿宋" w:hAnsi="仿宋" w:eastAsia="仿宋" w:cs="仿宋"/>
          <w:b/>
          <w:bCs/>
          <w:color w:val="auto"/>
          <w:sz w:val="32"/>
          <w:szCs w:val="32"/>
          <w:highlight w:val="none"/>
        </w:rPr>
      </w:pPr>
      <w:bookmarkStart w:id="1089" w:name="_Toc14277"/>
      <w:bookmarkStart w:id="1090" w:name="_Toc28414"/>
      <w:bookmarkStart w:id="1091" w:name="_Toc6620"/>
      <w:bookmarkStart w:id="1092" w:name="_Toc2538"/>
      <w:bookmarkStart w:id="1093" w:name="_Toc30199"/>
      <w:bookmarkStart w:id="1094" w:name="_Toc1784"/>
      <w:bookmarkStart w:id="1095" w:name="_Toc13943"/>
      <w:bookmarkStart w:id="1096" w:name="_Toc31326"/>
      <w:bookmarkStart w:id="1097" w:name="_Toc19508"/>
      <w:bookmarkStart w:id="1098" w:name="_Toc25068"/>
      <w:bookmarkStart w:id="1099" w:name="_Toc2346"/>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1089"/>
      <w:bookmarkEnd w:id="1090"/>
      <w:bookmarkEnd w:id="1091"/>
      <w:bookmarkEnd w:id="1092"/>
      <w:bookmarkEnd w:id="1093"/>
      <w:bookmarkEnd w:id="1094"/>
      <w:bookmarkEnd w:id="1095"/>
      <w:bookmarkEnd w:id="1096"/>
      <w:bookmarkEnd w:id="1097"/>
      <w:bookmarkEnd w:id="1098"/>
      <w:bookmarkEnd w:id="1099"/>
    </w:p>
    <w:p w14:paraId="22B68A50">
      <w:pPr>
        <w:wordWrap w:val="0"/>
        <w:spacing w:line="360" w:lineRule="auto"/>
        <w:rPr>
          <w:rFonts w:hint="eastAsia" w:ascii="仿宋" w:hAnsi="仿宋" w:eastAsia="仿宋" w:cs="仿宋"/>
          <w:color w:val="auto"/>
          <w:sz w:val="24"/>
          <w:highlight w:val="none"/>
          <w:u w:val="single"/>
        </w:rPr>
      </w:pPr>
    </w:p>
    <w:p w14:paraId="22B68A51">
      <w:pPr>
        <w:wordWrap w:val="0"/>
        <w:spacing w:line="360" w:lineRule="auto"/>
        <w:rPr>
          <w:rFonts w:hint="eastAsia" w:ascii="仿宋" w:hAnsi="仿宋" w:eastAsia="仿宋" w:cs="仿宋"/>
          <w:color w:val="auto"/>
          <w:sz w:val="24"/>
          <w:highlight w:val="none"/>
          <w:u w:val="single"/>
        </w:rPr>
      </w:pPr>
    </w:p>
    <w:p w14:paraId="22B68A52">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p>
    <w:p w14:paraId="22B68A5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2B68A5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2B68A55">
      <w:pPr>
        <w:wordWrap w:val="0"/>
        <w:spacing w:line="360" w:lineRule="auto"/>
        <w:ind w:firstLine="480"/>
        <w:rPr>
          <w:rFonts w:hint="eastAsia" w:ascii="仿宋" w:hAnsi="仿宋" w:eastAsia="仿宋" w:cs="仿宋"/>
          <w:color w:val="auto"/>
          <w:sz w:val="24"/>
          <w:highlight w:val="none"/>
        </w:rPr>
      </w:pPr>
    </w:p>
    <w:p w14:paraId="22B68A56">
      <w:pPr>
        <w:wordWrap w:val="0"/>
        <w:spacing w:line="360" w:lineRule="auto"/>
        <w:ind w:firstLine="480"/>
        <w:rPr>
          <w:rFonts w:hint="eastAsia" w:ascii="仿宋" w:hAnsi="仿宋" w:eastAsia="仿宋" w:cs="仿宋"/>
          <w:color w:val="auto"/>
          <w:sz w:val="24"/>
          <w:highlight w:val="none"/>
        </w:rPr>
      </w:pPr>
    </w:p>
    <w:p w14:paraId="22B68A57">
      <w:pPr>
        <w:wordWrap w:val="0"/>
        <w:spacing w:line="360" w:lineRule="auto"/>
        <w:ind w:firstLine="480"/>
        <w:rPr>
          <w:rFonts w:hint="eastAsia" w:ascii="仿宋" w:hAnsi="仿宋" w:eastAsia="仿宋" w:cs="仿宋"/>
          <w:color w:val="auto"/>
          <w:sz w:val="24"/>
          <w:highlight w:val="none"/>
        </w:rPr>
      </w:pPr>
    </w:p>
    <w:p w14:paraId="22B68A58">
      <w:pPr>
        <w:wordWrap w:val="0"/>
        <w:spacing w:line="360" w:lineRule="auto"/>
        <w:ind w:firstLine="480"/>
        <w:rPr>
          <w:rFonts w:hint="eastAsia" w:ascii="仿宋" w:hAnsi="仿宋" w:eastAsia="仿宋" w:cs="仿宋"/>
          <w:color w:val="auto"/>
          <w:sz w:val="24"/>
          <w:highlight w:val="none"/>
        </w:rPr>
      </w:pPr>
    </w:p>
    <w:p w14:paraId="22B68A59">
      <w:pPr>
        <w:wordWrap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2B68A5A">
      <w:pPr>
        <w:wordWrap w:val="0"/>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2B68A5B">
      <w:pPr>
        <w:wordWrap w:val="0"/>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2B68A5C">
      <w:pPr>
        <w:wordWrap w:val="0"/>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2B68A5D">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5E">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5F">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0">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1">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2">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3">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4">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5">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6">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7">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8">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9">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A">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B">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C">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A6D">
      <w:pPr>
        <w:wordWrap w:val="0"/>
        <w:autoSpaceDE w:val="0"/>
        <w:autoSpaceDN w:val="0"/>
        <w:ind w:firstLine="667"/>
        <w:outlineLvl w:val="0"/>
        <w:rPr>
          <w:rFonts w:hint="eastAsia" w:ascii="仿宋" w:hAnsi="仿宋" w:eastAsia="仿宋" w:cs="仿宋"/>
          <w:b/>
          <w:bCs/>
          <w:color w:val="auto"/>
          <w:sz w:val="32"/>
          <w:szCs w:val="32"/>
          <w:highlight w:val="none"/>
        </w:rPr>
      </w:pPr>
      <w:bookmarkStart w:id="1100" w:name="_Toc23867"/>
      <w:bookmarkStart w:id="1101" w:name="_Toc23962"/>
      <w:bookmarkStart w:id="1102" w:name="_Toc10529"/>
      <w:bookmarkStart w:id="1103" w:name="_Toc1904"/>
      <w:bookmarkStart w:id="1104" w:name="_Toc13051"/>
      <w:bookmarkStart w:id="1105" w:name="_Toc25308"/>
      <w:bookmarkStart w:id="1106" w:name="_Toc17236"/>
      <w:bookmarkStart w:id="1107" w:name="_Toc18469"/>
      <w:bookmarkStart w:id="1108" w:name="_Toc29318"/>
      <w:bookmarkStart w:id="1109" w:name="_Toc31030"/>
      <w:bookmarkStart w:id="1110" w:name="_Toc31302"/>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1100"/>
      <w:bookmarkEnd w:id="1101"/>
      <w:bookmarkEnd w:id="1102"/>
      <w:bookmarkEnd w:id="1103"/>
      <w:bookmarkEnd w:id="1104"/>
      <w:bookmarkEnd w:id="1105"/>
      <w:bookmarkEnd w:id="1106"/>
      <w:bookmarkEnd w:id="1107"/>
      <w:bookmarkEnd w:id="1108"/>
      <w:bookmarkEnd w:id="1109"/>
      <w:bookmarkEnd w:id="1110"/>
    </w:p>
    <w:p w14:paraId="22B68A6E">
      <w:pPr>
        <w:wordWrap w:val="0"/>
        <w:spacing w:line="360" w:lineRule="auto"/>
        <w:jc w:val="center"/>
        <w:rPr>
          <w:rFonts w:hint="eastAsia" w:ascii="仿宋" w:hAnsi="仿宋" w:eastAsia="仿宋" w:cs="仿宋"/>
          <w:color w:val="auto"/>
          <w:sz w:val="24"/>
          <w:highlight w:val="none"/>
          <w:u w:val="single"/>
        </w:rPr>
      </w:pPr>
    </w:p>
    <w:p w14:paraId="22B68A6F">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22B68A70">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rPr>
        <w:t>杭州市城市水设施和河道保护管理中心</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22B68A71">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22B68A73">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3.若</w:t>
      </w:r>
      <w:r>
        <w:rPr>
          <w:rFonts w:hint="eastAsia" w:ascii="仿宋" w:hAnsi="仿宋" w:eastAsia="仿宋" w:cs="仿宋"/>
          <w:color w:val="auto"/>
          <w:sz w:val="24"/>
          <w:highlight w:val="none"/>
          <w:lang w:bidi="ar"/>
        </w:rPr>
        <w:t>中标拟定分包的，分包企业为中小企业的填写分包企业的情况：</w:t>
      </w:r>
    </w:p>
    <w:p w14:paraId="22B68A75">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市</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6">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7">
      <w:pPr>
        <w:wordWrap w:val="0"/>
        <w:spacing w:line="360" w:lineRule="auto"/>
        <w:ind w:firstLine="480" w:firstLineChars="200"/>
        <w:jc w:val="left"/>
        <w:rPr>
          <w:rFonts w:hint="eastAsia" w:ascii="仿宋" w:hAnsi="仿宋" w:eastAsia="仿宋" w:cs="仿宋"/>
          <w:color w:val="auto"/>
          <w:sz w:val="24"/>
          <w:highlight w:val="none"/>
        </w:rPr>
      </w:pPr>
    </w:p>
    <w:p w14:paraId="22B68A78">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2B68A79">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2B68A7A">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B68A7B">
      <w:pPr>
        <w:wordWrap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2B68A7C">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2B68A7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或则未填写具体数据（无上一年度数据除外）的，声明函无效。</w:t>
      </w:r>
    </w:p>
    <w:p w14:paraId="22B68A7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B68A7F">
      <w:pP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22B68A80">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22B68A81">
      <w:pPr>
        <w:pStyle w:val="61"/>
        <w:wordWrap w:val="0"/>
        <w:ind w:firstLine="420"/>
        <w:rPr>
          <w:rFonts w:hint="eastAsia" w:ascii="仿宋" w:hAnsi="仿宋" w:eastAsia="仿宋" w:cs="仿宋"/>
          <w:color w:val="auto"/>
          <w:highlight w:val="none"/>
        </w:rPr>
      </w:pPr>
    </w:p>
    <w:p w14:paraId="22B68A82">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A83">
      <w:pPr>
        <w:wordWrap w:val="0"/>
        <w:snapToGrid w:val="0"/>
        <w:spacing w:before="50" w:after="50" w:line="360" w:lineRule="auto"/>
        <w:ind w:firstLine="643"/>
        <w:outlineLvl w:val="0"/>
        <w:rPr>
          <w:rFonts w:hint="eastAsia" w:ascii="仿宋" w:hAnsi="仿宋" w:eastAsia="仿宋" w:cs="仿宋"/>
          <w:b/>
          <w:color w:val="auto"/>
          <w:kern w:val="0"/>
          <w:sz w:val="32"/>
          <w:szCs w:val="32"/>
          <w:highlight w:val="none"/>
        </w:rPr>
      </w:pPr>
      <w:bookmarkStart w:id="1111" w:name="_Toc8013"/>
      <w:bookmarkStart w:id="1112" w:name="_Toc15498"/>
      <w:bookmarkStart w:id="1113" w:name="_Toc16741"/>
      <w:bookmarkStart w:id="1114" w:name="_Toc25620"/>
      <w:bookmarkStart w:id="1115" w:name="_Toc13984"/>
      <w:bookmarkStart w:id="1116" w:name="_Toc15843"/>
      <w:bookmarkStart w:id="1117" w:name="_Toc4068"/>
      <w:bookmarkStart w:id="1118" w:name="_Toc28870"/>
      <w:bookmarkStart w:id="1119" w:name="_Toc1899"/>
      <w:bookmarkStart w:id="1120" w:name="_Toc2500"/>
      <w:bookmarkStart w:id="1121" w:name="_Toc19779"/>
      <w:r>
        <w:rPr>
          <w:rFonts w:hint="eastAsia" w:ascii="仿宋" w:hAnsi="仿宋" w:eastAsia="仿宋" w:cs="仿宋"/>
          <w:b/>
          <w:color w:val="auto"/>
          <w:kern w:val="0"/>
          <w:sz w:val="32"/>
          <w:szCs w:val="32"/>
          <w:highlight w:val="none"/>
        </w:rPr>
        <w:t>附件6</w:t>
      </w:r>
      <w:bookmarkEnd w:id="1111"/>
      <w:bookmarkEnd w:id="1112"/>
      <w:bookmarkEnd w:id="1113"/>
      <w:r>
        <w:rPr>
          <w:rFonts w:hint="eastAsia" w:ascii="仿宋" w:hAnsi="仿宋" w:eastAsia="仿宋" w:cs="仿宋"/>
          <w:b/>
          <w:color w:val="auto"/>
          <w:kern w:val="0"/>
          <w:sz w:val="32"/>
          <w:szCs w:val="32"/>
          <w:highlight w:val="none"/>
        </w:rPr>
        <w:t xml:space="preserve"> </w:t>
      </w:r>
      <w:bookmarkEnd w:id="1114"/>
      <w:bookmarkEnd w:id="1115"/>
      <w:bookmarkEnd w:id="1116"/>
      <w:r>
        <w:rPr>
          <w:rFonts w:hint="eastAsia" w:ascii="仿宋" w:hAnsi="仿宋" w:eastAsia="仿宋" w:cs="仿宋"/>
          <w:b/>
          <w:color w:val="auto"/>
          <w:kern w:val="0"/>
          <w:sz w:val="32"/>
          <w:szCs w:val="32"/>
          <w:highlight w:val="none"/>
        </w:rPr>
        <w:t>联合协议</w:t>
      </w:r>
      <w:bookmarkEnd w:id="1117"/>
      <w:bookmarkEnd w:id="1118"/>
      <w:bookmarkEnd w:id="1119"/>
      <w:bookmarkEnd w:id="1120"/>
      <w:bookmarkEnd w:id="1121"/>
    </w:p>
    <w:p w14:paraId="22B68A84">
      <w:pPr>
        <w:widowControl/>
        <w:wordWrap w:val="0"/>
        <w:spacing w:line="360" w:lineRule="auto"/>
        <w:ind w:firstLine="643" w:firstLineChars="20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2B68A85">
      <w:pPr>
        <w:widowControl/>
        <w:wordWrap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2B68A86">
      <w:pPr>
        <w:wordWrap w:val="0"/>
        <w:snapToGrid w:val="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22B68A87">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2B68A88">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B68A89">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22B68A8A">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2B68A8B">
      <w:pPr>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%（不得少于50%），联合体成员合同金额达到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A8C">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B68A8D">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22B68A8E">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B68A8F">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2B68A90">
      <w:pPr>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2B68A91">
      <w:pPr>
        <w:snapToGrid w:val="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14:paraId="22B68A92">
      <w:pPr>
        <w:wordWrap w:val="0"/>
        <w:snapToGrid w:val="0"/>
        <w:spacing w:line="276" w:lineRule="auto"/>
        <w:ind w:firstLine="480"/>
        <w:rPr>
          <w:rFonts w:hint="eastAsia" w:ascii="仿宋" w:hAnsi="仿宋" w:eastAsia="仿宋" w:cs="仿宋"/>
          <w:color w:val="auto"/>
          <w:kern w:val="0"/>
          <w:sz w:val="24"/>
          <w:highlight w:val="none"/>
          <w:lang w:val="zh-CN"/>
        </w:rPr>
      </w:pPr>
    </w:p>
    <w:p w14:paraId="22B68A93">
      <w:pPr>
        <w:wordWrap w:val="0"/>
        <w:spacing w:line="276" w:lineRule="auto"/>
        <w:ind w:right="420"/>
        <w:rPr>
          <w:rFonts w:hint="eastAsia" w:ascii="仿宋" w:hAnsi="仿宋" w:eastAsia="仿宋" w:cs="仿宋"/>
          <w:color w:val="auto"/>
          <w:sz w:val="24"/>
          <w:highlight w:val="none"/>
        </w:rPr>
      </w:pPr>
    </w:p>
    <w:p w14:paraId="22B68A94">
      <w:pPr>
        <w:wordWrap w:val="0"/>
        <w:spacing w:line="276" w:lineRule="auto"/>
        <w:ind w:right="420"/>
        <w:rPr>
          <w:rFonts w:hint="eastAsia" w:ascii="仿宋" w:hAnsi="仿宋" w:eastAsia="仿宋" w:cs="仿宋"/>
          <w:color w:val="auto"/>
          <w:sz w:val="24"/>
          <w:highlight w:val="none"/>
        </w:rPr>
      </w:pPr>
    </w:p>
    <w:p w14:paraId="22B68A95">
      <w:pPr>
        <w:wordWrap w:val="0"/>
        <w:spacing w:line="276"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2B68A96">
      <w:pPr>
        <w:wordWrap w:val="0"/>
        <w:autoSpaceDE w:val="0"/>
        <w:autoSpaceDN w:val="0"/>
        <w:spacing w:line="276" w:lineRule="auto"/>
        <w:ind w:firstLine="480" w:firstLineChars="200"/>
        <w:rPr>
          <w:rFonts w:hint="eastAsia"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附项目负责人单位社保缴纳证明。</w:t>
      </w:r>
    </w:p>
    <w:p w14:paraId="22B68A97">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2B68A98">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99">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2B68A9A">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9B">
      <w:pPr>
        <w:wordWrap w:val="0"/>
        <w:snapToGrid w:val="0"/>
        <w:spacing w:line="276"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B68A9C">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B68A9D">
      <w:pPr>
        <w:wordWrap w:val="0"/>
        <w:snapToGrid w:val="0"/>
        <w:spacing w:line="360" w:lineRule="auto"/>
        <w:ind w:firstLine="643"/>
        <w:outlineLvl w:val="0"/>
        <w:rPr>
          <w:rFonts w:hint="eastAsia" w:ascii="仿宋" w:hAnsi="仿宋" w:eastAsia="仿宋" w:cs="仿宋"/>
          <w:b/>
          <w:color w:val="auto"/>
          <w:kern w:val="0"/>
          <w:sz w:val="32"/>
          <w:szCs w:val="32"/>
          <w:highlight w:val="none"/>
        </w:rPr>
      </w:pPr>
      <w:bookmarkStart w:id="1122" w:name="_Toc30868"/>
      <w:bookmarkStart w:id="1123" w:name="_Toc32513"/>
      <w:bookmarkStart w:id="1124" w:name="_Toc3992"/>
      <w:bookmarkStart w:id="1125" w:name="_Toc29153"/>
      <w:bookmarkStart w:id="1126" w:name="_Toc7222"/>
      <w:bookmarkStart w:id="1127" w:name="_Toc1528"/>
      <w:bookmarkStart w:id="1128" w:name="_Toc3962"/>
      <w:bookmarkStart w:id="1129" w:name="_Toc12928"/>
      <w:bookmarkStart w:id="1130" w:name="_Toc31060"/>
      <w:bookmarkStart w:id="1131" w:name="_Toc2793"/>
      <w:bookmarkStart w:id="1132" w:name="_Toc26897"/>
      <w:r>
        <w:rPr>
          <w:rFonts w:hint="eastAsia" w:ascii="仿宋" w:hAnsi="仿宋" w:eastAsia="仿宋" w:cs="仿宋"/>
          <w:b/>
          <w:color w:val="auto"/>
          <w:kern w:val="0"/>
          <w:sz w:val="32"/>
          <w:szCs w:val="32"/>
          <w:highlight w:val="none"/>
        </w:rPr>
        <w:t>附件7</w:t>
      </w:r>
      <w:bookmarkEnd w:id="1122"/>
      <w:bookmarkEnd w:id="1123"/>
      <w:bookmarkEnd w:id="1124"/>
      <w:r>
        <w:rPr>
          <w:rFonts w:hint="eastAsia" w:ascii="仿宋" w:hAnsi="仿宋" w:eastAsia="仿宋" w:cs="仿宋"/>
          <w:b/>
          <w:color w:val="auto"/>
          <w:kern w:val="0"/>
          <w:sz w:val="32"/>
          <w:szCs w:val="32"/>
          <w:highlight w:val="none"/>
        </w:rPr>
        <w:t xml:space="preserve"> 分包意向协议</w:t>
      </w:r>
      <w:bookmarkEnd w:id="1125"/>
      <w:bookmarkEnd w:id="1126"/>
      <w:bookmarkEnd w:id="1127"/>
      <w:bookmarkEnd w:id="1128"/>
      <w:bookmarkEnd w:id="1129"/>
      <w:bookmarkEnd w:id="1130"/>
      <w:bookmarkEnd w:id="1131"/>
      <w:bookmarkEnd w:id="1132"/>
    </w:p>
    <w:p w14:paraId="22B68A9E">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2B68A9F">
      <w:pPr>
        <w:wordWrap w:val="0"/>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22B68AA0">
      <w:pPr>
        <w:widowControl/>
        <w:wordWrap w:val="0"/>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14:paraId="22B68AA1">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古荡公园泵站、古荡湾（水）闸、冯家港船闸等养护服务采购项目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B68AA2">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2B68AA3">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B68AA4">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2B68AA5">
      <w:pPr>
        <w:wordWrap w:val="0"/>
        <w:snapToGrid w:val="0"/>
        <w:spacing w:line="288"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2B68AA6">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2B68AA7">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8">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22B68AA9">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A">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2B68AAB">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C">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2B68AAD">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E">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2B68AAF">
      <w:pPr>
        <w:wordWrap w:val="0"/>
        <w:snapToGrid w:val="0"/>
        <w:spacing w:line="360" w:lineRule="auto"/>
        <w:ind w:firstLine="720" w:firstLineChars="3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2B68AB0">
      <w:pPr>
        <w:wordWrap w:val="0"/>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B68AB1">
      <w:pPr>
        <w:wordWrap w:val="0"/>
        <w:snapToGrid w:val="0"/>
        <w:spacing w:line="288" w:lineRule="auto"/>
        <w:ind w:left="5746" w:leftChars="2622" w:hanging="240" w:hanging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B2">
      <w:pPr>
        <w:wordWrap w:val="0"/>
        <w:snapToGrid w:val="0"/>
        <w:spacing w:line="288"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B3">
      <w:pPr>
        <w:wordWrap w:val="0"/>
        <w:snapToGrid w:val="0"/>
        <w:spacing w:line="288"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B68AB4">
      <w:pPr>
        <w:pStyle w:val="61"/>
        <w:wordWrap w:val="0"/>
        <w:spacing w:after="0" w:line="288" w:lineRule="auto"/>
        <w:ind w:firstLine="48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22B68AB5">
      <w:pPr>
        <w:wordWrap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22B68AB6">
      <w:pPr>
        <w:rPr>
          <w:rFonts w:hint="eastAsia" w:ascii="仿宋" w:hAnsi="仿宋" w:eastAsia="仿宋" w:cs="仿宋"/>
          <w:color w:val="auto"/>
          <w:highlight w:val="none"/>
        </w:rPr>
      </w:pPr>
    </w:p>
    <w:p w14:paraId="22B68AB7">
      <w:pPr>
        <w:pStyle w:val="32"/>
        <w:rPr>
          <w:color w:val="auto"/>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A1002AEF" w:usb1="8000787B" w:usb2="00000008" w:usb3="00000000" w:csb0="600100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C">
    <w:pPr>
      <w:pStyle w:val="39"/>
      <w:framePr w:wrap="around" w:vAnchor="text" w:hAnchor="margin" w:xAlign="right" w:y="1"/>
      <w:rPr>
        <w:rStyle w:val="72"/>
      </w:rPr>
    </w:pPr>
    <w:r>
      <w:fldChar w:fldCharType="begin"/>
    </w:r>
    <w:r>
      <w:rPr>
        <w:rStyle w:val="72"/>
      </w:rPr>
      <w:instrText xml:space="preserve">PAGE  </w:instrText>
    </w:r>
    <w:r>
      <w:fldChar w:fldCharType="end"/>
    </w:r>
  </w:p>
  <w:p w14:paraId="22B68ACD">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1">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E">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2B68AFE">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5">
    <w:pPr>
      <w:pStyle w:val="39"/>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B01">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2B68B01">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3">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14:paraId="22B68AE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6">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B00">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B68B00">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F">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1">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B68AF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3">
    <w:pPr>
      <w:pStyle w:val="39"/>
      <w:jc w:val="center"/>
      <w:rPr>
        <w:rFonts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B">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B68AFB">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4">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A">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2B68AFA">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7">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D">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2B68AFD">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p w14:paraId="22B68A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A">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C">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2B68AFC">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p w14:paraId="22B68A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E">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2B68AF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2B68A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B">
    <w:pPr>
      <w:pStyle w:val="4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E">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2">
    <w:pPr>
      <w:pStyle w:val="40"/>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5">
    <w:pPr>
      <w:pStyle w:val="40"/>
      <w:pBdr>
        <w:bottom w:val="none" w:color="auto" w:sz="0" w:space="1"/>
      </w:pBdr>
      <w:rPr>
        <w:rFonts w:ascii="仿宋_GB2312" w:eastAsia="仿宋_GB2312"/>
        <w:b/>
        <w:i/>
        <w:u w:val="single"/>
      </w:rPr>
    </w:pPr>
    <w:r>
      <w:t></w:t>
    </w:r>
    <w:r>
      <w:rPr>
        <w:rFonts w:hint="eastAsia"/>
      </w:rPr>
      <w:t xml:space="preserve">  </w:t>
    </w:r>
  </w:p>
  <w:p w14:paraId="22B68AD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9">
    <w:pPr>
      <w:pStyle w:val="40"/>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C">
    <w:pPr>
      <w:pStyle w:val="40"/>
      <w:pBdr>
        <w:bottom w:val="none" w:color="auto" w:sz="0" w:space="1"/>
      </w:pBdr>
      <w:jc w:val="right"/>
      <w:rPr>
        <w:rFonts w:ascii="仿宋_GB2312" w:eastAsia="仿宋_GB2312"/>
        <w:b/>
        <w:i/>
        <w:u w:val="single"/>
      </w:rPr>
    </w:pPr>
    <w:r>
      <w:rPr>
        <w:rFonts w:hint="eastAsia"/>
      </w:rPr>
      <w:t xml:space="preserve">                                 </w:t>
    </w:r>
  </w:p>
  <w:p w14:paraId="22B68AD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0">
    <w:pPr>
      <w:pStyle w:val="40"/>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2">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27C5E5B"/>
    <w:multiLevelType w:val="singleLevel"/>
    <w:tmpl w:val="A27C5E5B"/>
    <w:lvl w:ilvl="0" w:tentative="0">
      <w:start w:val="1"/>
      <w:numFmt w:val="decimal"/>
      <w:lvlText w:val="%1."/>
      <w:lvlJc w:val="left"/>
      <w:pPr>
        <w:ind w:left="425" w:hanging="425"/>
      </w:pPr>
      <w:rPr>
        <w:rFonts w:hint="default"/>
      </w:rPr>
    </w:lvl>
  </w:abstractNum>
  <w:abstractNum w:abstractNumId="2">
    <w:nsid w:val="AD2EE9C4"/>
    <w:multiLevelType w:val="singleLevel"/>
    <w:tmpl w:val="AD2EE9C4"/>
    <w:lvl w:ilvl="0" w:tentative="0">
      <w:start w:val="20"/>
      <w:numFmt w:val="decimal"/>
      <w:suff w:val="space"/>
      <w:lvlText w:val="%1."/>
      <w:lvlJc w:val="left"/>
    </w:lvl>
  </w:abstractNum>
  <w:abstractNum w:abstractNumId="3">
    <w:nsid w:val="C6C902EB"/>
    <w:multiLevelType w:val="singleLevel"/>
    <w:tmpl w:val="C6C902EB"/>
    <w:lvl w:ilvl="0" w:tentative="0">
      <w:start w:val="16"/>
      <w:numFmt w:val="decimal"/>
      <w:suff w:val="space"/>
      <w:lvlText w:val="%1."/>
      <w:lvlJc w:val="left"/>
    </w:lvl>
  </w:abstractNum>
  <w:abstractNum w:abstractNumId="4">
    <w:nsid w:val="E5D9C392"/>
    <w:multiLevelType w:val="singleLevel"/>
    <w:tmpl w:val="E5D9C392"/>
    <w:lvl w:ilvl="0" w:tentative="0">
      <w:start w:val="1"/>
      <w:numFmt w:val="decimal"/>
      <w:suff w:val="nothing"/>
      <w:lvlText w:val="（%1）"/>
      <w:lvlJc w:val="left"/>
    </w:lvl>
  </w:abstractNum>
  <w:abstractNum w:abstractNumId="5">
    <w:nsid w:val="EEBCB84E"/>
    <w:multiLevelType w:val="singleLevel"/>
    <w:tmpl w:val="EEBCB84E"/>
    <w:lvl w:ilvl="0" w:tentative="0">
      <w:start w:val="1"/>
      <w:numFmt w:val="chineseCounting"/>
      <w:suff w:val="nothing"/>
      <w:lvlText w:val="%1、"/>
      <w:lvlJc w:val="left"/>
      <w:rPr>
        <w:rFonts w:hint="eastAsia"/>
      </w:rPr>
    </w:lvl>
  </w:abstractNum>
  <w:abstractNum w:abstractNumId="6">
    <w:nsid w:val="FE000763"/>
    <w:multiLevelType w:val="singleLevel"/>
    <w:tmpl w:val="FE000763"/>
    <w:lvl w:ilvl="0" w:tentative="0">
      <w:start w:val="8"/>
      <w:numFmt w:val="decimal"/>
      <w:suff w:val="space"/>
      <w:lvlText w:val="%1."/>
      <w:lvlJc w:val="left"/>
    </w:lvl>
  </w:abstractNum>
  <w:abstractNum w:abstractNumId="7">
    <w:nsid w:val="2138D75A"/>
    <w:multiLevelType w:val="singleLevel"/>
    <w:tmpl w:val="2138D75A"/>
    <w:lvl w:ilvl="0" w:tentative="0">
      <w:start w:val="1"/>
      <w:numFmt w:val="decimal"/>
      <w:lvlText w:val="%1."/>
      <w:lvlJc w:val="left"/>
      <w:pPr>
        <w:ind w:left="425" w:hanging="425"/>
      </w:pPr>
      <w:rPr>
        <w:rFonts w:hint="default"/>
      </w:rPr>
    </w:lvl>
  </w:abstractNum>
  <w:abstractNum w:abstractNumId="8">
    <w:nsid w:val="34238E1B"/>
    <w:multiLevelType w:val="singleLevel"/>
    <w:tmpl w:val="34238E1B"/>
    <w:lvl w:ilvl="0" w:tentative="0">
      <w:start w:val="27"/>
      <w:numFmt w:val="decimal"/>
      <w:suff w:val="space"/>
      <w:lvlText w:val="%1."/>
      <w:lvlJc w:val="left"/>
    </w:lvl>
  </w:abstractNum>
  <w:abstractNum w:abstractNumId="9">
    <w:nsid w:val="7625C79A"/>
    <w:multiLevelType w:val="singleLevel"/>
    <w:tmpl w:val="7625C79A"/>
    <w:lvl w:ilvl="0" w:tentative="0">
      <w:start w:val="2"/>
      <w:numFmt w:val="decimal"/>
      <w:suff w:val="space"/>
      <w:lvlText w:val="%1."/>
      <w:lvlJc w:val="left"/>
    </w:lvl>
  </w:abstractNum>
  <w:abstractNum w:abstractNumId="10">
    <w:nsid w:val="7866F8BE"/>
    <w:multiLevelType w:val="singleLevel"/>
    <w:tmpl w:val="7866F8BE"/>
    <w:lvl w:ilvl="0" w:tentative="0">
      <w:start w:val="1"/>
      <w:numFmt w:val="decimal"/>
      <w:lvlText w:val="%1."/>
      <w:lvlJc w:val="left"/>
      <w:pPr>
        <w:ind w:left="425" w:hanging="425"/>
      </w:pPr>
      <w:rPr>
        <w:rFonts w:hint="default"/>
      </w:rPr>
    </w:lvl>
  </w:abstractNum>
  <w:abstractNum w:abstractNumId="11">
    <w:nsid w:val="792045E3"/>
    <w:multiLevelType w:val="singleLevel"/>
    <w:tmpl w:val="792045E3"/>
    <w:lvl w:ilvl="0" w:tentative="0">
      <w:start w:val="6"/>
      <w:numFmt w:val="chineseCounting"/>
      <w:suff w:val="nothing"/>
      <w:lvlText w:val="%1、"/>
      <w:lvlJc w:val="left"/>
      <w:rPr>
        <w:rFonts w:hint="eastAsia"/>
      </w:rPr>
    </w:lvl>
  </w:abstractNum>
  <w:num w:numId="1">
    <w:abstractNumId w:val="9"/>
  </w:num>
  <w:num w:numId="2">
    <w:abstractNumId w:val="6"/>
  </w:num>
  <w:num w:numId="3">
    <w:abstractNumId w:val="0"/>
  </w:num>
  <w:num w:numId="4">
    <w:abstractNumId w:val="3"/>
  </w:num>
  <w:num w:numId="5">
    <w:abstractNumId w:val="2"/>
  </w:num>
  <w:num w:numId="6">
    <w:abstractNumId w:val="8"/>
  </w:num>
  <w:num w:numId="7">
    <w:abstractNumId w:val="1"/>
  </w:num>
  <w:num w:numId="8">
    <w:abstractNumId w:val="4"/>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xMGUzYTBmMGRjMGU3YjFmZTI5YjA2NTVhMWZiZmQifQ=="/>
    <w:docVar w:name="KSO_WPS_MARK_KEY" w:val="4162c88e-7a97-4f8a-914e-66eeeef13e78"/>
  </w:docVars>
  <w:rsids>
    <w:rsidRoot w:val="00172A27"/>
    <w:rsid w:val="00000451"/>
    <w:rsid w:val="0000108B"/>
    <w:rsid w:val="0000133D"/>
    <w:rsid w:val="00001509"/>
    <w:rsid w:val="000032B2"/>
    <w:rsid w:val="0000363B"/>
    <w:rsid w:val="000038D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91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40"/>
    <w:rsid w:val="000746CB"/>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A63"/>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0F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42"/>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7A4"/>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CF6"/>
    <w:rsid w:val="001524DC"/>
    <w:rsid w:val="001525E5"/>
    <w:rsid w:val="00153859"/>
    <w:rsid w:val="00153915"/>
    <w:rsid w:val="001539F0"/>
    <w:rsid w:val="00154BBA"/>
    <w:rsid w:val="00155B95"/>
    <w:rsid w:val="00156853"/>
    <w:rsid w:val="00157432"/>
    <w:rsid w:val="00157681"/>
    <w:rsid w:val="00161185"/>
    <w:rsid w:val="001620BA"/>
    <w:rsid w:val="001623AC"/>
    <w:rsid w:val="00162BAA"/>
    <w:rsid w:val="00162CB5"/>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4E"/>
    <w:rsid w:val="00191459"/>
    <w:rsid w:val="00191603"/>
    <w:rsid w:val="0019173E"/>
    <w:rsid w:val="0019174E"/>
    <w:rsid w:val="0019196B"/>
    <w:rsid w:val="001923D5"/>
    <w:rsid w:val="00192991"/>
    <w:rsid w:val="00192E3D"/>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886"/>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1F"/>
    <w:rsid w:val="001B16F5"/>
    <w:rsid w:val="001B1C1F"/>
    <w:rsid w:val="001B219B"/>
    <w:rsid w:val="001B2703"/>
    <w:rsid w:val="001B3DCD"/>
    <w:rsid w:val="001B4299"/>
    <w:rsid w:val="001B45B9"/>
    <w:rsid w:val="001B46B2"/>
    <w:rsid w:val="001B4725"/>
    <w:rsid w:val="001B48B2"/>
    <w:rsid w:val="001B49DA"/>
    <w:rsid w:val="001B4BA4"/>
    <w:rsid w:val="001B4CA8"/>
    <w:rsid w:val="001B572D"/>
    <w:rsid w:val="001B576E"/>
    <w:rsid w:val="001B5B10"/>
    <w:rsid w:val="001B5E57"/>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A0"/>
    <w:rsid w:val="00224037"/>
    <w:rsid w:val="002244E4"/>
    <w:rsid w:val="00224D2A"/>
    <w:rsid w:val="00224D8D"/>
    <w:rsid w:val="0022555A"/>
    <w:rsid w:val="002262A5"/>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3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5A"/>
    <w:rsid w:val="002A4868"/>
    <w:rsid w:val="002A4A05"/>
    <w:rsid w:val="002A4EB3"/>
    <w:rsid w:val="002A51D9"/>
    <w:rsid w:val="002A525A"/>
    <w:rsid w:val="002A5968"/>
    <w:rsid w:val="002A5CAB"/>
    <w:rsid w:val="002A5D40"/>
    <w:rsid w:val="002A5DE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881"/>
    <w:rsid w:val="002D055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463"/>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3D1"/>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271"/>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8F4"/>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7C8"/>
    <w:rsid w:val="003F42FF"/>
    <w:rsid w:val="003F4B48"/>
    <w:rsid w:val="003F4DDC"/>
    <w:rsid w:val="003F56B8"/>
    <w:rsid w:val="003F5F1A"/>
    <w:rsid w:val="003F6327"/>
    <w:rsid w:val="003F70A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0B"/>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E71"/>
    <w:rsid w:val="00440262"/>
    <w:rsid w:val="004406BF"/>
    <w:rsid w:val="00440814"/>
    <w:rsid w:val="0044105D"/>
    <w:rsid w:val="00441424"/>
    <w:rsid w:val="00442731"/>
    <w:rsid w:val="00442C12"/>
    <w:rsid w:val="00442F4D"/>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AE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3EE"/>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4C8"/>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8C5"/>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3B0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59"/>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BC5"/>
    <w:rsid w:val="00587D7B"/>
    <w:rsid w:val="005904DB"/>
    <w:rsid w:val="005905ED"/>
    <w:rsid w:val="00590D11"/>
    <w:rsid w:val="00591BA6"/>
    <w:rsid w:val="00592825"/>
    <w:rsid w:val="00594437"/>
    <w:rsid w:val="00594B70"/>
    <w:rsid w:val="005963CC"/>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9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82"/>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DE"/>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83C"/>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F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300"/>
    <w:rsid w:val="0071779C"/>
    <w:rsid w:val="00717808"/>
    <w:rsid w:val="007208A7"/>
    <w:rsid w:val="00720B6A"/>
    <w:rsid w:val="007210F6"/>
    <w:rsid w:val="0072129A"/>
    <w:rsid w:val="0072139F"/>
    <w:rsid w:val="007218AD"/>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5E4"/>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97E"/>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A1F"/>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33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75C"/>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BCE"/>
    <w:rsid w:val="007E23A1"/>
    <w:rsid w:val="007E259F"/>
    <w:rsid w:val="007E347E"/>
    <w:rsid w:val="007E41A4"/>
    <w:rsid w:val="007E43E3"/>
    <w:rsid w:val="007E54B8"/>
    <w:rsid w:val="007E5D12"/>
    <w:rsid w:val="007E6061"/>
    <w:rsid w:val="007E6420"/>
    <w:rsid w:val="007E677F"/>
    <w:rsid w:val="007E6B25"/>
    <w:rsid w:val="007E6E06"/>
    <w:rsid w:val="007E6F4A"/>
    <w:rsid w:val="007E79CC"/>
    <w:rsid w:val="007F03E1"/>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298"/>
    <w:rsid w:val="007F5382"/>
    <w:rsid w:val="007F55A4"/>
    <w:rsid w:val="007F5D28"/>
    <w:rsid w:val="007F6260"/>
    <w:rsid w:val="007F682B"/>
    <w:rsid w:val="007F78E8"/>
    <w:rsid w:val="007F7F8F"/>
    <w:rsid w:val="00800509"/>
    <w:rsid w:val="0080078E"/>
    <w:rsid w:val="00800B7F"/>
    <w:rsid w:val="008012B1"/>
    <w:rsid w:val="00801D63"/>
    <w:rsid w:val="00802DD1"/>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138"/>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A02"/>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F9"/>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34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1B6"/>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33"/>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032"/>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17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966"/>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C6B"/>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87C"/>
    <w:rsid w:val="00A40E2F"/>
    <w:rsid w:val="00A41819"/>
    <w:rsid w:val="00A41C9A"/>
    <w:rsid w:val="00A41D73"/>
    <w:rsid w:val="00A42406"/>
    <w:rsid w:val="00A433E8"/>
    <w:rsid w:val="00A43A1D"/>
    <w:rsid w:val="00A43AB0"/>
    <w:rsid w:val="00A44854"/>
    <w:rsid w:val="00A44A45"/>
    <w:rsid w:val="00A4617E"/>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2AD"/>
    <w:rsid w:val="00AD1065"/>
    <w:rsid w:val="00AD159E"/>
    <w:rsid w:val="00AD246E"/>
    <w:rsid w:val="00AD2AB1"/>
    <w:rsid w:val="00AD3132"/>
    <w:rsid w:val="00AD3DA6"/>
    <w:rsid w:val="00AD3F3C"/>
    <w:rsid w:val="00AD447E"/>
    <w:rsid w:val="00AD4B2F"/>
    <w:rsid w:val="00AD4CA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C7"/>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01"/>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BF4"/>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0D4A"/>
    <w:rsid w:val="00C0234A"/>
    <w:rsid w:val="00C0247B"/>
    <w:rsid w:val="00C035D1"/>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5C6"/>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6E"/>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E2F"/>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5AB"/>
    <w:rsid w:val="00CE2E2E"/>
    <w:rsid w:val="00CE3A51"/>
    <w:rsid w:val="00CE41F9"/>
    <w:rsid w:val="00CE57DC"/>
    <w:rsid w:val="00CE59F6"/>
    <w:rsid w:val="00CE66CD"/>
    <w:rsid w:val="00CE6BA9"/>
    <w:rsid w:val="00CE71C3"/>
    <w:rsid w:val="00CE727A"/>
    <w:rsid w:val="00CF029C"/>
    <w:rsid w:val="00CF0AF0"/>
    <w:rsid w:val="00CF157E"/>
    <w:rsid w:val="00CF1631"/>
    <w:rsid w:val="00CF1834"/>
    <w:rsid w:val="00CF1AAA"/>
    <w:rsid w:val="00CF1EC2"/>
    <w:rsid w:val="00CF2879"/>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ABD"/>
    <w:rsid w:val="00D35F2F"/>
    <w:rsid w:val="00D35FC6"/>
    <w:rsid w:val="00D36BB8"/>
    <w:rsid w:val="00D377D4"/>
    <w:rsid w:val="00D401A1"/>
    <w:rsid w:val="00D40217"/>
    <w:rsid w:val="00D40385"/>
    <w:rsid w:val="00D404CE"/>
    <w:rsid w:val="00D40E8F"/>
    <w:rsid w:val="00D412BF"/>
    <w:rsid w:val="00D417C6"/>
    <w:rsid w:val="00D417D0"/>
    <w:rsid w:val="00D42090"/>
    <w:rsid w:val="00D42B0C"/>
    <w:rsid w:val="00D42D6E"/>
    <w:rsid w:val="00D43DEF"/>
    <w:rsid w:val="00D44259"/>
    <w:rsid w:val="00D45C61"/>
    <w:rsid w:val="00D45DDC"/>
    <w:rsid w:val="00D5064C"/>
    <w:rsid w:val="00D50C94"/>
    <w:rsid w:val="00D511E7"/>
    <w:rsid w:val="00D5140D"/>
    <w:rsid w:val="00D517ED"/>
    <w:rsid w:val="00D5251C"/>
    <w:rsid w:val="00D52F56"/>
    <w:rsid w:val="00D539DA"/>
    <w:rsid w:val="00D545D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A6A"/>
    <w:rsid w:val="00D73CD4"/>
    <w:rsid w:val="00D73F06"/>
    <w:rsid w:val="00D740B2"/>
    <w:rsid w:val="00D74247"/>
    <w:rsid w:val="00D743F1"/>
    <w:rsid w:val="00D744CF"/>
    <w:rsid w:val="00D7456E"/>
    <w:rsid w:val="00D753A9"/>
    <w:rsid w:val="00D755F7"/>
    <w:rsid w:val="00D75DDB"/>
    <w:rsid w:val="00D75E4B"/>
    <w:rsid w:val="00D76D7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13"/>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88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850"/>
    <w:rsid w:val="00E12BDF"/>
    <w:rsid w:val="00E13326"/>
    <w:rsid w:val="00E13D07"/>
    <w:rsid w:val="00E14356"/>
    <w:rsid w:val="00E14961"/>
    <w:rsid w:val="00E14D76"/>
    <w:rsid w:val="00E15183"/>
    <w:rsid w:val="00E15D6C"/>
    <w:rsid w:val="00E1720B"/>
    <w:rsid w:val="00E203DE"/>
    <w:rsid w:val="00E20CE7"/>
    <w:rsid w:val="00E217B1"/>
    <w:rsid w:val="00E222FA"/>
    <w:rsid w:val="00E22768"/>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114"/>
    <w:rsid w:val="00E35A45"/>
    <w:rsid w:val="00E35F7F"/>
    <w:rsid w:val="00E36392"/>
    <w:rsid w:val="00E36B32"/>
    <w:rsid w:val="00E374B4"/>
    <w:rsid w:val="00E37A6F"/>
    <w:rsid w:val="00E37A9C"/>
    <w:rsid w:val="00E40222"/>
    <w:rsid w:val="00E40406"/>
    <w:rsid w:val="00E4082B"/>
    <w:rsid w:val="00E40835"/>
    <w:rsid w:val="00E408EC"/>
    <w:rsid w:val="00E409B5"/>
    <w:rsid w:val="00E40BCB"/>
    <w:rsid w:val="00E418B8"/>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89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71"/>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0F"/>
    <w:rsid w:val="00EC7894"/>
    <w:rsid w:val="00EC7A28"/>
    <w:rsid w:val="00EC7B48"/>
    <w:rsid w:val="00ED0151"/>
    <w:rsid w:val="00ED0257"/>
    <w:rsid w:val="00ED071B"/>
    <w:rsid w:val="00ED18B1"/>
    <w:rsid w:val="00ED1ADE"/>
    <w:rsid w:val="00ED1F64"/>
    <w:rsid w:val="00ED3692"/>
    <w:rsid w:val="00ED4A77"/>
    <w:rsid w:val="00ED4B6E"/>
    <w:rsid w:val="00ED5981"/>
    <w:rsid w:val="00ED613A"/>
    <w:rsid w:val="00ED6514"/>
    <w:rsid w:val="00ED66B2"/>
    <w:rsid w:val="00ED71BA"/>
    <w:rsid w:val="00ED728F"/>
    <w:rsid w:val="00ED73A1"/>
    <w:rsid w:val="00ED7CA2"/>
    <w:rsid w:val="00EE04F9"/>
    <w:rsid w:val="00EE05E0"/>
    <w:rsid w:val="00EE0E12"/>
    <w:rsid w:val="00EE13DA"/>
    <w:rsid w:val="00EE1595"/>
    <w:rsid w:val="00EE1E71"/>
    <w:rsid w:val="00EE2087"/>
    <w:rsid w:val="00EE20C2"/>
    <w:rsid w:val="00EE2479"/>
    <w:rsid w:val="00EE292E"/>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EA0"/>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D8"/>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28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9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938"/>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C743E"/>
    <w:rsid w:val="019F7441"/>
    <w:rsid w:val="01A56D1B"/>
    <w:rsid w:val="01B37585"/>
    <w:rsid w:val="01C240D6"/>
    <w:rsid w:val="01D55165"/>
    <w:rsid w:val="01DF6BF8"/>
    <w:rsid w:val="01EB4811"/>
    <w:rsid w:val="01EC2C57"/>
    <w:rsid w:val="02392050"/>
    <w:rsid w:val="02600BBC"/>
    <w:rsid w:val="026B2E25"/>
    <w:rsid w:val="02824D4D"/>
    <w:rsid w:val="028D623B"/>
    <w:rsid w:val="029C2A86"/>
    <w:rsid w:val="02DA6776"/>
    <w:rsid w:val="02DC4B10"/>
    <w:rsid w:val="02DD76CE"/>
    <w:rsid w:val="02E37ABA"/>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1121E"/>
    <w:rsid w:val="042311BA"/>
    <w:rsid w:val="042B157A"/>
    <w:rsid w:val="043E286E"/>
    <w:rsid w:val="044B421A"/>
    <w:rsid w:val="04596E97"/>
    <w:rsid w:val="045E1648"/>
    <w:rsid w:val="046C5C2A"/>
    <w:rsid w:val="048F763B"/>
    <w:rsid w:val="049E721D"/>
    <w:rsid w:val="049F330E"/>
    <w:rsid w:val="04AA775C"/>
    <w:rsid w:val="04AF1889"/>
    <w:rsid w:val="04F66F48"/>
    <w:rsid w:val="0522318E"/>
    <w:rsid w:val="05251E14"/>
    <w:rsid w:val="052845F3"/>
    <w:rsid w:val="05426454"/>
    <w:rsid w:val="05560C2A"/>
    <w:rsid w:val="0559183C"/>
    <w:rsid w:val="055C1AE9"/>
    <w:rsid w:val="055D2919"/>
    <w:rsid w:val="05A16594"/>
    <w:rsid w:val="05A7762D"/>
    <w:rsid w:val="05D05C61"/>
    <w:rsid w:val="060E5941"/>
    <w:rsid w:val="06110FAF"/>
    <w:rsid w:val="0616772D"/>
    <w:rsid w:val="06493CA7"/>
    <w:rsid w:val="065A6178"/>
    <w:rsid w:val="06623713"/>
    <w:rsid w:val="066F1CF3"/>
    <w:rsid w:val="06930BB8"/>
    <w:rsid w:val="069F3F4E"/>
    <w:rsid w:val="069F594B"/>
    <w:rsid w:val="06B75E22"/>
    <w:rsid w:val="06C748BA"/>
    <w:rsid w:val="06D620B4"/>
    <w:rsid w:val="07245D42"/>
    <w:rsid w:val="07264C62"/>
    <w:rsid w:val="0730481D"/>
    <w:rsid w:val="07602CA8"/>
    <w:rsid w:val="0779354C"/>
    <w:rsid w:val="077A1300"/>
    <w:rsid w:val="07E3704F"/>
    <w:rsid w:val="07FE23B9"/>
    <w:rsid w:val="08061376"/>
    <w:rsid w:val="080A371B"/>
    <w:rsid w:val="08163393"/>
    <w:rsid w:val="08192019"/>
    <w:rsid w:val="08452D77"/>
    <w:rsid w:val="086401F8"/>
    <w:rsid w:val="08751CAA"/>
    <w:rsid w:val="087E4C40"/>
    <w:rsid w:val="08D66AD6"/>
    <w:rsid w:val="08DA33A3"/>
    <w:rsid w:val="08E80F13"/>
    <w:rsid w:val="09265ED9"/>
    <w:rsid w:val="09335624"/>
    <w:rsid w:val="0944690F"/>
    <w:rsid w:val="09535675"/>
    <w:rsid w:val="095F057D"/>
    <w:rsid w:val="09630C45"/>
    <w:rsid w:val="09642282"/>
    <w:rsid w:val="096B5FE2"/>
    <w:rsid w:val="09733572"/>
    <w:rsid w:val="09772C16"/>
    <w:rsid w:val="097F75FA"/>
    <w:rsid w:val="098353B5"/>
    <w:rsid w:val="099C619C"/>
    <w:rsid w:val="09A92330"/>
    <w:rsid w:val="09B06B87"/>
    <w:rsid w:val="09BD5DBE"/>
    <w:rsid w:val="09C13146"/>
    <w:rsid w:val="09C851E3"/>
    <w:rsid w:val="09E04166"/>
    <w:rsid w:val="0A0E0E57"/>
    <w:rsid w:val="0A1C0718"/>
    <w:rsid w:val="0A2F27B5"/>
    <w:rsid w:val="0A3E7710"/>
    <w:rsid w:val="0A5B7E63"/>
    <w:rsid w:val="0A627D5C"/>
    <w:rsid w:val="0A67494D"/>
    <w:rsid w:val="0A99714B"/>
    <w:rsid w:val="0AA374A5"/>
    <w:rsid w:val="0AAB7649"/>
    <w:rsid w:val="0ABC5606"/>
    <w:rsid w:val="0AC20964"/>
    <w:rsid w:val="0B30404E"/>
    <w:rsid w:val="0B4C6C14"/>
    <w:rsid w:val="0B537EBF"/>
    <w:rsid w:val="0B5E5DFE"/>
    <w:rsid w:val="0B631A88"/>
    <w:rsid w:val="0B683D45"/>
    <w:rsid w:val="0B7F3F11"/>
    <w:rsid w:val="0B884417"/>
    <w:rsid w:val="0BF6188C"/>
    <w:rsid w:val="0BF73C91"/>
    <w:rsid w:val="0C170175"/>
    <w:rsid w:val="0C571A41"/>
    <w:rsid w:val="0C5C1171"/>
    <w:rsid w:val="0C5E1CBC"/>
    <w:rsid w:val="0C615B50"/>
    <w:rsid w:val="0C812B51"/>
    <w:rsid w:val="0C8445DA"/>
    <w:rsid w:val="0C87121B"/>
    <w:rsid w:val="0CB007AA"/>
    <w:rsid w:val="0CC007F7"/>
    <w:rsid w:val="0CC40A89"/>
    <w:rsid w:val="0CCE74AD"/>
    <w:rsid w:val="0CD53211"/>
    <w:rsid w:val="0CFE707A"/>
    <w:rsid w:val="0D022474"/>
    <w:rsid w:val="0D063BDA"/>
    <w:rsid w:val="0D08375F"/>
    <w:rsid w:val="0D184CFB"/>
    <w:rsid w:val="0D4A7419"/>
    <w:rsid w:val="0D7875D9"/>
    <w:rsid w:val="0D827401"/>
    <w:rsid w:val="0D84094E"/>
    <w:rsid w:val="0D8A00E9"/>
    <w:rsid w:val="0D8D589E"/>
    <w:rsid w:val="0DA01C73"/>
    <w:rsid w:val="0DD63300"/>
    <w:rsid w:val="0DF50604"/>
    <w:rsid w:val="0DF65E54"/>
    <w:rsid w:val="0DF702FE"/>
    <w:rsid w:val="0E060E51"/>
    <w:rsid w:val="0E410F89"/>
    <w:rsid w:val="0E5604B2"/>
    <w:rsid w:val="0E6D5D79"/>
    <w:rsid w:val="0E9D0089"/>
    <w:rsid w:val="0EB803EE"/>
    <w:rsid w:val="0EF94D4B"/>
    <w:rsid w:val="0F12144F"/>
    <w:rsid w:val="0F2928DC"/>
    <w:rsid w:val="0F383163"/>
    <w:rsid w:val="0F4958DC"/>
    <w:rsid w:val="0F4E001C"/>
    <w:rsid w:val="0F515DF7"/>
    <w:rsid w:val="0F596BA8"/>
    <w:rsid w:val="0F6248D2"/>
    <w:rsid w:val="0F6600DC"/>
    <w:rsid w:val="0F693536"/>
    <w:rsid w:val="0F7B0511"/>
    <w:rsid w:val="0F7B76D9"/>
    <w:rsid w:val="0F816ACD"/>
    <w:rsid w:val="0F9832DB"/>
    <w:rsid w:val="0FBF3FD2"/>
    <w:rsid w:val="0FBF7FF3"/>
    <w:rsid w:val="10150A56"/>
    <w:rsid w:val="1054157E"/>
    <w:rsid w:val="10646583"/>
    <w:rsid w:val="10770C3A"/>
    <w:rsid w:val="107D4B15"/>
    <w:rsid w:val="108A3C80"/>
    <w:rsid w:val="10A17219"/>
    <w:rsid w:val="10A673BF"/>
    <w:rsid w:val="10AF7152"/>
    <w:rsid w:val="10C26171"/>
    <w:rsid w:val="10F33360"/>
    <w:rsid w:val="10FC16EA"/>
    <w:rsid w:val="110F1D40"/>
    <w:rsid w:val="11266F33"/>
    <w:rsid w:val="115E6AF7"/>
    <w:rsid w:val="116374F7"/>
    <w:rsid w:val="118963A1"/>
    <w:rsid w:val="11916802"/>
    <w:rsid w:val="119B486D"/>
    <w:rsid w:val="11C6522A"/>
    <w:rsid w:val="11CC0423"/>
    <w:rsid w:val="11E104CC"/>
    <w:rsid w:val="11E176FC"/>
    <w:rsid w:val="11E20309"/>
    <w:rsid w:val="12255233"/>
    <w:rsid w:val="12530213"/>
    <w:rsid w:val="12594386"/>
    <w:rsid w:val="126A32DB"/>
    <w:rsid w:val="127723A9"/>
    <w:rsid w:val="12862074"/>
    <w:rsid w:val="1288040F"/>
    <w:rsid w:val="12883966"/>
    <w:rsid w:val="129E45B4"/>
    <w:rsid w:val="12A96255"/>
    <w:rsid w:val="12D22C2E"/>
    <w:rsid w:val="12D81596"/>
    <w:rsid w:val="12FB0490"/>
    <w:rsid w:val="13072A44"/>
    <w:rsid w:val="132E3FF9"/>
    <w:rsid w:val="133B576B"/>
    <w:rsid w:val="135F4BE2"/>
    <w:rsid w:val="139B1A0A"/>
    <w:rsid w:val="139D25C7"/>
    <w:rsid w:val="13BF3CE4"/>
    <w:rsid w:val="141008D8"/>
    <w:rsid w:val="14125FE6"/>
    <w:rsid w:val="144E2788"/>
    <w:rsid w:val="146D271E"/>
    <w:rsid w:val="147337F1"/>
    <w:rsid w:val="147B1ABD"/>
    <w:rsid w:val="14931BE5"/>
    <w:rsid w:val="14982588"/>
    <w:rsid w:val="149A5AD9"/>
    <w:rsid w:val="14A7619D"/>
    <w:rsid w:val="14AA11A2"/>
    <w:rsid w:val="14E26D2C"/>
    <w:rsid w:val="150536C3"/>
    <w:rsid w:val="150C1963"/>
    <w:rsid w:val="151447A0"/>
    <w:rsid w:val="154A6454"/>
    <w:rsid w:val="15611DD0"/>
    <w:rsid w:val="156F6E5A"/>
    <w:rsid w:val="15762120"/>
    <w:rsid w:val="1592490D"/>
    <w:rsid w:val="15C50FB0"/>
    <w:rsid w:val="16106893"/>
    <w:rsid w:val="1617552E"/>
    <w:rsid w:val="16331AEA"/>
    <w:rsid w:val="163B6E92"/>
    <w:rsid w:val="1667132F"/>
    <w:rsid w:val="167B4954"/>
    <w:rsid w:val="167E3EB7"/>
    <w:rsid w:val="16822B68"/>
    <w:rsid w:val="16A8729C"/>
    <w:rsid w:val="16AC43D0"/>
    <w:rsid w:val="16B33193"/>
    <w:rsid w:val="16B33777"/>
    <w:rsid w:val="16B8356E"/>
    <w:rsid w:val="16BC70A7"/>
    <w:rsid w:val="16C6339E"/>
    <w:rsid w:val="17125209"/>
    <w:rsid w:val="172C16AC"/>
    <w:rsid w:val="172F2D79"/>
    <w:rsid w:val="17557BEF"/>
    <w:rsid w:val="179C00EE"/>
    <w:rsid w:val="17C0399D"/>
    <w:rsid w:val="17D349C1"/>
    <w:rsid w:val="17EA5838"/>
    <w:rsid w:val="1830729E"/>
    <w:rsid w:val="1870062C"/>
    <w:rsid w:val="18817102"/>
    <w:rsid w:val="18830A15"/>
    <w:rsid w:val="18852B28"/>
    <w:rsid w:val="188B5321"/>
    <w:rsid w:val="18D55226"/>
    <w:rsid w:val="19664E42"/>
    <w:rsid w:val="19786FBD"/>
    <w:rsid w:val="19932372"/>
    <w:rsid w:val="19A20DD5"/>
    <w:rsid w:val="19AE03F1"/>
    <w:rsid w:val="19B032DD"/>
    <w:rsid w:val="19B33B02"/>
    <w:rsid w:val="19B962C2"/>
    <w:rsid w:val="19C80964"/>
    <w:rsid w:val="19CA4296"/>
    <w:rsid w:val="19DA04BD"/>
    <w:rsid w:val="19EB547F"/>
    <w:rsid w:val="1A071A03"/>
    <w:rsid w:val="1A0B04A0"/>
    <w:rsid w:val="1A1F16AE"/>
    <w:rsid w:val="1A3B5C77"/>
    <w:rsid w:val="1A4735B7"/>
    <w:rsid w:val="1A5B175B"/>
    <w:rsid w:val="1A984BAD"/>
    <w:rsid w:val="1AB8220E"/>
    <w:rsid w:val="1ADE66E9"/>
    <w:rsid w:val="1AE4166C"/>
    <w:rsid w:val="1AE85900"/>
    <w:rsid w:val="1AE86A6B"/>
    <w:rsid w:val="1AF06CFB"/>
    <w:rsid w:val="1AF11B8D"/>
    <w:rsid w:val="1B11359C"/>
    <w:rsid w:val="1B2A271F"/>
    <w:rsid w:val="1B4F3BF6"/>
    <w:rsid w:val="1B530544"/>
    <w:rsid w:val="1B5643DD"/>
    <w:rsid w:val="1B713184"/>
    <w:rsid w:val="1BA209CF"/>
    <w:rsid w:val="1BB4777D"/>
    <w:rsid w:val="1BD75AB8"/>
    <w:rsid w:val="1C0459C2"/>
    <w:rsid w:val="1C0B5645"/>
    <w:rsid w:val="1C1B3B4A"/>
    <w:rsid w:val="1C831A57"/>
    <w:rsid w:val="1C88086E"/>
    <w:rsid w:val="1C8C6AE3"/>
    <w:rsid w:val="1CD86393"/>
    <w:rsid w:val="1D266CE1"/>
    <w:rsid w:val="1D3963AF"/>
    <w:rsid w:val="1D602818"/>
    <w:rsid w:val="1D632D08"/>
    <w:rsid w:val="1D660E3D"/>
    <w:rsid w:val="1D6A673C"/>
    <w:rsid w:val="1D9247AE"/>
    <w:rsid w:val="1DB567EC"/>
    <w:rsid w:val="1DCA7323"/>
    <w:rsid w:val="1DD003DE"/>
    <w:rsid w:val="1DF51A98"/>
    <w:rsid w:val="1E37603B"/>
    <w:rsid w:val="1E3D060F"/>
    <w:rsid w:val="1E3F7D2E"/>
    <w:rsid w:val="1E4134E4"/>
    <w:rsid w:val="1E5062B3"/>
    <w:rsid w:val="1E523514"/>
    <w:rsid w:val="1E714A66"/>
    <w:rsid w:val="1E802593"/>
    <w:rsid w:val="1EA703CC"/>
    <w:rsid w:val="1EAF519E"/>
    <w:rsid w:val="1EB202A6"/>
    <w:rsid w:val="1EB7330C"/>
    <w:rsid w:val="1F0A0FF3"/>
    <w:rsid w:val="1F0A2BD4"/>
    <w:rsid w:val="1F2B5C6B"/>
    <w:rsid w:val="1F3604A1"/>
    <w:rsid w:val="1F3A5DE3"/>
    <w:rsid w:val="1F5771FF"/>
    <w:rsid w:val="1F6952A2"/>
    <w:rsid w:val="1F772AAB"/>
    <w:rsid w:val="1F8D6985"/>
    <w:rsid w:val="1F944136"/>
    <w:rsid w:val="1F986864"/>
    <w:rsid w:val="1FAA2EE2"/>
    <w:rsid w:val="1FAC5F93"/>
    <w:rsid w:val="1FAF184C"/>
    <w:rsid w:val="1FB160A1"/>
    <w:rsid w:val="1FC94A03"/>
    <w:rsid w:val="1FE868A9"/>
    <w:rsid w:val="20034907"/>
    <w:rsid w:val="20173E4B"/>
    <w:rsid w:val="204E48BC"/>
    <w:rsid w:val="207C5953"/>
    <w:rsid w:val="208921B3"/>
    <w:rsid w:val="20973DEB"/>
    <w:rsid w:val="209844B3"/>
    <w:rsid w:val="20A16773"/>
    <w:rsid w:val="20A24439"/>
    <w:rsid w:val="20B26522"/>
    <w:rsid w:val="20B44310"/>
    <w:rsid w:val="210229B5"/>
    <w:rsid w:val="21030097"/>
    <w:rsid w:val="210D7DE1"/>
    <w:rsid w:val="211116EB"/>
    <w:rsid w:val="211C715B"/>
    <w:rsid w:val="215356BC"/>
    <w:rsid w:val="216133FC"/>
    <w:rsid w:val="2167460E"/>
    <w:rsid w:val="21746EB6"/>
    <w:rsid w:val="21924C9A"/>
    <w:rsid w:val="21A5330F"/>
    <w:rsid w:val="21B87027"/>
    <w:rsid w:val="21D56769"/>
    <w:rsid w:val="21E52EF3"/>
    <w:rsid w:val="21E855F1"/>
    <w:rsid w:val="21FB5D7B"/>
    <w:rsid w:val="220601CB"/>
    <w:rsid w:val="220B1C3D"/>
    <w:rsid w:val="221B77D7"/>
    <w:rsid w:val="221D1D20"/>
    <w:rsid w:val="22334A87"/>
    <w:rsid w:val="224A1D93"/>
    <w:rsid w:val="22565A1B"/>
    <w:rsid w:val="229A5E96"/>
    <w:rsid w:val="22BE6801"/>
    <w:rsid w:val="22D503AD"/>
    <w:rsid w:val="22E1605C"/>
    <w:rsid w:val="22E51E1F"/>
    <w:rsid w:val="233500BF"/>
    <w:rsid w:val="23377FF7"/>
    <w:rsid w:val="235B7AB5"/>
    <w:rsid w:val="236B425F"/>
    <w:rsid w:val="23836192"/>
    <w:rsid w:val="23901F29"/>
    <w:rsid w:val="239C0061"/>
    <w:rsid w:val="23B20BDF"/>
    <w:rsid w:val="23B908A4"/>
    <w:rsid w:val="23BA47E3"/>
    <w:rsid w:val="23D909ED"/>
    <w:rsid w:val="23D97ECF"/>
    <w:rsid w:val="23E95BEF"/>
    <w:rsid w:val="23FD0064"/>
    <w:rsid w:val="23FD24E3"/>
    <w:rsid w:val="23FD6057"/>
    <w:rsid w:val="240E37A9"/>
    <w:rsid w:val="245375B0"/>
    <w:rsid w:val="24642C0A"/>
    <w:rsid w:val="246F32AE"/>
    <w:rsid w:val="24B22173"/>
    <w:rsid w:val="24B95AD9"/>
    <w:rsid w:val="24BE24DA"/>
    <w:rsid w:val="24CF5825"/>
    <w:rsid w:val="24D663E6"/>
    <w:rsid w:val="24D77F2B"/>
    <w:rsid w:val="24DB1E16"/>
    <w:rsid w:val="25415818"/>
    <w:rsid w:val="258B00E2"/>
    <w:rsid w:val="25A917A6"/>
    <w:rsid w:val="25BE27CC"/>
    <w:rsid w:val="25C26B32"/>
    <w:rsid w:val="25C920A9"/>
    <w:rsid w:val="25F435D2"/>
    <w:rsid w:val="25F74A5C"/>
    <w:rsid w:val="25FC794E"/>
    <w:rsid w:val="2609679C"/>
    <w:rsid w:val="261C7718"/>
    <w:rsid w:val="26213859"/>
    <w:rsid w:val="2628662C"/>
    <w:rsid w:val="262D45DE"/>
    <w:rsid w:val="263B60F2"/>
    <w:rsid w:val="26421B0D"/>
    <w:rsid w:val="264749C3"/>
    <w:rsid w:val="26747CA0"/>
    <w:rsid w:val="26871DAD"/>
    <w:rsid w:val="26A53EF9"/>
    <w:rsid w:val="26A94201"/>
    <w:rsid w:val="26AC274F"/>
    <w:rsid w:val="26B67F49"/>
    <w:rsid w:val="26F54CD0"/>
    <w:rsid w:val="27044A29"/>
    <w:rsid w:val="27070A20"/>
    <w:rsid w:val="271816CB"/>
    <w:rsid w:val="271D34C8"/>
    <w:rsid w:val="272116A0"/>
    <w:rsid w:val="27466D3F"/>
    <w:rsid w:val="27476D19"/>
    <w:rsid w:val="276142BF"/>
    <w:rsid w:val="27783712"/>
    <w:rsid w:val="27907362"/>
    <w:rsid w:val="27A100BC"/>
    <w:rsid w:val="27C44DE4"/>
    <w:rsid w:val="28333E1D"/>
    <w:rsid w:val="28454BD6"/>
    <w:rsid w:val="28455253"/>
    <w:rsid w:val="284E3D85"/>
    <w:rsid w:val="28551971"/>
    <w:rsid w:val="285B1C53"/>
    <w:rsid w:val="289F7086"/>
    <w:rsid w:val="28A31469"/>
    <w:rsid w:val="28AD0616"/>
    <w:rsid w:val="28AD3ACA"/>
    <w:rsid w:val="28B523C7"/>
    <w:rsid w:val="28C32028"/>
    <w:rsid w:val="28CC490F"/>
    <w:rsid w:val="28DE40AA"/>
    <w:rsid w:val="28F45EEB"/>
    <w:rsid w:val="29345E77"/>
    <w:rsid w:val="294C65AD"/>
    <w:rsid w:val="294F28E5"/>
    <w:rsid w:val="29631B1C"/>
    <w:rsid w:val="29806583"/>
    <w:rsid w:val="298505A2"/>
    <w:rsid w:val="298B3C4C"/>
    <w:rsid w:val="29AB289B"/>
    <w:rsid w:val="29D67219"/>
    <w:rsid w:val="29F26D24"/>
    <w:rsid w:val="2A15033F"/>
    <w:rsid w:val="2A1662C1"/>
    <w:rsid w:val="2A1C7367"/>
    <w:rsid w:val="2A1F5C2B"/>
    <w:rsid w:val="2A2815FA"/>
    <w:rsid w:val="2A5610E8"/>
    <w:rsid w:val="2A6D6092"/>
    <w:rsid w:val="2A7D76B4"/>
    <w:rsid w:val="2ACB77CC"/>
    <w:rsid w:val="2AD43590"/>
    <w:rsid w:val="2AE92DF1"/>
    <w:rsid w:val="2B153579"/>
    <w:rsid w:val="2B261369"/>
    <w:rsid w:val="2B3D6025"/>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E82D6F"/>
    <w:rsid w:val="2D1F486A"/>
    <w:rsid w:val="2D343236"/>
    <w:rsid w:val="2D503077"/>
    <w:rsid w:val="2D606C7D"/>
    <w:rsid w:val="2D97550D"/>
    <w:rsid w:val="2DD15014"/>
    <w:rsid w:val="2DE85F18"/>
    <w:rsid w:val="2DF72DE4"/>
    <w:rsid w:val="2E0220AF"/>
    <w:rsid w:val="2E372A37"/>
    <w:rsid w:val="2E3D769E"/>
    <w:rsid w:val="2E4525DD"/>
    <w:rsid w:val="2E4B082A"/>
    <w:rsid w:val="2E5D4E86"/>
    <w:rsid w:val="2E5D790B"/>
    <w:rsid w:val="2E9A3C18"/>
    <w:rsid w:val="2EA34E26"/>
    <w:rsid w:val="2EB50842"/>
    <w:rsid w:val="2EBB0FEE"/>
    <w:rsid w:val="2EC63002"/>
    <w:rsid w:val="2ECD0C29"/>
    <w:rsid w:val="2EE03233"/>
    <w:rsid w:val="2EF44200"/>
    <w:rsid w:val="2F0A6B38"/>
    <w:rsid w:val="2F794269"/>
    <w:rsid w:val="2F946CCB"/>
    <w:rsid w:val="2FD25781"/>
    <w:rsid w:val="2FFD7934"/>
    <w:rsid w:val="2FFE2851"/>
    <w:rsid w:val="300967B6"/>
    <w:rsid w:val="301F0C84"/>
    <w:rsid w:val="303E6135"/>
    <w:rsid w:val="305A5877"/>
    <w:rsid w:val="30695D8C"/>
    <w:rsid w:val="30733ACD"/>
    <w:rsid w:val="308C3862"/>
    <w:rsid w:val="309379D8"/>
    <w:rsid w:val="30A270F7"/>
    <w:rsid w:val="30DF1478"/>
    <w:rsid w:val="30EB428D"/>
    <w:rsid w:val="30EC586F"/>
    <w:rsid w:val="31133490"/>
    <w:rsid w:val="31360D5D"/>
    <w:rsid w:val="3146752E"/>
    <w:rsid w:val="315471D8"/>
    <w:rsid w:val="317362BD"/>
    <w:rsid w:val="319C6071"/>
    <w:rsid w:val="31AB5907"/>
    <w:rsid w:val="31AC3820"/>
    <w:rsid w:val="31AC537E"/>
    <w:rsid w:val="31C111F3"/>
    <w:rsid w:val="31D10829"/>
    <w:rsid w:val="31E3679B"/>
    <w:rsid w:val="31E732FD"/>
    <w:rsid w:val="31E921A3"/>
    <w:rsid w:val="31FA3F13"/>
    <w:rsid w:val="32195D2C"/>
    <w:rsid w:val="323104BD"/>
    <w:rsid w:val="324B643A"/>
    <w:rsid w:val="32517576"/>
    <w:rsid w:val="328D434A"/>
    <w:rsid w:val="32B36180"/>
    <w:rsid w:val="32BE5C2C"/>
    <w:rsid w:val="32FB6478"/>
    <w:rsid w:val="332054B8"/>
    <w:rsid w:val="33263B3F"/>
    <w:rsid w:val="333C29C6"/>
    <w:rsid w:val="335A2AA0"/>
    <w:rsid w:val="336963EB"/>
    <w:rsid w:val="33816EEB"/>
    <w:rsid w:val="339A5965"/>
    <w:rsid w:val="33AC51E6"/>
    <w:rsid w:val="33BE302F"/>
    <w:rsid w:val="33E06F7D"/>
    <w:rsid w:val="33EB55CD"/>
    <w:rsid w:val="33EC4C02"/>
    <w:rsid w:val="340D2360"/>
    <w:rsid w:val="3410665D"/>
    <w:rsid w:val="34211214"/>
    <w:rsid w:val="342E63AB"/>
    <w:rsid w:val="343B6F1E"/>
    <w:rsid w:val="34401C96"/>
    <w:rsid w:val="344D14A1"/>
    <w:rsid w:val="34950E68"/>
    <w:rsid w:val="34986E94"/>
    <w:rsid w:val="34A727F1"/>
    <w:rsid w:val="34AF62C9"/>
    <w:rsid w:val="34CB4388"/>
    <w:rsid w:val="34E04C25"/>
    <w:rsid w:val="34EF3AF5"/>
    <w:rsid w:val="34FA6E12"/>
    <w:rsid w:val="35177D3B"/>
    <w:rsid w:val="357A2F85"/>
    <w:rsid w:val="358C308A"/>
    <w:rsid w:val="358D558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B224F9"/>
    <w:rsid w:val="36EC0CC9"/>
    <w:rsid w:val="3700605B"/>
    <w:rsid w:val="371976E1"/>
    <w:rsid w:val="371E6696"/>
    <w:rsid w:val="373F410B"/>
    <w:rsid w:val="378E2AF3"/>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C973DF"/>
    <w:rsid w:val="38D87D1C"/>
    <w:rsid w:val="38FA6453"/>
    <w:rsid w:val="394E6C03"/>
    <w:rsid w:val="39636459"/>
    <w:rsid w:val="396B7F6C"/>
    <w:rsid w:val="397D5571"/>
    <w:rsid w:val="39B417A9"/>
    <w:rsid w:val="39FC5695"/>
    <w:rsid w:val="3A006D8E"/>
    <w:rsid w:val="3A3651E5"/>
    <w:rsid w:val="3A3A63BC"/>
    <w:rsid w:val="3A55036D"/>
    <w:rsid w:val="3A56271C"/>
    <w:rsid w:val="3A744481"/>
    <w:rsid w:val="3A8C7BEF"/>
    <w:rsid w:val="3A906246"/>
    <w:rsid w:val="3ACB3A3F"/>
    <w:rsid w:val="3AE94234"/>
    <w:rsid w:val="3B00217F"/>
    <w:rsid w:val="3B046D3A"/>
    <w:rsid w:val="3B2349B7"/>
    <w:rsid w:val="3B616CFF"/>
    <w:rsid w:val="3B6259F6"/>
    <w:rsid w:val="3B6B6A15"/>
    <w:rsid w:val="3B720250"/>
    <w:rsid w:val="3B870D7E"/>
    <w:rsid w:val="3B8F24B5"/>
    <w:rsid w:val="3B976654"/>
    <w:rsid w:val="3BA90120"/>
    <w:rsid w:val="3BC01EFC"/>
    <w:rsid w:val="3BCA786A"/>
    <w:rsid w:val="3BCE2065"/>
    <w:rsid w:val="3BD31E2F"/>
    <w:rsid w:val="3BF15831"/>
    <w:rsid w:val="3C014684"/>
    <w:rsid w:val="3C105946"/>
    <w:rsid w:val="3C297A7F"/>
    <w:rsid w:val="3C34279E"/>
    <w:rsid w:val="3C471448"/>
    <w:rsid w:val="3C5850B9"/>
    <w:rsid w:val="3C5F759A"/>
    <w:rsid w:val="3C6C525A"/>
    <w:rsid w:val="3C7637CB"/>
    <w:rsid w:val="3C8F3836"/>
    <w:rsid w:val="3CA86DA1"/>
    <w:rsid w:val="3CB678A5"/>
    <w:rsid w:val="3CCC214C"/>
    <w:rsid w:val="3CCE23CB"/>
    <w:rsid w:val="3CD17D17"/>
    <w:rsid w:val="3D0512A8"/>
    <w:rsid w:val="3D2739F3"/>
    <w:rsid w:val="3D330CF2"/>
    <w:rsid w:val="3D3C7F39"/>
    <w:rsid w:val="3D440F09"/>
    <w:rsid w:val="3D4504A0"/>
    <w:rsid w:val="3D8734BB"/>
    <w:rsid w:val="3D9A11D4"/>
    <w:rsid w:val="3DA16D89"/>
    <w:rsid w:val="3DA364BE"/>
    <w:rsid w:val="3DB42C81"/>
    <w:rsid w:val="3DD5344F"/>
    <w:rsid w:val="3DE041CB"/>
    <w:rsid w:val="3E0D48F6"/>
    <w:rsid w:val="3E1868B4"/>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6363FE"/>
    <w:rsid w:val="3F756B8F"/>
    <w:rsid w:val="3F95482B"/>
    <w:rsid w:val="3FFD7116"/>
    <w:rsid w:val="4019356B"/>
    <w:rsid w:val="40592157"/>
    <w:rsid w:val="405D5DAD"/>
    <w:rsid w:val="406D3E12"/>
    <w:rsid w:val="406E1CAE"/>
    <w:rsid w:val="40A0133A"/>
    <w:rsid w:val="40BC08F6"/>
    <w:rsid w:val="40C31A53"/>
    <w:rsid w:val="40E750BB"/>
    <w:rsid w:val="40E83499"/>
    <w:rsid w:val="40F60E6D"/>
    <w:rsid w:val="40FF545D"/>
    <w:rsid w:val="410067C8"/>
    <w:rsid w:val="411F7437"/>
    <w:rsid w:val="41284F74"/>
    <w:rsid w:val="4137139D"/>
    <w:rsid w:val="414E562C"/>
    <w:rsid w:val="418F0D2A"/>
    <w:rsid w:val="41B810BD"/>
    <w:rsid w:val="41C007E7"/>
    <w:rsid w:val="41D01505"/>
    <w:rsid w:val="41D4362A"/>
    <w:rsid w:val="41E262A1"/>
    <w:rsid w:val="42095F6E"/>
    <w:rsid w:val="424172D1"/>
    <w:rsid w:val="42474939"/>
    <w:rsid w:val="424C3C57"/>
    <w:rsid w:val="42613FF3"/>
    <w:rsid w:val="42660D96"/>
    <w:rsid w:val="428667D2"/>
    <w:rsid w:val="42891389"/>
    <w:rsid w:val="42920521"/>
    <w:rsid w:val="42975168"/>
    <w:rsid w:val="42A12863"/>
    <w:rsid w:val="42CD1CE0"/>
    <w:rsid w:val="42E1381E"/>
    <w:rsid w:val="42E92C15"/>
    <w:rsid w:val="42ED6459"/>
    <w:rsid w:val="42FE58DD"/>
    <w:rsid w:val="43174B3D"/>
    <w:rsid w:val="43241E51"/>
    <w:rsid w:val="434B790E"/>
    <w:rsid w:val="4360274F"/>
    <w:rsid w:val="43977AB6"/>
    <w:rsid w:val="43A3342B"/>
    <w:rsid w:val="43AE3A19"/>
    <w:rsid w:val="43C77C27"/>
    <w:rsid w:val="43DE09EE"/>
    <w:rsid w:val="44002FAD"/>
    <w:rsid w:val="44781916"/>
    <w:rsid w:val="449101DD"/>
    <w:rsid w:val="44AD0582"/>
    <w:rsid w:val="44B800F6"/>
    <w:rsid w:val="44DB5F60"/>
    <w:rsid w:val="44DE1391"/>
    <w:rsid w:val="44F240E3"/>
    <w:rsid w:val="451B225C"/>
    <w:rsid w:val="451F3201"/>
    <w:rsid w:val="452410C9"/>
    <w:rsid w:val="45301009"/>
    <w:rsid w:val="45317DFB"/>
    <w:rsid w:val="45436274"/>
    <w:rsid w:val="456D3CE4"/>
    <w:rsid w:val="4579042C"/>
    <w:rsid w:val="457F0571"/>
    <w:rsid w:val="45851176"/>
    <w:rsid w:val="45C63B94"/>
    <w:rsid w:val="45D249E5"/>
    <w:rsid w:val="45F538A0"/>
    <w:rsid w:val="45FB4B4A"/>
    <w:rsid w:val="460E7DA5"/>
    <w:rsid w:val="463257DE"/>
    <w:rsid w:val="46422483"/>
    <w:rsid w:val="464500CB"/>
    <w:rsid w:val="464E5D17"/>
    <w:rsid w:val="4659254A"/>
    <w:rsid w:val="465B0637"/>
    <w:rsid w:val="465E3F0D"/>
    <w:rsid w:val="466A16E6"/>
    <w:rsid w:val="46893F2B"/>
    <w:rsid w:val="469162BF"/>
    <w:rsid w:val="469D4D26"/>
    <w:rsid w:val="46BA4EE4"/>
    <w:rsid w:val="46C4686E"/>
    <w:rsid w:val="46E75F49"/>
    <w:rsid w:val="46EB42AF"/>
    <w:rsid w:val="46F21269"/>
    <w:rsid w:val="473723B0"/>
    <w:rsid w:val="477B778F"/>
    <w:rsid w:val="478203EC"/>
    <w:rsid w:val="47B025FA"/>
    <w:rsid w:val="47C73432"/>
    <w:rsid w:val="47D96F7B"/>
    <w:rsid w:val="4809698F"/>
    <w:rsid w:val="4811697D"/>
    <w:rsid w:val="483861E7"/>
    <w:rsid w:val="48733940"/>
    <w:rsid w:val="487A3E25"/>
    <w:rsid w:val="488B5503"/>
    <w:rsid w:val="48937E21"/>
    <w:rsid w:val="489A0361"/>
    <w:rsid w:val="48B94FF3"/>
    <w:rsid w:val="48E37AAB"/>
    <w:rsid w:val="48FD4B4C"/>
    <w:rsid w:val="490A68E0"/>
    <w:rsid w:val="491055FE"/>
    <w:rsid w:val="493F5242"/>
    <w:rsid w:val="495F5B3E"/>
    <w:rsid w:val="496F77D7"/>
    <w:rsid w:val="497654FD"/>
    <w:rsid w:val="499C4B8B"/>
    <w:rsid w:val="49B64211"/>
    <w:rsid w:val="49F6167F"/>
    <w:rsid w:val="4A064FA0"/>
    <w:rsid w:val="4A16615C"/>
    <w:rsid w:val="4A3F0A96"/>
    <w:rsid w:val="4A4424D7"/>
    <w:rsid w:val="4A571ACA"/>
    <w:rsid w:val="4A88443C"/>
    <w:rsid w:val="4AAA236F"/>
    <w:rsid w:val="4AB77EE6"/>
    <w:rsid w:val="4AB82D0F"/>
    <w:rsid w:val="4ACE314F"/>
    <w:rsid w:val="4AEB7664"/>
    <w:rsid w:val="4AFD7C19"/>
    <w:rsid w:val="4B0567D1"/>
    <w:rsid w:val="4B236AAE"/>
    <w:rsid w:val="4B2379D7"/>
    <w:rsid w:val="4B4136B7"/>
    <w:rsid w:val="4B456459"/>
    <w:rsid w:val="4B5C6BE0"/>
    <w:rsid w:val="4B707271"/>
    <w:rsid w:val="4B721531"/>
    <w:rsid w:val="4B7F2FBD"/>
    <w:rsid w:val="4B9739F7"/>
    <w:rsid w:val="4BB92D0D"/>
    <w:rsid w:val="4BEE2503"/>
    <w:rsid w:val="4C143962"/>
    <w:rsid w:val="4C245A30"/>
    <w:rsid w:val="4C5155B1"/>
    <w:rsid w:val="4C964049"/>
    <w:rsid w:val="4CB6685F"/>
    <w:rsid w:val="4CC367FE"/>
    <w:rsid w:val="4D077F3C"/>
    <w:rsid w:val="4D123355"/>
    <w:rsid w:val="4D2A3B31"/>
    <w:rsid w:val="4D312C52"/>
    <w:rsid w:val="4D363554"/>
    <w:rsid w:val="4D5B5336"/>
    <w:rsid w:val="4D8F41D8"/>
    <w:rsid w:val="4D905305"/>
    <w:rsid w:val="4D964A72"/>
    <w:rsid w:val="4D9C1254"/>
    <w:rsid w:val="4DC05646"/>
    <w:rsid w:val="4DE54634"/>
    <w:rsid w:val="4DE566F3"/>
    <w:rsid w:val="4DF706F9"/>
    <w:rsid w:val="4E6C5709"/>
    <w:rsid w:val="4E72304A"/>
    <w:rsid w:val="4E793892"/>
    <w:rsid w:val="4E800872"/>
    <w:rsid w:val="4E94015D"/>
    <w:rsid w:val="4EB370CB"/>
    <w:rsid w:val="4EC569ED"/>
    <w:rsid w:val="4ED50EA1"/>
    <w:rsid w:val="4EEC050C"/>
    <w:rsid w:val="4F104EC3"/>
    <w:rsid w:val="4F376B26"/>
    <w:rsid w:val="4F47354A"/>
    <w:rsid w:val="4F53295B"/>
    <w:rsid w:val="4F8B7ADC"/>
    <w:rsid w:val="4F911C54"/>
    <w:rsid w:val="4FE625E0"/>
    <w:rsid w:val="50037267"/>
    <w:rsid w:val="501B67F5"/>
    <w:rsid w:val="501C4F0D"/>
    <w:rsid w:val="5021480F"/>
    <w:rsid w:val="50962ECB"/>
    <w:rsid w:val="50A02C9E"/>
    <w:rsid w:val="50A42E38"/>
    <w:rsid w:val="50A4577F"/>
    <w:rsid w:val="50B73D1F"/>
    <w:rsid w:val="50BD5BC9"/>
    <w:rsid w:val="50C11EEE"/>
    <w:rsid w:val="50C866AA"/>
    <w:rsid w:val="50CB47D7"/>
    <w:rsid w:val="50D66C31"/>
    <w:rsid w:val="50E2040B"/>
    <w:rsid w:val="50E97CFC"/>
    <w:rsid w:val="50FA4028"/>
    <w:rsid w:val="510D65B7"/>
    <w:rsid w:val="511157AB"/>
    <w:rsid w:val="511C66F4"/>
    <w:rsid w:val="51333D03"/>
    <w:rsid w:val="513407BB"/>
    <w:rsid w:val="5142540C"/>
    <w:rsid w:val="515413CF"/>
    <w:rsid w:val="518832C8"/>
    <w:rsid w:val="519D31E6"/>
    <w:rsid w:val="51A0432A"/>
    <w:rsid w:val="51A86090"/>
    <w:rsid w:val="51B7396D"/>
    <w:rsid w:val="51B7477A"/>
    <w:rsid w:val="52170CBE"/>
    <w:rsid w:val="5220355B"/>
    <w:rsid w:val="522E4CC3"/>
    <w:rsid w:val="5244713B"/>
    <w:rsid w:val="52615633"/>
    <w:rsid w:val="52977FD4"/>
    <w:rsid w:val="52A25790"/>
    <w:rsid w:val="52A96B6F"/>
    <w:rsid w:val="52B21DD4"/>
    <w:rsid w:val="52B45975"/>
    <w:rsid w:val="52D94AA4"/>
    <w:rsid w:val="52EA3A62"/>
    <w:rsid w:val="52EA4E4F"/>
    <w:rsid w:val="52F50BB8"/>
    <w:rsid w:val="52FA12FF"/>
    <w:rsid w:val="53097272"/>
    <w:rsid w:val="53544462"/>
    <w:rsid w:val="53801D8B"/>
    <w:rsid w:val="539262C5"/>
    <w:rsid w:val="5397158E"/>
    <w:rsid w:val="53A416DB"/>
    <w:rsid w:val="54013861"/>
    <w:rsid w:val="542515A2"/>
    <w:rsid w:val="54487265"/>
    <w:rsid w:val="544D6070"/>
    <w:rsid w:val="54605E1E"/>
    <w:rsid w:val="5473672B"/>
    <w:rsid w:val="548643F7"/>
    <w:rsid w:val="54B3506A"/>
    <w:rsid w:val="54CA0D16"/>
    <w:rsid w:val="54D20290"/>
    <w:rsid w:val="54DD4057"/>
    <w:rsid w:val="54E7490F"/>
    <w:rsid w:val="550377CD"/>
    <w:rsid w:val="550764A4"/>
    <w:rsid w:val="550B2BF6"/>
    <w:rsid w:val="550F3998"/>
    <w:rsid w:val="55214EB5"/>
    <w:rsid w:val="552C0CBC"/>
    <w:rsid w:val="55342E96"/>
    <w:rsid w:val="55354CFB"/>
    <w:rsid w:val="55364EFD"/>
    <w:rsid w:val="555D4828"/>
    <w:rsid w:val="556059CD"/>
    <w:rsid w:val="5562483A"/>
    <w:rsid w:val="55653950"/>
    <w:rsid w:val="557645ED"/>
    <w:rsid w:val="557A4C8B"/>
    <w:rsid w:val="558931E1"/>
    <w:rsid w:val="55923347"/>
    <w:rsid w:val="55925180"/>
    <w:rsid w:val="55983B1B"/>
    <w:rsid w:val="55A014EF"/>
    <w:rsid w:val="55A8376B"/>
    <w:rsid w:val="55DC29B6"/>
    <w:rsid w:val="55DD4241"/>
    <w:rsid w:val="55F25755"/>
    <w:rsid w:val="5618423F"/>
    <w:rsid w:val="562404F8"/>
    <w:rsid w:val="566B6D1E"/>
    <w:rsid w:val="56796849"/>
    <w:rsid w:val="567D7CFD"/>
    <w:rsid w:val="56A60C14"/>
    <w:rsid w:val="56BC2FA6"/>
    <w:rsid w:val="56E31D66"/>
    <w:rsid w:val="56EE1A85"/>
    <w:rsid w:val="57032A2C"/>
    <w:rsid w:val="570F5219"/>
    <w:rsid w:val="57150236"/>
    <w:rsid w:val="571F7486"/>
    <w:rsid w:val="5741255F"/>
    <w:rsid w:val="575D12B5"/>
    <w:rsid w:val="57610A87"/>
    <w:rsid w:val="577B1140"/>
    <w:rsid w:val="577B7F21"/>
    <w:rsid w:val="577F181B"/>
    <w:rsid w:val="57921984"/>
    <w:rsid w:val="579737F0"/>
    <w:rsid w:val="57AB7B30"/>
    <w:rsid w:val="57AF5251"/>
    <w:rsid w:val="57B01489"/>
    <w:rsid w:val="57B26373"/>
    <w:rsid w:val="57B63F04"/>
    <w:rsid w:val="57CD20C2"/>
    <w:rsid w:val="57D03845"/>
    <w:rsid w:val="57D573DB"/>
    <w:rsid w:val="57D675AB"/>
    <w:rsid w:val="57D95FDD"/>
    <w:rsid w:val="57E5652D"/>
    <w:rsid w:val="57EC54BC"/>
    <w:rsid w:val="57F85B5E"/>
    <w:rsid w:val="585B44F2"/>
    <w:rsid w:val="58917D2F"/>
    <w:rsid w:val="5894085C"/>
    <w:rsid w:val="589648E3"/>
    <w:rsid w:val="58AE4F0C"/>
    <w:rsid w:val="58B85899"/>
    <w:rsid w:val="58C36E39"/>
    <w:rsid w:val="58C90A05"/>
    <w:rsid w:val="58D43660"/>
    <w:rsid w:val="58E363A9"/>
    <w:rsid w:val="59226049"/>
    <w:rsid w:val="59254A57"/>
    <w:rsid w:val="592E25D7"/>
    <w:rsid w:val="595E1678"/>
    <w:rsid w:val="596D5BD4"/>
    <w:rsid w:val="597C5567"/>
    <w:rsid w:val="597E0ADA"/>
    <w:rsid w:val="597E3DD8"/>
    <w:rsid w:val="59C141BA"/>
    <w:rsid w:val="59C52C01"/>
    <w:rsid w:val="59DC694C"/>
    <w:rsid w:val="59EB2389"/>
    <w:rsid w:val="59F80043"/>
    <w:rsid w:val="5A09252F"/>
    <w:rsid w:val="5A0B2778"/>
    <w:rsid w:val="5A2A7C7B"/>
    <w:rsid w:val="5A3E2560"/>
    <w:rsid w:val="5A5D3B6E"/>
    <w:rsid w:val="5A637A76"/>
    <w:rsid w:val="5A6A482A"/>
    <w:rsid w:val="5A6D33BA"/>
    <w:rsid w:val="5A792B1F"/>
    <w:rsid w:val="5A81078E"/>
    <w:rsid w:val="5A874767"/>
    <w:rsid w:val="5AAD6F28"/>
    <w:rsid w:val="5AD10710"/>
    <w:rsid w:val="5AD63A24"/>
    <w:rsid w:val="5B007626"/>
    <w:rsid w:val="5B070568"/>
    <w:rsid w:val="5B2E1A1D"/>
    <w:rsid w:val="5B843A1C"/>
    <w:rsid w:val="5B873E3F"/>
    <w:rsid w:val="5B9E500B"/>
    <w:rsid w:val="5BD164BB"/>
    <w:rsid w:val="5BD445A4"/>
    <w:rsid w:val="5C02690E"/>
    <w:rsid w:val="5C196DA7"/>
    <w:rsid w:val="5C220A3A"/>
    <w:rsid w:val="5C2603CB"/>
    <w:rsid w:val="5C2A048C"/>
    <w:rsid w:val="5C677E17"/>
    <w:rsid w:val="5C6C4CCA"/>
    <w:rsid w:val="5C6E0D96"/>
    <w:rsid w:val="5C80234E"/>
    <w:rsid w:val="5C8A680C"/>
    <w:rsid w:val="5CA55DCD"/>
    <w:rsid w:val="5D0C4701"/>
    <w:rsid w:val="5D0F0395"/>
    <w:rsid w:val="5D221076"/>
    <w:rsid w:val="5D397964"/>
    <w:rsid w:val="5D491257"/>
    <w:rsid w:val="5D5A391C"/>
    <w:rsid w:val="5D5A4321"/>
    <w:rsid w:val="5D5F10C0"/>
    <w:rsid w:val="5D891B7B"/>
    <w:rsid w:val="5D8B7162"/>
    <w:rsid w:val="5DA94ECA"/>
    <w:rsid w:val="5DAD38EE"/>
    <w:rsid w:val="5E006862"/>
    <w:rsid w:val="5E0207B9"/>
    <w:rsid w:val="5E13292D"/>
    <w:rsid w:val="5E1834A1"/>
    <w:rsid w:val="5E1E4087"/>
    <w:rsid w:val="5E261785"/>
    <w:rsid w:val="5E4A7017"/>
    <w:rsid w:val="5E552BBA"/>
    <w:rsid w:val="5E611C10"/>
    <w:rsid w:val="5E87356C"/>
    <w:rsid w:val="5EFC7377"/>
    <w:rsid w:val="5F040D40"/>
    <w:rsid w:val="5F06174D"/>
    <w:rsid w:val="5F071B9D"/>
    <w:rsid w:val="5F13300F"/>
    <w:rsid w:val="5F13CAE5"/>
    <w:rsid w:val="5F1C5A05"/>
    <w:rsid w:val="5F3A3602"/>
    <w:rsid w:val="5F57701B"/>
    <w:rsid w:val="5F6277C6"/>
    <w:rsid w:val="5F660ABA"/>
    <w:rsid w:val="5F6D0B1D"/>
    <w:rsid w:val="5F8D0B82"/>
    <w:rsid w:val="5FC3334C"/>
    <w:rsid w:val="5FCC5339"/>
    <w:rsid w:val="5FE078E0"/>
    <w:rsid w:val="5FE34A5B"/>
    <w:rsid w:val="5FFE1E36"/>
    <w:rsid w:val="60232584"/>
    <w:rsid w:val="60326087"/>
    <w:rsid w:val="604C7CC3"/>
    <w:rsid w:val="60576DBD"/>
    <w:rsid w:val="60674F9A"/>
    <w:rsid w:val="607330CE"/>
    <w:rsid w:val="607A419E"/>
    <w:rsid w:val="60825176"/>
    <w:rsid w:val="609F2AC4"/>
    <w:rsid w:val="60B65B72"/>
    <w:rsid w:val="60E03D35"/>
    <w:rsid w:val="60FA2EE8"/>
    <w:rsid w:val="60FE42AA"/>
    <w:rsid w:val="61054A27"/>
    <w:rsid w:val="610A52BC"/>
    <w:rsid w:val="611349E8"/>
    <w:rsid w:val="611D2366"/>
    <w:rsid w:val="61300949"/>
    <w:rsid w:val="61421856"/>
    <w:rsid w:val="614E5DAA"/>
    <w:rsid w:val="615227C4"/>
    <w:rsid w:val="61654E3F"/>
    <w:rsid w:val="617678F3"/>
    <w:rsid w:val="6182292A"/>
    <w:rsid w:val="619117A1"/>
    <w:rsid w:val="61937B14"/>
    <w:rsid w:val="619F7F92"/>
    <w:rsid w:val="61ED1160"/>
    <w:rsid w:val="61F94C26"/>
    <w:rsid w:val="62000E56"/>
    <w:rsid w:val="62227AC4"/>
    <w:rsid w:val="624F3E49"/>
    <w:rsid w:val="62632286"/>
    <w:rsid w:val="62716C4E"/>
    <w:rsid w:val="62851EC8"/>
    <w:rsid w:val="62885958"/>
    <w:rsid w:val="62C84B2A"/>
    <w:rsid w:val="62D83031"/>
    <w:rsid w:val="62F40B65"/>
    <w:rsid w:val="62FC2CFE"/>
    <w:rsid w:val="63024505"/>
    <w:rsid w:val="63133CBC"/>
    <w:rsid w:val="632A7EA5"/>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173FB"/>
    <w:rsid w:val="653C3090"/>
    <w:rsid w:val="65421E67"/>
    <w:rsid w:val="654900FB"/>
    <w:rsid w:val="654B52DC"/>
    <w:rsid w:val="6583677A"/>
    <w:rsid w:val="65854376"/>
    <w:rsid w:val="658767BE"/>
    <w:rsid w:val="65892531"/>
    <w:rsid w:val="65F8345E"/>
    <w:rsid w:val="66195831"/>
    <w:rsid w:val="662E75B1"/>
    <w:rsid w:val="66342C2E"/>
    <w:rsid w:val="663E784C"/>
    <w:rsid w:val="663F6041"/>
    <w:rsid w:val="665B62E7"/>
    <w:rsid w:val="668B6A45"/>
    <w:rsid w:val="669F7E18"/>
    <w:rsid w:val="66B01071"/>
    <w:rsid w:val="66BF7F84"/>
    <w:rsid w:val="66D95049"/>
    <w:rsid w:val="66FD1138"/>
    <w:rsid w:val="67156BBE"/>
    <w:rsid w:val="67272539"/>
    <w:rsid w:val="672F3F24"/>
    <w:rsid w:val="673E055F"/>
    <w:rsid w:val="67551CE3"/>
    <w:rsid w:val="6772060E"/>
    <w:rsid w:val="67A22552"/>
    <w:rsid w:val="67B22DCC"/>
    <w:rsid w:val="67B67C39"/>
    <w:rsid w:val="67BE71AA"/>
    <w:rsid w:val="67D16BCF"/>
    <w:rsid w:val="67D40535"/>
    <w:rsid w:val="67D90273"/>
    <w:rsid w:val="67DE5875"/>
    <w:rsid w:val="67E55852"/>
    <w:rsid w:val="67EB1AB4"/>
    <w:rsid w:val="67FA1285"/>
    <w:rsid w:val="68263E9E"/>
    <w:rsid w:val="68464DC5"/>
    <w:rsid w:val="68551F4F"/>
    <w:rsid w:val="687705BA"/>
    <w:rsid w:val="687C10C9"/>
    <w:rsid w:val="68840C16"/>
    <w:rsid w:val="688549D0"/>
    <w:rsid w:val="68876EFB"/>
    <w:rsid w:val="68884654"/>
    <w:rsid w:val="689F444F"/>
    <w:rsid w:val="68B96DBB"/>
    <w:rsid w:val="68CA2805"/>
    <w:rsid w:val="68D321AA"/>
    <w:rsid w:val="68E937A3"/>
    <w:rsid w:val="69230C63"/>
    <w:rsid w:val="693E15D3"/>
    <w:rsid w:val="69627681"/>
    <w:rsid w:val="696F140C"/>
    <w:rsid w:val="6977531D"/>
    <w:rsid w:val="69CC2BFF"/>
    <w:rsid w:val="69FD55B8"/>
    <w:rsid w:val="6A0B1C62"/>
    <w:rsid w:val="6A206786"/>
    <w:rsid w:val="6A21712D"/>
    <w:rsid w:val="6A2406C8"/>
    <w:rsid w:val="6A42336B"/>
    <w:rsid w:val="6A4A0458"/>
    <w:rsid w:val="6A7D274A"/>
    <w:rsid w:val="6AB00311"/>
    <w:rsid w:val="6ADE0BD1"/>
    <w:rsid w:val="6AE96859"/>
    <w:rsid w:val="6AED41DD"/>
    <w:rsid w:val="6B147746"/>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57ADE"/>
    <w:rsid w:val="6C8C67B7"/>
    <w:rsid w:val="6C9D166B"/>
    <w:rsid w:val="6C9D744C"/>
    <w:rsid w:val="6CB520C0"/>
    <w:rsid w:val="6CD91762"/>
    <w:rsid w:val="6D08572F"/>
    <w:rsid w:val="6D167928"/>
    <w:rsid w:val="6D26299B"/>
    <w:rsid w:val="6D2F659C"/>
    <w:rsid w:val="6D4772EC"/>
    <w:rsid w:val="6D8141C3"/>
    <w:rsid w:val="6D8E2C9C"/>
    <w:rsid w:val="6D9078AF"/>
    <w:rsid w:val="6D9E2FAE"/>
    <w:rsid w:val="6DAA3FEF"/>
    <w:rsid w:val="6DB42FEB"/>
    <w:rsid w:val="6DC0172B"/>
    <w:rsid w:val="6DCB690C"/>
    <w:rsid w:val="6DD41A5B"/>
    <w:rsid w:val="6DF43C2E"/>
    <w:rsid w:val="6DF456B4"/>
    <w:rsid w:val="6DF51CA3"/>
    <w:rsid w:val="6E011CE3"/>
    <w:rsid w:val="6E24348E"/>
    <w:rsid w:val="6E25722B"/>
    <w:rsid w:val="6E6E43D9"/>
    <w:rsid w:val="6E8335BD"/>
    <w:rsid w:val="6E8C5C36"/>
    <w:rsid w:val="6E8E12EF"/>
    <w:rsid w:val="6E972936"/>
    <w:rsid w:val="6ED446C5"/>
    <w:rsid w:val="6F046601"/>
    <w:rsid w:val="6F2A7D94"/>
    <w:rsid w:val="6F4B2014"/>
    <w:rsid w:val="6F8331F1"/>
    <w:rsid w:val="6FAE1A09"/>
    <w:rsid w:val="6FD75BF8"/>
    <w:rsid w:val="7015480C"/>
    <w:rsid w:val="70323603"/>
    <w:rsid w:val="707723D0"/>
    <w:rsid w:val="70951DFF"/>
    <w:rsid w:val="70C51DCF"/>
    <w:rsid w:val="70CD6084"/>
    <w:rsid w:val="70F5661B"/>
    <w:rsid w:val="70FA031E"/>
    <w:rsid w:val="71283699"/>
    <w:rsid w:val="71345422"/>
    <w:rsid w:val="71360107"/>
    <w:rsid w:val="713B688E"/>
    <w:rsid w:val="713F1BFA"/>
    <w:rsid w:val="7170522D"/>
    <w:rsid w:val="71805602"/>
    <w:rsid w:val="71BA07C5"/>
    <w:rsid w:val="71D23226"/>
    <w:rsid w:val="71D43752"/>
    <w:rsid w:val="71EE501B"/>
    <w:rsid w:val="71F1796A"/>
    <w:rsid w:val="72154626"/>
    <w:rsid w:val="72262B5D"/>
    <w:rsid w:val="72283FF7"/>
    <w:rsid w:val="722E7212"/>
    <w:rsid w:val="723A0474"/>
    <w:rsid w:val="723F6B0D"/>
    <w:rsid w:val="725923E4"/>
    <w:rsid w:val="72864BF7"/>
    <w:rsid w:val="729023FC"/>
    <w:rsid w:val="729A44D9"/>
    <w:rsid w:val="72A423C8"/>
    <w:rsid w:val="72AD22E1"/>
    <w:rsid w:val="72B372E1"/>
    <w:rsid w:val="731735E6"/>
    <w:rsid w:val="731742D0"/>
    <w:rsid w:val="73191DB6"/>
    <w:rsid w:val="733E7BCC"/>
    <w:rsid w:val="73472C17"/>
    <w:rsid w:val="734A7401"/>
    <w:rsid w:val="73810A2E"/>
    <w:rsid w:val="73BF3123"/>
    <w:rsid w:val="73C0646E"/>
    <w:rsid w:val="73E059CF"/>
    <w:rsid w:val="742222F5"/>
    <w:rsid w:val="74476126"/>
    <w:rsid w:val="746066F5"/>
    <w:rsid w:val="74706664"/>
    <w:rsid w:val="747F3682"/>
    <w:rsid w:val="749C4185"/>
    <w:rsid w:val="74DC4AE7"/>
    <w:rsid w:val="75067759"/>
    <w:rsid w:val="752E6DCD"/>
    <w:rsid w:val="75374EE7"/>
    <w:rsid w:val="754D7094"/>
    <w:rsid w:val="7551380D"/>
    <w:rsid w:val="75600BE5"/>
    <w:rsid w:val="7564475C"/>
    <w:rsid w:val="756615CF"/>
    <w:rsid w:val="7583797F"/>
    <w:rsid w:val="758E3908"/>
    <w:rsid w:val="75D20F1D"/>
    <w:rsid w:val="75DA2C18"/>
    <w:rsid w:val="75E713C0"/>
    <w:rsid w:val="75EE03DC"/>
    <w:rsid w:val="75F54412"/>
    <w:rsid w:val="76125E91"/>
    <w:rsid w:val="761422CC"/>
    <w:rsid w:val="761D08E0"/>
    <w:rsid w:val="765D347C"/>
    <w:rsid w:val="76787555"/>
    <w:rsid w:val="76826699"/>
    <w:rsid w:val="76C87133"/>
    <w:rsid w:val="76CD08D5"/>
    <w:rsid w:val="76D127D4"/>
    <w:rsid w:val="76D465EE"/>
    <w:rsid w:val="76DB4B92"/>
    <w:rsid w:val="77017403"/>
    <w:rsid w:val="77052AA4"/>
    <w:rsid w:val="77136511"/>
    <w:rsid w:val="77340A39"/>
    <w:rsid w:val="77351FD0"/>
    <w:rsid w:val="77472422"/>
    <w:rsid w:val="777F31F2"/>
    <w:rsid w:val="77930DBD"/>
    <w:rsid w:val="77D1700D"/>
    <w:rsid w:val="77EC04CC"/>
    <w:rsid w:val="77EF5AEB"/>
    <w:rsid w:val="77F83E94"/>
    <w:rsid w:val="781A1DFC"/>
    <w:rsid w:val="781F193B"/>
    <w:rsid w:val="785B221E"/>
    <w:rsid w:val="78775729"/>
    <w:rsid w:val="787F0CC1"/>
    <w:rsid w:val="7887263B"/>
    <w:rsid w:val="78A42DB0"/>
    <w:rsid w:val="78A656AB"/>
    <w:rsid w:val="78B2245C"/>
    <w:rsid w:val="78E172CC"/>
    <w:rsid w:val="78EA1D1F"/>
    <w:rsid w:val="78F93394"/>
    <w:rsid w:val="7904172F"/>
    <w:rsid w:val="790F7E27"/>
    <w:rsid w:val="792A231A"/>
    <w:rsid w:val="79316829"/>
    <w:rsid w:val="79440551"/>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7303B"/>
    <w:rsid w:val="7A8065CF"/>
    <w:rsid w:val="7AAB1D04"/>
    <w:rsid w:val="7ABA4368"/>
    <w:rsid w:val="7AD05746"/>
    <w:rsid w:val="7B113533"/>
    <w:rsid w:val="7B257FFD"/>
    <w:rsid w:val="7B343476"/>
    <w:rsid w:val="7B3F7158"/>
    <w:rsid w:val="7B5A2978"/>
    <w:rsid w:val="7B5A7E4C"/>
    <w:rsid w:val="7B667AF9"/>
    <w:rsid w:val="7B7468F8"/>
    <w:rsid w:val="7B7D4202"/>
    <w:rsid w:val="7B8D5F80"/>
    <w:rsid w:val="7BB6739F"/>
    <w:rsid w:val="7BEE0103"/>
    <w:rsid w:val="7C0A0FE4"/>
    <w:rsid w:val="7C254906"/>
    <w:rsid w:val="7C590818"/>
    <w:rsid w:val="7C7037C2"/>
    <w:rsid w:val="7C764345"/>
    <w:rsid w:val="7C7C10F6"/>
    <w:rsid w:val="7C853BEA"/>
    <w:rsid w:val="7C881368"/>
    <w:rsid w:val="7CE27788"/>
    <w:rsid w:val="7CE56A95"/>
    <w:rsid w:val="7CF91FAF"/>
    <w:rsid w:val="7D0C32F1"/>
    <w:rsid w:val="7D0F408D"/>
    <w:rsid w:val="7D491C6C"/>
    <w:rsid w:val="7D5429C0"/>
    <w:rsid w:val="7D6E6D43"/>
    <w:rsid w:val="7D8B2C3C"/>
    <w:rsid w:val="7DAC3CA8"/>
    <w:rsid w:val="7DB57A34"/>
    <w:rsid w:val="7DD2306B"/>
    <w:rsid w:val="7DD77101"/>
    <w:rsid w:val="7DE1284F"/>
    <w:rsid w:val="7DE60973"/>
    <w:rsid w:val="7DE75AA1"/>
    <w:rsid w:val="7DEE5506"/>
    <w:rsid w:val="7DEF0916"/>
    <w:rsid w:val="7DFFECEA"/>
    <w:rsid w:val="7E0368A3"/>
    <w:rsid w:val="7E1E5218"/>
    <w:rsid w:val="7E6B60AA"/>
    <w:rsid w:val="7E911764"/>
    <w:rsid w:val="7E9A4E1F"/>
    <w:rsid w:val="7EA7723A"/>
    <w:rsid w:val="7EF56FBB"/>
    <w:rsid w:val="7F0768EB"/>
    <w:rsid w:val="7F143BEC"/>
    <w:rsid w:val="7F1A7159"/>
    <w:rsid w:val="7F715AF2"/>
    <w:rsid w:val="7F886E69"/>
    <w:rsid w:val="7F8932D6"/>
    <w:rsid w:val="7F8F7E3F"/>
    <w:rsid w:val="7F977A1B"/>
    <w:rsid w:val="7FF87E3A"/>
    <w:rsid w:val="88A0D0E6"/>
    <w:rsid w:val="BB7FA927"/>
    <w:rsid w:val="F5FFD31F"/>
    <w:rsid w:val="FFFAD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Date"/>
    <w:basedOn w:val="1"/>
    <w:next w:val="1"/>
    <w:link w:val="180"/>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szCs w:val="20"/>
    </w:rPr>
  </w:style>
  <w:style w:type="paragraph" w:styleId="61">
    <w:name w:val="Body Text First Indent 2"/>
    <w:basedOn w:val="24"/>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3"/>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autoRedefine/>
    <w:qFormat/>
    <w:uiPriority w:val="0"/>
    <w:pPr>
      <w:jc w:val="center"/>
    </w:pPr>
    <w:rPr>
      <w:b/>
      <w:sz w:val="36"/>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next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大标题"/>
    <w:basedOn w:val="437"/>
    <w:autoRedefine/>
    <w:qFormat/>
    <w:uiPriority w:val="0"/>
    <w:rPr>
      <w:szCs w:val="36"/>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autoRedefine/>
    <w:qFormat/>
    <w:uiPriority w:val="0"/>
    <w:rPr>
      <w:rFonts w:ascii="Arial" w:hAnsi="Arial" w:eastAsia="宋体"/>
      <w:b/>
      <w:bCs/>
      <w:kern w:val="2"/>
      <w:sz w:val="28"/>
      <w:szCs w:val="32"/>
      <w:lang w:val="en-US" w:eastAsia="zh-CN" w:bidi="ar-SA"/>
    </w:rPr>
  </w:style>
  <w:style w:type="paragraph" w:customStyle="1" w:styleId="968">
    <w:name w:val="正文内容"/>
    <w:basedOn w:val="1"/>
    <w:autoRedefine/>
    <w:qFormat/>
    <w:uiPriority w:val="0"/>
    <w:pPr>
      <w:spacing w:line="400" w:lineRule="exact"/>
      <w:ind w:firstLine="560" w:firstLineChars="200"/>
    </w:pPr>
    <w:rPr>
      <w:rFonts w:ascii="宋体" w:hAnsi="宋体" w:cs="黑体"/>
      <w:color w:val="000000"/>
      <w:sz w:val="28"/>
      <w:szCs w:val="28"/>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paragraph" w:customStyle="1" w:styleId="97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19904</Words>
  <Characters>21180</Characters>
  <Lines>1</Lines>
  <Paragraphs>1</Paragraphs>
  <TotalTime>10</TotalTime>
  <ScaleCrop>false</ScaleCrop>
  <LinksUpToDate>false</LinksUpToDate>
  <CharactersWithSpaces>21548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2023-05-05T09:25:00Z</dcterms:created>
  <dc:creator>玥</dc:creator>
  <cp:lastModifiedBy>NTKO</cp:lastModifiedBy>
  <cp:lastPrinted>2024-11-27T01:30:00Z</cp:lastPrinted>
  <dcterms:modified xsi:type="dcterms:W3CDTF">2025-01-08T08:05:25Z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16590FC0106E445CA19812A820185CAE_13</vt:lpwstr>
  </property>
  <property fmtid="{D5CDD505-2E9C-101B-9397-08002B2CF9AE}" pid="5" name="KSOTemplateDocerSaveRecord">
    <vt:lpwstr>eyJoZGlkIjoiNzIxMGUzYTBmMGRjMGU3YjFmZTI5YjA2NTVhMWZiZmQiLCJ1c2VySWQiOiI0MzYzOTc2MDAifQ==</vt:lpwstr>
  </property>
</Properties>
</file>