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A8D69">
      <w:pPr>
        <w:spacing w:line="360" w:lineRule="auto"/>
        <w:jc w:val="center"/>
        <w:rPr>
          <w:rFonts w:ascii="仿宋" w:hAnsi="仿宋" w:eastAsia="仿宋" w:cs="仿宋"/>
          <w:b/>
          <w:color w:val="auto"/>
          <w:sz w:val="24"/>
          <w:highlight w:val="none"/>
        </w:rPr>
      </w:pPr>
    </w:p>
    <w:p w14:paraId="61D583C9">
      <w:pPr>
        <w:spacing w:line="360" w:lineRule="auto"/>
        <w:jc w:val="center"/>
        <w:rPr>
          <w:rFonts w:ascii="仿宋" w:hAnsi="仿宋" w:eastAsia="仿宋" w:cs="仿宋"/>
          <w:b/>
          <w:color w:val="auto"/>
          <w:sz w:val="24"/>
          <w:highlight w:val="none"/>
        </w:rPr>
      </w:pPr>
    </w:p>
    <w:p w14:paraId="6D3EA670">
      <w:pPr>
        <w:adjustRightInd/>
        <w:spacing w:line="360" w:lineRule="auto"/>
        <w:jc w:val="center"/>
        <w:rPr>
          <w:rFonts w:ascii="仿宋" w:hAnsi="仿宋" w:eastAsia="仿宋" w:cs="仿宋"/>
          <w:b/>
          <w:color w:val="auto"/>
          <w:sz w:val="44"/>
          <w:szCs w:val="44"/>
          <w:highlight w:val="none"/>
        </w:rPr>
      </w:pPr>
    </w:p>
    <w:p w14:paraId="3D821808">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杭州市滨江区智慧养老呼叫综合服务项目</w:t>
      </w:r>
    </w:p>
    <w:p w14:paraId="458BEC0E">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竞争性磋商文件</w:t>
      </w:r>
    </w:p>
    <w:p w14:paraId="3A282E67">
      <w:pPr>
        <w:adjustRightInd/>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（电子交易）</w:t>
      </w:r>
    </w:p>
    <w:p w14:paraId="2CB0376C">
      <w:pPr>
        <w:snapToGrid w:val="0"/>
        <w:spacing w:line="360" w:lineRule="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采购编号:</w:t>
      </w:r>
      <w:r>
        <w:rPr>
          <w:rFonts w:hint="eastAsia" w:ascii="仿宋" w:hAnsi="仿宋" w:eastAsia="仿宋" w:cs="仿宋"/>
          <w:b/>
          <w:bCs/>
          <w:color w:val="auto"/>
          <w:sz w:val="30"/>
          <w:szCs w:val="30"/>
          <w:highlight w:val="none"/>
          <w:lang w:eastAsia="zh-CN"/>
        </w:rPr>
        <w:t>BSZB2025-CQZC007</w:t>
      </w:r>
    </w:p>
    <w:p w14:paraId="26BC2817">
      <w:pPr>
        <w:adjustRightInd/>
        <w:spacing w:line="360" w:lineRule="auto"/>
        <w:rPr>
          <w:rFonts w:ascii="仿宋" w:hAnsi="仿宋" w:eastAsia="仿宋" w:cs="仿宋"/>
          <w:b/>
          <w:bCs/>
          <w:color w:val="auto"/>
          <w:sz w:val="28"/>
          <w:szCs w:val="20"/>
          <w:highlight w:val="none"/>
        </w:rPr>
      </w:pPr>
    </w:p>
    <w:p w14:paraId="019B329B">
      <w:pPr>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14:paraId="2076A87B">
      <w:pPr>
        <w:spacing w:line="360" w:lineRule="auto"/>
        <w:jc w:val="center"/>
        <w:rPr>
          <w:rFonts w:ascii="仿宋" w:hAnsi="仿宋" w:eastAsia="仿宋" w:cs="仿宋"/>
          <w:b/>
          <w:bCs/>
          <w:color w:val="auto"/>
          <w:sz w:val="44"/>
          <w:szCs w:val="44"/>
          <w:highlight w:val="none"/>
        </w:rPr>
      </w:pPr>
    </w:p>
    <w:p w14:paraId="35EA98F1">
      <w:pPr>
        <w:spacing w:line="360" w:lineRule="auto"/>
        <w:jc w:val="center"/>
        <w:rPr>
          <w:rFonts w:ascii="仿宋" w:hAnsi="仿宋" w:eastAsia="仿宋" w:cs="仿宋"/>
          <w:b/>
          <w:bCs/>
          <w:color w:val="auto"/>
          <w:sz w:val="24"/>
          <w:highlight w:val="none"/>
        </w:rPr>
      </w:pPr>
    </w:p>
    <w:p w14:paraId="6A4710BD">
      <w:pPr>
        <w:spacing w:line="360" w:lineRule="auto"/>
        <w:jc w:val="center"/>
        <w:rPr>
          <w:rFonts w:ascii="仿宋" w:hAnsi="仿宋" w:eastAsia="仿宋" w:cs="仿宋"/>
          <w:b/>
          <w:bCs/>
          <w:color w:val="auto"/>
          <w:sz w:val="24"/>
          <w:highlight w:val="none"/>
        </w:rPr>
      </w:pPr>
    </w:p>
    <w:p w14:paraId="561B1961">
      <w:pPr>
        <w:spacing w:line="360" w:lineRule="auto"/>
        <w:rPr>
          <w:rFonts w:ascii="仿宋" w:hAnsi="仿宋" w:eastAsia="仿宋" w:cs="仿宋"/>
          <w:b/>
          <w:bCs/>
          <w:color w:val="auto"/>
          <w:sz w:val="32"/>
          <w:szCs w:val="32"/>
          <w:highlight w:val="none"/>
        </w:rPr>
      </w:pPr>
    </w:p>
    <w:p w14:paraId="3FB32402">
      <w:pPr>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采购人：</w:t>
      </w:r>
      <w:r>
        <w:rPr>
          <w:rFonts w:hint="eastAsia" w:ascii="仿宋" w:hAnsi="仿宋" w:eastAsia="仿宋" w:cs="仿宋"/>
          <w:b/>
          <w:bCs/>
          <w:color w:val="auto"/>
          <w:sz w:val="32"/>
          <w:szCs w:val="32"/>
          <w:highlight w:val="none"/>
          <w:lang w:eastAsia="zh-CN"/>
        </w:rPr>
        <w:t>杭州市滨江区民政局</w:t>
      </w:r>
    </w:p>
    <w:p w14:paraId="39A0AE5C">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采购代理机构：杭州博实招标代理有限公司</w:t>
      </w:r>
    </w:p>
    <w:p w14:paraId="367C66B5">
      <w:pPr>
        <w:spacing w:line="360" w:lineRule="auto"/>
        <w:jc w:val="center"/>
        <w:rPr>
          <w:rFonts w:hint="eastAsia" w:ascii="仿宋" w:hAnsi="仿宋" w:eastAsia="仿宋" w:cs="仿宋"/>
          <w:b/>
          <w:bCs/>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1134" w:right="1417" w:bottom="1134" w:left="1417" w:header="851" w:footer="992" w:gutter="0"/>
          <w:pgNumType w:fmt="decimal" w:start="1"/>
          <w:cols w:space="720" w:num="1"/>
          <w:titlePg/>
          <w:docGrid w:linePitch="312" w:charSpace="0"/>
        </w:sectPr>
      </w:pPr>
      <w:r>
        <w:rPr>
          <w:rFonts w:hint="eastAsia" w:ascii="仿宋" w:hAnsi="仿宋" w:eastAsia="仿宋" w:cs="仿宋"/>
          <w:b/>
          <w:bCs/>
          <w:color w:val="auto"/>
          <w:sz w:val="32"/>
          <w:szCs w:val="32"/>
          <w:highlight w:val="none"/>
          <w:lang w:eastAsia="zh-CN"/>
        </w:rPr>
        <w:t>202</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lang w:eastAsia="zh-CN"/>
        </w:rPr>
        <w:t>年</w:t>
      </w:r>
      <w:r>
        <w:rPr>
          <w:rFonts w:hint="eastAsia" w:ascii="仿宋" w:hAnsi="仿宋" w:eastAsia="仿宋" w:cs="仿宋"/>
          <w:b/>
          <w:bCs/>
          <w:color w:val="auto"/>
          <w:sz w:val="32"/>
          <w:szCs w:val="32"/>
          <w:highlight w:val="none"/>
          <w:lang w:val="en-US" w:eastAsia="zh-CN"/>
        </w:rPr>
        <w:t>2</w:t>
      </w:r>
      <w:r>
        <w:rPr>
          <w:rFonts w:hint="eastAsia" w:ascii="仿宋" w:hAnsi="仿宋" w:eastAsia="仿宋" w:cs="仿宋"/>
          <w:b/>
          <w:bCs/>
          <w:color w:val="auto"/>
          <w:sz w:val="32"/>
          <w:szCs w:val="32"/>
          <w:highlight w:val="none"/>
        </w:rPr>
        <w:t>月</w:t>
      </w:r>
    </w:p>
    <w:p w14:paraId="66F45331">
      <w:pPr>
        <w:pStyle w:val="80"/>
        <w:rPr>
          <w:color w:val="auto"/>
          <w:highlight w:val="none"/>
        </w:rPr>
      </w:pPr>
    </w:p>
    <w:p w14:paraId="0B90EDB2">
      <w:pPr>
        <w:spacing w:line="360" w:lineRule="auto"/>
        <w:jc w:val="center"/>
        <w:rPr>
          <w:rFonts w:ascii="仿宋" w:hAnsi="仿宋" w:eastAsia="仿宋" w:cs="仿宋"/>
          <w:b/>
          <w:bCs w:val="0"/>
          <w:color w:val="auto"/>
          <w:sz w:val="48"/>
          <w:szCs w:val="48"/>
          <w:highlight w:val="none"/>
        </w:rPr>
      </w:pPr>
      <w:r>
        <w:rPr>
          <w:rFonts w:hint="eastAsia" w:ascii="仿宋" w:hAnsi="仿宋" w:eastAsia="仿宋" w:cs="仿宋"/>
          <w:b/>
          <w:bCs w:val="0"/>
          <w:color w:val="auto"/>
          <w:sz w:val="48"/>
          <w:szCs w:val="48"/>
          <w:highlight w:val="none"/>
        </w:rPr>
        <w:t>目  录</w:t>
      </w:r>
    </w:p>
    <w:p w14:paraId="568FB6AB">
      <w:pPr>
        <w:spacing w:line="360" w:lineRule="auto"/>
        <w:rPr>
          <w:rFonts w:ascii="仿宋" w:hAnsi="仿宋" w:eastAsia="仿宋" w:cs="仿宋"/>
          <w:b/>
          <w:bCs w:val="0"/>
          <w:color w:val="auto"/>
          <w:sz w:val="32"/>
          <w:szCs w:val="32"/>
          <w:highlight w:val="none"/>
        </w:rPr>
      </w:pPr>
    </w:p>
    <w:p w14:paraId="60284890">
      <w:pPr>
        <w:spacing w:line="360" w:lineRule="auto"/>
        <w:ind w:firstLine="549" w:firstLineChars="229"/>
        <w:rPr>
          <w:rFonts w:ascii="仿宋" w:hAnsi="仿宋" w:eastAsia="仿宋" w:cs="仿宋"/>
          <w:color w:val="auto"/>
          <w:sz w:val="24"/>
          <w:highlight w:val="none"/>
        </w:rPr>
      </w:pPr>
      <w:bookmarkStart w:id="0" w:name="_Hlt91233176"/>
      <w:bookmarkEnd w:id="0"/>
      <w:bookmarkStart w:id="1" w:name="_Toc91899869"/>
    </w:p>
    <w:p w14:paraId="23BC488B">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邀请供应商</w:t>
      </w:r>
    </w:p>
    <w:p w14:paraId="02C30BF7">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      竞争性磋商流程</w:t>
      </w:r>
    </w:p>
    <w:p w14:paraId="092A27DF">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第三部分      供应商须知</w:t>
      </w:r>
    </w:p>
    <w:p w14:paraId="01689D2D">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第四部分      采购需求</w:t>
      </w:r>
    </w:p>
    <w:p w14:paraId="5E95BA4C">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第五部分      评审方法及评审标准</w:t>
      </w:r>
    </w:p>
    <w:p w14:paraId="231EDCFA">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      拟签订的合同文本</w:t>
      </w:r>
    </w:p>
    <w:p w14:paraId="71E9F59E">
      <w:pPr>
        <w:spacing w:line="360" w:lineRule="auto"/>
        <w:ind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第七部分      应提交的有关格式范例</w:t>
      </w:r>
    </w:p>
    <w:p w14:paraId="2D728BBF">
      <w:pPr>
        <w:spacing w:line="360" w:lineRule="auto"/>
        <w:ind w:firstLine="549" w:firstLineChars="229"/>
        <w:rPr>
          <w:rFonts w:ascii="仿宋" w:hAnsi="仿宋" w:eastAsia="仿宋" w:cs="仿宋"/>
          <w:color w:val="auto"/>
          <w:sz w:val="24"/>
          <w:highlight w:val="none"/>
        </w:rPr>
      </w:pPr>
    </w:p>
    <w:p w14:paraId="37295778">
      <w:pPr>
        <w:spacing w:line="360" w:lineRule="auto"/>
        <w:ind w:firstLine="549" w:firstLineChars="229"/>
        <w:rPr>
          <w:rFonts w:ascii="仿宋" w:hAnsi="仿宋" w:eastAsia="仿宋" w:cs="仿宋"/>
          <w:color w:val="auto"/>
          <w:sz w:val="24"/>
          <w:highlight w:val="none"/>
        </w:rPr>
      </w:pPr>
    </w:p>
    <w:p w14:paraId="16646D45">
      <w:pPr>
        <w:spacing w:line="360" w:lineRule="auto"/>
        <w:ind w:firstLine="549" w:firstLineChars="229"/>
        <w:rPr>
          <w:rFonts w:ascii="仿宋" w:hAnsi="仿宋" w:eastAsia="仿宋" w:cs="仿宋"/>
          <w:color w:val="auto"/>
          <w:sz w:val="24"/>
          <w:highlight w:val="none"/>
        </w:rPr>
      </w:pPr>
    </w:p>
    <w:p w14:paraId="5D474A75">
      <w:pPr>
        <w:spacing w:line="360" w:lineRule="auto"/>
        <w:ind w:firstLine="549" w:firstLineChars="229"/>
        <w:rPr>
          <w:rFonts w:ascii="仿宋" w:hAnsi="仿宋" w:eastAsia="仿宋" w:cs="仿宋"/>
          <w:color w:val="auto"/>
          <w:sz w:val="24"/>
          <w:highlight w:val="none"/>
        </w:rPr>
      </w:pPr>
    </w:p>
    <w:p w14:paraId="60C2BB76">
      <w:pPr>
        <w:spacing w:line="360" w:lineRule="auto"/>
        <w:ind w:firstLine="549" w:firstLineChars="229"/>
        <w:rPr>
          <w:rFonts w:ascii="仿宋" w:hAnsi="仿宋" w:eastAsia="仿宋" w:cs="仿宋"/>
          <w:color w:val="auto"/>
          <w:sz w:val="24"/>
          <w:highlight w:val="none"/>
        </w:rPr>
      </w:pPr>
    </w:p>
    <w:p w14:paraId="59B1BE91">
      <w:pPr>
        <w:spacing w:line="360" w:lineRule="auto"/>
        <w:ind w:firstLine="549" w:firstLineChars="229"/>
        <w:rPr>
          <w:rFonts w:ascii="仿宋" w:hAnsi="仿宋" w:eastAsia="仿宋" w:cs="仿宋"/>
          <w:color w:val="auto"/>
          <w:sz w:val="24"/>
          <w:highlight w:val="none"/>
        </w:rPr>
      </w:pPr>
    </w:p>
    <w:p w14:paraId="0DC1B08B">
      <w:pPr>
        <w:spacing w:line="360" w:lineRule="auto"/>
        <w:ind w:firstLine="549" w:firstLineChars="229"/>
        <w:rPr>
          <w:rFonts w:ascii="仿宋" w:hAnsi="仿宋" w:eastAsia="仿宋" w:cs="仿宋"/>
          <w:color w:val="auto"/>
          <w:sz w:val="24"/>
          <w:highlight w:val="none"/>
        </w:rPr>
      </w:pPr>
    </w:p>
    <w:p w14:paraId="42B5FA3D">
      <w:pPr>
        <w:spacing w:line="360" w:lineRule="auto"/>
        <w:ind w:firstLine="549" w:firstLineChars="229"/>
        <w:rPr>
          <w:rFonts w:ascii="仿宋" w:hAnsi="仿宋" w:eastAsia="仿宋" w:cs="仿宋"/>
          <w:color w:val="auto"/>
          <w:sz w:val="24"/>
          <w:highlight w:val="none"/>
        </w:rPr>
      </w:pPr>
    </w:p>
    <w:p w14:paraId="0BA126AF">
      <w:pPr>
        <w:spacing w:line="360" w:lineRule="auto"/>
        <w:ind w:firstLine="549" w:firstLineChars="229"/>
        <w:rPr>
          <w:rFonts w:ascii="仿宋" w:hAnsi="仿宋" w:eastAsia="仿宋" w:cs="仿宋"/>
          <w:color w:val="auto"/>
          <w:sz w:val="24"/>
          <w:highlight w:val="none"/>
        </w:rPr>
      </w:pPr>
    </w:p>
    <w:p w14:paraId="18D5C8D8">
      <w:pPr>
        <w:spacing w:line="360" w:lineRule="auto"/>
        <w:ind w:firstLine="549" w:firstLineChars="229"/>
        <w:rPr>
          <w:rFonts w:ascii="仿宋" w:hAnsi="仿宋" w:eastAsia="仿宋" w:cs="仿宋"/>
          <w:color w:val="auto"/>
          <w:sz w:val="24"/>
          <w:highlight w:val="none"/>
        </w:rPr>
      </w:pPr>
    </w:p>
    <w:p w14:paraId="21CC53F6">
      <w:pPr>
        <w:spacing w:line="360" w:lineRule="auto"/>
        <w:rPr>
          <w:rFonts w:ascii="仿宋" w:hAnsi="仿宋" w:eastAsia="仿宋" w:cs="仿宋"/>
          <w:color w:val="auto"/>
          <w:sz w:val="24"/>
          <w:highlight w:val="none"/>
        </w:rPr>
      </w:pPr>
    </w:p>
    <w:p w14:paraId="5B21A47A">
      <w:pPr>
        <w:adjustRightInd/>
        <w:spacing w:line="360" w:lineRule="auto"/>
        <w:jc w:val="center"/>
        <w:outlineLvl w:val="0"/>
        <w:rPr>
          <w:rFonts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_Toc91899870"/>
      <w:bookmarkStart w:id="8" w:name="第二部分"/>
      <w:bookmarkStart w:id="9" w:name="_Toc91899871"/>
      <w:r>
        <w:rPr>
          <w:rFonts w:hint="eastAsia" w:ascii="仿宋" w:hAnsi="仿宋" w:eastAsia="仿宋" w:cs="仿宋"/>
          <w:b/>
          <w:color w:val="auto"/>
          <w:sz w:val="36"/>
          <w:szCs w:val="36"/>
          <w:highlight w:val="none"/>
        </w:rPr>
        <w:t xml:space="preserve">第一部分  </w:t>
      </w:r>
      <w:r>
        <w:rPr>
          <w:rFonts w:hint="eastAsia" w:ascii="仿宋" w:hAnsi="仿宋" w:eastAsia="仿宋" w:cs="仿宋"/>
          <w:b/>
          <w:color w:val="auto"/>
          <w:sz w:val="36"/>
          <w:szCs w:val="20"/>
          <w:highlight w:val="none"/>
        </w:rPr>
        <w:t>邀请供应商</w:t>
      </w:r>
    </w:p>
    <w:p w14:paraId="0E6AA898">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竞争性磋商邀请公告</w:t>
      </w:r>
    </w:p>
    <w:p w14:paraId="14F8A05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682583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杭州市滨江区智慧养老呼叫综合服务项目</w:t>
      </w:r>
      <w:r>
        <w:rPr>
          <w:rFonts w:hint="eastAsia" w:ascii="仿宋" w:hAnsi="仿宋" w:eastAsia="仿宋" w:cs="仿宋"/>
          <w:color w:val="auto"/>
          <w:sz w:val="24"/>
          <w:highlight w:val="none"/>
          <w:u w:val="single"/>
        </w:rPr>
        <w:t>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仿宋" w:hAnsi="仿宋" w:eastAsia="仿宋" w:cs="仿宋"/>
          <w:snapToGrid/>
          <w:color w:val="auto"/>
          <w:kern w:val="2"/>
          <w:sz w:val="24"/>
          <w:szCs w:val="24"/>
          <w:highlight w:val="none"/>
          <w:u w:val="single"/>
        </w:rPr>
        <w:t>https://www.zcygov.cn/）获取（下载）采购文件，并于</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u w:val="single"/>
        </w:rPr>
        <w:t>（北京时间）前</w:t>
      </w:r>
      <w:r>
        <w:rPr>
          <w:rFonts w:hint="eastAsia" w:ascii="仿宋" w:hAnsi="仿宋" w:eastAsia="仿宋" w:cs="仿宋"/>
          <w:color w:val="auto"/>
          <w:sz w:val="24"/>
          <w:highlight w:val="none"/>
          <w:u w:val="single"/>
        </w:rPr>
        <w:t>提交（上传）响应文件。</w:t>
      </w:r>
    </w:p>
    <w:p w14:paraId="69715D16">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AA3CCE1">
      <w:pPr>
        <w:snapToGri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BSZB2025-CQZC007</w:t>
      </w:r>
    </w:p>
    <w:p w14:paraId="2159637E">
      <w:pPr>
        <w:snapToGri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杭州市滨江区民政局杭州市滨江区智慧养老呼叫综合服务项目</w:t>
      </w:r>
    </w:p>
    <w:p w14:paraId="054BBA3F">
      <w:pPr>
        <w:snapToGrid w:val="0"/>
        <w:spacing w:line="360" w:lineRule="auto"/>
        <w:ind w:firstLine="482" w:firstLineChars="200"/>
        <w:rPr>
          <w:rFonts w:hint="default"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1800000</w:t>
      </w:r>
    </w:p>
    <w:p w14:paraId="036C837D">
      <w:pPr>
        <w:snapToGrid w:val="0"/>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lang w:val="en-US" w:eastAsia="zh-CN"/>
        </w:rPr>
        <w:t>1800000</w:t>
      </w:r>
    </w:p>
    <w:p w14:paraId="19F9145D">
      <w:pPr>
        <w:spacing w:line="360" w:lineRule="auto"/>
        <w:ind w:firstLine="480"/>
        <w:rPr>
          <w:rFonts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采购需求：</w:t>
      </w:r>
      <w:r>
        <w:rPr>
          <w:rFonts w:hint="eastAsia" w:ascii="仿宋" w:hAnsi="仿宋" w:eastAsia="仿宋" w:cs="Times New Roman"/>
          <w:snapToGrid/>
          <w:color w:val="auto"/>
          <w:kern w:val="2"/>
          <w:sz w:val="24"/>
          <w:szCs w:val="24"/>
          <w:highlight w:val="none"/>
          <w:lang w:val="en-US" w:eastAsia="zh-CN" w:bidi="ar-SA"/>
        </w:rPr>
        <w:t>以政府购买服务的形式，购买智慧养老呼叫综合服务，</w:t>
      </w:r>
      <w:r>
        <w:rPr>
          <w:rFonts w:hint="eastAsia" w:ascii="仿宋" w:hAnsi="仿宋" w:eastAsia="仿宋" w:cs="Times New Roman"/>
          <w:b/>
          <w:bCs/>
          <w:snapToGrid/>
          <w:color w:val="auto"/>
          <w:kern w:val="2"/>
          <w:sz w:val="24"/>
          <w:szCs w:val="24"/>
          <w:highlight w:val="none"/>
          <w:lang w:val="en-US" w:eastAsia="zh-CN" w:bidi="ar-SA"/>
        </w:rPr>
        <w:t>本次项目实施定价采购（定价标准为20元/人/月）</w:t>
      </w:r>
      <w:r>
        <w:rPr>
          <w:rFonts w:hint="eastAsia" w:ascii="仿宋" w:hAnsi="仿宋" w:eastAsia="仿宋" w:cs="Times New Roman"/>
          <w:snapToGrid/>
          <w:color w:val="auto"/>
          <w:kern w:val="2"/>
          <w:sz w:val="24"/>
          <w:szCs w:val="24"/>
          <w:highlight w:val="none"/>
          <w:lang w:val="en-US" w:eastAsia="zh-CN" w:bidi="ar-SA"/>
        </w:rPr>
        <w:t>，</w:t>
      </w:r>
      <w:r>
        <w:rPr>
          <w:rFonts w:hint="eastAsia" w:ascii="仿宋" w:hAnsi="仿宋" w:eastAsia="仿宋" w:cs="仿宋"/>
          <w:snapToGrid w:val="0"/>
          <w:color w:val="auto"/>
          <w:kern w:val="28"/>
          <w:sz w:val="24"/>
          <w:highlight w:val="none"/>
        </w:rPr>
        <w:t>详见采购文件第</w:t>
      </w:r>
      <w:r>
        <w:rPr>
          <w:rFonts w:hint="eastAsia" w:ascii="仿宋" w:hAnsi="仿宋" w:eastAsia="仿宋" w:cs="仿宋"/>
          <w:snapToGrid w:val="0"/>
          <w:color w:val="auto"/>
          <w:kern w:val="28"/>
          <w:sz w:val="24"/>
          <w:highlight w:val="none"/>
          <w:lang w:val="en-US" w:eastAsia="zh-CN"/>
        </w:rPr>
        <w:t>四</w:t>
      </w:r>
      <w:r>
        <w:rPr>
          <w:rFonts w:hint="eastAsia" w:ascii="仿宋" w:hAnsi="仿宋" w:eastAsia="仿宋" w:cs="仿宋"/>
          <w:snapToGrid w:val="0"/>
          <w:color w:val="auto"/>
          <w:kern w:val="28"/>
          <w:sz w:val="24"/>
          <w:highlight w:val="none"/>
        </w:rPr>
        <w:t>部分采购需求。</w:t>
      </w:r>
    </w:p>
    <w:p w14:paraId="7E8B4740">
      <w:pPr>
        <w:spacing w:line="360" w:lineRule="auto"/>
        <w:ind w:firstLine="480"/>
        <w:rPr>
          <w:rFonts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lang w:val="en-US" w:eastAsia="zh-CN"/>
        </w:rPr>
        <w:t>合同履行期限</w:t>
      </w:r>
      <w:r>
        <w:rPr>
          <w:rFonts w:hint="eastAsia" w:ascii="仿宋" w:hAnsi="仿宋" w:eastAsia="仿宋" w:cs="仿宋"/>
          <w:b/>
          <w:bCs/>
          <w:snapToGrid w:val="0"/>
          <w:color w:val="auto"/>
          <w:kern w:val="28"/>
          <w:sz w:val="24"/>
          <w:highlight w:val="none"/>
        </w:rPr>
        <w:t>：</w:t>
      </w:r>
      <w:r>
        <w:rPr>
          <w:rFonts w:hint="eastAsia" w:ascii="仿宋_GB2312" w:hAnsi="仿宋" w:eastAsia="仿宋_GB2312"/>
          <w:bCs/>
          <w:color w:val="auto"/>
          <w:kern w:val="2"/>
          <w:sz w:val="24"/>
          <w:szCs w:val="24"/>
          <w:highlight w:val="none"/>
          <w:lang w:val="en-US" w:eastAsia="zh-CN"/>
        </w:rPr>
        <w:t>服务期1年</w:t>
      </w:r>
    </w:p>
    <w:p w14:paraId="18D96E75">
      <w:pPr>
        <w:pStyle w:val="15"/>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本项目接受联合体：</w:t>
      </w:r>
      <w:r>
        <w:rPr>
          <w:rFonts w:hint="eastAsia" w:ascii="仿宋" w:hAnsi="仿宋" w:eastAsia="仿宋" w:cs="仿宋"/>
          <w:color w:val="auto"/>
          <w:kern w:val="0"/>
          <w:sz w:val="24"/>
          <w:highlight w:val="none"/>
          <w:lang w:eastAsia="zh-CN"/>
        </w:rPr>
        <w:t>□</w:t>
      </w:r>
      <w:r>
        <w:rPr>
          <w:rFonts w:hint="eastAsia" w:ascii="仿宋" w:hAnsi="仿宋" w:eastAsia="仿宋" w:cs="仿宋"/>
          <w:bCs/>
          <w:color w:val="auto"/>
          <w:sz w:val="24"/>
          <w:szCs w:val="24"/>
          <w:highlight w:val="none"/>
        </w:rPr>
        <w:t xml:space="preserve"> 是，</w:t>
      </w:r>
      <w:r>
        <w:rPr>
          <w:rFonts w:hint="eastAsia" w:ascii="仿宋" w:hAnsi="仿宋" w:eastAsia="仿宋" w:cs="仿宋"/>
          <w:color w:val="auto"/>
          <w:kern w:val="0"/>
          <w:sz w:val="24"/>
          <w:highlight w:val="none"/>
          <w:lang w:eastAsia="zh-CN"/>
        </w:rPr>
        <w:t>☑</w:t>
      </w:r>
      <w:r>
        <w:rPr>
          <w:rFonts w:hint="eastAsia" w:ascii="仿宋" w:hAnsi="仿宋" w:eastAsia="仿宋" w:cs="仿宋"/>
          <w:bCs/>
          <w:color w:val="auto"/>
          <w:sz w:val="24"/>
          <w:szCs w:val="24"/>
          <w:highlight w:val="none"/>
        </w:rPr>
        <w:t xml:space="preserve"> 否</w:t>
      </w:r>
    </w:p>
    <w:p w14:paraId="751FA0C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0" w:name="_Hlk101132948"/>
      <w:r>
        <w:rPr>
          <w:rFonts w:hint="eastAsia" w:ascii="仿宋" w:hAnsi="仿宋" w:eastAsia="仿宋" w:cs="仿宋"/>
          <w:b/>
          <w:color w:val="auto"/>
          <w:sz w:val="24"/>
          <w:highlight w:val="none"/>
        </w:rPr>
        <w:t>申请人的资格要求</w:t>
      </w:r>
      <w:bookmarkEnd w:id="10"/>
      <w:r>
        <w:rPr>
          <w:rFonts w:hint="eastAsia" w:ascii="仿宋" w:hAnsi="仿宋" w:eastAsia="仿宋" w:cs="仿宋"/>
          <w:b/>
          <w:color w:val="auto"/>
          <w:sz w:val="24"/>
          <w:highlight w:val="none"/>
        </w:rPr>
        <w:t>：</w:t>
      </w:r>
    </w:p>
    <w:p w14:paraId="1BF674A4">
      <w:pPr>
        <w:spacing w:line="360" w:lineRule="auto"/>
        <w:ind w:firstLine="48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78D6D1E">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 xml:space="preserve">    2.以联合体形式参与的，提供联合协议(本项目不接受联合体或者供应商不以联合体形式参与的，则不需要提供) ；</w:t>
      </w:r>
    </w:p>
    <w:p w14:paraId="783BB544">
      <w:pPr>
        <w:spacing w:line="360" w:lineRule="auto"/>
        <w:ind w:firstLine="482" w:firstLineChars="200"/>
        <w:rPr>
          <w:rFonts w:hint="eastAsia" w:ascii="仿宋" w:hAnsi="仿宋" w:eastAsia="仿宋" w:cs="仿宋"/>
          <w:b/>
          <w:bCs/>
          <w:snapToGrid w:val="0"/>
          <w:color w:val="auto"/>
          <w:kern w:val="28"/>
          <w:sz w:val="24"/>
          <w:highlight w:val="none"/>
          <w:lang w:eastAsia="zh-CN"/>
        </w:rPr>
      </w:pPr>
      <w:r>
        <w:rPr>
          <w:rFonts w:hint="eastAsia" w:ascii="仿宋" w:hAnsi="仿宋" w:eastAsia="仿宋" w:cs="仿宋"/>
          <w:b/>
          <w:bCs/>
          <w:snapToGrid w:val="0"/>
          <w:color w:val="auto"/>
          <w:kern w:val="28"/>
          <w:sz w:val="24"/>
          <w:highlight w:val="none"/>
        </w:rPr>
        <w:t>3.落实政府采购政策需满足的资格要求</w:t>
      </w:r>
      <w:r>
        <w:rPr>
          <w:rFonts w:hint="eastAsia" w:ascii="仿宋" w:hAnsi="仿宋" w:eastAsia="仿宋" w:cs="仿宋"/>
          <w:b/>
          <w:bCs/>
          <w:snapToGrid w:val="0"/>
          <w:color w:val="auto"/>
          <w:kern w:val="28"/>
          <w:sz w:val="24"/>
          <w:highlight w:val="none"/>
          <w:lang w:eastAsia="zh-CN"/>
        </w:rPr>
        <w:t>：</w:t>
      </w:r>
    </w:p>
    <w:p w14:paraId="4A176175">
      <w:pPr>
        <w:spacing w:line="360" w:lineRule="auto"/>
        <w:ind w:firstLine="482" w:firstLineChars="200"/>
        <w:rPr>
          <w:rFonts w:ascii="仿宋" w:hAnsi="仿宋" w:eastAsia="仿宋" w:cs="仿宋"/>
          <w:b/>
          <w:bCs/>
          <w:color w:val="auto"/>
          <w:sz w:val="24"/>
          <w:highlight w:val="none"/>
        </w:rPr>
      </w:pPr>
      <w:sdt>
        <w:sdtPr>
          <w:rPr>
            <w:rFonts w:hint="eastAsia" w:ascii="仿宋" w:hAnsi="仿宋" w:eastAsia="仿宋" w:cs="仿宋"/>
            <w:b/>
            <w:bCs/>
            <w:color w:val="auto"/>
            <w:sz w:val="24"/>
            <w:highlight w:val="none"/>
          </w:rPr>
          <w:id w:val="1845438709"/>
        </w:sdtPr>
        <w:sdtEndPr>
          <w:rPr>
            <w:rFonts w:hint="eastAsia" w:ascii="仿宋" w:hAnsi="仿宋" w:eastAsia="仿宋" w:cs="仿宋"/>
            <w:b/>
            <w:bCs/>
            <w:color w:val="auto"/>
            <w:sz w:val="24"/>
            <w:highlight w:val="none"/>
          </w:rPr>
        </w:sdtEndPr>
        <w:sdtContent>
          <w:r>
            <w:rPr>
              <w:rFonts w:hint="eastAsia" w:ascii="仿宋" w:hAnsi="仿宋" w:eastAsia="仿宋" w:cs="仿宋"/>
              <w:b/>
              <w:bCs/>
              <w:color w:val="auto"/>
              <w:sz w:val="24"/>
              <w:highlight w:val="none"/>
            </w:rPr>
            <w:sym w:font="Wingdings" w:char="F0FE"/>
          </w:r>
          <w:r>
            <w:rPr>
              <w:rFonts w:hint="eastAsia" w:ascii="仿宋" w:hAnsi="仿宋" w:eastAsia="仿宋" w:cs="仿宋"/>
              <w:b/>
              <w:bCs/>
              <w:color w:val="auto"/>
              <w:sz w:val="24"/>
              <w:highlight w:val="none"/>
              <w:lang w:val="en-US" w:eastAsia="zh-CN"/>
            </w:rPr>
            <w:t xml:space="preserve"> </w:t>
          </w:r>
        </w:sdtContent>
      </w:sdt>
      <w:r>
        <w:rPr>
          <w:rFonts w:hint="eastAsia" w:ascii="仿宋" w:hAnsi="仿宋" w:eastAsia="仿宋" w:cs="仿宋"/>
          <w:b/>
          <w:bCs/>
          <w:color w:val="auto"/>
          <w:sz w:val="24"/>
          <w:highlight w:val="none"/>
        </w:rPr>
        <w:t>专门面向中小企业</w:t>
      </w:r>
    </w:p>
    <w:p w14:paraId="43089278">
      <w:pPr>
        <w:spacing w:line="360" w:lineRule="auto"/>
        <w:ind w:firstLine="482" w:firstLineChars="200"/>
        <w:rPr>
          <w:rFonts w:ascii="仿宋" w:hAnsi="仿宋" w:eastAsia="仿宋" w:cs="仿宋"/>
          <w:b/>
          <w:bCs/>
          <w:color w:val="auto"/>
          <w:sz w:val="24"/>
          <w:highlight w:val="none"/>
        </w:rPr>
      </w:pPr>
      <w:sdt>
        <w:sdtPr>
          <w:rPr>
            <w:rFonts w:hint="eastAsia" w:ascii="仿宋" w:hAnsi="仿宋" w:eastAsia="仿宋" w:cs="仿宋"/>
            <w:b/>
            <w:bCs/>
            <w:color w:val="auto"/>
            <w:sz w:val="24"/>
            <w:highlight w:val="none"/>
          </w:rPr>
          <w:id w:val="-1"/>
        </w:sdtPr>
        <w:sdtEndPr>
          <w:rPr>
            <w:rFonts w:hint="eastAsia" w:ascii="仿宋" w:hAnsi="仿宋" w:eastAsia="仿宋" w:cs="仿宋"/>
            <w:b/>
            <w:bCs/>
            <w:color w:val="auto"/>
            <w:sz w:val="24"/>
            <w:highlight w:val="none"/>
          </w:rPr>
        </w:sdtEndPr>
        <w:sdtContent>
          <w:sdt>
            <w:sdtPr>
              <w:rPr>
                <w:rFonts w:hint="eastAsia" w:ascii="仿宋" w:hAnsi="仿宋" w:eastAsia="仿宋" w:cs="仿宋"/>
                <w:b/>
                <w:bCs/>
                <w:color w:val="auto"/>
                <w:sz w:val="24"/>
                <w:highlight w:val="none"/>
              </w:rPr>
              <w:id w:val="1020816537"/>
            </w:sdtPr>
            <w:sdtEndPr>
              <w:rPr>
                <w:rFonts w:hint="eastAsia" w:ascii="仿宋" w:hAnsi="仿宋" w:eastAsia="仿宋" w:cs="仿宋"/>
                <w:b/>
                <w:bCs/>
                <w:color w:val="auto"/>
                <w:sz w:val="24"/>
                <w:highlight w:val="none"/>
              </w:rPr>
            </w:sdtEndPr>
            <w:sdtContent>
              <w:r>
                <w:rPr>
                  <w:rFonts w:hint="eastAsia" w:ascii="仿宋" w:hAnsi="仿宋" w:eastAsia="仿宋" w:cs="仿宋"/>
                  <w:b/>
                  <w:bCs/>
                  <w:color w:val="auto"/>
                  <w:sz w:val="24"/>
                  <w:highlight w:val="none"/>
                </w:rPr>
                <w:sym w:font="Wingdings" w:char="F0FE"/>
              </w:r>
              <w:r>
                <w:rPr>
                  <w:rFonts w:hint="eastAsia" w:ascii="仿宋" w:hAnsi="仿宋" w:eastAsia="仿宋" w:cs="仿宋"/>
                  <w:b/>
                  <w:bCs/>
                  <w:color w:val="auto"/>
                  <w:sz w:val="24"/>
                  <w:highlight w:val="none"/>
                  <w:lang w:val="en-US" w:eastAsia="zh-CN"/>
                </w:rPr>
                <w:t xml:space="preserve"> </w:t>
              </w:r>
            </w:sdtContent>
          </w:sdt>
        </w:sdtContent>
      </w:sdt>
      <w:r>
        <w:rPr>
          <w:rFonts w:hint="eastAsia" w:ascii="仿宋" w:hAnsi="仿宋" w:eastAsia="仿宋" w:cs="仿宋"/>
          <w:b/>
          <w:bCs/>
          <w:color w:val="auto"/>
          <w:sz w:val="24"/>
          <w:highlight w:val="none"/>
        </w:rPr>
        <w:t>服务全部由符合政策要求的中小企业承接，提供中小企业声明函；</w:t>
      </w:r>
    </w:p>
    <w:p w14:paraId="682C0C1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4.本项目的特定资格要求：无。</w:t>
      </w:r>
    </w:p>
    <w:p w14:paraId="3F66ED1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F9484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31ADA602">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BF842B2">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198795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B874ED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45B7AB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14:paraId="046CAD9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3752F1B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471D81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14:paraId="7E632833">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14036395">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val="en-US" w:eastAsia="zh-CN"/>
        </w:rPr>
        <w:t>/杭州市拱墅区登云路518号西城时代（云合中心）3幢1706室</w:t>
      </w:r>
    </w:p>
    <w:p w14:paraId="71B6C05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6C10DA2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19022EB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32F341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5D5DB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2475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69DA1F">
      <w:pPr>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 其他事项：（1）需要落实的政府采购政策：包括节约资源、保护环境、支持创新、促进中小企业发展等，详见磋商文件第三部分。（2）电子交易的说明: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投标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3</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磋商文件公告期限与磋商公告的公告期限一致。</w:t>
      </w:r>
    </w:p>
    <w:p w14:paraId="3A27ECF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6AD37AE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3F09971A">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杭州市滨江区民政局</w:t>
      </w:r>
    </w:p>
    <w:p w14:paraId="002170E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_GB2312" w:hAnsi="仿宋" w:eastAsia="仿宋_GB2312" w:cs="Times New Roman"/>
          <w:color w:val="auto"/>
          <w:sz w:val="24"/>
          <w:highlight w:val="none"/>
          <w:lang w:val="en-US" w:eastAsia="zh-CN"/>
        </w:rPr>
        <w:t>杭州市滨江区春晓路580号7楼</w:t>
      </w:r>
      <w:r>
        <w:rPr>
          <w:rFonts w:hint="eastAsia" w:ascii="仿宋_GB2312" w:hAnsi="仿宋" w:eastAsia="仿宋_GB2312" w:cs="Times New Roman"/>
          <w:color w:val="auto"/>
          <w:sz w:val="24"/>
          <w:highlight w:val="none"/>
        </w:rPr>
        <w:t xml:space="preserve"> </w:t>
      </w:r>
      <w:r>
        <w:rPr>
          <w:rFonts w:ascii="仿宋_GB2312" w:hAnsi="仿宋" w:eastAsia="仿宋_GB2312" w:cs="Times New Roman"/>
          <w:color w:val="auto"/>
          <w:sz w:val="24"/>
          <w:highlight w:val="none"/>
        </w:rPr>
        <w:t xml:space="preserve"> </w:t>
      </w:r>
      <w:r>
        <w:rPr>
          <w:rFonts w:hint="eastAsia" w:ascii="仿宋" w:hAnsi="仿宋" w:eastAsia="仿宋" w:cs="仿宋"/>
          <w:color w:val="auto"/>
          <w:sz w:val="24"/>
          <w:highlight w:val="none"/>
        </w:rPr>
        <w:t xml:space="preserve">     </w:t>
      </w:r>
    </w:p>
    <w:p w14:paraId="319AB21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 /</w:t>
      </w:r>
    </w:p>
    <w:p w14:paraId="037D7C7F">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唐女士</w:t>
      </w:r>
    </w:p>
    <w:p w14:paraId="17864BFE">
      <w:pPr>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0571-89521141</w:t>
      </w:r>
    </w:p>
    <w:p w14:paraId="6B0D5F03">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陶女士</w:t>
      </w:r>
    </w:p>
    <w:p w14:paraId="1062073D">
      <w:pPr>
        <w:snapToGrid w:val="0"/>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质疑联系方式：0571-</w:t>
      </w:r>
      <w:r>
        <w:rPr>
          <w:rFonts w:hint="eastAsia" w:ascii="仿宋" w:hAnsi="仿宋" w:eastAsia="仿宋" w:cs="仿宋"/>
          <w:color w:val="auto"/>
          <w:sz w:val="24"/>
          <w:highlight w:val="none"/>
          <w:lang w:val="en-US" w:eastAsia="zh-CN"/>
        </w:rPr>
        <w:t>89521116</w:t>
      </w:r>
    </w:p>
    <w:p w14:paraId="2463472B">
      <w:pPr>
        <w:snapToGrid w:val="0"/>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2.采购代理机构</w:t>
      </w:r>
      <w:r>
        <w:rPr>
          <w:rFonts w:hint="eastAsia" w:ascii="仿宋" w:hAnsi="仿宋" w:eastAsia="仿宋" w:cs="仿宋"/>
          <w:color w:val="auto"/>
          <w:sz w:val="24"/>
          <w:highlight w:val="none"/>
          <w:lang w:val="en-US"/>
        </w:rPr>
        <w:t xml:space="preserve">信息            </w:t>
      </w:r>
    </w:p>
    <w:p w14:paraId="7029E73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称：杭州博实招标代理有限公司</w:t>
      </w:r>
    </w:p>
    <w:p w14:paraId="7597AB6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    址：杭州市西湖区振华路200号瑞鼎大厦B座606室</w:t>
      </w:r>
    </w:p>
    <w:p w14:paraId="5554DEF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2702507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邮箱：boshizb@126.com</w:t>
      </w:r>
    </w:p>
    <w:p w14:paraId="2EAF0D1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陈旭涛</w:t>
      </w:r>
      <w:r>
        <w:rPr>
          <w:rFonts w:hint="eastAsia" w:ascii="仿宋" w:hAnsi="仿宋" w:eastAsia="仿宋" w:cs="仿宋"/>
          <w:color w:val="auto"/>
          <w:sz w:val="24"/>
          <w:highlight w:val="none"/>
        </w:rPr>
        <w:t xml:space="preserve">       </w:t>
      </w:r>
    </w:p>
    <w:p w14:paraId="46247CC2">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项目联系方式（询问）：0571-5692</w:t>
      </w:r>
      <w:r>
        <w:rPr>
          <w:rFonts w:hint="eastAsia" w:ascii="仿宋" w:hAnsi="仿宋" w:eastAsia="仿宋" w:cs="仿宋"/>
          <w:color w:val="auto"/>
          <w:sz w:val="24"/>
          <w:highlight w:val="none"/>
          <w:lang w:val="en-US" w:eastAsia="zh-CN"/>
        </w:rPr>
        <w:t>8850</w:t>
      </w:r>
    </w:p>
    <w:p w14:paraId="00C37E1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kern w:val="0"/>
          <w:sz w:val="24"/>
          <w:highlight w:val="none"/>
        </w:rPr>
        <w:t>潘树鸣</w:t>
      </w:r>
      <w:r>
        <w:rPr>
          <w:rFonts w:hint="eastAsia" w:ascii="仿宋" w:hAnsi="仿宋" w:eastAsia="仿宋" w:cs="仿宋"/>
          <w:color w:val="auto"/>
          <w:sz w:val="24"/>
          <w:highlight w:val="none"/>
        </w:rPr>
        <w:t xml:space="preserve">              </w:t>
      </w:r>
    </w:p>
    <w:p w14:paraId="4F36676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质疑联系方式：0571-87916090</w:t>
      </w:r>
    </w:p>
    <w:p w14:paraId="19A8E64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4EE97B0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称：杭州市滨江区财政局、浙江省政府采购行政裁决服务中心（杭州）</w:t>
      </w:r>
    </w:p>
    <w:p w14:paraId="1C0CC5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1ADF4111">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0D1BE1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人：朱女士、王女士</w:t>
      </w:r>
    </w:p>
    <w:p w14:paraId="02DFBAC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监督投诉电话：0571-87800218,0571-87227671</w:t>
      </w:r>
    </w:p>
    <w:p w14:paraId="36B2A1F0">
      <w:pPr>
        <w:snapToGrid w:val="0"/>
        <w:spacing w:line="360" w:lineRule="auto"/>
        <w:ind w:firstLine="480" w:firstLineChars="200"/>
        <w:rPr>
          <w:rFonts w:hint="eastAsia" w:ascii="仿宋" w:hAnsi="仿宋" w:eastAsia="仿宋" w:cs="仿宋"/>
          <w:color w:val="auto"/>
          <w:sz w:val="24"/>
          <w:highlight w:val="none"/>
        </w:rPr>
      </w:pPr>
    </w:p>
    <w:p w14:paraId="29B8A15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获取热线服务帮助。</w:t>
      </w:r>
    </w:p>
    <w:p w14:paraId="5DC2EAEC">
      <w:pPr>
        <w:snapToGrid w:val="0"/>
        <w:spacing w:line="360" w:lineRule="auto"/>
        <w:ind w:firstLine="480" w:firstLineChars="200"/>
        <w:rPr>
          <w:rFonts w:hint="eastAsia" w:ascii="仿宋" w:hAnsi="仿宋" w:eastAsia="仿宋" w:cs="仿宋"/>
          <w:color w:val="auto"/>
          <w:sz w:val="24"/>
          <w:highlight w:val="none"/>
        </w:rPr>
      </w:pPr>
    </w:p>
    <w:p w14:paraId="07DE7809">
      <w:pPr>
        <w:snapToGrid w:val="0"/>
        <w:spacing w:line="360" w:lineRule="auto"/>
        <w:ind w:firstLine="480" w:firstLineChars="200"/>
        <w:rPr>
          <w:rFonts w:ascii="仿宋" w:hAnsi="仿宋" w:eastAsia="仿宋" w:cs="仿宋"/>
          <w:color w:val="auto"/>
          <w:sz w:val="24"/>
          <w:highlight w:val="none"/>
        </w:rPr>
        <w:sectPr>
          <w:footerReference r:id="rId9" w:type="first"/>
          <w:footerReference r:id="rId8" w:type="default"/>
          <w:pgSz w:w="11906" w:h="16838"/>
          <w:pgMar w:top="1134" w:right="1417" w:bottom="1134" w:left="1417" w:header="851" w:footer="992" w:gutter="0"/>
          <w:pgNumType w:fmt="decimal"/>
          <w:cols w:space="720" w:num="1"/>
          <w:docGrid w:linePitch="312" w:charSpace="0"/>
        </w:sectPr>
      </w:pPr>
      <w:r>
        <w:rPr>
          <w:rFonts w:hint="eastAsia" w:ascii="仿宋" w:hAnsi="仿宋" w:eastAsia="仿宋" w:cs="仿宋"/>
          <w:color w:val="auto"/>
          <w:sz w:val="24"/>
          <w:highlight w:val="none"/>
        </w:rPr>
        <w:t>CA问题联系电话（人工）：汇信CA 400-888-4636；天谷CA 400-087-8198。</w:t>
      </w:r>
    </w:p>
    <w:p w14:paraId="5414C05C">
      <w:pPr>
        <w:jc w:val="center"/>
        <w:rPr>
          <w:rFonts w:hint="eastAsia" w:ascii="仿宋" w:hAnsi="仿宋" w:eastAsia="仿宋" w:cs="仿宋"/>
          <w:b/>
          <w:snapToGrid/>
          <w:color w:val="auto"/>
          <w:sz w:val="36"/>
          <w:szCs w:val="20"/>
          <w:highlight w:val="none"/>
        </w:rPr>
      </w:pPr>
      <w:r>
        <w:rPr>
          <w:rFonts w:hint="eastAsia" w:ascii="仿宋" w:hAnsi="仿宋" w:eastAsia="仿宋" w:cs="仿宋"/>
          <w:b/>
          <w:color w:val="auto"/>
          <w:sz w:val="36"/>
          <w:szCs w:val="36"/>
          <w:highlight w:val="none"/>
        </w:rPr>
        <w:t>第二部分 竞争性磋商流程</w:t>
      </w:r>
    </w:p>
    <w:p w14:paraId="156A8656">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1.征集供应商</w:t>
      </w:r>
    </w:p>
    <w:p w14:paraId="1B756B2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1.1邀请供应商。</w:t>
      </w:r>
    </w:p>
    <w:p w14:paraId="68EB950E">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b/>
          <w:bCs/>
          <w:color w:val="auto"/>
          <w:sz w:val="24"/>
          <w:highlight w:val="none"/>
        </w:rPr>
        <w:t>采用公告方式邀请供应商的，</w:t>
      </w:r>
      <w:r>
        <w:rPr>
          <w:rFonts w:hint="eastAsia" w:ascii="仿宋" w:hAnsi="仿宋" w:eastAsia="仿宋" w:cs="仿宋"/>
          <w:color w:val="auto"/>
          <w:sz w:val="24"/>
          <w:highlight w:val="none"/>
        </w:rPr>
        <w:t>由采购人、采购代理机构在省级以上人民政府财政部门指定的政府采购信息发布媒体上发布磋商公告，邀请符合相应资格条件的供应商参与竞争性磋商采购活动。</w:t>
      </w:r>
    </w:p>
    <w:p w14:paraId="41296023">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bCs/>
          <w:color w:val="auto"/>
          <w:sz w:val="24"/>
          <w:highlight w:val="none"/>
        </w:rPr>
        <w:t>采用随机抽取方式邀请供应商的，</w:t>
      </w:r>
      <w:r>
        <w:rPr>
          <w:rFonts w:hint="eastAsia" w:ascii="仿宋" w:hAnsi="仿宋" w:eastAsia="仿宋" w:cs="仿宋"/>
          <w:color w:val="auto"/>
          <w:sz w:val="24"/>
          <w:highlight w:val="none"/>
        </w:rPr>
        <w:t>由采购人、采购代理机构从省级以上财政部门建立的供应商库中随机抽取不少于3家符合相应资格条件的供应商参与竞争性磋商采购活动。</w:t>
      </w:r>
    </w:p>
    <w:p w14:paraId="08EC97CE">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bCs/>
          <w:color w:val="auto"/>
          <w:sz w:val="24"/>
          <w:highlight w:val="none"/>
        </w:rPr>
        <w:t>采用书面推荐方式邀请供应商的，</w:t>
      </w:r>
      <w:r>
        <w:rPr>
          <w:rFonts w:hint="eastAsia" w:ascii="仿宋" w:hAnsi="仿宋" w:eastAsia="仿宋" w:cs="仿宋"/>
          <w:color w:val="auto"/>
          <w:sz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5B6F41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1.2供应商获取磋商文件。</w:t>
      </w:r>
    </w:p>
    <w:p w14:paraId="0D321C6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1.3组织现场考察或召开答疑会（如果有）。</w:t>
      </w:r>
    </w:p>
    <w:p w14:paraId="417458A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1.4发布更正（延期）公告，澄清或修改磋商文件（如果有）。</w:t>
      </w:r>
    </w:p>
    <w:p w14:paraId="745F51A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1.5供应商按磋商文件要求编制响应文件。</w:t>
      </w:r>
    </w:p>
    <w:p w14:paraId="7E219A52">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2.响应文件开启与信用信息查询</w:t>
      </w:r>
    </w:p>
    <w:p w14:paraId="3BE8C5C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2.1供应商依据“提交响应文件的截止时间与地点”通过政采云平台在线提交响应文件。供应商在提交响应文件的截止时间前，可以补充、修改或撤回响应文件。</w:t>
      </w:r>
    </w:p>
    <w:p w14:paraId="1D52199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2.2采购代理机构将通过“信用中国”网站(www.creditchina.gov.cn)和中国政府采购网(www.ccgp.gov.cn)渠道查询供应商响应截止时间当日的信用记录。</w:t>
      </w:r>
    </w:p>
    <w:p w14:paraId="2373A91A">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3.磋商与评审</w:t>
      </w:r>
    </w:p>
    <w:p w14:paraId="621F85C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3.1磋商小组签到。</w:t>
      </w:r>
    </w:p>
    <w:p w14:paraId="2525D47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3.2采购代理机构宣布有关纪律以及磋商、评审工作程序。</w:t>
      </w:r>
    </w:p>
    <w:p w14:paraId="2ACF3CF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3.3磋商小组审查确认磋商文件。磋商文件内容违反国家有关强制性规定的，磋商小组应当停止评审并向采购代理机构说明情况。</w:t>
      </w:r>
    </w:p>
    <w:p w14:paraId="4BBA2D0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3.4磋商小组对供应商的资格进行审查。</w:t>
      </w:r>
    </w:p>
    <w:p w14:paraId="586A5A2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3.5磋商小组审查响应文件。</w:t>
      </w:r>
    </w:p>
    <w:p w14:paraId="5C8A2B4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3.6对于未实质性响应磋商文件的响应文件由磋商小组认定响应无效，并告知该供应商。</w:t>
      </w:r>
    </w:p>
    <w:p w14:paraId="6BCC01F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DF3FB80">
      <w:pPr>
        <w:pStyle w:val="134"/>
        <w:spacing w:before="0"/>
        <w:ind w:firstLine="480"/>
        <w:rPr>
          <w:rFonts w:ascii="仿宋_GB2312" w:hAnsi="仿宋" w:eastAsia="仿宋_GB2312"/>
          <w:color w:val="auto"/>
          <w:szCs w:val="24"/>
          <w:highlight w:val="none"/>
        </w:rPr>
      </w:pPr>
      <w:r>
        <w:rPr>
          <w:rFonts w:hint="eastAsia" w:ascii="仿宋" w:hAnsi="仿宋" w:eastAsia="仿宋" w:cs="仿宋"/>
          <w:color w:val="auto"/>
          <w:highlight w:val="none"/>
        </w:rPr>
        <w:t>3.8</w:t>
      </w:r>
      <w:r>
        <w:rPr>
          <w:rFonts w:hint="eastAsia" w:ascii="仿宋_GB2312" w:hAnsi="仿宋" w:eastAsia="仿宋_GB2312"/>
          <w:color w:val="auto"/>
          <w:szCs w:val="24"/>
          <w:highlight w:val="none"/>
        </w:rPr>
        <w:t>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1FEA5B1B">
      <w:pPr>
        <w:pStyle w:val="134"/>
        <w:spacing w:before="0"/>
        <w:ind w:firstLine="480"/>
        <w:rPr>
          <w:rFonts w:ascii="仿宋_GB2312" w:hAnsi="仿宋" w:eastAsia="仿宋_GB2312"/>
          <w:color w:val="auto"/>
          <w:szCs w:val="24"/>
          <w:highlight w:val="none"/>
        </w:rPr>
      </w:pPr>
      <w:r>
        <w:rPr>
          <w:rFonts w:hint="eastAsia" w:ascii="仿宋_GB2312" w:hAnsi="仿宋" w:eastAsia="仿宋_GB2312"/>
          <w:color w:val="auto"/>
          <w:szCs w:val="24"/>
          <w:highlight w:val="none"/>
        </w:rPr>
        <w:t>磋商形式：</w:t>
      </w:r>
    </w:p>
    <w:p w14:paraId="130E2F81">
      <w:pPr>
        <w:pStyle w:val="134"/>
        <w:spacing w:before="0"/>
        <w:ind w:firstLine="482"/>
        <w:rPr>
          <w:rFonts w:ascii="仿宋_GB2312" w:hAnsi="仿宋" w:eastAsia="仿宋_GB2312"/>
          <w:color w:val="auto"/>
          <w:szCs w:val="24"/>
          <w:highlight w:val="none"/>
        </w:rPr>
      </w:pPr>
      <w:r>
        <w:rPr>
          <w:rFonts w:hint="eastAsia" w:ascii="仿宋" w:hAnsi="仿宋" w:eastAsia="仿宋" w:cs="仿宋"/>
          <w:b/>
          <w:bCs/>
          <w:color w:val="auto"/>
          <w:highlight w:val="none"/>
        </w:rPr>
        <w:sym w:font="Wingdings 2" w:char="00A3"/>
      </w:r>
      <w:r>
        <w:rPr>
          <w:rFonts w:hint="eastAsia" w:ascii="仿宋_GB2312" w:hAnsi="仿宋_GB2312" w:eastAsia="仿宋_GB2312" w:cs="仿宋_GB2312"/>
          <w:color w:val="auto"/>
          <w:szCs w:val="24"/>
          <w:highlight w:val="none"/>
        </w:rPr>
        <w:t>远程在线视频磋商：</w:t>
      </w:r>
      <w:r>
        <w:rPr>
          <w:rFonts w:hint="eastAsia" w:ascii="仿宋_GB2312" w:hAnsi="仿宋" w:eastAsia="仿宋_GB2312"/>
          <w:color w:val="auto"/>
          <w:szCs w:val="24"/>
          <w:highlight w:val="none"/>
        </w:rPr>
        <w:t>磋商时由采购代理机构利用政采云平台发起磋商邀请，供应商通过政采云“在线评审室”进行远程视频磋商。供应商使用CA数字证书登陆政采云平台——收到视频评审邀请——点击“视频评审”进入“视频评审系统”——开始远程磋商活动;</w:t>
      </w:r>
    </w:p>
    <w:p w14:paraId="3A368E87">
      <w:pPr>
        <w:pStyle w:val="134"/>
        <w:spacing w:before="0"/>
        <w:ind w:firstLine="482"/>
        <w:rPr>
          <w:rFonts w:ascii="仿宋_GB2312" w:hAnsi="仿宋_GB2312" w:eastAsia="仿宋_GB2312" w:cs="仿宋_GB2312"/>
          <w:color w:val="auto"/>
          <w:szCs w:val="24"/>
          <w:highlight w:val="none"/>
        </w:rPr>
      </w:pPr>
      <w:r>
        <w:rPr>
          <w:rFonts w:hint="eastAsia" w:ascii="仿宋" w:hAnsi="仿宋" w:eastAsia="仿宋" w:cs="仿宋"/>
          <w:b/>
          <w:bCs/>
          <w:color w:val="auto"/>
          <w:highlight w:val="none"/>
        </w:rPr>
        <w:sym w:font="Wingdings 2" w:char="0052"/>
      </w:r>
      <w:r>
        <w:rPr>
          <w:rFonts w:hint="eastAsia" w:ascii="仿宋_GB2312" w:hAnsi="仿宋_GB2312" w:eastAsia="仿宋_GB2312" w:cs="仿宋_GB2312"/>
          <w:color w:val="auto"/>
          <w:szCs w:val="24"/>
          <w:highlight w:val="none"/>
        </w:rPr>
        <w:t>远程在线非视频磋商：</w:t>
      </w:r>
      <w:r>
        <w:rPr>
          <w:rFonts w:hint="eastAsia" w:ascii="仿宋_GB2312" w:hAnsi="仿宋" w:eastAsia="仿宋_GB2312"/>
          <w:color w:val="auto"/>
          <w:szCs w:val="24"/>
          <w:highlight w:val="none"/>
        </w:rPr>
        <w:t>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3B31A391">
      <w:pPr>
        <w:pStyle w:val="134"/>
        <w:spacing w:before="0"/>
        <w:ind w:firstLine="482"/>
        <w:rPr>
          <w:rFonts w:ascii="仿宋_GB2312" w:hAnsi="仿宋" w:eastAsia="仿宋_GB2312"/>
          <w:color w:val="auto"/>
          <w:szCs w:val="24"/>
          <w:highlight w:val="none"/>
        </w:rPr>
      </w:pPr>
      <w:r>
        <w:rPr>
          <w:rFonts w:hint="eastAsia" w:ascii="仿宋" w:hAnsi="仿宋" w:eastAsia="仿宋" w:cs="仿宋"/>
          <w:b/>
          <w:bCs/>
          <w:color w:val="auto"/>
          <w:highlight w:val="none"/>
        </w:rPr>
        <w:sym w:font="Wingdings 2" w:char="00A3"/>
      </w:r>
      <w:r>
        <w:rPr>
          <w:rFonts w:hint="eastAsia" w:ascii="仿宋_GB2312" w:hAnsi="仿宋_GB2312" w:eastAsia="仿宋_GB2312" w:cs="仿宋_GB2312"/>
          <w:color w:val="auto"/>
          <w:szCs w:val="24"/>
          <w:highlight w:val="none"/>
        </w:rPr>
        <w:t>评审现场磋商：</w:t>
      </w:r>
      <w:r>
        <w:rPr>
          <w:rFonts w:hint="eastAsia" w:ascii="仿宋_GB2312" w:hAnsi="仿宋" w:eastAsia="仿宋_GB2312"/>
          <w:color w:val="auto"/>
          <w:szCs w:val="24"/>
          <w:highlight w:val="none"/>
        </w:rPr>
        <w:t>对于要求到采购代理机构现场进行磋商的供应商，需在采购代理机构指定会议室开展磋商活动，磋商小组在现场集中与单一供应商分别进行磋商。</w:t>
      </w:r>
    </w:p>
    <w:p w14:paraId="494A87A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3.9经磋商确定磋商文件的变动情况。对磋商文件作出的实质性变动是磋商文件的有效组成部分，磋商小组应当及时以书面形式同时通知所有参加磋商的供应商。</w:t>
      </w:r>
    </w:p>
    <w:p w14:paraId="7BC7273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A901F6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3.11磋商小组按照下列方式确定提交最后报价的供应商，有特殊规定的从其规定：</w:t>
      </w:r>
    </w:p>
    <w:p w14:paraId="6A5BC97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E08B92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80BA6F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3.12确定进入最后报价的供应商在规定时间内提交最后报价。</w:t>
      </w:r>
    </w:p>
    <w:p w14:paraId="5E5C089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3.13采购代理机构唱价。</w:t>
      </w:r>
    </w:p>
    <w:p w14:paraId="1AB8AB7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5DD0DE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3.15磋商小组应当根据综合评分情况，按照评审得分由高到低顺序推荐3名以上成交候选供应商，并编写评审报告。</w:t>
      </w:r>
    </w:p>
    <w:p w14:paraId="4F08E27C">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 成交</w:t>
      </w:r>
    </w:p>
    <w:p w14:paraId="7F73D66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EEEC60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5C8640A">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5.合同及履约验收</w:t>
      </w:r>
    </w:p>
    <w:p w14:paraId="30E7D8C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5.1采购人与成交供应商应当在成交通知书发出之日起30日内签订政府采购合同。</w:t>
      </w:r>
    </w:p>
    <w:p w14:paraId="7E9D837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7BB4F53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5.3合同履约。</w:t>
      </w:r>
    </w:p>
    <w:p w14:paraId="15110C7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5.4采购人组织验收。</w:t>
      </w:r>
    </w:p>
    <w:p w14:paraId="34A92A51">
      <w:pPr>
        <w:rPr>
          <w:rFonts w:hint="eastAsia" w:ascii="仿宋" w:hAnsi="仿宋" w:eastAsia="仿宋" w:cs="仿宋"/>
          <w:b/>
          <w:snapToGrid/>
          <w:color w:val="auto"/>
          <w:sz w:val="36"/>
          <w:szCs w:val="20"/>
          <w:highlight w:val="none"/>
        </w:rPr>
      </w:pPr>
    </w:p>
    <w:p w14:paraId="38EC02FE">
      <w:pPr>
        <w:rPr>
          <w:rFonts w:hint="eastAsia" w:ascii="仿宋" w:hAnsi="仿宋" w:eastAsia="仿宋" w:cs="仿宋"/>
          <w:b/>
          <w:snapToGrid/>
          <w:color w:val="auto"/>
          <w:sz w:val="36"/>
          <w:szCs w:val="20"/>
          <w:highlight w:val="none"/>
        </w:rPr>
      </w:pPr>
      <w:r>
        <w:rPr>
          <w:rFonts w:hint="eastAsia" w:ascii="仿宋" w:hAnsi="仿宋" w:eastAsia="仿宋" w:cs="仿宋"/>
          <w:b/>
          <w:snapToGrid/>
          <w:color w:val="auto"/>
          <w:sz w:val="36"/>
          <w:szCs w:val="20"/>
          <w:highlight w:val="none"/>
        </w:rPr>
        <w:br w:type="page"/>
      </w:r>
    </w:p>
    <w:p w14:paraId="26B065EE">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6.竞争性磋商流程图</w:t>
      </w:r>
    </w:p>
    <w:p w14:paraId="653D41B1">
      <w:pPr>
        <w:rPr>
          <w:rFonts w:hint="eastAsia" w:ascii="仿宋" w:hAnsi="仿宋" w:eastAsia="仿宋" w:cs="仿宋"/>
          <w:b/>
          <w:snapToGrid/>
          <w:color w:val="auto"/>
          <w:sz w:val="36"/>
          <w:szCs w:val="20"/>
          <w:highlight w:val="none"/>
        </w:rPr>
      </w:pPr>
      <w:r>
        <w:rPr>
          <w:rFonts w:hint="eastAsia" w:ascii="仿宋" w:hAnsi="仿宋" w:eastAsia="仿宋" w:cs="仿宋"/>
          <w:b/>
          <w:color w:val="auto"/>
          <w:sz w:val="36"/>
          <w:szCs w:val="20"/>
          <w:highlight w:val="none"/>
        </w:rPr>
        <w:drawing>
          <wp:anchor distT="0" distB="0" distL="0" distR="0" simplePos="0" relativeHeight="251666432" behindDoc="0" locked="0" layoutInCell="1" allowOverlap="1">
            <wp:simplePos x="0" y="0"/>
            <wp:positionH relativeFrom="column">
              <wp:posOffset>1544955</wp:posOffset>
            </wp:positionH>
            <wp:positionV relativeFrom="paragraph">
              <wp:posOffset>149860</wp:posOffset>
            </wp:positionV>
            <wp:extent cx="3389630" cy="7677785"/>
            <wp:effectExtent l="0" t="0" r="8890" b="3175"/>
            <wp:wrapNone/>
            <wp:docPr id="1026" name="图片 2" descr="1677552397813"/>
            <wp:cNvGraphicFramePr/>
            <a:graphic xmlns:a="http://schemas.openxmlformats.org/drawingml/2006/main">
              <a:graphicData uri="http://schemas.openxmlformats.org/drawingml/2006/picture">
                <pic:pic xmlns:pic="http://schemas.openxmlformats.org/drawingml/2006/picture">
                  <pic:nvPicPr>
                    <pic:cNvPr id="1026" name="图片 2" descr="1677552397813"/>
                    <pic:cNvPicPr/>
                  </pic:nvPicPr>
                  <pic:blipFill>
                    <a:blip r:embed="rId30" cstate="print"/>
                    <a:srcRect/>
                    <a:stretch>
                      <a:fillRect/>
                    </a:stretch>
                  </pic:blipFill>
                  <pic:spPr>
                    <a:xfrm>
                      <a:off x="0" y="0"/>
                      <a:ext cx="3389630" cy="7677785"/>
                    </a:xfrm>
                    <a:prstGeom prst="rect">
                      <a:avLst/>
                    </a:prstGeom>
                  </pic:spPr>
                </pic:pic>
              </a:graphicData>
            </a:graphic>
          </wp:anchor>
        </w:drawing>
      </w:r>
      <w:r>
        <w:rPr>
          <w:rFonts w:hint="eastAsia" w:ascii="仿宋" w:hAnsi="仿宋" w:eastAsia="仿宋" w:cs="仿宋"/>
          <w:b/>
          <w:snapToGrid/>
          <w:color w:val="auto"/>
          <w:sz w:val="36"/>
          <w:szCs w:val="20"/>
          <w:highlight w:val="none"/>
        </w:rPr>
        <w:br w:type="page"/>
      </w:r>
    </w:p>
    <w:bookmarkEnd w:id="7"/>
    <w:bookmarkEnd w:id="8"/>
    <w:p w14:paraId="6563271C">
      <w:pPr>
        <w:pStyle w:val="33"/>
        <w:spacing w:line="360" w:lineRule="auto"/>
        <w:jc w:val="center"/>
        <w:rPr>
          <w:rFonts w:ascii="仿宋" w:hAnsi="仿宋" w:eastAsia="仿宋" w:cs="仿宋"/>
          <w:b/>
          <w:snapToGrid/>
          <w:color w:val="auto"/>
          <w:sz w:val="36"/>
          <w:szCs w:val="20"/>
          <w:highlight w:val="none"/>
        </w:rPr>
      </w:pPr>
      <w:r>
        <w:rPr>
          <w:rFonts w:hint="eastAsia" w:ascii="仿宋" w:hAnsi="仿宋" w:eastAsia="仿宋" w:cs="仿宋"/>
          <w:b/>
          <w:snapToGrid/>
          <w:color w:val="auto"/>
          <w:sz w:val="36"/>
          <w:szCs w:val="20"/>
          <w:highlight w:val="none"/>
        </w:rPr>
        <w:t>第三部分 供应商须知</w:t>
      </w:r>
    </w:p>
    <w:p w14:paraId="596E4E8D">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一、前附表</w:t>
      </w:r>
    </w:p>
    <w:tbl>
      <w:tblPr>
        <w:tblStyle w:val="63"/>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46"/>
        <w:gridCol w:w="6567"/>
      </w:tblGrid>
      <w:tr w14:paraId="5454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atLeast"/>
        </w:trPr>
        <w:tc>
          <w:tcPr>
            <w:tcW w:w="714" w:type="dxa"/>
          </w:tcPr>
          <w:p w14:paraId="293AFA91">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6" w:type="dxa"/>
            <w:vAlign w:val="center"/>
          </w:tcPr>
          <w:p w14:paraId="04D9AF86">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567" w:type="dxa"/>
            <w:vAlign w:val="center"/>
          </w:tcPr>
          <w:p w14:paraId="4154CA53">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0DE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trPr>
        <w:tc>
          <w:tcPr>
            <w:tcW w:w="714" w:type="dxa"/>
            <w:vAlign w:val="center"/>
          </w:tcPr>
          <w:p w14:paraId="45D447BA">
            <w:pPr>
              <w:pageBreakBefore w:val="0"/>
              <w:kinsoku/>
              <w:wordWrap/>
              <w:overflowPunct/>
              <w:topLinePunct w:val="0"/>
              <w:autoSpaceDE/>
              <w:autoSpaceDN/>
              <w:bidi w:val="0"/>
              <w:snapToGrid w:val="0"/>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6" w:type="dxa"/>
            <w:vAlign w:val="center"/>
          </w:tcPr>
          <w:p w14:paraId="1F619884">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567" w:type="dxa"/>
            <w:vAlign w:val="center"/>
          </w:tcPr>
          <w:p w14:paraId="686414AB">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6F63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9F8CD2A">
            <w:pPr>
              <w:pageBreakBefore w:val="0"/>
              <w:kinsoku/>
              <w:wordWrap/>
              <w:overflowPunct/>
              <w:topLinePunct w:val="0"/>
              <w:autoSpaceDE/>
              <w:autoSpaceDN/>
              <w:bidi w:val="0"/>
              <w:snapToGrid w:val="0"/>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6" w:type="dxa"/>
            <w:vAlign w:val="center"/>
          </w:tcPr>
          <w:p w14:paraId="5ADB7104">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567" w:type="dxa"/>
            <w:vAlign w:val="center"/>
          </w:tcPr>
          <w:p w14:paraId="4C5AAB92">
            <w:pPr>
              <w:pStyle w:val="4"/>
              <w:pageBreakBefore w:val="0"/>
              <w:kinsoku/>
              <w:wordWrap/>
              <w:overflowPunct/>
              <w:topLinePunct w:val="0"/>
              <w:autoSpaceDE/>
              <w:autoSpaceDN/>
              <w:bidi w:val="0"/>
              <w:spacing w:line="400" w:lineRule="exact"/>
              <w:jc w:val="both"/>
              <w:textAlignment w:val="auto"/>
              <w:rPr>
                <w:rFonts w:hint="eastAsia" w:ascii="仿宋" w:eastAsia="仿宋" w:cs="仿宋"/>
                <w:b w:val="0"/>
                <w:bCs w:val="0"/>
                <w:color w:val="auto"/>
                <w:kern w:val="0"/>
                <w:sz w:val="24"/>
                <w:szCs w:val="24"/>
                <w:highlight w:val="none"/>
              </w:rPr>
            </w:pPr>
            <w:r>
              <w:rPr>
                <w:rFonts w:hint="eastAsia" w:ascii="仿宋" w:eastAsia="仿宋" w:cs="仿宋"/>
                <w:b w:val="0"/>
                <w:bCs w:val="0"/>
                <w:color w:val="auto"/>
                <w:kern w:val="0"/>
                <w:sz w:val="24"/>
                <w:szCs w:val="24"/>
                <w:highlight w:val="none"/>
              </w:rPr>
              <w:t>标的：</w:t>
            </w:r>
            <w:r>
              <w:rPr>
                <w:rFonts w:hint="eastAsia" w:ascii="仿宋" w:eastAsia="仿宋" w:cs="仿宋"/>
                <w:color w:val="auto"/>
                <w:sz w:val="24"/>
                <w:highlight w:val="none"/>
                <w:u w:val="single"/>
                <w:lang w:eastAsia="zh-CN"/>
              </w:rPr>
              <w:t>杭州市滨江区智慧养老呼叫综合服务项目</w:t>
            </w:r>
            <w:r>
              <w:rPr>
                <w:rFonts w:hint="eastAsia" w:ascii="仿宋" w:eastAsia="仿宋" w:cs="仿宋"/>
                <w:b w:val="0"/>
                <w:bCs w:val="0"/>
                <w:color w:val="auto"/>
                <w:kern w:val="0"/>
                <w:sz w:val="24"/>
                <w:szCs w:val="24"/>
                <w:highlight w:val="none"/>
              </w:rPr>
              <w:t>，</w:t>
            </w:r>
            <w:r>
              <w:rPr>
                <w:rFonts w:hint="eastAsia" w:ascii="仿宋" w:eastAsia="仿宋" w:cs="仿宋"/>
                <w:b w:val="0"/>
                <w:bCs w:val="0"/>
                <w:color w:val="auto"/>
                <w:sz w:val="24"/>
                <w:szCs w:val="24"/>
                <w:highlight w:val="none"/>
              </w:rPr>
              <w:t>属于</w:t>
            </w:r>
            <w:r>
              <w:rPr>
                <w:rFonts w:hint="eastAsia" w:ascii="仿宋" w:eastAsia="仿宋" w:cs="仿宋"/>
                <w:color w:val="auto"/>
                <w:kern w:val="0"/>
                <w:sz w:val="24"/>
                <w:highlight w:val="none"/>
                <w:u w:val="single"/>
              </w:rPr>
              <w:t xml:space="preserve">其他未列明 </w:t>
            </w:r>
            <w:r>
              <w:rPr>
                <w:rFonts w:hint="eastAsia" w:ascii="仿宋" w:eastAsia="仿宋" w:cs="仿宋"/>
                <w:b w:val="0"/>
                <w:bCs w:val="0"/>
                <w:color w:val="auto"/>
                <w:sz w:val="24"/>
                <w:szCs w:val="24"/>
                <w:highlight w:val="none"/>
                <w:lang w:val="en-US"/>
              </w:rPr>
              <w:t>行业</w:t>
            </w:r>
            <w:r>
              <w:rPr>
                <w:rFonts w:hint="eastAsia" w:ascii="仿宋" w:eastAsia="仿宋" w:cs="仿宋"/>
                <w:b w:val="0"/>
                <w:bCs w:val="0"/>
                <w:color w:val="auto"/>
                <w:kern w:val="0"/>
                <w:sz w:val="24"/>
                <w:szCs w:val="24"/>
                <w:highlight w:val="none"/>
              </w:rPr>
              <w:t>。</w:t>
            </w:r>
          </w:p>
          <w:p w14:paraId="08D193BD">
            <w:pPr>
              <w:pStyle w:val="4"/>
              <w:pageBreakBefore w:val="0"/>
              <w:kinsoku/>
              <w:wordWrap/>
              <w:overflowPunct/>
              <w:topLinePunct w:val="0"/>
              <w:autoSpaceDE/>
              <w:autoSpaceDN/>
              <w:bidi w:val="0"/>
              <w:spacing w:line="400" w:lineRule="exact"/>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根据《关于印发中小企业划型标准规定的通知》（工信部联</w:t>
            </w:r>
          </w:p>
          <w:p w14:paraId="5C161D9F">
            <w:pPr>
              <w:pStyle w:val="4"/>
              <w:pageBreakBefore w:val="0"/>
              <w:kinsoku/>
              <w:wordWrap/>
              <w:overflowPunct/>
              <w:topLinePunct w:val="0"/>
              <w:autoSpaceDE/>
              <w:autoSpaceDN/>
              <w:bidi w:val="0"/>
              <w:spacing w:line="400" w:lineRule="exact"/>
              <w:jc w:val="both"/>
              <w:textAlignment w:val="auto"/>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lang w:val="en-US" w:eastAsia="zh-CN" w:bidi="ar-SA"/>
              </w:rPr>
              <w:t>企业〔2011〕300）第四条第（</w:t>
            </w:r>
            <w:r>
              <w:rPr>
                <w:rFonts w:hint="eastAsia" w:ascii="仿宋" w:eastAsia="仿宋" w:cs="仿宋"/>
                <w:b w:val="0"/>
                <w:bCs w:val="0"/>
                <w:color w:val="auto"/>
                <w:kern w:val="2"/>
                <w:sz w:val="24"/>
                <w:szCs w:val="24"/>
                <w:highlight w:val="none"/>
                <w:lang w:val="en-US" w:eastAsia="zh-CN" w:bidi="ar-SA"/>
              </w:rPr>
              <w:t>十六</w:t>
            </w:r>
            <w:r>
              <w:rPr>
                <w:rFonts w:hint="eastAsia" w:ascii="仿宋" w:hAnsi="仿宋" w:eastAsia="仿宋" w:cs="仿宋"/>
                <w:b w:val="0"/>
                <w:bCs w:val="0"/>
                <w:color w:val="auto"/>
                <w:kern w:val="2"/>
                <w:sz w:val="24"/>
                <w:szCs w:val="24"/>
                <w:highlight w:val="none"/>
                <w:lang w:val="en-US" w:eastAsia="zh-CN" w:bidi="ar-SA"/>
              </w:rPr>
              <w:t>）项规定：</w:t>
            </w:r>
            <w:r>
              <w:rPr>
                <w:rFonts w:hint="eastAsia" w:ascii="仿宋" w:hAnsi="仿宋" w:eastAsia="仿宋" w:cs="仿宋"/>
                <w:b w:val="0"/>
                <w:bCs w:val="0"/>
                <w:color w:val="auto"/>
                <w:kern w:val="2"/>
                <w:sz w:val="24"/>
                <w:szCs w:val="24"/>
                <w:highlight w:val="none"/>
                <w:u w:val="single"/>
                <w:lang w:val="en-US" w:eastAsia="zh-CN" w:bidi="ar-SA"/>
              </w:rPr>
              <w:t>其他未列明</w:t>
            </w:r>
          </w:p>
          <w:p w14:paraId="3366E758">
            <w:pPr>
              <w:pStyle w:val="4"/>
              <w:pageBreakBefore w:val="0"/>
              <w:kinsoku/>
              <w:wordWrap/>
              <w:overflowPunct/>
              <w:topLinePunct w:val="0"/>
              <w:autoSpaceDE/>
              <w:autoSpaceDN/>
              <w:bidi w:val="0"/>
              <w:spacing w:line="400" w:lineRule="exact"/>
              <w:jc w:val="both"/>
              <w:textAlignment w:val="auto"/>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u w:val="single"/>
                <w:lang w:val="en-US" w:eastAsia="zh-CN" w:bidi="ar-SA"/>
              </w:rPr>
              <w:t>行业。从业人员300人以下的为中小微型企业。其中，从业</w:t>
            </w:r>
          </w:p>
          <w:p w14:paraId="66ED09AE">
            <w:pPr>
              <w:pStyle w:val="4"/>
              <w:pageBreakBefore w:val="0"/>
              <w:kinsoku/>
              <w:wordWrap/>
              <w:overflowPunct/>
              <w:topLinePunct w:val="0"/>
              <w:autoSpaceDE/>
              <w:autoSpaceDN/>
              <w:bidi w:val="0"/>
              <w:spacing w:line="400" w:lineRule="exact"/>
              <w:jc w:val="both"/>
              <w:textAlignment w:val="auto"/>
              <w:rPr>
                <w:rFonts w:hint="eastAsia" w:ascii="仿宋" w:hAnsi="仿宋" w:eastAsia="仿宋" w:cs="仿宋"/>
                <w:b w:val="0"/>
                <w:bCs w:val="0"/>
                <w:color w:val="auto"/>
                <w:kern w:val="2"/>
                <w:sz w:val="24"/>
                <w:szCs w:val="24"/>
                <w:highlight w:val="none"/>
                <w:u w:val="single"/>
                <w:lang w:val="en-US" w:eastAsia="zh-CN" w:bidi="ar-SA"/>
              </w:rPr>
            </w:pPr>
            <w:r>
              <w:rPr>
                <w:rFonts w:hint="eastAsia" w:ascii="仿宋" w:hAnsi="仿宋" w:eastAsia="仿宋" w:cs="仿宋"/>
                <w:b w:val="0"/>
                <w:bCs w:val="0"/>
                <w:color w:val="auto"/>
                <w:kern w:val="2"/>
                <w:sz w:val="24"/>
                <w:szCs w:val="24"/>
                <w:highlight w:val="none"/>
                <w:u w:val="single"/>
                <w:lang w:val="en-US" w:eastAsia="zh-CN" w:bidi="ar-SA"/>
              </w:rPr>
              <w:t>人员100人及以上的为中型企业；从业人员10人及以上的</w:t>
            </w:r>
          </w:p>
          <w:p w14:paraId="65203CF7">
            <w:pPr>
              <w:pStyle w:val="4"/>
              <w:pageBreakBefore w:val="0"/>
              <w:kinsoku/>
              <w:wordWrap/>
              <w:overflowPunct/>
              <w:topLinePunct w:val="0"/>
              <w:autoSpaceDE/>
              <w:autoSpaceDN/>
              <w:bidi w:val="0"/>
              <w:spacing w:line="400" w:lineRule="exact"/>
              <w:jc w:val="both"/>
              <w:textAlignment w:val="auto"/>
              <w:rPr>
                <w:color w:val="auto"/>
                <w:highlight w:val="none"/>
                <w:lang w:val="en-US"/>
              </w:rPr>
            </w:pPr>
            <w:r>
              <w:rPr>
                <w:rFonts w:hint="eastAsia" w:ascii="仿宋" w:hAnsi="仿宋" w:eastAsia="仿宋" w:cs="仿宋"/>
                <w:b w:val="0"/>
                <w:bCs w:val="0"/>
                <w:color w:val="auto"/>
                <w:kern w:val="2"/>
                <w:sz w:val="24"/>
                <w:szCs w:val="24"/>
                <w:highlight w:val="none"/>
                <w:u w:val="single"/>
                <w:lang w:val="en-US" w:eastAsia="zh-CN" w:bidi="ar-SA"/>
              </w:rPr>
              <w:t>为小型企业；从业人员10人以下的为微型企业。</w:t>
            </w:r>
          </w:p>
        </w:tc>
      </w:tr>
      <w:tr w14:paraId="4E35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0D4D4AB">
            <w:pPr>
              <w:pageBreakBefore w:val="0"/>
              <w:kinsoku/>
              <w:wordWrap/>
              <w:overflowPunct/>
              <w:topLinePunct w:val="0"/>
              <w:autoSpaceDE/>
              <w:autoSpaceDN/>
              <w:bidi w:val="0"/>
              <w:snapToGrid w:val="0"/>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6" w:type="dxa"/>
            <w:vAlign w:val="center"/>
          </w:tcPr>
          <w:p w14:paraId="603A6505">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567" w:type="dxa"/>
            <w:vAlign w:val="center"/>
          </w:tcPr>
          <w:p w14:paraId="4517A66D">
            <w:pPr>
              <w:pageBreakBefore w:val="0"/>
              <w:kinsoku/>
              <w:wordWrap/>
              <w:overflowPunct/>
              <w:topLinePunct w:val="0"/>
              <w:autoSpaceDE/>
              <w:autoSpaceDN/>
              <w:bidi w:val="0"/>
              <w:spacing w:line="400" w:lineRule="exact"/>
              <w:textAlignment w:val="auto"/>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 xml:space="preserve"> 本项目不允许采购进口产品。</w:t>
            </w:r>
          </w:p>
          <w:p w14:paraId="1AA833A7">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color w:val="auto"/>
                <w:kern w:val="0"/>
                <w:sz w:val="24"/>
                <w:highlight w:val="none"/>
              </w:rPr>
              <w:t xml:space="preserve"> 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76F0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F6F1542">
            <w:pPr>
              <w:pageBreakBefore w:val="0"/>
              <w:kinsoku/>
              <w:wordWrap/>
              <w:overflowPunct/>
              <w:topLinePunct w:val="0"/>
              <w:autoSpaceDE/>
              <w:autoSpaceDN/>
              <w:bidi w:val="0"/>
              <w:snapToGrid w:val="0"/>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6" w:type="dxa"/>
            <w:vAlign w:val="center"/>
          </w:tcPr>
          <w:p w14:paraId="405912CD">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567" w:type="dxa"/>
            <w:vAlign w:val="center"/>
          </w:tcPr>
          <w:p w14:paraId="0C4024D7">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13E16ABB">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07FF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CC77422">
            <w:pPr>
              <w:pageBreakBefore w:val="0"/>
              <w:kinsoku/>
              <w:wordWrap/>
              <w:overflowPunct/>
              <w:topLinePunct w:val="0"/>
              <w:autoSpaceDE/>
              <w:autoSpaceDN/>
              <w:bidi w:val="0"/>
              <w:snapToGrid w:val="0"/>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6" w:type="dxa"/>
            <w:vAlign w:val="center"/>
          </w:tcPr>
          <w:p w14:paraId="18FE15EF">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6567" w:type="dxa"/>
            <w:vAlign w:val="center"/>
          </w:tcPr>
          <w:p w14:paraId="0DDBE5FF">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14:paraId="3A75979C">
            <w:pPr>
              <w:pageBreakBefore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color w:val="auto"/>
                <w:kern w:val="0"/>
                <w:sz w:val="24"/>
                <w:highlight w:val="none"/>
              </w:rPr>
              <w:t xml:space="preserve"> 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3852E0D">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rPr>
              <w:t>C不统一组织，供应商在获取采购文件后，自行至项目现场考察。地点：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3BC9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8" w:hRule="atLeast"/>
        </w:trPr>
        <w:tc>
          <w:tcPr>
            <w:tcW w:w="714" w:type="dxa"/>
            <w:vAlign w:val="center"/>
          </w:tcPr>
          <w:p w14:paraId="4E89B921">
            <w:pPr>
              <w:pageBreakBefore w:val="0"/>
              <w:kinsoku/>
              <w:wordWrap/>
              <w:overflowPunct/>
              <w:topLinePunct w:val="0"/>
              <w:autoSpaceDE/>
              <w:autoSpaceDN/>
              <w:bidi w:val="0"/>
              <w:snapToGrid w:val="0"/>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6" w:type="dxa"/>
            <w:vAlign w:val="center"/>
          </w:tcPr>
          <w:p w14:paraId="6C07686B">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567" w:type="dxa"/>
            <w:vAlign w:val="center"/>
          </w:tcPr>
          <w:p w14:paraId="5F903502">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不要求提供。</w:t>
            </w:r>
          </w:p>
          <w:p w14:paraId="1B4ADC0B">
            <w:pPr>
              <w:pageBreakBefore w:val="0"/>
              <w:kinsoku/>
              <w:wordWrap/>
              <w:overflowPunct/>
              <w:topLinePunct w:val="0"/>
              <w:autoSpaceDE/>
              <w:autoSpaceDN/>
              <w:bidi w:val="0"/>
              <w:spacing w:line="400" w:lineRule="exact"/>
              <w:textAlignment w:val="auto"/>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 xml:space="preserve"> B要求提供，</w:t>
            </w:r>
          </w:p>
          <w:p w14:paraId="10C22AF2">
            <w:pPr>
              <w:pageBreakBefore w:val="0"/>
              <w:kinsoku/>
              <w:wordWrap/>
              <w:overflowPunct/>
              <w:topLinePunct w:val="0"/>
              <w:autoSpaceDE/>
              <w:autoSpaceDN/>
              <w:bidi w:val="0"/>
              <w:spacing w:line="400" w:lineRule="exact"/>
              <w:textAlignment w:val="auto"/>
              <w:rPr>
                <w:rFonts w:ascii="仿宋" w:hAnsi="仿宋" w:eastAsia="仿宋" w:cs="仿宋"/>
                <w:color w:val="auto"/>
                <w:kern w:val="0"/>
                <w:sz w:val="24"/>
                <w:highlight w:val="none"/>
              </w:rPr>
            </w:pPr>
            <w:r>
              <w:rPr>
                <w:rFonts w:hint="eastAsia" w:ascii="仿宋" w:hAnsi="仿宋" w:eastAsia="仿宋" w:cs="仿宋"/>
                <w:color w:val="auto"/>
                <w:sz w:val="24"/>
                <w:highlight w:val="none"/>
              </w:rPr>
              <w:t>▲</w:t>
            </w:r>
            <w:bookmarkStart w:id="389" w:name="_GoBack"/>
            <w:bookmarkEnd w:id="389"/>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手机式终端、穿戴式终端、居家式终端</w:t>
            </w:r>
            <w:r>
              <w:rPr>
                <w:rFonts w:hint="eastAsia" w:ascii="仿宋" w:hAnsi="仿宋" w:eastAsia="仿宋" w:cs="仿宋"/>
                <w:color w:val="auto"/>
                <w:sz w:val="24"/>
                <w:highlight w:val="none"/>
                <w:u w:val="single"/>
                <w:lang w:val="en-US" w:eastAsia="zh-CN"/>
              </w:rPr>
              <w:t>各1件，</w:t>
            </w:r>
            <w:r>
              <w:rPr>
                <w:rFonts w:hint="eastAsia" w:ascii="仿宋" w:hAnsi="仿宋" w:eastAsia="仿宋" w:cs="仿宋"/>
                <w:color w:val="auto"/>
                <w:kern w:val="0"/>
                <w:sz w:val="24"/>
                <w:highlight w:val="none"/>
                <w:u w:val="single"/>
                <w:lang w:val="en-US" w:eastAsia="zh-CN"/>
              </w:rPr>
              <w:t>未提供样品视为无效投标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C78BFBD">
            <w:pPr>
              <w:pageBreakBefore w:val="0"/>
              <w:kinsoku/>
              <w:wordWrap/>
              <w:overflowPunct/>
              <w:topLinePunct w:val="0"/>
              <w:autoSpaceDE/>
              <w:autoSpaceDN/>
              <w:bidi w:val="0"/>
              <w:spacing w:line="40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按采购需求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520AE02">
            <w:pPr>
              <w:pageBreakBefore w:val="0"/>
              <w:kinsoku/>
              <w:wordWrap/>
              <w:overflowPunct/>
              <w:topLinePunct w:val="0"/>
              <w:autoSpaceDE/>
              <w:autoSpaceDN/>
              <w:bidi w:val="0"/>
              <w:spacing w:line="40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评审办法</w:t>
            </w:r>
            <w:r>
              <w:rPr>
                <w:rFonts w:hint="eastAsia" w:ascii="仿宋" w:hAnsi="仿宋" w:eastAsia="仿宋" w:cs="仿宋"/>
                <w:color w:val="auto"/>
                <w:kern w:val="0"/>
                <w:sz w:val="24"/>
                <w:highlight w:val="none"/>
              </w:rPr>
              <w:t>；</w:t>
            </w:r>
          </w:p>
          <w:p w14:paraId="6981CC75">
            <w:pPr>
              <w:pageBreakBefore w:val="0"/>
              <w:kinsoku/>
              <w:wordWrap/>
              <w:overflowPunct/>
              <w:topLinePunct w:val="0"/>
              <w:autoSpaceDE/>
              <w:autoSpaceDN/>
              <w:bidi w:val="0"/>
              <w:spacing w:line="40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否；</w:t>
            </w:r>
            <w:r>
              <w:rPr>
                <w:rFonts w:hint="eastAsia" w:ascii="仿宋" w:hAnsi="仿宋" w:eastAsia="仿宋" w:cs="仿宋"/>
                <w:b/>
                <w:color w:val="auto"/>
                <w:sz w:val="24"/>
                <w:highlight w:val="none"/>
              </w:rPr>
              <w:sym w:font="Wingdings 2" w:char="00A3"/>
            </w:r>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3EE02D2">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2025年3月11日9:15</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杭州市拱墅区登云路518号恒策西城时代3幢170</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室</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u w:val="single"/>
              </w:rPr>
              <w:t>邓瑞银</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13645711835、86035851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239CF16F">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504153D">
            <w:pPr>
              <w:pageBreakBefore w:val="0"/>
              <w:kinsoku/>
              <w:wordWrap/>
              <w:overflowPunct/>
              <w:topLinePunct w:val="0"/>
              <w:autoSpaceDE/>
              <w:autoSpaceDN/>
              <w:bidi w:val="0"/>
              <w:spacing w:line="400" w:lineRule="exact"/>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14:paraId="3B63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9E81F15">
            <w:pPr>
              <w:pageBreakBefore w:val="0"/>
              <w:kinsoku/>
              <w:wordWrap/>
              <w:overflowPunct/>
              <w:topLinePunct w:val="0"/>
              <w:autoSpaceDE/>
              <w:autoSpaceDN/>
              <w:bidi w:val="0"/>
              <w:snapToGrid w:val="0"/>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6" w:type="dxa"/>
            <w:vAlign w:val="center"/>
          </w:tcPr>
          <w:p w14:paraId="72A79E38">
            <w:pPr>
              <w:pageBreakBefore w:val="0"/>
              <w:kinsoku/>
              <w:wordWrap/>
              <w:overflowPunct/>
              <w:topLinePunct w:val="0"/>
              <w:autoSpaceDE/>
              <w:autoSpaceDN/>
              <w:bidi w:val="0"/>
              <w:snapToGrid w:val="0"/>
              <w:spacing w:line="400" w:lineRule="exact"/>
              <w:jc w:val="center"/>
              <w:textAlignment w:val="auto"/>
              <w:rPr>
                <w:rFonts w:ascii="仿宋" w:hAnsi="仿宋" w:eastAsia="仿宋" w:cs="仿宋"/>
                <w:bCs/>
                <w:color w:val="auto"/>
                <w:sz w:val="24"/>
                <w:highlight w:val="none"/>
              </w:rPr>
            </w:pPr>
            <w:r>
              <w:rPr>
                <w:rFonts w:hint="eastAsia" w:ascii="仿宋" w:hAnsi="仿宋" w:eastAsia="仿宋" w:cs="仿宋"/>
                <w:b/>
                <w:color w:val="auto"/>
                <w:sz w:val="24"/>
                <w:highlight w:val="none"/>
              </w:rPr>
              <w:t>提供演示</w:t>
            </w:r>
          </w:p>
        </w:tc>
        <w:tc>
          <w:tcPr>
            <w:tcW w:w="6567" w:type="dxa"/>
            <w:vAlign w:val="center"/>
          </w:tcPr>
          <w:p w14:paraId="0489C9A2">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C5F9304">
            <w:pPr>
              <w:pageBreakBefore w:val="0"/>
              <w:kinsoku/>
              <w:wordWrap/>
              <w:overflowPunct/>
              <w:topLinePunct w:val="0"/>
              <w:autoSpaceDE/>
              <w:autoSpaceDN/>
              <w:bidi w:val="0"/>
              <w:spacing w:line="400" w:lineRule="exact"/>
              <w:textAlignment w:val="auto"/>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 xml:space="preserve"> B组织。</w:t>
            </w:r>
          </w:p>
          <w:p w14:paraId="63471554">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响应供应商应按采购需求及评分细则要求提供视频演示。</w:t>
            </w:r>
          </w:p>
          <w:p w14:paraId="3EE1AC43">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视频U盘存储，与备份文件一起，在投标截止时间（</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lang w:val="en-US" w:eastAsia="zh-CN"/>
              </w:rPr>
              <w:t>9:15</w:t>
            </w:r>
            <w:r>
              <w:rPr>
                <w:rFonts w:hint="eastAsia" w:ascii="仿宋" w:hAnsi="仿宋" w:eastAsia="仿宋" w:cs="仿宋"/>
                <w:color w:val="auto"/>
                <w:sz w:val="24"/>
                <w:highlight w:val="none"/>
              </w:rPr>
              <w:t>）前，</w:t>
            </w:r>
            <w:r>
              <w:rPr>
                <w:rFonts w:hint="eastAsia" w:ascii="仿宋" w:hAnsi="仿宋" w:eastAsia="仿宋" w:cs="仿宋"/>
                <w:color w:val="auto"/>
                <w:sz w:val="24"/>
                <w:highlight w:val="none"/>
                <w:lang w:val="zh-CN"/>
              </w:rPr>
              <w:t>以邮寄方式送至采购代理机构。</w:t>
            </w:r>
          </w:p>
          <w:p w14:paraId="7321FB56">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应确保演示</w:t>
            </w:r>
            <w:r>
              <w:rPr>
                <w:rFonts w:hint="eastAsia" w:ascii="仿宋" w:hAnsi="仿宋" w:eastAsia="仿宋" w:cs="仿宋"/>
                <w:color w:val="auto"/>
                <w:sz w:val="24"/>
                <w:highlight w:val="none"/>
              </w:rPr>
              <w:t>视频</w:t>
            </w:r>
            <w:r>
              <w:rPr>
                <w:rFonts w:hint="eastAsia" w:ascii="仿宋" w:hAnsi="仿宋" w:eastAsia="仿宋" w:cs="仿宋"/>
                <w:color w:val="auto"/>
                <w:sz w:val="24"/>
                <w:highlight w:val="none"/>
                <w:lang w:val="zh-CN"/>
              </w:rPr>
              <w:t>的质量并配有</w:t>
            </w:r>
            <w:r>
              <w:rPr>
                <w:rFonts w:hint="eastAsia" w:ascii="仿宋" w:hAnsi="仿宋" w:eastAsia="仿宋" w:cs="仿宋"/>
                <w:color w:val="auto"/>
                <w:sz w:val="24"/>
                <w:highlight w:val="none"/>
              </w:rPr>
              <w:t>清晰、详细的</w:t>
            </w:r>
            <w:r>
              <w:rPr>
                <w:rFonts w:hint="eastAsia" w:ascii="仿宋" w:hAnsi="仿宋" w:eastAsia="仿宋" w:cs="仿宋"/>
                <w:color w:val="auto"/>
                <w:sz w:val="24"/>
                <w:highlight w:val="none"/>
                <w:lang w:val="zh-CN"/>
              </w:rPr>
              <w:t>解说</w:t>
            </w:r>
            <w:r>
              <w:rPr>
                <w:rFonts w:hint="eastAsia" w:ascii="仿宋" w:hAnsi="仿宋" w:eastAsia="仿宋" w:cs="仿宋"/>
                <w:color w:val="auto"/>
                <w:sz w:val="24"/>
                <w:highlight w:val="none"/>
              </w:rPr>
              <w:t>。时间不超过1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分钟。</w:t>
            </w:r>
            <w:r>
              <w:rPr>
                <w:rFonts w:hint="eastAsia" w:ascii="仿宋" w:hAnsi="仿宋" w:eastAsia="仿宋" w:cs="仿宋"/>
                <w:color w:val="auto"/>
                <w:sz w:val="24"/>
                <w:highlight w:val="none"/>
                <w:lang w:val="zh-CN"/>
              </w:rPr>
              <w:t>因</w:t>
            </w:r>
            <w:r>
              <w:rPr>
                <w:rFonts w:hint="eastAsia" w:ascii="仿宋" w:hAnsi="仿宋" w:eastAsia="仿宋" w:cs="仿宋"/>
                <w:color w:val="auto"/>
                <w:sz w:val="24"/>
                <w:highlight w:val="none"/>
              </w:rPr>
              <w:t>供应商自身原因导致无法演示或者演示效果不理想的，责任自负。</w:t>
            </w:r>
          </w:p>
          <w:p w14:paraId="7B001B5D">
            <w:pPr>
              <w:pageBreakBefore w:val="0"/>
              <w:kinsoku/>
              <w:wordWrap/>
              <w:overflowPunct/>
              <w:topLinePunct w:val="0"/>
              <w:autoSpaceDE/>
              <w:autoSpaceDN/>
              <w:bidi w:val="0"/>
              <w:snapToGrid w:val="0"/>
              <w:spacing w:line="400" w:lineRule="exact"/>
              <w:textAlignment w:val="auto"/>
              <w:rPr>
                <w:rFonts w:ascii="仿宋" w:hAnsi="仿宋" w:eastAsia="仿宋" w:cs="仿宋"/>
                <w:b/>
                <w:color w:val="auto"/>
                <w:kern w:val="0"/>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邮寄信息详见本附表第12项。</w:t>
            </w:r>
          </w:p>
        </w:tc>
      </w:tr>
      <w:tr w14:paraId="4EE8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4" w:hRule="atLeast"/>
        </w:trPr>
        <w:tc>
          <w:tcPr>
            <w:tcW w:w="714" w:type="dxa"/>
            <w:vMerge w:val="restart"/>
            <w:vAlign w:val="center"/>
          </w:tcPr>
          <w:p w14:paraId="325BC15E">
            <w:pPr>
              <w:pageBreakBefore w:val="0"/>
              <w:kinsoku/>
              <w:wordWrap/>
              <w:overflowPunct/>
              <w:topLinePunct w:val="0"/>
              <w:autoSpaceDE/>
              <w:autoSpaceDN/>
              <w:bidi w:val="0"/>
              <w:snapToGrid w:val="0"/>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6" w:type="dxa"/>
            <w:vMerge w:val="restart"/>
            <w:vAlign w:val="center"/>
          </w:tcPr>
          <w:p w14:paraId="09F2BCFE">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567" w:type="dxa"/>
            <w:vAlign w:val="center"/>
          </w:tcPr>
          <w:p w14:paraId="00B8AAAF">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（1）资格证明文件：见采购文件第二部分11.1。</w:t>
            </w:r>
          </w:p>
          <w:p w14:paraId="17DB865F">
            <w:pPr>
              <w:pageBreakBefore w:val="0"/>
              <w:kinsoku/>
              <w:wordWrap/>
              <w:overflowPunct/>
              <w:topLinePunct w:val="0"/>
              <w:autoSpaceDE/>
              <w:autoSpaceDN/>
              <w:bidi w:val="0"/>
              <w:spacing w:line="400" w:lineRule="exact"/>
              <w:textAlignment w:val="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5635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9" w:hRule="atLeast"/>
        </w:trPr>
        <w:tc>
          <w:tcPr>
            <w:tcW w:w="714" w:type="dxa"/>
            <w:vMerge w:val="continue"/>
            <w:vAlign w:val="center"/>
          </w:tcPr>
          <w:p w14:paraId="603D0474">
            <w:pPr>
              <w:pageBreakBefore w:val="0"/>
              <w:kinsoku/>
              <w:wordWrap/>
              <w:overflowPunct/>
              <w:topLinePunct w:val="0"/>
              <w:autoSpaceDE/>
              <w:autoSpaceDN/>
              <w:bidi w:val="0"/>
              <w:snapToGrid w:val="0"/>
              <w:spacing w:line="400" w:lineRule="exact"/>
              <w:jc w:val="center"/>
              <w:textAlignment w:val="auto"/>
              <w:rPr>
                <w:rFonts w:ascii="仿宋" w:hAnsi="仿宋" w:eastAsia="仿宋" w:cs="仿宋"/>
                <w:color w:val="auto"/>
                <w:sz w:val="24"/>
                <w:highlight w:val="none"/>
              </w:rPr>
            </w:pPr>
          </w:p>
        </w:tc>
        <w:tc>
          <w:tcPr>
            <w:tcW w:w="1846" w:type="dxa"/>
            <w:vMerge w:val="continue"/>
            <w:vAlign w:val="center"/>
          </w:tcPr>
          <w:p w14:paraId="1F2CCB71">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p>
        </w:tc>
        <w:tc>
          <w:tcPr>
            <w:tcW w:w="6567" w:type="dxa"/>
            <w:vAlign w:val="center"/>
          </w:tcPr>
          <w:p w14:paraId="3A4EA98C">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（2）资信证明文件：根据采购文件第五部分评审标准提供。</w:t>
            </w:r>
          </w:p>
        </w:tc>
      </w:tr>
      <w:tr w14:paraId="6FF0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CD24D6F">
            <w:pPr>
              <w:pageBreakBefore w:val="0"/>
              <w:kinsoku/>
              <w:wordWrap/>
              <w:overflowPunct/>
              <w:topLinePunct w:val="0"/>
              <w:autoSpaceDE/>
              <w:autoSpaceDN/>
              <w:bidi w:val="0"/>
              <w:snapToGrid w:val="0"/>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6" w:type="dxa"/>
            <w:vAlign w:val="center"/>
          </w:tcPr>
          <w:p w14:paraId="2C91CEDB">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p w14:paraId="11947CD0">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(本项目不适用）</w:t>
            </w:r>
          </w:p>
        </w:tc>
        <w:tc>
          <w:tcPr>
            <w:tcW w:w="6567" w:type="dxa"/>
            <w:vAlign w:val="center"/>
          </w:tcPr>
          <w:p w14:paraId="170FDE65">
            <w:pPr>
              <w:pageBreakBefore w:val="0"/>
              <w:kinsoku/>
              <w:wordWrap/>
              <w:overflowPunct/>
              <w:topLinePunct w:val="0"/>
              <w:autoSpaceDE/>
              <w:autoSpaceDN/>
              <w:bidi w:val="0"/>
              <w:snapToGrid w:val="0"/>
              <w:spacing w:line="400" w:lineRule="exac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w:t>
            </w:r>
            <w:r>
              <w:rPr>
                <w:rFonts w:hint="eastAsia" w:ascii="仿宋" w:hAnsi="仿宋" w:eastAsia="仿宋" w:cs="仿宋"/>
                <w:b/>
                <w:bCs/>
                <w:color w:val="auto"/>
                <w:kern w:val="0"/>
                <w:sz w:val="24"/>
                <w:highlight w:val="none"/>
              </w:rPr>
              <w:t>（依据文号：财库【2019】18号、【2019】19号）</w:t>
            </w:r>
            <w:r>
              <w:rPr>
                <w:rFonts w:hint="eastAsia" w:ascii="仿宋" w:hAnsi="仿宋" w:eastAsia="仿宋" w:cs="仿宋"/>
                <w:color w:val="auto"/>
                <w:kern w:val="0"/>
                <w:sz w:val="24"/>
                <w:highlight w:val="none"/>
              </w:rPr>
              <w:t>，采购人及其委托的采购代理机构将依据国家确定的认证机构出具的、处于有效期之内的节能产品、环境标志产品认证证书，对获得证书的产品实施政府优先采购或强制采购。</w:t>
            </w:r>
          </w:p>
        </w:tc>
      </w:tr>
      <w:tr w14:paraId="6620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trPr>
        <w:tc>
          <w:tcPr>
            <w:tcW w:w="714" w:type="dxa"/>
            <w:vAlign w:val="center"/>
          </w:tcPr>
          <w:p w14:paraId="3D382950">
            <w:pPr>
              <w:pageBreakBefore w:val="0"/>
              <w:kinsoku/>
              <w:wordWrap/>
              <w:overflowPunct/>
              <w:topLinePunct w:val="0"/>
              <w:autoSpaceDE/>
              <w:autoSpaceDN/>
              <w:bidi w:val="0"/>
              <w:snapToGrid w:val="0"/>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6" w:type="dxa"/>
            <w:vAlign w:val="center"/>
          </w:tcPr>
          <w:p w14:paraId="1E580E13">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6567" w:type="dxa"/>
            <w:vAlign w:val="center"/>
          </w:tcPr>
          <w:p w14:paraId="37FFD105">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有关本项目实施所需的所有费用（含税费）均计入最后报价。《最后报价</w:t>
            </w:r>
            <w:r>
              <w:rPr>
                <w:rFonts w:hint="eastAsia" w:ascii="仿宋" w:hAnsi="仿宋" w:eastAsia="仿宋" w:cs="仿宋"/>
                <w:color w:val="auto"/>
                <w:sz w:val="24"/>
                <w:highlight w:val="none"/>
              </w:rPr>
              <w:t>一览表（报价表）</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是最后报价的唯一载体</w:t>
            </w:r>
            <w:r>
              <w:rPr>
                <w:rFonts w:hint="eastAsia" w:ascii="仿宋" w:hAnsi="仿宋" w:eastAsia="仿宋" w:cs="仿宋"/>
                <w:color w:val="auto"/>
                <w:sz w:val="24"/>
                <w:highlight w:val="none"/>
                <w:lang w:val="zh-CN"/>
              </w:rPr>
              <w:t>。磋商文件中价格全部采用人民币报价。磋商文件未列明，而供应商认为必需的费用也需列入报价。提醒：验收时检测费用由采购人承担，不包含在最后报价中。</w:t>
            </w:r>
          </w:p>
          <w:p w14:paraId="1898CF88">
            <w:pPr>
              <w:pageBreakBefore w:val="0"/>
              <w:kinsoku/>
              <w:wordWrap/>
              <w:overflowPunct/>
              <w:topLinePunct w:val="0"/>
              <w:autoSpaceDE/>
              <w:autoSpaceDN/>
              <w:bidi w:val="0"/>
              <w:spacing w:line="400" w:lineRule="exact"/>
              <w:textAlignment w:val="auto"/>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最后报价出现下列情形的，响应无效：</w:t>
            </w:r>
          </w:p>
          <w:p w14:paraId="558FE4E7">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响应文件出现不是唯一的、有选择性的最后报价的；</w:t>
            </w:r>
          </w:p>
          <w:p w14:paraId="4AD24FDA">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最后报价超过磋商文件中规定的预算金额或者最高限价的;</w:t>
            </w:r>
          </w:p>
          <w:p w14:paraId="17664CC2">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最后报价明显低于其他通过符合性审查供应商的报价，有可能影响产品质量或者不能诚信履约的，未能按要求提供书面说明或者提交相关证明材料证明其报价合理性的;</w:t>
            </w:r>
          </w:p>
          <w:p w14:paraId="78D14BD4">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供应商对根据修正原则修正后的报价不确认的。</w:t>
            </w:r>
          </w:p>
        </w:tc>
      </w:tr>
      <w:tr w14:paraId="2B55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89" w:hRule="atLeast"/>
        </w:trPr>
        <w:tc>
          <w:tcPr>
            <w:tcW w:w="714" w:type="dxa"/>
            <w:vAlign w:val="center"/>
          </w:tcPr>
          <w:p w14:paraId="33C45AAB">
            <w:pPr>
              <w:pageBreakBefore w:val="0"/>
              <w:kinsoku/>
              <w:wordWrap/>
              <w:overflowPunct/>
              <w:topLinePunct w:val="0"/>
              <w:autoSpaceDE/>
              <w:autoSpaceDN/>
              <w:bidi w:val="0"/>
              <w:snapToGrid w:val="0"/>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6" w:type="dxa"/>
            <w:vAlign w:val="center"/>
          </w:tcPr>
          <w:p w14:paraId="5118534B">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567" w:type="dxa"/>
            <w:vAlign w:val="center"/>
          </w:tcPr>
          <w:p w14:paraId="3B0E82AB">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18F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17FC368">
            <w:pPr>
              <w:pageBreakBefore w:val="0"/>
              <w:kinsoku/>
              <w:wordWrap/>
              <w:overflowPunct/>
              <w:topLinePunct w:val="0"/>
              <w:autoSpaceDE/>
              <w:autoSpaceDN/>
              <w:bidi w:val="0"/>
              <w:snapToGrid w:val="0"/>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6" w:type="dxa"/>
            <w:vAlign w:val="center"/>
          </w:tcPr>
          <w:p w14:paraId="698EA1DB">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567" w:type="dxa"/>
            <w:vAlign w:val="center"/>
          </w:tcPr>
          <w:p w14:paraId="6442B818">
            <w:pPr>
              <w:pStyle w:val="33"/>
              <w:pageBreakBefore w:val="0"/>
              <w:kinsoku/>
              <w:wordWrap/>
              <w:overflowPunct/>
              <w:topLinePunct w:val="0"/>
              <w:autoSpaceDE/>
              <w:autoSpaceDN/>
              <w:bidi w:val="0"/>
              <w:spacing w:line="400" w:lineRule="exact"/>
              <w:textAlignment w:val="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8"/>
                <w:sz w:val="24"/>
                <w:szCs w:val="24"/>
                <w:highlight w:val="none"/>
                <w:u w:val="single"/>
              </w:rPr>
              <w:t>杭州市拱墅区登云路518号恒策西城时代（云合中心）3幢1706室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 xml:space="preserve"> 邓瑞银、</w:t>
            </w:r>
            <w:r>
              <w:rPr>
                <w:rFonts w:hint="eastAsia" w:ascii="仿宋" w:hAnsi="仿宋" w:eastAsia="仿宋" w:cs="仿宋"/>
                <w:color w:val="auto"/>
                <w:kern w:val="28"/>
                <w:sz w:val="24"/>
                <w:szCs w:val="24"/>
                <w:highlight w:val="none"/>
                <w:u w:val="single"/>
              </w:rPr>
              <w:t xml:space="preserve">13645711835、86035851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7080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2BC32417">
            <w:pPr>
              <w:pageBreakBefore w:val="0"/>
              <w:kinsoku/>
              <w:wordWrap/>
              <w:overflowPunct/>
              <w:topLinePunct w:val="0"/>
              <w:autoSpaceDE/>
              <w:autoSpaceDN/>
              <w:bidi w:val="0"/>
              <w:snapToGrid w:val="0"/>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6" w:type="dxa"/>
            <w:vMerge w:val="restart"/>
            <w:vAlign w:val="center"/>
          </w:tcPr>
          <w:p w14:paraId="6662E7D7">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567" w:type="dxa"/>
            <w:vAlign w:val="center"/>
          </w:tcPr>
          <w:p w14:paraId="33F01883">
            <w:pPr>
              <w:pageBreakBefore w:val="0"/>
              <w:kinsoku/>
              <w:wordWrap/>
              <w:overflowPunct/>
              <w:topLinePunct w:val="0"/>
              <w:autoSpaceDE/>
              <w:autoSpaceDN/>
              <w:bidi w:val="0"/>
              <w:spacing w:line="400" w:lineRule="exact"/>
              <w:textAlignment w:val="auto"/>
              <w:rPr>
                <w:rFonts w:ascii="仿宋" w:hAnsi="仿宋" w:eastAsia="仿宋" w:cs="仿宋"/>
                <w:color w:val="auto"/>
                <w:kern w:val="28"/>
                <w:sz w:val="24"/>
                <w:highlight w:val="none"/>
              </w:rPr>
            </w:pPr>
            <w:r>
              <w:rPr>
                <w:rFonts w:hint="eastAsia" w:ascii="仿宋" w:hAnsi="仿宋" w:eastAsia="仿宋" w:cs="仿宋"/>
                <w:snapToGrid w:val="0"/>
                <w:color w:val="auto"/>
                <w:kern w:val="28"/>
                <w:sz w:val="24"/>
                <w:highlight w:val="none"/>
              </w:rPr>
              <w:t>联合体响应的，联合体各方分别提供与联合体协议中规定的分工内容相应的业绩证明材料，业绩数量以提供材料较少的一方为准。</w:t>
            </w:r>
          </w:p>
        </w:tc>
      </w:tr>
      <w:tr w14:paraId="26C8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D1862AF">
            <w:pPr>
              <w:pageBreakBefore w:val="0"/>
              <w:kinsoku/>
              <w:wordWrap/>
              <w:overflowPunct/>
              <w:topLinePunct w:val="0"/>
              <w:autoSpaceDE/>
              <w:autoSpaceDN/>
              <w:bidi w:val="0"/>
              <w:snapToGrid w:val="0"/>
              <w:spacing w:line="400" w:lineRule="exact"/>
              <w:jc w:val="center"/>
              <w:textAlignment w:val="auto"/>
              <w:rPr>
                <w:rFonts w:ascii="仿宋" w:hAnsi="仿宋" w:eastAsia="仿宋" w:cs="仿宋"/>
                <w:color w:val="auto"/>
                <w:sz w:val="24"/>
                <w:highlight w:val="none"/>
              </w:rPr>
            </w:pPr>
          </w:p>
        </w:tc>
        <w:tc>
          <w:tcPr>
            <w:tcW w:w="1846" w:type="dxa"/>
            <w:vMerge w:val="continue"/>
            <w:vAlign w:val="center"/>
          </w:tcPr>
          <w:p w14:paraId="176406A5">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p>
        </w:tc>
        <w:tc>
          <w:tcPr>
            <w:tcW w:w="6567" w:type="dxa"/>
            <w:vAlign w:val="center"/>
          </w:tcPr>
          <w:p w14:paraId="7EF14538">
            <w:pPr>
              <w:pageBreakBefore w:val="0"/>
              <w:kinsoku/>
              <w:wordWrap/>
              <w:overflowPunct/>
              <w:topLinePunct w:val="0"/>
              <w:autoSpaceDE/>
              <w:autoSpaceDN/>
              <w:bidi w:val="0"/>
              <w:spacing w:line="400" w:lineRule="exact"/>
              <w:textAlignment w:val="auto"/>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snapToGrid w:val="0"/>
                <w:color w:val="auto"/>
                <w:kern w:val="28"/>
                <w:sz w:val="24"/>
                <w:highlight w:val="none"/>
              </w:rPr>
              <w:t>联合体响应的，联合体各方均需按磋商文件第五部分评审标准要求提供资信证明文件，否则视为不符合相关要求。</w:t>
            </w:r>
          </w:p>
          <w:p w14:paraId="5298D79D">
            <w:pPr>
              <w:pageBreakBefore w:val="0"/>
              <w:kinsoku/>
              <w:wordWrap/>
              <w:overflowPunct/>
              <w:topLinePunct w:val="0"/>
              <w:autoSpaceDE/>
              <w:autoSpaceDN/>
              <w:bidi w:val="0"/>
              <w:spacing w:line="400" w:lineRule="exact"/>
              <w:textAlignment w:val="auto"/>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27BA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trPr>
        <w:tc>
          <w:tcPr>
            <w:tcW w:w="714" w:type="dxa"/>
            <w:vAlign w:val="center"/>
          </w:tcPr>
          <w:p w14:paraId="336D24D3">
            <w:pPr>
              <w:pageBreakBefore w:val="0"/>
              <w:kinsoku/>
              <w:wordWrap/>
              <w:overflowPunct/>
              <w:topLinePunct w:val="0"/>
              <w:autoSpaceDE/>
              <w:autoSpaceDN/>
              <w:bidi w:val="0"/>
              <w:snapToGrid w:val="0"/>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6" w:type="dxa"/>
            <w:vAlign w:val="center"/>
          </w:tcPr>
          <w:p w14:paraId="0DF315AE">
            <w:pPr>
              <w:keepNext w:val="0"/>
              <w:keepLines w:val="0"/>
              <w:suppressLineNumbers w:val="0"/>
              <w:snapToGrid w:val="0"/>
              <w:spacing w:before="0" w:beforeAutospacing="0" w:after="0" w:afterAutospacing="0" w:line="360" w:lineRule="auto"/>
              <w:ind w:left="0" w:leftChars="0" w:right="0" w:right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推荐中标候选人数量</w:t>
            </w:r>
          </w:p>
        </w:tc>
        <w:tc>
          <w:tcPr>
            <w:tcW w:w="6567" w:type="dxa"/>
            <w:vAlign w:val="center"/>
          </w:tcPr>
          <w:p w14:paraId="3EE32B98">
            <w:pPr>
              <w:keepNext w:val="0"/>
              <w:keepLines w:val="0"/>
              <w:suppressLineNumbers w:val="0"/>
              <w:spacing w:before="0" w:beforeAutospacing="0" w:after="0" w:afterAutospacing="0" w:line="360" w:lineRule="auto"/>
              <w:ind w:left="0" w:leftChars="0" w:right="0" w:rightChars="0"/>
              <w:rPr>
                <w:rFonts w:hint="default" w:ascii="仿宋" w:hAnsi="仿宋" w:eastAsia="仿宋" w:cs="仿宋"/>
                <w:b/>
                <w:color w:val="auto"/>
                <w:sz w:val="24"/>
                <w:highlight w:val="none"/>
                <w:lang w:val="en-US" w:eastAsia="zh-CN"/>
              </w:rPr>
            </w:pPr>
            <w:r>
              <w:rPr>
                <w:rFonts w:hint="eastAsia" w:ascii="仿宋" w:hAnsi="仿宋" w:eastAsia="仿宋" w:cs="仿宋"/>
                <w:snapToGrid w:val="0"/>
                <w:color w:val="auto"/>
                <w:kern w:val="28"/>
                <w:sz w:val="24"/>
                <w:highlight w:val="none"/>
              </w:rPr>
              <w:t>推荐中标候选人数量：</w:t>
            </w:r>
            <w:r>
              <w:rPr>
                <w:rFonts w:hint="eastAsia" w:ascii="仿宋" w:hAnsi="仿宋" w:eastAsia="仿宋" w:cs="仿宋"/>
                <w:snapToGrid w:val="0"/>
                <w:color w:val="auto"/>
                <w:kern w:val="28"/>
                <w:sz w:val="24"/>
                <w:highlight w:val="none"/>
                <w:u w:val="single"/>
                <w:lang w:val="en-US" w:eastAsia="zh-CN"/>
              </w:rPr>
              <w:t xml:space="preserve"> 1名 </w:t>
            </w:r>
          </w:p>
        </w:tc>
      </w:tr>
      <w:tr w14:paraId="3553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6" w:hRule="atLeast"/>
        </w:trPr>
        <w:tc>
          <w:tcPr>
            <w:tcW w:w="714" w:type="dxa"/>
            <w:vAlign w:val="center"/>
          </w:tcPr>
          <w:p w14:paraId="1A562D60">
            <w:pPr>
              <w:pageBreakBefore w:val="0"/>
              <w:kinsoku/>
              <w:wordWrap/>
              <w:overflowPunct/>
              <w:topLinePunct w:val="0"/>
              <w:autoSpaceDE/>
              <w:autoSpaceDN/>
              <w:bidi w:val="0"/>
              <w:snapToGrid w:val="0"/>
              <w:spacing w:line="40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46" w:type="dxa"/>
            <w:vAlign w:val="center"/>
          </w:tcPr>
          <w:p w14:paraId="523F272B">
            <w:pPr>
              <w:pageBreakBefore w:val="0"/>
              <w:kinsoku/>
              <w:wordWrap/>
              <w:overflowPunct/>
              <w:topLinePunct w:val="0"/>
              <w:autoSpaceDE/>
              <w:autoSpaceDN/>
              <w:bidi w:val="0"/>
              <w:snapToGrid w:val="0"/>
              <w:spacing w:line="40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567" w:type="dxa"/>
            <w:vAlign w:val="center"/>
          </w:tcPr>
          <w:p w14:paraId="23A006A6">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w:t>
            </w:r>
            <w:r>
              <w:rPr>
                <w:rFonts w:hint="eastAsia" w:ascii="仿宋" w:hAnsi="仿宋" w:eastAsia="仿宋" w:cs="仿宋"/>
                <w:color w:val="auto"/>
                <w:sz w:val="24"/>
                <w:szCs w:val="24"/>
                <w:highlight w:val="none"/>
              </w:rPr>
              <w:t>按</w:t>
            </w:r>
            <w:r>
              <w:rPr>
                <w:rFonts w:hint="eastAsia" w:ascii="仿宋" w:hAnsi="仿宋" w:eastAsia="仿宋" w:cs="仿宋"/>
                <w:snapToGrid w:val="0"/>
                <w:color w:val="auto"/>
                <w:sz w:val="24"/>
                <w:szCs w:val="24"/>
                <w:highlight w:val="none"/>
              </w:rPr>
              <w:t>照浙价服[2003]77号文规定的服务类收费标准（差额累进制计算）向</w:t>
            </w:r>
            <w:r>
              <w:rPr>
                <w:rFonts w:hint="eastAsia" w:ascii="仿宋" w:hAnsi="仿宋" w:eastAsia="仿宋" w:cs="仿宋"/>
                <w:snapToGrid w:val="0"/>
                <w:color w:val="auto"/>
                <w:sz w:val="24"/>
                <w:szCs w:val="24"/>
                <w:highlight w:val="none"/>
                <w:lang w:val="en-US" w:eastAsia="zh-CN"/>
              </w:rPr>
              <w:t>成交供应商</w:t>
            </w:r>
            <w:r>
              <w:rPr>
                <w:rFonts w:hint="eastAsia" w:ascii="仿宋" w:hAnsi="仿宋" w:eastAsia="仿宋" w:cs="仿宋"/>
                <w:color w:val="auto"/>
                <w:sz w:val="24"/>
                <w:szCs w:val="24"/>
                <w:highlight w:val="none"/>
              </w:rPr>
              <w:t>收取。</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9"/>
              <w:gridCol w:w="1021"/>
              <w:gridCol w:w="979"/>
              <w:gridCol w:w="1029"/>
            </w:tblGrid>
            <w:tr w14:paraId="443B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3389" w:type="dxa"/>
                  <w:shd w:val="clear" w:color="auto" w:fill="auto"/>
                </w:tcPr>
                <w:p w14:paraId="6B1F3720">
                  <w:pPr>
                    <w:pageBreakBefore w:val="0"/>
                    <w:widowControl/>
                    <w:kinsoku/>
                    <w:wordWrap/>
                    <w:overflowPunct/>
                    <w:topLinePunct w:val="0"/>
                    <w:autoSpaceDE/>
                    <w:autoSpaceDN/>
                    <w:bidi w:val="0"/>
                    <w:spacing w:line="400" w:lineRule="exact"/>
                    <w:jc w:val="center"/>
                    <w:textAlignment w:val="auto"/>
                    <w:rPr>
                      <w:rStyle w:val="71"/>
                      <w:rFonts w:ascii="仿宋" w:hAnsi="仿宋" w:eastAsia="仿宋" w:cs="仿宋"/>
                      <w:b w:val="0"/>
                      <w:bCs w:val="0"/>
                      <w:color w:val="auto"/>
                      <w:kern w:val="0"/>
                      <w:sz w:val="24"/>
                      <w:highlight w:val="none"/>
                      <w:shd w:val="clear" w:color="auto" w:fill="FFFFFF"/>
                    </w:rPr>
                  </w:pPr>
                  <w:r>
                    <w:rPr>
                      <w:color w:val="auto"/>
                      <w:highlight w:val="none"/>
                    </w:rPr>
                    <mc:AlternateContent>
                      <mc:Choice Requires="wps">
                        <w:drawing>
                          <wp:anchor distT="0" distB="0" distL="0" distR="0" simplePos="0" relativeHeight="251669504" behindDoc="0" locked="0" layoutInCell="1" allowOverlap="1">
                            <wp:simplePos x="0" y="0"/>
                            <wp:positionH relativeFrom="column">
                              <wp:posOffset>-46990</wp:posOffset>
                            </wp:positionH>
                            <wp:positionV relativeFrom="paragraph">
                              <wp:posOffset>52070</wp:posOffset>
                            </wp:positionV>
                            <wp:extent cx="1848485" cy="727075"/>
                            <wp:effectExtent l="1905" t="4445" r="8890" b="15240"/>
                            <wp:wrapNone/>
                            <wp:docPr id="1027" name="直线连接符 3"/>
                            <wp:cNvGraphicFramePr/>
                            <a:graphic xmlns:a="http://schemas.openxmlformats.org/drawingml/2006/main">
                              <a:graphicData uri="http://schemas.microsoft.com/office/word/2010/wordprocessingShape">
                                <wps:wsp>
                                  <wps:cNvCnPr/>
                                  <wps:spPr>
                                    <a:xfrm>
                                      <a:off x="0" y="0"/>
                                      <a:ext cx="1848485" cy="72707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连接符 3" o:spid="_x0000_s1026" o:spt="20" style="position:absolute;left:0pt;margin-left:-3.7pt;margin-top:4.1pt;height:57.25pt;width:145.55pt;z-index:251669504;mso-width-relative:page;mso-height-relative:page;" filled="f" stroked="t" coordsize="21600,21600" o:gfxdata="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AyQ8dcAAAAIAQAADwAAAAAAAAABACAAAAAiAAAAZHJzL2Rvd25yZXYueG1s&#10;UEsBAhQAFAAAAAgAh07iQM5Yq335AQAA6gMAAA4AAAAAAAAAAQAgAAAAJgEAAGRycy9lMm9Eb2Mu&#10;eG1sUEsFBgAAAAAGAAYAWQEAAJEFA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0" distR="0" simplePos="0" relativeHeight="251670528" behindDoc="0" locked="0" layoutInCell="1" allowOverlap="1">
                            <wp:simplePos x="0" y="0"/>
                            <wp:positionH relativeFrom="column">
                              <wp:posOffset>-83185</wp:posOffset>
                            </wp:positionH>
                            <wp:positionV relativeFrom="paragraph">
                              <wp:posOffset>41275</wp:posOffset>
                            </wp:positionV>
                            <wp:extent cx="2165985" cy="316230"/>
                            <wp:effectExtent l="635" t="4445" r="12700" b="14605"/>
                            <wp:wrapNone/>
                            <wp:docPr id="1028" name="直接连接符 12"/>
                            <wp:cNvGraphicFramePr/>
                            <a:graphic xmlns:a="http://schemas.openxmlformats.org/drawingml/2006/main">
                              <a:graphicData uri="http://schemas.microsoft.com/office/word/2010/wordprocessingShape">
                                <wps:wsp>
                                  <wps:cNvCnPr/>
                                  <wps:spPr>
                                    <a:xfrm>
                                      <a:off x="0" y="0"/>
                                      <a:ext cx="2165985" cy="31623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2" o:spid="_x0000_s1026" o:spt="20" style="position:absolute;left:0pt;margin-left:-6.55pt;margin-top:3.25pt;height:24.9pt;width:170.55pt;z-index:251670528;mso-width-relative:page;mso-height-relative:page;" filled="f" stroked="t" coordsize="21600,21600" o:gfxdata="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Ufo/TXAAAACAEAAA8AAAAAAAAAAQAgAAAAIgAAAGRycy9kb3ducmV2Lnht&#10;bFBLAQIUABQAAAAIAIdO4kApt8f2+gEAAOsDAAAOAAAAAAAAAAEAIAAAACYBAABkcnMvZTJvRG9j&#10;LnhtbFBLBQYAAAAABgAGAFkBAACSBQAAAAA=&#10;">
                            <v:fill on="f" focussize="0,0"/>
                            <v:stroke color="#000000" joinstyle="round"/>
                            <v:imagedata o:title=""/>
                            <o:lock v:ext="edit" aspectratio="f"/>
                          </v:line>
                        </w:pict>
                      </mc:Fallback>
                    </mc:AlternateContent>
                  </w:r>
                  <w:r>
                    <w:rPr>
                      <w:rStyle w:val="71"/>
                      <w:rFonts w:hint="eastAsia" w:ascii="仿宋" w:hAnsi="仿宋" w:eastAsia="仿宋" w:cs="仿宋"/>
                      <w:b w:val="0"/>
                      <w:bCs w:val="0"/>
                      <w:color w:val="auto"/>
                      <w:kern w:val="0"/>
                      <w:sz w:val="24"/>
                      <w:highlight w:val="none"/>
                      <w:shd w:val="clear" w:color="auto" w:fill="FFFFFF"/>
                    </w:rPr>
                    <w:t xml:space="preserve">          </w:t>
                  </w:r>
                  <w:r>
                    <w:rPr>
                      <w:rStyle w:val="71"/>
                      <w:rFonts w:hint="eastAsia" w:ascii="仿宋" w:hAnsi="仿宋" w:eastAsia="仿宋" w:cs="仿宋"/>
                      <w:b w:val="0"/>
                      <w:bCs w:val="0"/>
                      <w:color w:val="auto"/>
                      <w:kern w:val="0"/>
                      <w:sz w:val="24"/>
                      <w:highlight w:val="none"/>
                      <w:shd w:val="clear" w:color="auto" w:fill="FFFFFF"/>
                      <w:lang w:val="en-US" w:eastAsia="zh-CN"/>
                    </w:rPr>
                    <w:t xml:space="preserve">         </w:t>
                  </w:r>
                  <w:r>
                    <w:rPr>
                      <w:rStyle w:val="71"/>
                      <w:rFonts w:hint="eastAsia" w:ascii="仿宋" w:hAnsi="仿宋" w:eastAsia="仿宋" w:cs="仿宋"/>
                      <w:b w:val="0"/>
                      <w:bCs w:val="0"/>
                      <w:color w:val="auto"/>
                      <w:kern w:val="0"/>
                      <w:sz w:val="24"/>
                      <w:highlight w:val="none"/>
                      <w:shd w:val="clear" w:color="auto" w:fill="FFFFFF"/>
                    </w:rPr>
                    <w:t>类型</w:t>
                  </w:r>
                </w:p>
                <w:p w14:paraId="2799EEF4">
                  <w:pPr>
                    <w:pageBreakBefore w:val="0"/>
                    <w:widowControl/>
                    <w:kinsoku/>
                    <w:wordWrap/>
                    <w:overflowPunct/>
                    <w:topLinePunct w:val="0"/>
                    <w:autoSpaceDE/>
                    <w:autoSpaceDN/>
                    <w:bidi w:val="0"/>
                    <w:spacing w:line="400" w:lineRule="exact"/>
                    <w:jc w:val="center"/>
                    <w:textAlignment w:val="auto"/>
                    <w:rPr>
                      <w:rStyle w:val="71"/>
                      <w:rFonts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 xml:space="preserve">    </w:t>
                  </w:r>
                  <w:r>
                    <w:rPr>
                      <w:rStyle w:val="71"/>
                      <w:rFonts w:hint="eastAsia" w:ascii="仿宋" w:hAnsi="仿宋" w:eastAsia="仿宋" w:cs="仿宋"/>
                      <w:b w:val="0"/>
                      <w:bCs w:val="0"/>
                      <w:color w:val="auto"/>
                      <w:kern w:val="0"/>
                      <w:sz w:val="24"/>
                      <w:highlight w:val="none"/>
                      <w:shd w:val="clear" w:color="auto" w:fill="FFFFFF"/>
                      <w:lang w:val="en-US" w:eastAsia="zh-CN"/>
                    </w:rPr>
                    <w:t xml:space="preserve">         </w:t>
                  </w:r>
                  <w:r>
                    <w:rPr>
                      <w:rStyle w:val="71"/>
                      <w:rFonts w:hint="eastAsia" w:ascii="仿宋" w:hAnsi="仿宋" w:eastAsia="仿宋" w:cs="仿宋"/>
                      <w:b w:val="0"/>
                      <w:bCs w:val="0"/>
                      <w:color w:val="auto"/>
                      <w:kern w:val="0"/>
                      <w:sz w:val="24"/>
                      <w:highlight w:val="none"/>
                      <w:shd w:val="clear" w:color="auto" w:fill="FFFFFF"/>
                    </w:rPr>
                    <w:t>费率</w:t>
                  </w:r>
                </w:p>
                <w:p w14:paraId="2460AF4D">
                  <w:pPr>
                    <w:pageBreakBefore w:val="0"/>
                    <w:widowControl/>
                    <w:kinsoku/>
                    <w:wordWrap/>
                    <w:overflowPunct/>
                    <w:topLinePunct w:val="0"/>
                    <w:autoSpaceDE/>
                    <w:autoSpaceDN/>
                    <w:bidi w:val="0"/>
                    <w:spacing w:line="400" w:lineRule="exact"/>
                    <w:textAlignment w:val="auto"/>
                    <w:rPr>
                      <w:rStyle w:val="71"/>
                      <w:rFonts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中标金额（万元）</w:t>
                  </w:r>
                </w:p>
              </w:tc>
              <w:tc>
                <w:tcPr>
                  <w:tcW w:w="1021" w:type="dxa"/>
                  <w:shd w:val="clear" w:color="auto" w:fill="auto"/>
                  <w:vAlign w:val="center"/>
                </w:tcPr>
                <w:p w14:paraId="7AA289EA">
                  <w:pPr>
                    <w:pageBreakBefore w:val="0"/>
                    <w:widowControl/>
                    <w:kinsoku/>
                    <w:wordWrap/>
                    <w:overflowPunct/>
                    <w:topLinePunct w:val="0"/>
                    <w:autoSpaceDE/>
                    <w:autoSpaceDN/>
                    <w:bidi w:val="0"/>
                    <w:spacing w:line="400" w:lineRule="exact"/>
                    <w:jc w:val="center"/>
                    <w:textAlignment w:val="auto"/>
                    <w:rPr>
                      <w:rStyle w:val="71"/>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kern w:val="0"/>
                      <w:sz w:val="24"/>
                      <w:highlight w:val="none"/>
                    </w:rPr>
                    <w:t>货物</w:t>
                  </w:r>
                </w:p>
              </w:tc>
              <w:tc>
                <w:tcPr>
                  <w:tcW w:w="979" w:type="dxa"/>
                  <w:shd w:val="clear" w:color="auto" w:fill="FFFFFF"/>
                  <w:vAlign w:val="center"/>
                </w:tcPr>
                <w:p w14:paraId="3DB7B790">
                  <w:pPr>
                    <w:pageBreakBefore w:val="0"/>
                    <w:widowControl/>
                    <w:kinsoku/>
                    <w:wordWrap/>
                    <w:overflowPunct/>
                    <w:topLinePunct w:val="0"/>
                    <w:autoSpaceDE/>
                    <w:autoSpaceDN/>
                    <w:bidi w:val="0"/>
                    <w:spacing w:line="40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服务</w:t>
                  </w:r>
                </w:p>
              </w:tc>
              <w:tc>
                <w:tcPr>
                  <w:tcW w:w="1029" w:type="dxa"/>
                  <w:shd w:val="clear" w:color="auto" w:fill="FFFFFF"/>
                  <w:vAlign w:val="center"/>
                </w:tcPr>
                <w:p w14:paraId="3354BBAB">
                  <w:pPr>
                    <w:pageBreakBefore w:val="0"/>
                    <w:widowControl/>
                    <w:kinsoku/>
                    <w:wordWrap/>
                    <w:overflowPunct/>
                    <w:topLinePunct w:val="0"/>
                    <w:autoSpaceDE/>
                    <w:autoSpaceDN/>
                    <w:bidi w:val="0"/>
                    <w:spacing w:line="40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工程</w:t>
                  </w:r>
                </w:p>
              </w:tc>
            </w:tr>
            <w:tr w14:paraId="0A82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389" w:type="dxa"/>
                  <w:shd w:val="clear" w:color="auto" w:fill="FFFFFF"/>
                  <w:vAlign w:val="center"/>
                </w:tcPr>
                <w:p w14:paraId="5FC6CD0F">
                  <w:pPr>
                    <w:pageBreakBefore w:val="0"/>
                    <w:widowControl/>
                    <w:kinsoku/>
                    <w:wordWrap/>
                    <w:overflowPunct/>
                    <w:topLinePunct w:val="0"/>
                    <w:autoSpaceDE/>
                    <w:autoSpaceDN/>
                    <w:bidi w:val="0"/>
                    <w:spacing w:line="40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100万元以下部分</w:t>
                  </w:r>
                </w:p>
              </w:tc>
              <w:tc>
                <w:tcPr>
                  <w:tcW w:w="1021" w:type="dxa"/>
                  <w:shd w:val="clear" w:color="auto" w:fill="FFFFFF"/>
                  <w:vAlign w:val="center"/>
                </w:tcPr>
                <w:p w14:paraId="05F66EB8">
                  <w:pPr>
                    <w:pageBreakBefore w:val="0"/>
                    <w:widowControl/>
                    <w:kinsoku/>
                    <w:wordWrap/>
                    <w:overflowPunct/>
                    <w:topLinePunct w:val="0"/>
                    <w:autoSpaceDE/>
                    <w:autoSpaceDN/>
                    <w:bidi w:val="0"/>
                    <w:spacing w:line="4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79" w:type="dxa"/>
                  <w:shd w:val="clear" w:color="auto" w:fill="FFFFFF"/>
                  <w:vAlign w:val="center"/>
                </w:tcPr>
                <w:p w14:paraId="73392DA2">
                  <w:pPr>
                    <w:pageBreakBefore w:val="0"/>
                    <w:widowControl/>
                    <w:kinsoku/>
                    <w:wordWrap/>
                    <w:overflowPunct/>
                    <w:topLinePunct w:val="0"/>
                    <w:autoSpaceDE/>
                    <w:autoSpaceDN/>
                    <w:bidi w:val="0"/>
                    <w:spacing w:line="4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29" w:type="dxa"/>
                  <w:shd w:val="clear" w:color="auto" w:fill="FFFFFF"/>
                  <w:vAlign w:val="center"/>
                </w:tcPr>
                <w:p w14:paraId="6E271429">
                  <w:pPr>
                    <w:pageBreakBefore w:val="0"/>
                    <w:widowControl/>
                    <w:kinsoku/>
                    <w:wordWrap/>
                    <w:overflowPunct/>
                    <w:topLinePunct w:val="0"/>
                    <w:autoSpaceDE/>
                    <w:autoSpaceDN/>
                    <w:bidi w:val="0"/>
                    <w:spacing w:line="4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14:paraId="6A65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389" w:type="dxa"/>
                  <w:shd w:val="clear" w:color="auto" w:fill="FFFFFF"/>
                  <w:vAlign w:val="center"/>
                </w:tcPr>
                <w:p w14:paraId="669E9B38">
                  <w:pPr>
                    <w:pageBreakBefore w:val="0"/>
                    <w:widowControl/>
                    <w:kinsoku/>
                    <w:wordWrap/>
                    <w:overflowPunct/>
                    <w:topLinePunct w:val="0"/>
                    <w:autoSpaceDE/>
                    <w:autoSpaceDN/>
                    <w:bidi w:val="0"/>
                    <w:spacing w:line="40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100-500万元部分</w:t>
                  </w:r>
                </w:p>
              </w:tc>
              <w:tc>
                <w:tcPr>
                  <w:tcW w:w="1021" w:type="dxa"/>
                  <w:shd w:val="clear" w:color="auto" w:fill="FFFFFF"/>
                  <w:vAlign w:val="center"/>
                </w:tcPr>
                <w:p w14:paraId="2E8FD403">
                  <w:pPr>
                    <w:pageBreakBefore w:val="0"/>
                    <w:widowControl/>
                    <w:kinsoku/>
                    <w:wordWrap/>
                    <w:overflowPunct/>
                    <w:topLinePunct w:val="0"/>
                    <w:autoSpaceDE/>
                    <w:autoSpaceDN/>
                    <w:bidi w:val="0"/>
                    <w:spacing w:line="4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979" w:type="dxa"/>
                  <w:shd w:val="clear" w:color="auto" w:fill="FFFFFF"/>
                  <w:vAlign w:val="center"/>
                </w:tcPr>
                <w:p w14:paraId="5F59F502">
                  <w:pPr>
                    <w:pageBreakBefore w:val="0"/>
                    <w:widowControl/>
                    <w:kinsoku/>
                    <w:wordWrap/>
                    <w:overflowPunct/>
                    <w:topLinePunct w:val="0"/>
                    <w:autoSpaceDE/>
                    <w:autoSpaceDN/>
                    <w:bidi w:val="0"/>
                    <w:spacing w:line="4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29" w:type="dxa"/>
                  <w:shd w:val="clear" w:color="auto" w:fill="FFFFFF"/>
                  <w:vAlign w:val="center"/>
                </w:tcPr>
                <w:p w14:paraId="6C3BB147">
                  <w:pPr>
                    <w:pageBreakBefore w:val="0"/>
                    <w:widowControl/>
                    <w:kinsoku/>
                    <w:wordWrap/>
                    <w:overflowPunct/>
                    <w:topLinePunct w:val="0"/>
                    <w:autoSpaceDE/>
                    <w:autoSpaceDN/>
                    <w:bidi w:val="0"/>
                    <w:spacing w:line="4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0.7%</w:t>
                  </w:r>
                </w:p>
              </w:tc>
            </w:tr>
            <w:tr w14:paraId="7958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389" w:type="dxa"/>
                  <w:shd w:val="clear" w:color="auto" w:fill="FFFFFF"/>
                  <w:vAlign w:val="center"/>
                </w:tcPr>
                <w:p w14:paraId="1F8EA9EA">
                  <w:pPr>
                    <w:pageBreakBefore w:val="0"/>
                    <w:widowControl/>
                    <w:kinsoku/>
                    <w:wordWrap/>
                    <w:overflowPunct/>
                    <w:topLinePunct w:val="0"/>
                    <w:autoSpaceDE/>
                    <w:autoSpaceDN/>
                    <w:bidi w:val="0"/>
                    <w:spacing w:line="40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500-1000万元部分</w:t>
                  </w:r>
                </w:p>
              </w:tc>
              <w:tc>
                <w:tcPr>
                  <w:tcW w:w="1021" w:type="dxa"/>
                  <w:shd w:val="clear" w:color="auto" w:fill="FFFFFF"/>
                  <w:vAlign w:val="center"/>
                </w:tcPr>
                <w:p w14:paraId="120882B0">
                  <w:pPr>
                    <w:pageBreakBefore w:val="0"/>
                    <w:widowControl/>
                    <w:kinsoku/>
                    <w:wordWrap/>
                    <w:overflowPunct/>
                    <w:topLinePunct w:val="0"/>
                    <w:autoSpaceDE/>
                    <w:autoSpaceDN/>
                    <w:bidi w:val="0"/>
                    <w:spacing w:line="4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979" w:type="dxa"/>
                  <w:shd w:val="clear" w:color="auto" w:fill="FFFFFF"/>
                  <w:vAlign w:val="center"/>
                </w:tcPr>
                <w:p w14:paraId="6E57D820">
                  <w:pPr>
                    <w:pageBreakBefore w:val="0"/>
                    <w:widowControl/>
                    <w:kinsoku/>
                    <w:wordWrap/>
                    <w:overflowPunct/>
                    <w:topLinePunct w:val="0"/>
                    <w:autoSpaceDE/>
                    <w:autoSpaceDN/>
                    <w:bidi w:val="0"/>
                    <w:spacing w:line="4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0.45%</w:t>
                  </w:r>
                </w:p>
              </w:tc>
              <w:tc>
                <w:tcPr>
                  <w:tcW w:w="1029" w:type="dxa"/>
                  <w:shd w:val="clear" w:color="auto" w:fill="FFFFFF"/>
                  <w:vAlign w:val="center"/>
                </w:tcPr>
                <w:p w14:paraId="180ECB87">
                  <w:pPr>
                    <w:pageBreakBefore w:val="0"/>
                    <w:widowControl/>
                    <w:kinsoku/>
                    <w:wordWrap/>
                    <w:overflowPunct/>
                    <w:topLinePunct w:val="0"/>
                    <w:autoSpaceDE/>
                    <w:autoSpaceDN/>
                    <w:bidi w:val="0"/>
                    <w:spacing w:line="40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0.55%</w:t>
                  </w:r>
                </w:p>
              </w:tc>
            </w:tr>
          </w:tbl>
          <w:p w14:paraId="0AA7D31C">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代理服务费可以是现金、支票或汇票。</w:t>
            </w:r>
          </w:p>
          <w:p w14:paraId="25A62D0F">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3、收取时间：成交通知书发出后3个工作日内。 </w:t>
            </w:r>
          </w:p>
          <w:p w14:paraId="386A9538">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4、服务费汇款信息：</w:t>
            </w:r>
          </w:p>
          <w:p w14:paraId="04617B76">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收款人：杭州博实招标代理有限公司</w:t>
            </w:r>
          </w:p>
          <w:p w14:paraId="762B15A5">
            <w:pPr>
              <w:pageBreakBefore w:val="0"/>
              <w:kinsoku/>
              <w:wordWrap/>
              <w:overflowPunct/>
              <w:topLinePunct w:val="0"/>
              <w:autoSpaceDE/>
              <w:autoSpaceDN/>
              <w:bidi w:val="0"/>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开户银行：杭州联合农村商业银行股份有限公司丰潭支行</w:t>
            </w:r>
          </w:p>
          <w:p w14:paraId="7B12F1D0">
            <w:pPr>
              <w:pageBreakBefore w:val="0"/>
              <w:kinsoku/>
              <w:wordWrap/>
              <w:overflowPunct/>
              <w:topLinePunct w:val="0"/>
              <w:autoSpaceDE/>
              <w:autoSpaceDN/>
              <w:bidi w:val="0"/>
              <w:spacing w:line="400" w:lineRule="exact"/>
              <w:textAlignment w:val="auto"/>
              <w:rPr>
                <w:rFonts w:ascii="仿宋" w:hAnsi="仿宋" w:eastAsia="仿宋" w:cs="仿宋"/>
                <w:snapToGrid w:val="0"/>
                <w:color w:val="auto"/>
                <w:kern w:val="28"/>
                <w:sz w:val="24"/>
                <w:highlight w:val="none"/>
              </w:rPr>
            </w:pPr>
            <w:r>
              <w:rPr>
                <w:rFonts w:hint="eastAsia" w:ascii="仿宋" w:hAnsi="仿宋" w:eastAsia="仿宋" w:cs="仿宋"/>
                <w:color w:val="auto"/>
                <w:sz w:val="24"/>
                <w:highlight w:val="none"/>
              </w:rPr>
              <w:t>账    号：201000069514479</w:t>
            </w:r>
          </w:p>
        </w:tc>
      </w:tr>
    </w:tbl>
    <w:p w14:paraId="5200B85B">
      <w:pPr>
        <w:snapToGrid w:val="0"/>
        <w:spacing w:line="360" w:lineRule="auto"/>
        <w:jc w:val="center"/>
        <w:rPr>
          <w:rFonts w:hint="eastAsia" w:ascii="仿宋" w:hAnsi="仿宋" w:eastAsia="仿宋" w:cs="仿宋"/>
          <w:b/>
          <w:color w:val="auto"/>
          <w:sz w:val="32"/>
          <w:szCs w:val="20"/>
          <w:highlight w:val="none"/>
        </w:rPr>
      </w:pPr>
    </w:p>
    <w:p w14:paraId="7AC5FA38">
      <w:pPr>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14:paraId="7BFA71F2">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 适用范围</w:t>
      </w:r>
    </w:p>
    <w:p w14:paraId="12A3BF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14:paraId="3A546C5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2.定义</w:t>
      </w:r>
    </w:p>
    <w:p w14:paraId="2E0547A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“采购人”系指磋商邀请公告中载明的本项目的采购人。</w:t>
      </w:r>
    </w:p>
    <w:p w14:paraId="01FF33F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“采购代理机构”系指磋商邀请公告中载明的本项目的采购代理机构。</w:t>
      </w:r>
    </w:p>
    <w:p w14:paraId="4E16467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“供应商”系指响应磋商、参加本次竞争的法人、其他组织或自然人。</w:t>
      </w:r>
    </w:p>
    <w:p w14:paraId="7598E87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7746AB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 “成交人”系指经评审确定的成交供应商。</w:t>
      </w:r>
    </w:p>
    <w:p w14:paraId="27F6325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2.6“响应文件”系指供应商提交的商务技术文件。供应商提交最后报价后，最后报价是供应商响应文件的有效组成部分。</w:t>
      </w:r>
    </w:p>
    <w:p w14:paraId="3868E5F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仿宋"/>
          <w:color w:val="auto"/>
          <w:sz w:val="24"/>
          <w:highlight w:val="none"/>
        </w:rPr>
        <w:t>https://www.zcygov.cn/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14:paraId="5BEE647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527BB62B">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2.9 </w:t>
      </w:r>
      <w:r>
        <w:rPr>
          <w:rFonts w:hint="eastAsia" w:ascii="仿宋" w:hAnsi="仿宋" w:eastAsia="仿宋" w:cs="仿宋"/>
          <w:color w:val="auto"/>
          <w:sz w:val="24"/>
          <w:highlight w:val="none"/>
          <w:u w:val="single"/>
        </w:rPr>
        <w:t>“书面形式”包括数据电文形式与纸质形式。数据电文形式与纸质形式的采购活动具有同等法律效力。</w:t>
      </w:r>
    </w:p>
    <w:p w14:paraId="20AEF76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2.10 “▲” 系指实质性要求条款， “※”系指磋商过程中可能实质性变动的内容， “</w:t>
      </w:r>
      <w:r>
        <w:rPr>
          <w:rFonts w:hint="eastAsia" w:ascii="仿宋" w:hAnsi="仿宋" w:eastAsia="仿宋" w:cs="仿宋"/>
          <w:b/>
          <w:color w:val="auto"/>
          <w:sz w:val="24"/>
          <w:highlight w:val="none"/>
        </w:rPr>
        <w:sym w:font="Wingdings 2" w:char="0052"/>
      </w:r>
      <w:r>
        <w:rPr>
          <w:rFonts w:hint="eastAsia" w:ascii="仿宋" w:hAnsi="仿宋" w:eastAsia="仿宋" w:cs="仿宋"/>
          <w:color w:val="auto"/>
          <w:sz w:val="24"/>
          <w:highlight w:val="none"/>
        </w:rPr>
        <w:t>” 系指适用本项目的要求，“</w:t>
      </w:r>
      <w:r>
        <w:rPr>
          <w:rFonts w:hint="eastAsia" w:ascii="仿宋" w:hAnsi="仿宋" w:eastAsia="仿宋" w:cs="仿宋"/>
          <w:b/>
          <w:color w:val="auto"/>
          <w:sz w:val="24"/>
          <w:highlight w:val="none"/>
        </w:rPr>
        <w:sym w:font="Wingdings 2" w:char="00A3"/>
      </w:r>
      <w:r>
        <w:rPr>
          <w:rFonts w:hint="eastAsia" w:ascii="仿宋" w:hAnsi="仿宋" w:eastAsia="仿宋" w:cs="仿宋"/>
          <w:color w:val="auto"/>
          <w:sz w:val="24"/>
          <w:highlight w:val="none"/>
        </w:rPr>
        <w:t>” 系指不适用本项目的要求。</w:t>
      </w:r>
    </w:p>
    <w:p w14:paraId="3C769F7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 响应有效期</w:t>
      </w:r>
    </w:p>
    <w:p w14:paraId="1F69204D">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▲3.1响应有效期为从提交响应文件的截止之日起90天。供应商的响应文件中承诺的响应有效期少于磋商文件中载明的磋商有效期的，响应无效。</w:t>
      </w:r>
    </w:p>
    <w:p w14:paraId="1989726F">
      <w:pPr>
        <w:pStyle w:val="134"/>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3.2响应文件合格提交后，自响应截止日期起，在响应有效期内有效。</w:t>
      </w:r>
    </w:p>
    <w:p w14:paraId="0D177EBF">
      <w:pPr>
        <w:pStyle w:val="134"/>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4EC86D1C">
      <w:pPr>
        <w:pStyle w:val="134"/>
        <w:spacing w:before="0"/>
        <w:ind w:firstLine="482"/>
        <w:rPr>
          <w:rFonts w:ascii="仿宋" w:hAnsi="仿宋" w:eastAsia="仿宋" w:cs="仿宋"/>
          <w:b/>
          <w:bCs/>
          <w:color w:val="auto"/>
          <w:szCs w:val="24"/>
          <w:highlight w:val="none"/>
        </w:rPr>
      </w:pPr>
      <w:r>
        <w:rPr>
          <w:rFonts w:hint="eastAsia" w:ascii="仿宋" w:hAnsi="仿宋" w:eastAsia="仿宋" w:cs="仿宋"/>
          <w:b/>
          <w:bCs/>
          <w:color w:val="auto"/>
          <w:szCs w:val="24"/>
          <w:highlight w:val="none"/>
        </w:rPr>
        <w:t>4．响应费用</w:t>
      </w:r>
    </w:p>
    <w:p w14:paraId="6BE5C131">
      <w:pPr>
        <w:pStyle w:val="134"/>
        <w:spacing w:before="0"/>
        <w:ind w:firstLine="480"/>
        <w:rPr>
          <w:rFonts w:ascii="仿宋" w:hAnsi="仿宋" w:eastAsia="仿宋" w:cs="仿宋"/>
          <w:color w:val="auto"/>
          <w:szCs w:val="24"/>
          <w:highlight w:val="none"/>
          <w:lang w:val="zh-CN"/>
        </w:rPr>
      </w:pPr>
      <w:r>
        <w:rPr>
          <w:rFonts w:hint="eastAsia" w:ascii="仿宋" w:hAnsi="仿宋" w:eastAsia="仿宋" w:cs="仿宋"/>
          <w:color w:val="auto"/>
          <w:szCs w:val="24"/>
          <w:highlight w:val="none"/>
        </w:rPr>
        <w:t>供应商需自行承担涉及响应的一切费用</w:t>
      </w:r>
      <w:r>
        <w:rPr>
          <w:rFonts w:hint="eastAsia" w:ascii="仿宋" w:hAnsi="仿宋" w:eastAsia="仿宋" w:cs="仿宋"/>
          <w:color w:val="auto"/>
          <w:szCs w:val="24"/>
          <w:highlight w:val="none"/>
          <w:lang w:val="zh-CN"/>
        </w:rPr>
        <w:t>。</w:t>
      </w:r>
    </w:p>
    <w:p w14:paraId="27C02128">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14:paraId="075B363F">
      <w:pPr>
        <w:pStyle w:val="134"/>
        <w:spacing w:before="0"/>
        <w:ind w:firstLine="482"/>
        <w:rPr>
          <w:rFonts w:ascii="仿宋" w:hAnsi="仿宋" w:eastAsia="仿宋" w:cs="仿宋"/>
          <w:b/>
          <w:bCs/>
          <w:color w:val="auto"/>
          <w:szCs w:val="24"/>
          <w:highlight w:val="none"/>
        </w:rPr>
      </w:pPr>
      <w:r>
        <w:rPr>
          <w:rFonts w:hint="eastAsia" w:ascii="仿宋" w:hAnsi="仿宋" w:eastAsia="仿宋" w:cs="仿宋"/>
          <w:b/>
          <w:bCs/>
          <w:color w:val="auto"/>
          <w:szCs w:val="24"/>
          <w:highlight w:val="none"/>
        </w:rPr>
        <w:t>1.是否允许采购进口产品要求</w:t>
      </w:r>
    </w:p>
    <w:p w14:paraId="21F46258">
      <w:pPr>
        <w:pStyle w:val="134"/>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A21FF1A">
      <w:pPr>
        <w:pStyle w:val="134"/>
        <w:spacing w:before="0"/>
        <w:ind w:firstLine="482"/>
        <w:rPr>
          <w:rFonts w:ascii="仿宋" w:hAnsi="仿宋" w:eastAsia="仿宋" w:cs="仿宋"/>
          <w:b/>
          <w:bCs/>
          <w:color w:val="auto"/>
          <w:szCs w:val="24"/>
          <w:highlight w:val="none"/>
        </w:rPr>
      </w:pPr>
      <w:r>
        <w:rPr>
          <w:rFonts w:hint="eastAsia" w:ascii="仿宋" w:hAnsi="仿宋" w:eastAsia="仿宋" w:cs="仿宋"/>
          <w:b/>
          <w:bCs/>
          <w:color w:val="auto"/>
          <w:szCs w:val="24"/>
          <w:highlight w:val="none"/>
        </w:rPr>
        <w:t>2.支持绿色发展</w:t>
      </w:r>
    </w:p>
    <w:p w14:paraId="36EDAFD2">
      <w:pPr>
        <w:spacing w:line="360" w:lineRule="auto"/>
        <w:ind w:firstLine="480" w:firstLineChars="200"/>
        <w:rPr>
          <w:rFonts w:ascii="宋体" w:hAnsi="宋体" w:cs="宋体"/>
          <w:b/>
          <w:color w:val="auto"/>
          <w:sz w:val="24"/>
          <w:highlight w:val="none"/>
        </w:rPr>
      </w:pPr>
      <w:r>
        <w:rPr>
          <w:rFonts w:hint="eastAsia" w:ascii="仿宋" w:hAnsi="仿宋" w:eastAsia="仿宋" w:cs="仿宋"/>
          <w:color w:val="auto"/>
          <w:sz w:val="24"/>
          <w:highlight w:val="none"/>
        </w:rPr>
        <w:t>2.1采购人拟采购的产品属于品目清单范围的</w:t>
      </w:r>
      <w:r>
        <w:rPr>
          <w:rFonts w:hint="eastAsia" w:ascii="仿宋" w:hAnsi="仿宋" w:eastAsia="仿宋" w:cs="仿宋"/>
          <w:b/>
          <w:bCs/>
          <w:color w:val="auto"/>
          <w:sz w:val="24"/>
          <w:highlight w:val="none"/>
        </w:rPr>
        <w:t>（节能产品政府采购品目清单见财库【2019】19号，环境标志产品政府采购品目清单见财库【2019】18号）</w:t>
      </w:r>
      <w:r>
        <w:rPr>
          <w:rFonts w:hint="eastAsia" w:ascii="仿宋" w:hAnsi="仿宋" w:eastAsia="仿宋" w:cs="仿宋"/>
          <w:color w:val="auto"/>
          <w:sz w:val="24"/>
          <w:highlight w:val="none"/>
        </w:rPr>
        <w:t>，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bCs/>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1B5B76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6AD4CE0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EA926B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3.支持中小企业发展</w:t>
      </w:r>
    </w:p>
    <w:p w14:paraId="581E38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4554B4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DCE392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3.2在政府采购活动中，服务类项目采购，服务由中小企业承接，即提供服务的人员为中小企业依照《中华人民共和国劳动合同法》订立劳动合同的从业人员，享受中小企业扶持政策。</w:t>
      </w:r>
    </w:p>
    <w:p w14:paraId="14E69D9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14:paraId="71EEDD7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BD78CA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3.4符合《关于促进残疾人就业政府采购政策的通知》（财库〔2017〕141号）规定的条件并提供《残疾人福利性单位声明函》（附件3）的残疾人福利性单位视同小型、微型企业；</w:t>
      </w:r>
    </w:p>
    <w:p w14:paraId="27CBB74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D471A4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8090D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14:paraId="7BF5407B">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4.支持创新发展</w:t>
      </w:r>
    </w:p>
    <w:p w14:paraId="31D688F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 采购人优先采购被认定为首台套产品和“制造精品”的自主创新产品。</w:t>
      </w:r>
    </w:p>
    <w:p w14:paraId="3875611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D9DE3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 采购人应当贯彻落实知识产权保护相关法律法规，应当采购使用正版软件。</w:t>
      </w:r>
    </w:p>
    <w:p w14:paraId="33E522A1">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5.平等对待内外资企业和符合条件的破产重整企业</w:t>
      </w:r>
    </w:p>
    <w:p w14:paraId="13EE2AE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695094C8">
      <w:pPr>
        <w:snapToGrid w:val="0"/>
        <w:spacing w:line="360" w:lineRule="auto"/>
        <w:jc w:val="center"/>
        <w:outlineLvl w:val="0"/>
        <w:rPr>
          <w:rFonts w:hint="eastAsia" w:ascii="仿宋" w:hAnsi="仿宋" w:eastAsia="仿宋" w:cs="仿宋"/>
          <w:b/>
          <w:color w:val="auto"/>
          <w:sz w:val="32"/>
          <w:szCs w:val="20"/>
          <w:highlight w:val="none"/>
          <w:lang w:val="en-US" w:eastAsia="zh-CN"/>
        </w:rPr>
      </w:pPr>
      <w:r>
        <w:rPr>
          <w:rFonts w:hint="eastAsia" w:ascii="仿宋" w:hAnsi="仿宋" w:eastAsia="仿宋" w:cs="仿宋"/>
          <w:b/>
          <w:color w:val="auto"/>
          <w:sz w:val="32"/>
          <w:szCs w:val="20"/>
          <w:highlight w:val="none"/>
        </w:rPr>
        <w:t>四、询问、质疑</w:t>
      </w:r>
      <w:r>
        <w:rPr>
          <w:rFonts w:hint="eastAsia" w:ascii="仿宋" w:hAnsi="仿宋" w:eastAsia="仿宋" w:cs="仿宋"/>
          <w:b/>
          <w:color w:val="auto"/>
          <w:sz w:val="32"/>
          <w:szCs w:val="20"/>
          <w:highlight w:val="none"/>
          <w:lang w:eastAsia="zh-CN"/>
        </w:rPr>
        <w:t>、</w:t>
      </w:r>
      <w:r>
        <w:rPr>
          <w:rFonts w:hint="eastAsia" w:ascii="仿宋" w:hAnsi="仿宋" w:eastAsia="仿宋" w:cs="仿宋"/>
          <w:b/>
          <w:color w:val="auto"/>
          <w:sz w:val="32"/>
          <w:szCs w:val="20"/>
          <w:highlight w:val="none"/>
        </w:rPr>
        <w:t>投诉</w:t>
      </w:r>
      <w:r>
        <w:rPr>
          <w:rFonts w:hint="eastAsia" w:ascii="仿宋" w:hAnsi="仿宋" w:eastAsia="仿宋" w:cs="仿宋"/>
          <w:b/>
          <w:color w:val="auto"/>
          <w:sz w:val="32"/>
          <w:szCs w:val="20"/>
          <w:highlight w:val="none"/>
          <w:lang w:val="en-US" w:eastAsia="zh-CN"/>
        </w:rPr>
        <w:t>与补偿救济</w:t>
      </w:r>
    </w:p>
    <w:p w14:paraId="70E47116">
      <w:pPr>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1.在线询问、质疑、投诉</w:t>
      </w:r>
    </w:p>
    <w:p w14:paraId="3E9D222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B53313">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 供应商询问</w:t>
      </w:r>
    </w:p>
    <w:p w14:paraId="2FF12D8C">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091226">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3. 供应商质疑</w:t>
      </w:r>
    </w:p>
    <w:p w14:paraId="099CD10F">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3.1质疑提出时效</w:t>
      </w:r>
    </w:p>
    <w:p w14:paraId="1C752B30">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3.1.1提出质疑的供应商应当是参与所质疑项目采购活动的供应商。潜在供应商已依法获取其可质疑的采购文件的，可以对该文件提出质疑。</w:t>
      </w:r>
    </w:p>
    <w:p w14:paraId="5DCAA241">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3.1.2供应商认为采购文件、采购过程和成交结果使自己的权益受到损害的，可以在知道或者应知其权益受到损害之日起七个工作日内，以书面形式向采购人或者采购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机构提出质疑，否则，采购人或者采购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机构不予受理：</w:t>
      </w:r>
    </w:p>
    <w:p w14:paraId="11AC6174">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3.1.2.1对采购文件提出质疑的，质疑期限为供应商获得采购文件之日或者采购文件公告期限届满之日起计算，采购文件在获取截止之日后获得的，应当自采购文件公告期限届满之日起计算。</w:t>
      </w:r>
    </w:p>
    <w:p w14:paraId="5FA98BAD">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3.1.2.2对采购过程提出质疑的，质疑期限为各采购程序环节结束之日起计算。</w:t>
      </w:r>
    </w:p>
    <w:p w14:paraId="7D52E4FD">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3.1.2.3对采购结果提出质疑的，质疑期限自采购结果公告期限届满之日起计算。</w:t>
      </w:r>
    </w:p>
    <w:p w14:paraId="66C4F709">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3.1.2.4对同一采购程序环节的质疑，供应商须一次性提出。</w:t>
      </w:r>
    </w:p>
    <w:p w14:paraId="42F98A46">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3.2质疑答复</w:t>
      </w:r>
    </w:p>
    <w:p w14:paraId="753D274B">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3.2.1根据采购人与采购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机构签订的《采购委托协议》的规定，质疑答复责任主体如下：</w:t>
      </w:r>
    </w:p>
    <w:p w14:paraId="55B9FB03">
      <w:pPr>
        <w:spacing w:line="360" w:lineRule="auto"/>
        <w:ind w:firstLine="3855" w:firstLineChars="1600"/>
        <w:rPr>
          <w:rFonts w:ascii="仿宋" w:hAnsi="仿宋" w:eastAsia="仿宋" w:cs="仿宋"/>
          <w:b/>
          <w:bCs/>
          <w:color w:val="auto"/>
          <w:sz w:val="24"/>
          <w:highlight w:val="none"/>
        </w:rPr>
      </w:pPr>
      <w:r>
        <w:rPr>
          <w:rFonts w:hint="eastAsia" w:ascii="仿宋" w:hAnsi="仿宋" w:eastAsia="仿宋" w:cs="仿宋"/>
          <w:b/>
          <w:bCs/>
          <w:color w:val="auto"/>
          <w:sz w:val="24"/>
          <w:highlight w:val="none"/>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4"/>
      </w:tblGrid>
      <w:tr w14:paraId="3D0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55" w:type="dxa"/>
            <w:gridSpan w:val="2"/>
            <w:vAlign w:val="center"/>
          </w:tcPr>
          <w:p w14:paraId="3DFAA359">
            <w:pPr>
              <w:pStyle w:val="33"/>
              <w:spacing w:line="360" w:lineRule="auto"/>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质疑内容</w:t>
            </w:r>
          </w:p>
        </w:tc>
        <w:tc>
          <w:tcPr>
            <w:tcW w:w="2264" w:type="dxa"/>
            <w:vAlign w:val="center"/>
          </w:tcPr>
          <w:p w14:paraId="1FDB2B57">
            <w:pPr>
              <w:pStyle w:val="33"/>
              <w:spacing w:line="360" w:lineRule="auto"/>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质疑答复责任主体</w:t>
            </w:r>
          </w:p>
        </w:tc>
      </w:tr>
      <w:tr w14:paraId="37DD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54" w:type="dxa"/>
            <w:vMerge w:val="restart"/>
            <w:vAlign w:val="center"/>
          </w:tcPr>
          <w:p w14:paraId="0FD02119">
            <w:pPr>
              <w:pStyle w:val="33"/>
              <w:spacing w:line="360" w:lineRule="auto"/>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对采购文件提出质疑</w:t>
            </w:r>
          </w:p>
        </w:tc>
        <w:tc>
          <w:tcPr>
            <w:tcW w:w="4601" w:type="dxa"/>
            <w:vAlign w:val="center"/>
          </w:tcPr>
          <w:p w14:paraId="1B5742EF">
            <w:pPr>
              <w:pStyle w:val="33"/>
              <w:spacing w:line="360" w:lineRule="auto"/>
              <w:jc w:val="left"/>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对采购文件中特定资格条件、采购需求、评审办法、评审标准提出的质疑</w:t>
            </w:r>
          </w:p>
        </w:tc>
        <w:tc>
          <w:tcPr>
            <w:tcW w:w="2264" w:type="dxa"/>
            <w:vAlign w:val="center"/>
          </w:tcPr>
          <w:p w14:paraId="03A3D16E">
            <w:pPr>
              <w:pStyle w:val="33"/>
              <w:spacing w:line="360" w:lineRule="auto"/>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采购人</w:t>
            </w:r>
          </w:p>
        </w:tc>
      </w:tr>
      <w:tr w14:paraId="48CE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54" w:type="dxa"/>
            <w:vMerge w:val="continue"/>
            <w:vAlign w:val="center"/>
          </w:tcPr>
          <w:p w14:paraId="3C871CF0">
            <w:pPr>
              <w:pStyle w:val="33"/>
              <w:spacing w:line="360" w:lineRule="auto"/>
              <w:jc w:val="center"/>
              <w:rPr>
                <w:rFonts w:ascii="仿宋" w:hAnsi="仿宋" w:eastAsia="仿宋" w:cs="仿宋"/>
                <w:snapToGrid/>
                <w:color w:val="auto"/>
                <w:sz w:val="24"/>
                <w:szCs w:val="24"/>
                <w:highlight w:val="none"/>
              </w:rPr>
            </w:pPr>
          </w:p>
        </w:tc>
        <w:tc>
          <w:tcPr>
            <w:tcW w:w="4601" w:type="dxa"/>
            <w:vAlign w:val="center"/>
          </w:tcPr>
          <w:p w14:paraId="5D0D6761">
            <w:pPr>
              <w:pStyle w:val="33"/>
              <w:spacing w:line="360" w:lineRule="auto"/>
              <w:jc w:val="left"/>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对采购文件中其他内容提出的质疑</w:t>
            </w:r>
          </w:p>
        </w:tc>
        <w:tc>
          <w:tcPr>
            <w:tcW w:w="2264" w:type="dxa"/>
            <w:vAlign w:val="center"/>
          </w:tcPr>
          <w:p w14:paraId="33281FCA">
            <w:pPr>
              <w:pStyle w:val="33"/>
              <w:spacing w:line="360" w:lineRule="auto"/>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采购代理机构</w:t>
            </w:r>
          </w:p>
        </w:tc>
      </w:tr>
      <w:tr w14:paraId="1F57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54" w:type="dxa"/>
            <w:vMerge w:val="restart"/>
            <w:vAlign w:val="center"/>
          </w:tcPr>
          <w:p w14:paraId="2500751F">
            <w:pPr>
              <w:pStyle w:val="33"/>
              <w:spacing w:line="360" w:lineRule="auto"/>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对采购过程提出质疑</w:t>
            </w:r>
          </w:p>
        </w:tc>
        <w:tc>
          <w:tcPr>
            <w:tcW w:w="4601" w:type="dxa"/>
            <w:vAlign w:val="center"/>
          </w:tcPr>
          <w:p w14:paraId="39B27525">
            <w:pPr>
              <w:pStyle w:val="33"/>
              <w:spacing w:line="360" w:lineRule="auto"/>
              <w:jc w:val="left"/>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有关现场考察或开启响应文件前答疑会事项提出的质疑</w:t>
            </w:r>
          </w:p>
        </w:tc>
        <w:tc>
          <w:tcPr>
            <w:tcW w:w="2264" w:type="dxa"/>
            <w:vAlign w:val="center"/>
          </w:tcPr>
          <w:p w14:paraId="2ECEA941">
            <w:pPr>
              <w:pStyle w:val="33"/>
              <w:spacing w:line="360" w:lineRule="auto"/>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采购人</w:t>
            </w:r>
          </w:p>
        </w:tc>
      </w:tr>
      <w:tr w14:paraId="6C6C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54" w:type="dxa"/>
            <w:vMerge w:val="continue"/>
            <w:vAlign w:val="center"/>
          </w:tcPr>
          <w:p w14:paraId="232ECCDA">
            <w:pPr>
              <w:pStyle w:val="33"/>
              <w:spacing w:line="360" w:lineRule="auto"/>
              <w:jc w:val="center"/>
              <w:rPr>
                <w:rFonts w:ascii="仿宋" w:hAnsi="仿宋" w:eastAsia="仿宋" w:cs="仿宋"/>
                <w:snapToGrid/>
                <w:color w:val="auto"/>
                <w:sz w:val="24"/>
                <w:szCs w:val="24"/>
                <w:highlight w:val="none"/>
              </w:rPr>
            </w:pPr>
          </w:p>
        </w:tc>
        <w:tc>
          <w:tcPr>
            <w:tcW w:w="4601" w:type="dxa"/>
            <w:vAlign w:val="center"/>
          </w:tcPr>
          <w:p w14:paraId="0C1CC374">
            <w:pPr>
              <w:pStyle w:val="33"/>
              <w:spacing w:line="360" w:lineRule="auto"/>
              <w:jc w:val="left"/>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对采购过程中其它事项提出的质疑</w:t>
            </w:r>
          </w:p>
        </w:tc>
        <w:tc>
          <w:tcPr>
            <w:tcW w:w="2264" w:type="dxa"/>
            <w:vAlign w:val="center"/>
          </w:tcPr>
          <w:p w14:paraId="474A0438">
            <w:pPr>
              <w:pStyle w:val="33"/>
              <w:spacing w:line="360" w:lineRule="auto"/>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采购代理机构</w:t>
            </w:r>
          </w:p>
        </w:tc>
      </w:tr>
      <w:tr w14:paraId="70B8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554" w:type="dxa"/>
            <w:vAlign w:val="center"/>
          </w:tcPr>
          <w:p w14:paraId="5831BB0C">
            <w:pPr>
              <w:pStyle w:val="33"/>
              <w:spacing w:line="360" w:lineRule="auto"/>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对采购结果提出质疑</w:t>
            </w:r>
          </w:p>
        </w:tc>
        <w:tc>
          <w:tcPr>
            <w:tcW w:w="4601" w:type="dxa"/>
            <w:vAlign w:val="center"/>
          </w:tcPr>
          <w:p w14:paraId="5925CB98">
            <w:pPr>
              <w:pStyle w:val="33"/>
              <w:spacing w:line="360" w:lineRule="auto"/>
              <w:jc w:val="left"/>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对采购结果提出的质疑</w:t>
            </w:r>
          </w:p>
        </w:tc>
        <w:tc>
          <w:tcPr>
            <w:tcW w:w="2264" w:type="dxa"/>
            <w:vAlign w:val="center"/>
          </w:tcPr>
          <w:p w14:paraId="2A959CDE">
            <w:pPr>
              <w:pStyle w:val="33"/>
              <w:spacing w:line="360" w:lineRule="auto"/>
              <w:jc w:val="center"/>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采购代理机构</w:t>
            </w:r>
          </w:p>
        </w:tc>
      </w:tr>
    </w:tbl>
    <w:p w14:paraId="7B2EDD80">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A52AF7C">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2.3询问或者质疑事项可能影响采购结果的，采购人应当暂停签订合同，已经签订合同的，应当中止履行合同。</w:t>
      </w:r>
    </w:p>
    <w:p w14:paraId="61794FC5">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3.3质疑函</w:t>
      </w:r>
    </w:p>
    <w:p w14:paraId="0E6E2E8D">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3.3.1供应商提出质疑应当提交质疑函和必要的证明材料。质疑函应当包括下列内容：</w:t>
      </w:r>
    </w:p>
    <w:p w14:paraId="7856768A">
      <w:pPr>
        <w:pStyle w:val="33"/>
        <w:numPr>
          <w:ilvl w:val="0"/>
          <w:numId w:val="1"/>
        </w:numPr>
        <w:tabs>
          <w:tab w:val="clear" w:pos="840"/>
        </w:tabs>
        <w:spacing w:line="360" w:lineRule="auto"/>
        <w:ind w:left="283"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29DFCFDD">
      <w:pPr>
        <w:pStyle w:val="33"/>
        <w:numPr>
          <w:ilvl w:val="0"/>
          <w:numId w:val="1"/>
        </w:numPr>
        <w:tabs>
          <w:tab w:val="clear" w:pos="840"/>
        </w:tabs>
        <w:spacing w:line="360" w:lineRule="auto"/>
        <w:ind w:left="283"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587416B5">
      <w:pPr>
        <w:pStyle w:val="33"/>
        <w:numPr>
          <w:ilvl w:val="0"/>
          <w:numId w:val="1"/>
        </w:numPr>
        <w:tabs>
          <w:tab w:val="clear" w:pos="840"/>
        </w:tabs>
        <w:spacing w:line="360" w:lineRule="auto"/>
        <w:ind w:left="283"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07887928">
      <w:pPr>
        <w:pStyle w:val="33"/>
        <w:numPr>
          <w:ilvl w:val="0"/>
          <w:numId w:val="1"/>
        </w:numPr>
        <w:tabs>
          <w:tab w:val="clear" w:pos="840"/>
        </w:tabs>
        <w:spacing w:line="360" w:lineRule="auto"/>
        <w:ind w:left="283"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271A72C7">
      <w:pPr>
        <w:pStyle w:val="33"/>
        <w:numPr>
          <w:ilvl w:val="0"/>
          <w:numId w:val="1"/>
        </w:numPr>
        <w:tabs>
          <w:tab w:val="clear" w:pos="840"/>
        </w:tabs>
        <w:spacing w:line="360" w:lineRule="auto"/>
        <w:ind w:left="283"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2BC1C4E5">
      <w:pPr>
        <w:pStyle w:val="33"/>
        <w:numPr>
          <w:ilvl w:val="0"/>
          <w:numId w:val="1"/>
        </w:numPr>
        <w:tabs>
          <w:tab w:val="clear" w:pos="840"/>
        </w:tabs>
        <w:spacing w:line="360" w:lineRule="auto"/>
        <w:ind w:left="283"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3E760B9B">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7F7BBCBE">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质疑函范本及制作说明详见附件1。</w:t>
      </w:r>
    </w:p>
    <w:p w14:paraId="03D7BC23">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4.供应商投诉</w:t>
      </w:r>
    </w:p>
    <w:p w14:paraId="1101D448">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4.1质疑供应商对采购人、采购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机构的答复不满意或者采购人、采购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lang w:val="zh-CN"/>
        </w:rPr>
        <w:t>机构未在规定的时间内作出答复的，可以在答复期满后十五个工作日内向同级政府采购监督管理部门提出投诉。</w:t>
      </w:r>
    </w:p>
    <w:p w14:paraId="2FFCF761">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4.2供应商投诉的事项不得超出已质疑事项的范围，基于质疑答复内容提出的投诉事项除外。</w:t>
      </w:r>
    </w:p>
    <w:p w14:paraId="3E4775C1">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4.3供应商投诉应当有明确的请求和必要的证明材料。</w:t>
      </w:r>
    </w:p>
    <w:p w14:paraId="61BC40D7">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4.4以联合体形式参加政府采购活动的，其投诉应当由组成联合体的所有供应商共同提出。</w:t>
      </w:r>
    </w:p>
    <w:p w14:paraId="131DDC2D">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投诉书范本及制作说明详见附件2。</w:t>
      </w:r>
    </w:p>
    <w:p w14:paraId="5643EF99">
      <w:pPr>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5</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lang w:val="zh-CN"/>
        </w:rPr>
        <w:t>补偿救济</w:t>
      </w:r>
    </w:p>
    <w:p w14:paraId="7695172D">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采购人（行政机关）因政策变化、规划调整而不履行政府采购合同的，供应商可依据《杭州市涉企补偿救济实施办法（试行）》向采购人（行政机关）提起补偿申请。</w:t>
      </w:r>
    </w:p>
    <w:p w14:paraId="0E561AB2">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五、磋商文件构成、修改、解释</w:t>
      </w:r>
    </w:p>
    <w:p w14:paraId="203CE35A">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zh-CN"/>
        </w:rPr>
        <w:t>磋商文件的构成</w:t>
      </w:r>
    </w:p>
    <w:p w14:paraId="7B85AB3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1.1 </w:t>
      </w:r>
      <w:r>
        <w:rPr>
          <w:rFonts w:hint="eastAsia" w:ascii="仿宋" w:hAnsi="仿宋" w:eastAsia="仿宋" w:cs="仿宋"/>
          <w:color w:val="auto"/>
          <w:sz w:val="24"/>
          <w:highlight w:val="none"/>
          <w:lang w:val="zh-CN"/>
        </w:rPr>
        <w:t>磋商文件包括下列文件及附件</w:t>
      </w:r>
    </w:p>
    <w:p w14:paraId="409E8C71">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第一部分  供应商邀请</w:t>
      </w:r>
    </w:p>
    <w:p w14:paraId="2368DDD3">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第二部分  竞争性磋商流程</w:t>
      </w:r>
    </w:p>
    <w:p w14:paraId="26A44100">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第三部分  供应商须知</w:t>
      </w:r>
    </w:p>
    <w:p w14:paraId="4F18D688">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第四部分  采购需求</w:t>
      </w:r>
    </w:p>
    <w:p w14:paraId="147AB3FC">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第五部分  评审方法及评审标准</w:t>
      </w:r>
    </w:p>
    <w:p w14:paraId="24D5860C">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第六部分  拟签订的合同文本</w:t>
      </w:r>
    </w:p>
    <w:p w14:paraId="1560B013">
      <w:pPr>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第七部分  应提交的有关格式范例</w:t>
      </w:r>
    </w:p>
    <w:p w14:paraId="50FB16FB">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1.2 与本项目有关的澄清或者修改的内容为磋商文件的组成部分。</w:t>
      </w:r>
    </w:p>
    <w:p w14:paraId="0269C08F">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2. 磋商文件的澄清、修改</w:t>
      </w:r>
    </w:p>
    <w:p w14:paraId="6A67398D">
      <w:pPr>
        <w:pStyle w:val="134"/>
        <w:snapToGrid w:val="0"/>
        <w:spacing w:before="0"/>
        <w:ind w:firstLine="480"/>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2.1已获取磋商文件的潜在供应商，若有问题需要澄清，应于提交首次响应文件截止时间前，以书面形式向采购</w:t>
      </w:r>
      <w:r>
        <w:rPr>
          <w:rFonts w:hint="eastAsia" w:ascii="仿宋" w:hAnsi="仿宋" w:eastAsia="仿宋" w:cs="仿宋"/>
          <w:color w:val="auto"/>
          <w:szCs w:val="24"/>
          <w:highlight w:val="none"/>
        </w:rPr>
        <w:t>代理</w:t>
      </w:r>
      <w:r>
        <w:rPr>
          <w:rFonts w:hint="eastAsia" w:ascii="仿宋" w:hAnsi="仿宋" w:eastAsia="仿宋" w:cs="仿宋"/>
          <w:color w:val="auto"/>
          <w:szCs w:val="24"/>
          <w:highlight w:val="none"/>
          <w:lang w:val="zh-CN"/>
        </w:rPr>
        <w:t>机构提出。</w:t>
      </w:r>
    </w:p>
    <w:p w14:paraId="27BF4D6C">
      <w:pPr>
        <w:pStyle w:val="134"/>
        <w:snapToGrid w:val="0"/>
        <w:spacing w:before="0"/>
        <w:ind w:firstLine="480"/>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2.2采购</w:t>
      </w:r>
      <w:r>
        <w:rPr>
          <w:rFonts w:hint="eastAsia" w:ascii="仿宋" w:hAnsi="仿宋" w:eastAsia="仿宋" w:cs="仿宋"/>
          <w:color w:val="auto"/>
          <w:szCs w:val="24"/>
          <w:highlight w:val="none"/>
        </w:rPr>
        <w:t>代理</w:t>
      </w:r>
      <w:r>
        <w:rPr>
          <w:rFonts w:hint="eastAsia" w:ascii="仿宋" w:hAnsi="仿宋" w:eastAsia="仿宋" w:cs="仿宋"/>
          <w:color w:val="auto"/>
          <w:szCs w:val="24"/>
          <w:highlight w:val="none"/>
          <w:lang w:val="zh-CN"/>
        </w:rPr>
        <w:t>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495059D">
      <w:pPr>
        <w:pStyle w:val="134"/>
        <w:snapToGrid w:val="0"/>
        <w:spacing w:before="0"/>
        <w:ind w:firstLine="480"/>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2.3澄清或者修改的内容可能影响响应文件编制的，采购人、采购</w:t>
      </w:r>
      <w:r>
        <w:rPr>
          <w:rFonts w:hint="eastAsia" w:ascii="仿宋" w:hAnsi="仿宋" w:eastAsia="仿宋" w:cs="仿宋"/>
          <w:color w:val="auto"/>
          <w:szCs w:val="24"/>
          <w:highlight w:val="none"/>
        </w:rPr>
        <w:t>代理</w:t>
      </w:r>
      <w:r>
        <w:rPr>
          <w:rFonts w:hint="eastAsia" w:ascii="仿宋" w:hAnsi="仿宋" w:eastAsia="仿宋" w:cs="仿宋"/>
          <w:color w:val="auto"/>
          <w:szCs w:val="24"/>
          <w:highlight w:val="none"/>
          <w:lang w:val="zh-CN"/>
        </w:rPr>
        <w:t>机构应当在提交首次响应文件截止时间至少5日前，通过电子交易平台通知所有获取磋商文件的供应商；不足5日的，采购人、采购</w:t>
      </w:r>
      <w:r>
        <w:rPr>
          <w:rFonts w:hint="eastAsia" w:ascii="仿宋" w:hAnsi="仿宋" w:eastAsia="仿宋" w:cs="仿宋"/>
          <w:color w:val="auto"/>
          <w:szCs w:val="24"/>
          <w:highlight w:val="none"/>
        </w:rPr>
        <w:t>代理</w:t>
      </w:r>
      <w:r>
        <w:rPr>
          <w:rFonts w:hint="eastAsia" w:ascii="仿宋" w:hAnsi="仿宋" w:eastAsia="仿宋" w:cs="仿宋"/>
          <w:color w:val="auto"/>
          <w:szCs w:val="24"/>
          <w:highlight w:val="none"/>
          <w:lang w:val="zh-CN"/>
        </w:rPr>
        <w:t>机构应当顺延提交首次响应文件截止时间。</w:t>
      </w:r>
    </w:p>
    <w:p w14:paraId="7D394E72">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▲响应文件未按磋商文件的澄清、修改的内容编制，又不符合实质性要求的，响应无效。</w:t>
      </w:r>
    </w:p>
    <w:p w14:paraId="453550CA">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14:paraId="28ED7F0F">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 响应文件的语言</w:t>
      </w:r>
    </w:p>
    <w:p w14:paraId="493FC204">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响应文件及供应商与采购有关的来往通知、函件和文件均应使用中文。</w:t>
      </w:r>
    </w:p>
    <w:p w14:paraId="286AE893">
      <w:pPr>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2. 响应文件的组成</w:t>
      </w:r>
    </w:p>
    <w:p w14:paraId="33121293">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响应文件应当包括以下主要内容：</w:t>
      </w:r>
    </w:p>
    <w:p w14:paraId="31B1B64F">
      <w:pPr>
        <w:pStyle w:val="33"/>
        <w:spacing w:line="360" w:lineRule="auto"/>
        <w:ind w:firstLine="482" w:firstLineChars="200"/>
        <w:rPr>
          <w:rFonts w:ascii="仿宋" w:hAnsi="仿宋" w:eastAsia="仿宋" w:cs="仿宋"/>
          <w:b/>
          <w:bCs/>
          <w:snapToGrid/>
          <w:color w:val="auto"/>
          <w:sz w:val="24"/>
          <w:szCs w:val="24"/>
          <w:highlight w:val="none"/>
          <w:lang w:val="zh-CN"/>
        </w:rPr>
      </w:pPr>
      <w:r>
        <w:rPr>
          <w:rFonts w:hint="eastAsia" w:ascii="仿宋" w:hAnsi="仿宋" w:eastAsia="仿宋" w:cs="仿宋"/>
          <w:b/>
          <w:bCs/>
          <w:snapToGrid/>
          <w:color w:val="auto"/>
          <w:sz w:val="24"/>
          <w:szCs w:val="24"/>
          <w:highlight w:val="none"/>
        </w:rPr>
        <w:t>2.1</w:t>
      </w:r>
      <w:r>
        <w:rPr>
          <w:rFonts w:hint="eastAsia" w:ascii="仿宋" w:hAnsi="仿宋" w:eastAsia="仿宋" w:cs="仿宋"/>
          <w:b/>
          <w:bCs/>
          <w:snapToGrid/>
          <w:color w:val="auto"/>
          <w:sz w:val="24"/>
          <w:szCs w:val="24"/>
          <w:highlight w:val="none"/>
          <w:lang w:val="zh-CN"/>
        </w:rPr>
        <w:t>资格文件</w:t>
      </w:r>
    </w:p>
    <w:p w14:paraId="2ECBE868">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w:t>
      </w:r>
      <w:r>
        <w:rPr>
          <w:rFonts w:hint="eastAsia" w:ascii="仿宋" w:hAnsi="仿宋" w:eastAsia="仿宋" w:cs="仿宋"/>
          <w:snapToGrid/>
          <w:color w:val="auto"/>
          <w:sz w:val="24"/>
          <w:szCs w:val="24"/>
          <w:highlight w:val="none"/>
        </w:rPr>
        <w:t>1</w:t>
      </w:r>
      <w:r>
        <w:rPr>
          <w:rFonts w:hint="eastAsia" w:ascii="仿宋" w:hAnsi="仿宋" w:eastAsia="仿宋" w:cs="仿宋"/>
          <w:snapToGrid/>
          <w:color w:val="auto"/>
          <w:sz w:val="24"/>
          <w:szCs w:val="24"/>
          <w:highlight w:val="none"/>
          <w:lang w:val="zh-CN"/>
        </w:rPr>
        <w:t>）符合参加政府采购活动应当具备的一般条件的承诺函（如以联合体形式参加政府采购活动的，联合体各方均应提交该承诺函）；</w:t>
      </w:r>
    </w:p>
    <w:p w14:paraId="4A7B2705">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w:t>
      </w:r>
      <w:r>
        <w:rPr>
          <w:rFonts w:hint="eastAsia" w:ascii="仿宋" w:hAnsi="仿宋" w:eastAsia="仿宋" w:cs="仿宋"/>
          <w:snapToGrid/>
          <w:color w:val="auto"/>
          <w:sz w:val="24"/>
          <w:szCs w:val="24"/>
          <w:highlight w:val="none"/>
        </w:rPr>
        <w:t>2</w:t>
      </w:r>
      <w:r>
        <w:rPr>
          <w:rFonts w:hint="eastAsia" w:ascii="仿宋" w:hAnsi="仿宋" w:eastAsia="仿宋" w:cs="仿宋"/>
          <w:snapToGrid/>
          <w:color w:val="auto"/>
          <w:sz w:val="24"/>
          <w:szCs w:val="24"/>
          <w:highlight w:val="none"/>
          <w:lang w:val="zh-CN"/>
        </w:rPr>
        <w:t>）联合协议（如果有）；</w:t>
      </w:r>
    </w:p>
    <w:p w14:paraId="53A11220">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w:t>
      </w:r>
      <w:r>
        <w:rPr>
          <w:rFonts w:hint="eastAsia" w:ascii="仿宋" w:hAnsi="仿宋" w:eastAsia="仿宋" w:cs="仿宋"/>
          <w:snapToGrid/>
          <w:color w:val="auto"/>
          <w:sz w:val="24"/>
          <w:szCs w:val="24"/>
          <w:highlight w:val="none"/>
        </w:rPr>
        <w:t>3</w:t>
      </w:r>
      <w:r>
        <w:rPr>
          <w:rFonts w:hint="eastAsia" w:ascii="仿宋" w:hAnsi="仿宋" w:eastAsia="仿宋" w:cs="仿宋"/>
          <w:snapToGrid/>
          <w:color w:val="auto"/>
          <w:sz w:val="24"/>
          <w:szCs w:val="24"/>
          <w:highlight w:val="none"/>
          <w:lang w:val="zh-CN"/>
        </w:rPr>
        <w:t>）落实政府采购政策需满足的资格要求（如果有)；</w:t>
      </w:r>
    </w:p>
    <w:p w14:paraId="6848CEBC">
      <w:pPr>
        <w:snapToGrid w:val="0"/>
        <w:spacing w:line="360" w:lineRule="auto"/>
        <w:ind w:firstLine="480" w:firstLineChars="200"/>
        <w:jc w:val="left"/>
        <w:outlineLvl w:val="1"/>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）符合特定资格条件的有关证明材料（如果有）。</w:t>
      </w:r>
      <w:r>
        <w:rPr>
          <w:rFonts w:hint="eastAsia" w:ascii="仿宋" w:hAnsi="仿宋" w:eastAsia="仿宋" w:cs="仿宋"/>
          <w:color w:val="auto"/>
          <w:sz w:val="24"/>
          <w:highlight w:val="none"/>
          <w:lang w:val="zh-CN"/>
        </w:rPr>
        <w:tab/>
      </w:r>
    </w:p>
    <w:p w14:paraId="2F97A90C">
      <w:pPr>
        <w:pStyle w:val="33"/>
        <w:spacing w:line="360" w:lineRule="auto"/>
        <w:ind w:firstLine="482" w:firstLineChars="200"/>
        <w:rPr>
          <w:rFonts w:ascii="仿宋" w:hAnsi="仿宋" w:eastAsia="仿宋" w:cs="仿宋"/>
          <w:b/>
          <w:bCs/>
          <w:snapToGrid/>
          <w:color w:val="auto"/>
          <w:sz w:val="24"/>
          <w:szCs w:val="24"/>
          <w:highlight w:val="none"/>
          <w:lang w:val="zh-CN"/>
        </w:rPr>
      </w:pPr>
      <w:r>
        <w:rPr>
          <w:rFonts w:hint="eastAsia" w:ascii="仿宋" w:hAnsi="仿宋" w:eastAsia="仿宋" w:cs="仿宋"/>
          <w:b/>
          <w:bCs/>
          <w:snapToGrid/>
          <w:color w:val="auto"/>
          <w:sz w:val="24"/>
          <w:szCs w:val="24"/>
          <w:highlight w:val="none"/>
        </w:rPr>
        <w:t>2.2商务技术</w:t>
      </w:r>
      <w:r>
        <w:rPr>
          <w:rFonts w:hint="eastAsia" w:ascii="仿宋" w:hAnsi="仿宋" w:eastAsia="仿宋" w:cs="仿宋"/>
          <w:b/>
          <w:bCs/>
          <w:snapToGrid/>
          <w:color w:val="auto"/>
          <w:sz w:val="24"/>
          <w:szCs w:val="24"/>
          <w:highlight w:val="none"/>
          <w:lang w:val="zh-CN"/>
        </w:rPr>
        <w:t>文件</w:t>
      </w:r>
    </w:p>
    <w:p w14:paraId="152CE0CE">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（1）响应函；</w:t>
      </w:r>
      <w:r>
        <w:rPr>
          <w:rFonts w:hint="eastAsia" w:ascii="仿宋" w:hAnsi="仿宋" w:eastAsia="仿宋" w:cs="仿宋"/>
          <w:snapToGrid/>
          <w:color w:val="auto"/>
          <w:sz w:val="24"/>
          <w:szCs w:val="24"/>
          <w:highlight w:val="none"/>
          <w:lang w:val="zh-CN"/>
        </w:rPr>
        <w:t xml:space="preserve"> </w:t>
      </w:r>
    </w:p>
    <w:p w14:paraId="046832D2">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（2）授权委托书 或法定代表人（单位负责人、自然人本人）身份证明；</w:t>
      </w:r>
    </w:p>
    <w:p w14:paraId="50F9507F">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（3）分包意向协议（如果有)；</w:t>
      </w:r>
    </w:p>
    <w:p w14:paraId="4637035C">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（4）符合性审查资料；</w:t>
      </w:r>
    </w:p>
    <w:p w14:paraId="3A0DBF59">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（5）评审标准相应的商务技术资料；</w:t>
      </w:r>
    </w:p>
    <w:p w14:paraId="2E0F0F94">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（6）投标标的清单；</w:t>
      </w:r>
    </w:p>
    <w:p w14:paraId="20D3B849">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（7）商务技术偏离表；</w:t>
      </w:r>
    </w:p>
    <w:p w14:paraId="155A5482">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w:t>
      </w:r>
      <w:r>
        <w:rPr>
          <w:rFonts w:hint="eastAsia" w:ascii="仿宋" w:hAnsi="仿宋" w:eastAsia="仿宋" w:cs="仿宋"/>
          <w:snapToGrid/>
          <w:color w:val="auto"/>
          <w:sz w:val="24"/>
          <w:szCs w:val="24"/>
          <w:highlight w:val="none"/>
        </w:rPr>
        <w:t>8</w:t>
      </w:r>
      <w:r>
        <w:rPr>
          <w:rFonts w:hint="eastAsia" w:ascii="仿宋" w:hAnsi="仿宋" w:eastAsia="仿宋" w:cs="仿宋"/>
          <w:snapToGrid/>
          <w:color w:val="auto"/>
          <w:sz w:val="24"/>
          <w:szCs w:val="24"/>
          <w:highlight w:val="none"/>
          <w:lang w:val="zh-CN"/>
        </w:rPr>
        <w:t>）政府采购供应商廉洁自律承诺书</w:t>
      </w:r>
      <w:r>
        <w:rPr>
          <w:rFonts w:hint="eastAsia" w:ascii="仿宋" w:hAnsi="仿宋" w:eastAsia="仿宋" w:cs="仿宋"/>
          <w:snapToGrid/>
          <w:color w:val="auto"/>
          <w:sz w:val="24"/>
          <w:szCs w:val="24"/>
          <w:highlight w:val="none"/>
        </w:rPr>
        <w:t>。</w:t>
      </w:r>
    </w:p>
    <w:p w14:paraId="52A66806">
      <w:pPr>
        <w:pStyle w:val="33"/>
        <w:spacing w:line="360" w:lineRule="auto"/>
        <w:ind w:firstLine="482" w:firstLineChars="200"/>
        <w:rPr>
          <w:rFonts w:ascii="仿宋" w:hAnsi="仿宋" w:eastAsia="仿宋" w:cs="仿宋"/>
          <w:b/>
          <w:bCs/>
          <w:snapToGrid/>
          <w:color w:val="auto"/>
          <w:sz w:val="24"/>
          <w:szCs w:val="24"/>
          <w:highlight w:val="none"/>
          <w:lang w:val="zh-CN"/>
        </w:rPr>
      </w:pPr>
      <w:r>
        <w:rPr>
          <w:rFonts w:hint="eastAsia" w:ascii="仿宋" w:hAnsi="仿宋" w:eastAsia="仿宋" w:cs="仿宋"/>
          <w:b/>
          <w:bCs/>
          <w:snapToGrid/>
          <w:color w:val="auto"/>
          <w:sz w:val="24"/>
          <w:szCs w:val="24"/>
          <w:highlight w:val="none"/>
        </w:rPr>
        <w:t>2.3报价文件</w:t>
      </w:r>
    </w:p>
    <w:p w14:paraId="39F3C415">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（1）</w:t>
      </w:r>
      <w:r>
        <w:rPr>
          <w:rFonts w:hint="eastAsia" w:ascii="仿宋" w:hAnsi="仿宋" w:eastAsia="仿宋" w:cs="仿宋"/>
          <w:snapToGrid/>
          <w:color w:val="auto"/>
          <w:sz w:val="24"/>
          <w:szCs w:val="24"/>
          <w:highlight w:val="none"/>
          <w:lang w:val="en-US" w:eastAsia="zh-CN"/>
        </w:rPr>
        <w:t>报价单</w:t>
      </w:r>
      <w:r>
        <w:rPr>
          <w:rFonts w:hint="eastAsia" w:ascii="仿宋" w:hAnsi="仿宋" w:eastAsia="仿宋" w:cs="仿宋"/>
          <w:snapToGrid/>
          <w:color w:val="auto"/>
          <w:sz w:val="24"/>
          <w:szCs w:val="24"/>
          <w:highlight w:val="none"/>
        </w:rPr>
        <w:t>；</w:t>
      </w:r>
    </w:p>
    <w:p w14:paraId="4C2CA25E">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w:t>
      </w:r>
      <w:r>
        <w:rPr>
          <w:rFonts w:hint="eastAsia" w:ascii="仿宋" w:hAnsi="仿宋" w:eastAsia="仿宋" w:cs="仿宋"/>
          <w:snapToGrid/>
          <w:color w:val="auto"/>
          <w:sz w:val="24"/>
          <w:szCs w:val="24"/>
          <w:highlight w:val="none"/>
          <w:lang w:val="en-US" w:eastAsia="zh-CN"/>
        </w:rPr>
        <w:t>2</w:t>
      </w:r>
      <w:r>
        <w:rPr>
          <w:rFonts w:hint="eastAsia" w:ascii="仿宋" w:hAnsi="仿宋" w:eastAsia="仿宋" w:cs="仿宋"/>
          <w:snapToGrid/>
          <w:color w:val="auto"/>
          <w:sz w:val="24"/>
          <w:szCs w:val="24"/>
          <w:highlight w:val="none"/>
        </w:rPr>
        <w:t>）中小企业声明函（如果有）。</w:t>
      </w:r>
    </w:p>
    <w:p w14:paraId="6AE4426D">
      <w:pPr>
        <w:pStyle w:val="33"/>
        <w:spacing w:line="360" w:lineRule="auto"/>
        <w:ind w:firstLine="482" w:firstLineChars="200"/>
        <w:rPr>
          <w:rFonts w:hint="eastAsia" w:ascii="仿宋" w:hAnsi="仿宋" w:eastAsia="仿宋" w:cs="仿宋"/>
          <w:b/>
          <w:bCs/>
          <w:snapToGrid/>
          <w:color w:val="auto"/>
          <w:sz w:val="24"/>
          <w:szCs w:val="24"/>
          <w:highlight w:val="none"/>
          <w:lang w:val="en-US" w:eastAsia="zh-CN"/>
        </w:rPr>
      </w:pPr>
      <w:r>
        <w:rPr>
          <w:rFonts w:hint="eastAsia" w:ascii="仿宋" w:hAnsi="仿宋" w:eastAsia="仿宋" w:cs="仿宋"/>
          <w:b/>
          <w:bCs/>
          <w:snapToGrid/>
          <w:color w:val="auto"/>
          <w:sz w:val="24"/>
          <w:szCs w:val="24"/>
          <w:highlight w:val="none"/>
          <w:lang w:val="en-US" w:eastAsia="zh-CN"/>
        </w:rPr>
        <w:t>响应文件含有采购人不能接受的附加条件的，投标无效；</w:t>
      </w:r>
    </w:p>
    <w:p w14:paraId="075F588E">
      <w:pPr>
        <w:pStyle w:val="33"/>
        <w:spacing w:line="360" w:lineRule="auto"/>
        <w:ind w:firstLine="482" w:firstLineChars="200"/>
        <w:rPr>
          <w:rFonts w:hint="eastAsia" w:ascii="仿宋" w:hAnsi="仿宋" w:eastAsia="仿宋" w:cs="仿宋"/>
          <w:b/>
          <w:bCs/>
          <w:snapToGrid/>
          <w:color w:val="auto"/>
          <w:sz w:val="24"/>
          <w:szCs w:val="24"/>
          <w:highlight w:val="none"/>
          <w:lang w:val="en-US" w:eastAsia="zh-CN"/>
        </w:rPr>
      </w:pPr>
      <w:r>
        <w:rPr>
          <w:rFonts w:hint="eastAsia" w:ascii="仿宋" w:hAnsi="仿宋" w:eastAsia="仿宋" w:cs="仿宋"/>
          <w:b/>
          <w:bCs/>
          <w:snapToGrid/>
          <w:color w:val="auto"/>
          <w:sz w:val="24"/>
          <w:szCs w:val="24"/>
          <w:highlight w:val="none"/>
          <w:lang w:val="en-US" w:eastAsia="zh-CN"/>
        </w:rPr>
        <w:t>响应供应商提供虚假材料投标的，投标无效。</w:t>
      </w:r>
    </w:p>
    <w:p w14:paraId="26C5A13E">
      <w:pPr>
        <w:pStyle w:val="33"/>
        <w:spacing w:line="360" w:lineRule="auto"/>
        <w:ind w:firstLine="482" w:firstLineChars="200"/>
        <w:rPr>
          <w:rFonts w:hint="eastAsia" w:ascii="仿宋" w:hAnsi="仿宋" w:eastAsia="仿宋" w:cs="仿宋"/>
          <w:b/>
          <w:bCs/>
          <w:snapToGrid/>
          <w:color w:val="auto"/>
          <w:sz w:val="24"/>
          <w:szCs w:val="24"/>
          <w:highlight w:val="none"/>
          <w:lang w:val="en-US" w:eastAsia="zh-CN"/>
        </w:rPr>
      </w:pPr>
      <w:r>
        <w:rPr>
          <w:rFonts w:hint="eastAsia" w:ascii="仿宋" w:hAnsi="仿宋" w:eastAsia="仿宋" w:cs="仿宋"/>
          <w:b/>
          <w:bCs/>
          <w:snapToGrid/>
          <w:color w:val="auto"/>
          <w:sz w:val="24"/>
          <w:szCs w:val="24"/>
          <w:highlight w:val="none"/>
          <w:lang w:val="en-US" w:eastAsia="zh-CN"/>
        </w:rPr>
        <w:t>响应供应商应对响应文件中材料的真实性、合法性负责。</w:t>
      </w:r>
    </w:p>
    <w:p w14:paraId="78ABAA71">
      <w:pPr>
        <w:pStyle w:val="33"/>
        <w:spacing w:line="360" w:lineRule="auto"/>
        <w:ind w:firstLine="482" w:firstLineChars="20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3. 响应文件的编制和签署</w:t>
      </w:r>
    </w:p>
    <w:p w14:paraId="530E7324">
      <w:pPr>
        <w:pStyle w:val="33"/>
        <w:spacing w:line="360" w:lineRule="auto"/>
        <w:ind w:firstLine="480" w:firstLineChars="200"/>
        <w:rPr>
          <w:rFonts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lang w:val="zh-CN"/>
        </w:rPr>
        <w:t>3.1各供应商在编制响应文件时请按照磋商文件第七部分规定的格式进行，混乱的编排导致响应文件被误读或磋商小组查找不到有效文件是供应商的风险。</w:t>
      </w:r>
    </w:p>
    <w:p w14:paraId="46DEB2B6">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BCBE1FF">
      <w:pPr>
        <w:pStyle w:val="33"/>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3.3使用“政采云电子交易客户端”需要提前申领CA数字证书，申领流程请自行前往“浙江政府采购网-下载专区-电子交易客户端-CA驱动和申领流程”进行查阅。</w:t>
      </w:r>
    </w:p>
    <w:p w14:paraId="1E8FA19C">
      <w:pPr>
        <w:pStyle w:val="33"/>
        <w:spacing w:line="360" w:lineRule="auto"/>
        <w:ind w:firstLine="480" w:firstLineChars="200"/>
        <w:rPr>
          <w:rFonts w:ascii="仿宋" w:hAnsi="仿宋" w:eastAsia="仿宋" w:cs="仿宋"/>
          <w:b/>
          <w:bCs/>
          <w:snapToGrid/>
          <w:color w:val="auto"/>
          <w:sz w:val="24"/>
          <w:szCs w:val="24"/>
          <w:highlight w:val="none"/>
        </w:rPr>
      </w:pPr>
      <w:r>
        <w:rPr>
          <w:rFonts w:hint="eastAsia" w:ascii="仿宋" w:hAnsi="仿宋" w:eastAsia="仿宋" w:cs="仿宋"/>
          <w:snapToGrid/>
          <w:color w:val="auto"/>
          <w:sz w:val="24"/>
          <w:szCs w:val="24"/>
          <w:highlight w:val="none"/>
        </w:rPr>
        <w:t>3.4响应文件按照磋商文件第七部分格式要求进行签署、盖章。</w:t>
      </w:r>
      <w:r>
        <w:rPr>
          <w:rFonts w:hint="eastAsia" w:ascii="仿宋" w:hAnsi="仿宋" w:eastAsia="仿宋" w:cs="仿宋"/>
          <w:b/>
          <w:bCs/>
          <w:snapToGrid/>
          <w:color w:val="auto"/>
          <w:sz w:val="24"/>
          <w:szCs w:val="24"/>
          <w:highlight w:val="none"/>
        </w:rPr>
        <w:t>▲供应商的响应文件未按照磋商文件要求签署、盖章的，其响应无效。</w:t>
      </w:r>
    </w:p>
    <w:p w14:paraId="72E396F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3.5为确保网上操作合法、有效和安全，供应商应当在响应截止时间前完成在“政府采购云平台”的身份认证，确保在电子交易过程中能够对相关数据电文进行加密和使用电子签名。</w:t>
      </w:r>
    </w:p>
    <w:p w14:paraId="7F677294">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3.6磋商文件对响应文件签署、盖章的要求适用于电子签名。</w:t>
      </w:r>
    </w:p>
    <w:p w14:paraId="71FFE5B1">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七、响应文件的提交和备份</w:t>
      </w:r>
    </w:p>
    <w:p w14:paraId="1002E781">
      <w:pPr>
        <w:pStyle w:val="33"/>
        <w:spacing w:line="360" w:lineRule="auto"/>
        <w:ind w:firstLine="361" w:firstLineChars="150"/>
        <w:rPr>
          <w:rFonts w:hint="eastAsia"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1.响应文件的提交、补充、修改、撤回</w:t>
      </w:r>
    </w:p>
    <w:p w14:paraId="6D117C17">
      <w:pPr>
        <w:pStyle w:val="33"/>
        <w:spacing w:line="360" w:lineRule="auto"/>
        <w:ind w:firstLine="360" w:firstLineChars="150"/>
        <w:rPr>
          <w:rFonts w:hint="eastAsia" w:ascii="仿宋" w:hAnsi="仿宋" w:eastAsia="仿宋" w:cs="仿宋"/>
          <w:b w:val="0"/>
          <w:bCs w:val="0"/>
          <w:snapToGrid/>
          <w:color w:val="auto"/>
          <w:sz w:val="24"/>
          <w:szCs w:val="24"/>
          <w:highlight w:val="none"/>
        </w:rPr>
      </w:pPr>
      <w:r>
        <w:rPr>
          <w:rFonts w:hint="eastAsia" w:ascii="仿宋" w:hAnsi="仿宋" w:eastAsia="仿宋" w:cs="仿宋"/>
          <w:b w:val="0"/>
          <w:bCs w:val="0"/>
          <w:snapToGrid/>
          <w:color w:val="auto"/>
          <w:sz w:val="24"/>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6DEDFD4">
      <w:pPr>
        <w:pStyle w:val="33"/>
        <w:spacing w:line="360" w:lineRule="auto"/>
        <w:ind w:firstLine="360" w:firstLineChars="150"/>
        <w:rPr>
          <w:rFonts w:hint="eastAsia" w:ascii="仿宋" w:hAnsi="仿宋" w:eastAsia="仿宋" w:cs="仿宋"/>
          <w:b w:val="0"/>
          <w:bCs w:val="0"/>
          <w:snapToGrid/>
          <w:color w:val="auto"/>
          <w:sz w:val="24"/>
          <w:szCs w:val="24"/>
          <w:highlight w:val="none"/>
        </w:rPr>
      </w:pPr>
      <w:r>
        <w:rPr>
          <w:rFonts w:hint="eastAsia" w:ascii="仿宋" w:hAnsi="仿宋" w:eastAsia="仿宋" w:cs="仿宋"/>
          <w:b w:val="0"/>
          <w:bCs w:val="0"/>
          <w:snapToGrid/>
          <w:color w:val="auto"/>
          <w:sz w:val="24"/>
          <w:szCs w:val="24"/>
          <w:highlight w:val="none"/>
        </w:rPr>
        <w:t>1.2 在响应截止时间以后，不能补充、修改响应文件。</w:t>
      </w:r>
    </w:p>
    <w:p w14:paraId="62B3F879">
      <w:pPr>
        <w:pStyle w:val="33"/>
        <w:spacing w:line="360" w:lineRule="auto"/>
        <w:ind w:firstLine="360" w:firstLineChars="150"/>
        <w:rPr>
          <w:rFonts w:hint="eastAsia" w:ascii="仿宋" w:hAnsi="仿宋" w:eastAsia="仿宋" w:cs="仿宋"/>
          <w:b w:val="0"/>
          <w:bCs w:val="0"/>
          <w:snapToGrid/>
          <w:color w:val="auto"/>
          <w:sz w:val="24"/>
          <w:szCs w:val="24"/>
          <w:highlight w:val="none"/>
        </w:rPr>
      </w:pPr>
      <w:r>
        <w:rPr>
          <w:rFonts w:hint="eastAsia" w:ascii="仿宋" w:hAnsi="仿宋" w:eastAsia="仿宋" w:cs="仿宋"/>
          <w:b w:val="0"/>
          <w:bCs w:val="0"/>
          <w:snapToGrid/>
          <w:color w:val="auto"/>
          <w:sz w:val="24"/>
          <w:szCs w:val="24"/>
          <w:highlight w:val="none"/>
        </w:rPr>
        <w:t>1.3 在提交“最后报价”后，供应商不能退出磋商。</w:t>
      </w:r>
    </w:p>
    <w:p w14:paraId="66F28FFC">
      <w:pPr>
        <w:pStyle w:val="33"/>
        <w:spacing w:line="360" w:lineRule="auto"/>
        <w:ind w:firstLine="360" w:firstLineChars="150"/>
        <w:rPr>
          <w:rFonts w:hint="eastAsia" w:ascii="仿宋" w:hAnsi="仿宋" w:eastAsia="仿宋" w:cs="仿宋"/>
          <w:b w:val="0"/>
          <w:bCs w:val="0"/>
          <w:snapToGrid/>
          <w:color w:val="auto"/>
          <w:sz w:val="24"/>
          <w:szCs w:val="24"/>
          <w:highlight w:val="none"/>
        </w:rPr>
      </w:pPr>
      <w:r>
        <w:rPr>
          <w:rFonts w:hint="eastAsia" w:ascii="仿宋" w:hAnsi="仿宋" w:eastAsia="仿宋" w:cs="仿宋"/>
          <w:b w:val="0"/>
          <w:bCs w:val="0"/>
          <w:snapToGrid/>
          <w:color w:val="auto"/>
          <w:sz w:val="24"/>
          <w:szCs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23D02C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6685F4B0">
      <w:pPr>
        <w:pStyle w:val="134"/>
        <w:spacing w:before="0"/>
        <w:ind w:firstLine="482"/>
        <w:rPr>
          <w:rFonts w:ascii="仿宋" w:hAnsi="仿宋" w:eastAsia="仿宋" w:cs="仿宋"/>
          <w:b/>
          <w:bCs/>
          <w:color w:val="auto"/>
          <w:szCs w:val="24"/>
          <w:highlight w:val="none"/>
        </w:rPr>
      </w:pPr>
      <w:r>
        <w:rPr>
          <w:rFonts w:hint="eastAsia" w:ascii="仿宋" w:hAnsi="仿宋" w:eastAsia="仿宋" w:cs="仿宋"/>
          <w:b/>
          <w:bCs/>
          <w:color w:val="auto"/>
          <w:szCs w:val="24"/>
          <w:highlight w:val="none"/>
        </w:rPr>
        <w:t>2.备份响应文件</w:t>
      </w:r>
    </w:p>
    <w:p w14:paraId="2209A6ED">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2.1 供应商在电子交易平台传输提交响应文件后，还可以在响应截止时间前直接提交或者以顺丰或其他快递方式递交备份响应文件1份，</w:t>
      </w:r>
      <w:r>
        <w:rPr>
          <w:rFonts w:hint="eastAsia" w:ascii="仿宋" w:hAnsi="仿宋" w:eastAsia="仿宋" w:cs="仿宋"/>
          <w:b/>
          <w:bCs/>
          <w:color w:val="auto"/>
          <w:sz w:val="24"/>
          <w:highlight w:val="none"/>
        </w:rPr>
        <w:t>但采购人、采购代理机构不强制或变相强制供应商提交备份响应文件。</w:t>
      </w:r>
    </w:p>
    <w:p w14:paraId="58DA3C87">
      <w:pPr>
        <w:pStyle w:val="33"/>
        <w:spacing w:line="360" w:lineRule="auto"/>
        <w:ind w:firstLine="360" w:firstLineChars="150"/>
        <w:rPr>
          <w:rFonts w:hAnsi="宋体" w:cs="仿宋_GB2312"/>
          <w:b/>
          <w:bCs/>
          <w:color w:val="auto"/>
          <w:sz w:val="24"/>
          <w:szCs w:val="24"/>
          <w:highlight w:val="none"/>
        </w:rPr>
      </w:pPr>
      <w:r>
        <w:rPr>
          <w:rFonts w:hint="eastAsia" w:ascii="仿宋" w:hAnsi="仿宋" w:eastAsia="仿宋" w:cs="仿宋"/>
          <w:snapToGrid/>
          <w:color w:val="auto"/>
          <w:sz w:val="24"/>
          <w:szCs w:val="24"/>
          <w:highlight w:val="none"/>
        </w:rPr>
        <w:t>2.2 备份响应文件须在“政采云投标客户端”制作生成，并储存在</w:t>
      </w:r>
      <w:r>
        <w:rPr>
          <w:rFonts w:hint="eastAsia" w:ascii="仿宋" w:hAnsi="仿宋" w:eastAsia="仿宋" w:cs="仿宋"/>
          <w:b/>
          <w:bCs/>
          <w:snapToGrid/>
          <w:color w:val="auto"/>
          <w:sz w:val="24"/>
          <w:szCs w:val="24"/>
          <w:highlight w:val="none"/>
          <w:u w:val="single"/>
          <w:lang w:val="en-US" w:eastAsia="zh-CN"/>
        </w:rPr>
        <w:t>U</w:t>
      </w:r>
      <w:r>
        <w:rPr>
          <w:rFonts w:hint="eastAsia" w:ascii="仿宋" w:hAnsi="仿宋" w:eastAsia="仿宋" w:cs="仿宋"/>
          <w:b/>
          <w:bCs/>
          <w:snapToGrid/>
          <w:color w:val="auto"/>
          <w:sz w:val="24"/>
          <w:szCs w:val="24"/>
          <w:highlight w:val="none"/>
          <w:u w:val="single"/>
        </w:rPr>
        <w:t>盘</w:t>
      </w:r>
      <w:r>
        <w:rPr>
          <w:rFonts w:hint="eastAsia" w:ascii="仿宋" w:hAnsi="仿宋" w:eastAsia="仿宋" w:cs="仿宋"/>
          <w:snapToGrid/>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bCs/>
          <w:snapToGrid/>
          <w:color w:val="auto"/>
          <w:sz w:val="24"/>
          <w:szCs w:val="24"/>
          <w:highlight w:val="none"/>
        </w:rPr>
        <w:t>▲不符合上述制作、存储、密封规定的备份响应文件将被视为无效或者被拒绝接收。</w:t>
      </w:r>
    </w:p>
    <w:p w14:paraId="1F98D42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2.3 直接提交备份响应文件的，供应商应于响应截止时间前在磋商公告中载明的开启响应文件的地点将备份响应文件提交给采购代理机构，采购代理机构将拒绝接受逾期送达的备份响应文件。</w:t>
      </w:r>
    </w:p>
    <w:p w14:paraId="4D7AEC77">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2.4 以顺丰或其他快递方式递交备份响应文件的，供应商应先将备份响应文件按要求密封和标记，再进行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0A654273">
      <w:pPr>
        <w:pStyle w:val="33"/>
        <w:spacing w:line="360" w:lineRule="auto"/>
        <w:ind w:firstLine="482" w:firstLineChars="20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2.5 ▲供应商仅提交备份响应文件，未在电子交易平台传输提交响应文件的，响应无效。</w:t>
      </w:r>
    </w:p>
    <w:p w14:paraId="38FC52C6">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八、开启响应文件与信用信息查询</w:t>
      </w:r>
    </w:p>
    <w:p w14:paraId="0C66AD40">
      <w:pPr>
        <w:pStyle w:val="33"/>
        <w:spacing w:line="360" w:lineRule="auto"/>
        <w:ind w:firstLine="361" w:firstLineChars="15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1. 开启响应文件</w:t>
      </w:r>
    </w:p>
    <w:p w14:paraId="704DC789">
      <w:pPr>
        <w:spacing w:line="360" w:lineRule="auto"/>
        <w:ind w:firstLine="480" w:firstLineChars="200"/>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1.1 采购代理机构按照磋商文件规定的时间通过电子交易平台组织响应文件开启，所有供应商均应当准时在线参加。</w:t>
      </w:r>
      <w:r>
        <w:rPr>
          <w:rFonts w:hint="eastAsia" w:ascii="仿宋" w:hAnsi="仿宋" w:eastAsia="仿宋" w:cs="仿宋"/>
          <w:b/>
          <w:bCs/>
          <w:color w:val="auto"/>
          <w:sz w:val="24"/>
          <w:highlight w:val="none"/>
          <w:lang w:val="zh-CN"/>
        </w:rPr>
        <w:t>供应商数量不符合规定的，不得开启响应文件。</w:t>
      </w:r>
    </w:p>
    <w:p w14:paraId="705B8D5F">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1.2开启响应文件时，电子交易平台按开启响应文件时间自动提取所有响应文件。采购代理机构依托电子交易平台发起开始解密指令，供应商按照平台提示和磋商文件的规定在半小时内完成在线解密。</w:t>
      </w:r>
    </w:p>
    <w:p w14:paraId="0081324B">
      <w:pPr>
        <w:pStyle w:val="33"/>
        <w:spacing w:line="360" w:lineRule="auto"/>
        <w:ind w:firstLine="361" w:firstLineChars="15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2D07161D">
      <w:pPr>
        <w:pStyle w:val="33"/>
        <w:spacing w:line="360" w:lineRule="auto"/>
        <w:ind w:firstLine="361" w:firstLineChars="15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2.信用信息查询</w:t>
      </w:r>
    </w:p>
    <w:p w14:paraId="2678D044">
      <w:pPr>
        <w:pStyle w:val="134"/>
        <w:spacing w:before="0"/>
        <w:ind w:firstLine="495"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2.1信用信息查询渠道及截止时间：采购代理机构将通过“信用中国”网站(</w:t>
      </w:r>
      <w:r>
        <w:rPr>
          <w:rFonts w:hint="eastAsia" w:ascii="仿宋" w:hAnsi="仿宋" w:eastAsia="仿宋" w:cs="仿宋"/>
          <w:color w:val="auto"/>
          <w:kern w:val="2"/>
          <w:sz w:val="24"/>
          <w:szCs w:val="24"/>
          <w:highlight w:val="none"/>
          <w:lang w:val="zh-CN" w:eastAsia="zh-CN" w:bidi="ar-SA"/>
        </w:rPr>
        <w:fldChar w:fldCharType="begin"/>
      </w:r>
      <w:r>
        <w:rPr>
          <w:rFonts w:hint="eastAsia" w:ascii="仿宋" w:hAnsi="仿宋" w:eastAsia="仿宋" w:cs="仿宋"/>
          <w:color w:val="auto"/>
          <w:kern w:val="2"/>
          <w:sz w:val="24"/>
          <w:szCs w:val="24"/>
          <w:highlight w:val="none"/>
          <w:lang w:val="zh-CN" w:eastAsia="zh-CN" w:bidi="ar-SA"/>
        </w:rPr>
        <w:instrText xml:space="preserve"> HYPERLINK "http://www.creditchina.gov.cn" </w:instrText>
      </w:r>
      <w:r>
        <w:rPr>
          <w:rFonts w:hint="eastAsia" w:ascii="仿宋" w:hAnsi="仿宋" w:eastAsia="仿宋" w:cs="仿宋"/>
          <w:color w:val="auto"/>
          <w:kern w:val="2"/>
          <w:sz w:val="24"/>
          <w:szCs w:val="24"/>
          <w:highlight w:val="none"/>
          <w:lang w:val="zh-CN" w:eastAsia="zh-CN" w:bidi="ar-SA"/>
        </w:rPr>
        <w:fldChar w:fldCharType="separate"/>
      </w:r>
      <w:r>
        <w:rPr>
          <w:rFonts w:hint="eastAsia" w:ascii="仿宋" w:hAnsi="仿宋" w:eastAsia="仿宋" w:cs="仿宋"/>
          <w:color w:val="auto"/>
          <w:kern w:val="2"/>
          <w:sz w:val="24"/>
          <w:szCs w:val="24"/>
          <w:highlight w:val="none"/>
          <w:lang w:val="zh-CN" w:eastAsia="zh-CN" w:bidi="ar-SA"/>
        </w:rPr>
        <w:t>www.creditchina.gov.cn</w:t>
      </w:r>
      <w:r>
        <w:rPr>
          <w:rFonts w:hint="eastAsia" w:ascii="仿宋" w:hAnsi="仿宋" w:eastAsia="仿宋" w:cs="仿宋"/>
          <w:color w:val="auto"/>
          <w:kern w:val="2"/>
          <w:sz w:val="24"/>
          <w:szCs w:val="24"/>
          <w:highlight w:val="none"/>
          <w:lang w:val="zh-CN" w:eastAsia="zh-CN" w:bidi="ar-SA"/>
        </w:rPr>
        <w:fldChar w:fldCharType="end"/>
      </w:r>
      <w:r>
        <w:rPr>
          <w:rFonts w:hint="eastAsia" w:ascii="仿宋" w:hAnsi="仿宋" w:eastAsia="仿宋" w:cs="仿宋"/>
          <w:color w:val="auto"/>
          <w:kern w:val="2"/>
          <w:sz w:val="24"/>
          <w:szCs w:val="24"/>
          <w:highlight w:val="none"/>
          <w:lang w:val="zh-CN" w:eastAsia="zh-CN" w:bidi="ar-SA"/>
        </w:rPr>
        <w:t>)、中国政府采购网(www.ccgp.gov.cn)渠道查询供应商响应截止时间前的信用记录。</w:t>
      </w:r>
    </w:p>
    <w:p w14:paraId="039033E5">
      <w:pPr>
        <w:pStyle w:val="134"/>
        <w:spacing w:before="0"/>
        <w:ind w:firstLine="495"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2.2信用信息查询记录和证据留存的具体方式：现场查询的供应商的信用记录、查询结果经确认后存档。</w:t>
      </w:r>
    </w:p>
    <w:p w14:paraId="124CE24E">
      <w:pPr>
        <w:pStyle w:val="134"/>
        <w:spacing w:before="0"/>
        <w:ind w:firstLine="495"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2.3信用信息的使用规则：经查询列入失信被执行人名单、重大税收违法案件当事人名单、政府采购严重违法失信行为记录名单的供应商将被拒绝参与政府采购活动。</w:t>
      </w:r>
    </w:p>
    <w:p w14:paraId="31195E0A">
      <w:pPr>
        <w:pStyle w:val="134"/>
        <w:spacing w:before="0"/>
        <w:ind w:firstLine="495"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3495948">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九、提交最后报价</w:t>
      </w:r>
    </w:p>
    <w:p w14:paraId="1CA8A53A">
      <w:pPr>
        <w:pStyle w:val="33"/>
        <w:snapToGrid w:val="0"/>
        <w:spacing w:line="360" w:lineRule="auto"/>
        <w:ind w:firstLine="480" w:firstLineChars="200"/>
        <w:rPr>
          <w:rFonts w:ascii="仿宋" w:hAnsi="仿宋" w:eastAsia="仿宋" w:cs="仿宋"/>
          <w:b/>
          <w:color w:val="auto"/>
          <w:sz w:val="32"/>
          <w:highlight w:val="none"/>
        </w:rPr>
      </w:pPr>
      <w:r>
        <w:rPr>
          <w:rFonts w:hint="eastAsia" w:ascii="仿宋" w:hAnsi="仿宋" w:eastAsia="仿宋" w:cs="仿宋"/>
          <w:snapToGrid/>
          <w:color w:val="auto"/>
          <w:sz w:val="24"/>
          <w:szCs w:val="24"/>
          <w:highlight w:val="none"/>
        </w:rPr>
        <w:t>1.供应商应在规定时间内提交最后报价</w:t>
      </w:r>
      <w:r>
        <w:rPr>
          <w:rFonts w:hint="eastAsia" w:ascii="仿宋" w:hAnsi="仿宋" w:eastAsia="仿宋" w:cs="仿宋"/>
          <w:snapToGrid/>
          <w:color w:val="auto"/>
          <w:sz w:val="24"/>
          <w:szCs w:val="24"/>
          <w:highlight w:val="none"/>
          <w:lang w:val="en-US" w:eastAsia="zh-CN"/>
        </w:rPr>
        <w:t>单</w:t>
      </w:r>
      <w:r>
        <w:rPr>
          <w:rFonts w:hint="eastAsia" w:ascii="仿宋" w:hAnsi="仿宋" w:eastAsia="仿宋" w:cs="仿宋"/>
          <w:snapToGrid/>
          <w:color w:val="auto"/>
          <w:sz w:val="24"/>
          <w:szCs w:val="24"/>
          <w:highlight w:val="none"/>
        </w:rPr>
        <w:t>。</w:t>
      </w:r>
    </w:p>
    <w:p w14:paraId="2743E2F6">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十、评审</w:t>
      </w:r>
    </w:p>
    <w:p w14:paraId="78949C93">
      <w:pPr>
        <w:pStyle w:val="134"/>
        <w:spacing w:before="0"/>
        <w:ind w:firstLine="495"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1.评审方法：</w:t>
      </w:r>
      <w:r>
        <w:rPr>
          <w:rFonts w:hint="eastAsia" w:ascii="仿宋" w:hAnsi="仿宋" w:eastAsia="仿宋" w:cs="仿宋"/>
          <w:color w:val="auto"/>
          <w:szCs w:val="24"/>
          <w:highlight w:val="none"/>
        </w:rPr>
        <w:t>综合评分法。</w:t>
      </w:r>
    </w:p>
    <w:p w14:paraId="05DCD044">
      <w:pPr>
        <w:pStyle w:val="134"/>
        <w:spacing w:before="0"/>
        <w:ind w:firstLine="495"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2.价格分计算方法：</w:t>
      </w:r>
      <w:r>
        <w:rPr>
          <w:rFonts w:hint="eastAsia" w:ascii="仿宋" w:hAnsi="仿宋" w:eastAsia="仿宋" w:cs="仿宋"/>
          <w:color w:val="auto"/>
          <w:szCs w:val="24"/>
          <w:highlight w:val="none"/>
        </w:rPr>
        <w:t>低价优先法。</w:t>
      </w:r>
    </w:p>
    <w:p w14:paraId="746B8D67">
      <w:pPr>
        <w:pStyle w:val="134"/>
        <w:spacing w:before="0"/>
        <w:ind w:firstLine="495"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3.评审要求：</w:t>
      </w:r>
      <w:r>
        <w:rPr>
          <w:rFonts w:hint="eastAsia" w:ascii="仿宋" w:hAnsi="仿宋" w:eastAsia="仿宋" w:cs="仿宋"/>
          <w:color w:val="auto"/>
          <w:szCs w:val="24"/>
          <w:highlight w:val="none"/>
        </w:rPr>
        <w:t>详见磋商文件第五部分“评审方法及评审标准”。</w:t>
      </w:r>
    </w:p>
    <w:p w14:paraId="69D18959">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十一、成交</w:t>
      </w:r>
    </w:p>
    <w:p w14:paraId="27CF9B3F">
      <w:pPr>
        <w:pStyle w:val="33"/>
        <w:spacing w:line="360" w:lineRule="auto"/>
        <w:ind w:firstLine="482" w:firstLineChars="20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1. 推荐成交候选供应商</w:t>
      </w:r>
    </w:p>
    <w:p w14:paraId="6AAECF55">
      <w:pPr>
        <w:spacing w:line="360" w:lineRule="auto"/>
        <w:ind w:firstLine="465" w:firstLineChars="194"/>
        <w:rPr>
          <w:rFonts w:ascii="仿宋" w:hAnsi="仿宋" w:eastAsia="仿宋" w:cs="仿宋"/>
          <w:color w:val="auto"/>
          <w:sz w:val="24"/>
          <w:highlight w:val="none"/>
        </w:rPr>
      </w:pPr>
      <w:r>
        <w:rPr>
          <w:rFonts w:hint="eastAsia" w:ascii="仿宋" w:hAnsi="仿宋" w:eastAsia="仿宋" w:cs="仿宋"/>
          <w:color w:val="auto"/>
          <w:sz w:val="24"/>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2A066E2">
      <w:pPr>
        <w:pStyle w:val="33"/>
        <w:spacing w:line="360" w:lineRule="auto"/>
        <w:ind w:firstLine="482" w:firstLineChars="20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2. 确定成交供应商</w:t>
      </w:r>
    </w:p>
    <w:p w14:paraId="5BC6E78E">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政府采购效率，鼓励在收到评审报告当天在线确定成交供应商。成交通知书和成交结果公告应当在规定时间内同时发出。</w:t>
      </w:r>
    </w:p>
    <w:p w14:paraId="3205E321">
      <w:pPr>
        <w:pStyle w:val="33"/>
        <w:spacing w:line="360" w:lineRule="auto"/>
        <w:ind w:firstLine="482" w:firstLineChars="20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3．成交通知及成交结果公告</w:t>
      </w:r>
    </w:p>
    <w:p w14:paraId="71596A78">
      <w:pPr>
        <w:spacing w:line="360" w:lineRule="auto"/>
        <w:ind w:firstLine="465" w:firstLineChars="194"/>
        <w:rPr>
          <w:rFonts w:ascii="仿宋" w:hAnsi="仿宋" w:eastAsia="仿宋" w:cs="仿宋"/>
          <w:color w:val="auto"/>
          <w:sz w:val="24"/>
          <w:highlight w:val="none"/>
        </w:rPr>
      </w:pPr>
      <w:r>
        <w:rPr>
          <w:rFonts w:hint="eastAsia" w:ascii="仿宋" w:hAnsi="仿宋" w:eastAsia="仿宋" w:cs="仿宋"/>
          <w:color w:val="auto"/>
          <w:sz w:val="24"/>
          <w:highlight w:val="none"/>
        </w:rPr>
        <w:t>3.1自成交人确定之日起2个工作日内，采购代理机构通过电子交易平台向成交人发出成交通知书，同时编制发布采购成交结果公告。采购代理机构也可以以纸质形式进行成交通知。</w:t>
      </w:r>
    </w:p>
    <w:p w14:paraId="75D50D04">
      <w:pPr>
        <w:spacing w:line="360" w:lineRule="auto"/>
        <w:ind w:firstLine="465" w:firstLineChars="194"/>
        <w:rPr>
          <w:rFonts w:ascii="仿宋" w:hAnsi="仿宋" w:eastAsia="仿宋" w:cs="仿宋"/>
          <w:color w:val="auto"/>
          <w:sz w:val="24"/>
          <w:highlight w:val="none"/>
        </w:rPr>
      </w:pPr>
      <w:r>
        <w:rPr>
          <w:rFonts w:hint="eastAsia" w:ascii="仿宋" w:hAnsi="仿宋" w:eastAsia="仿宋" w:cs="仿宋"/>
          <w:color w:val="auto"/>
          <w:sz w:val="24"/>
          <w:highlight w:val="none"/>
        </w:rPr>
        <w:t>3.2成交结果公告内容包括采购人及其委托的采购代理机构的名称、地址、联系方式，项目名称和项目编号，成交人名称、地址和成交金额，主要中标标的的名称、规格型号、数量、单价、服务要求，开标记录、</w:t>
      </w:r>
      <w:bookmarkStart w:id="11" w:name="_Hlk101184471"/>
      <w:r>
        <w:rPr>
          <w:rFonts w:hint="eastAsia" w:ascii="仿宋" w:hAnsi="仿宋" w:eastAsia="仿宋" w:cs="仿宋"/>
          <w:color w:val="auto"/>
          <w:sz w:val="24"/>
          <w:highlight w:val="none"/>
        </w:rPr>
        <w:t>资格审查情况、评审专家抽取规则、符合性审查情况、</w:t>
      </w:r>
      <w:bookmarkEnd w:id="11"/>
      <w:r>
        <w:rPr>
          <w:rFonts w:hint="eastAsia" w:ascii="仿宋" w:hAnsi="仿宋" w:eastAsia="仿宋" w:cs="仿宋"/>
          <w:color w:val="auto"/>
          <w:sz w:val="24"/>
          <w:highlight w:val="none"/>
        </w:rPr>
        <w:t>未成交情况说明、成交公告期限以及评审专家名单、评分汇总及明细。</w:t>
      </w:r>
    </w:p>
    <w:p w14:paraId="57543466">
      <w:pPr>
        <w:spacing w:line="360" w:lineRule="auto"/>
        <w:ind w:firstLine="465" w:firstLineChars="194"/>
        <w:rPr>
          <w:rFonts w:ascii="仿宋" w:hAnsi="仿宋" w:eastAsia="仿宋" w:cs="仿宋"/>
          <w:color w:val="auto"/>
          <w:sz w:val="24"/>
          <w:highlight w:val="none"/>
        </w:rPr>
      </w:pPr>
      <w:r>
        <w:rPr>
          <w:rFonts w:hint="eastAsia" w:ascii="仿宋" w:hAnsi="仿宋" w:eastAsia="仿宋" w:cs="仿宋"/>
          <w:color w:val="auto"/>
          <w:sz w:val="24"/>
          <w:highlight w:val="none"/>
        </w:rPr>
        <w:t>3.3公告期限为1个工作日。</w:t>
      </w:r>
    </w:p>
    <w:p w14:paraId="68F2A331">
      <w:pPr>
        <w:pStyle w:val="33"/>
        <w:spacing w:line="360" w:lineRule="auto"/>
        <w:ind w:firstLine="482" w:firstLineChars="200"/>
        <w:rPr>
          <w:rFonts w:hint="eastAsia" w:ascii="仿宋" w:hAnsi="仿宋" w:eastAsia="仿宋" w:cs="仿宋"/>
          <w:b w:val="0"/>
          <w:bCs w:val="0"/>
          <w:snapToGrid/>
          <w:color w:val="auto"/>
          <w:sz w:val="24"/>
          <w:szCs w:val="24"/>
          <w:highlight w:val="none"/>
        </w:rPr>
      </w:pPr>
      <w:r>
        <w:rPr>
          <w:rFonts w:hint="eastAsia" w:ascii="仿宋" w:hAnsi="仿宋" w:eastAsia="仿宋" w:cs="仿宋"/>
          <w:b/>
          <w:bCs/>
          <w:snapToGrid/>
          <w:color w:val="auto"/>
          <w:sz w:val="24"/>
          <w:szCs w:val="24"/>
          <w:highlight w:val="none"/>
          <w:lang w:val="en-US" w:eastAsia="zh-CN"/>
        </w:rPr>
        <w:t>4.</w:t>
      </w:r>
      <w:r>
        <w:rPr>
          <w:rFonts w:hint="eastAsia" w:ascii="仿宋" w:hAnsi="仿宋" w:eastAsia="仿宋" w:cs="仿宋"/>
          <w:b w:val="0"/>
          <w:bCs w:val="0"/>
          <w:snapToGrid/>
          <w:color w:val="auto"/>
          <w:sz w:val="24"/>
          <w:szCs w:val="24"/>
          <w:highlight w:val="none"/>
        </w:rPr>
        <w:t>由于成交供应商原因导致重新采购的，应当承担支付代理费和专家评审费等费用在内的赔偿责任。</w:t>
      </w:r>
    </w:p>
    <w:p w14:paraId="2E9E4E82">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十二、合同</w:t>
      </w:r>
    </w:p>
    <w:p w14:paraId="4EA24E94">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1.合同主要条款：</w:t>
      </w:r>
      <w:r>
        <w:rPr>
          <w:rFonts w:hint="eastAsia" w:ascii="仿宋" w:hAnsi="仿宋" w:eastAsia="仿宋" w:cs="仿宋"/>
          <w:color w:val="auto"/>
          <w:kern w:val="0"/>
          <w:sz w:val="24"/>
          <w:highlight w:val="none"/>
        </w:rPr>
        <w:t>详见“第六部分拟签订的合同文本”。</w:t>
      </w:r>
    </w:p>
    <w:p w14:paraId="673F2139">
      <w:pPr>
        <w:widowControl/>
        <w:shd w:val="clear" w:color="auto" w:fill="FFFFFF"/>
        <w:snapToGrid w:val="0"/>
        <w:spacing w:line="360" w:lineRule="auto"/>
        <w:ind w:firstLine="48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2.合同的签订</w:t>
      </w:r>
    </w:p>
    <w:p w14:paraId="55F3155D">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EF1EFBF">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2.2成交人按规定的日期、时间、地点，由法定代表人或其授权代表与采购人代表签订合同。如成交人为联合体的，由联合体成员各方法定代表人或其授权代表与采购人代表签订合同。</w:t>
      </w:r>
    </w:p>
    <w:p w14:paraId="3C2CEF57">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6D8B75B">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3B43C0A">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2.5如签订合同并生效后，供应商无故拒绝或延期，除按照合同条款处理外，列入不良行为记录一次，并给予通报。</w:t>
      </w:r>
    </w:p>
    <w:p w14:paraId="5CC00A2E">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2.6采购合同由采购人与成交供应商根据磋商文件、响应文件等内容通过政府采购电子交易平台在线签订，自动备案。</w:t>
      </w:r>
    </w:p>
    <w:p w14:paraId="2B02E2A6">
      <w:pPr>
        <w:pStyle w:val="33"/>
        <w:spacing w:line="360" w:lineRule="auto"/>
        <w:ind w:firstLine="482" w:firstLineChars="200"/>
        <w:rPr>
          <w:rFonts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rPr>
        <w:t>3．履约保证金</w:t>
      </w:r>
    </w:p>
    <w:p w14:paraId="651FD030">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6732F99F">
      <w:pPr>
        <w:widowControl/>
        <w:shd w:val="clear" w:color="auto" w:fill="FFFFFF"/>
        <w:snapToGrid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kern w:val="0"/>
          <w:sz w:val="24"/>
          <w:highlight w:val="none"/>
          <w:lang w:val="en-US" w:eastAsia="zh-CN"/>
        </w:rPr>
        <w:t>95763</w:t>
      </w:r>
      <w:r>
        <w:rPr>
          <w:rFonts w:hint="eastAsia" w:ascii="仿宋" w:hAnsi="仿宋" w:eastAsia="仿宋" w:cs="仿宋"/>
          <w:color w:val="auto"/>
          <w:kern w:val="0"/>
          <w:sz w:val="24"/>
          <w:highlight w:val="none"/>
        </w:rPr>
        <w:t>。</w:t>
      </w:r>
    </w:p>
    <w:p w14:paraId="4D6342AB">
      <w:pPr>
        <w:pStyle w:val="33"/>
        <w:spacing w:line="360" w:lineRule="auto"/>
        <w:ind w:firstLine="482" w:firstLineChars="200"/>
        <w:rPr>
          <w:rFonts w:hint="eastAsia" w:ascii="仿宋" w:hAnsi="仿宋" w:eastAsia="仿宋" w:cs="仿宋"/>
          <w:b/>
          <w:bCs/>
          <w:snapToGrid/>
          <w:color w:val="auto"/>
          <w:sz w:val="24"/>
          <w:szCs w:val="24"/>
          <w:highlight w:val="none"/>
        </w:rPr>
      </w:pPr>
      <w:r>
        <w:rPr>
          <w:rFonts w:hint="eastAsia" w:ascii="仿宋" w:hAnsi="仿宋" w:eastAsia="仿宋" w:cs="仿宋"/>
          <w:b/>
          <w:bCs/>
          <w:snapToGrid/>
          <w:color w:val="auto"/>
          <w:sz w:val="24"/>
          <w:szCs w:val="24"/>
          <w:highlight w:val="none"/>
          <w:lang w:val="en-US"/>
        </w:rPr>
        <w:t>4.预付款</w:t>
      </w:r>
    </w:p>
    <w:p w14:paraId="3D0B4AE9">
      <w:pPr>
        <w:widowControl/>
        <w:shd w:val="clear" w:color="auto" w:fill="FFFFFF"/>
        <w:snapToGri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kern w:val="0"/>
          <w:sz w:val="24"/>
          <w:highlight w:val="none"/>
        </w:rPr>
        <w:t>不低于</w:t>
      </w:r>
      <w:r>
        <w:rPr>
          <w:rFonts w:hint="eastAsia" w:ascii="仿宋" w:hAnsi="仿宋" w:eastAsia="仿宋" w:cs="仿宋"/>
          <w:color w:val="auto"/>
          <w:kern w:val="0"/>
          <w:sz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0"/>
          <w:sz w:val="24"/>
          <w:highlight w:val="none"/>
          <w:lang w:val="en-US" w:eastAsia="zh-CN"/>
        </w:rPr>
        <w:t>95763</w:t>
      </w:r>
      <w:r>
        <w:rPr>
          <w:rFonts w:hint="eastAsia" w:ascii="仿宋" w:hAnsi="仿宋" w:eastAsia="仿宋" w:cs="仿宋"/>
          <w:color w:val="auto"/>
          <w:kern w:val="0"/>
          <w:sz w:val="24"/>
          <w:highlight w:val="none"/>
          <w:lang w:val="en-US"/>
        </w:rPr>
        <w:t>。</w:t>
      </w:r>
    </w:p>
    <w:p w14:paraId="07BF5334">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十三、验收</w:t>
      </w:r>
    </w:p>
    <w:p w14:paraId="0E8E0E5C">
      <w:pPr>
        <w:pStyle w:val="25"/>
        <w:spacing w:line="360" w:lineRule="auto"/>
        <w:ind w:firstLine="482"/>
        <w:rPr>
          <w:rFonts w:ascii="仿宋" w:hAnsi="仿宋" w:eastAsia="仿宋" w:cs="仿宋"/>
          <w:b/>
          <w:bCs/>
          <w:color w:val="auto"/>
          <w:kern w:val="0"/>
          <w:highlight w:val="none"/>
        </w:rPr>
      </w:pPr>
      <w:r>
        <w:rPr>
          <w:rFonts w:hint="eastAsia" w:ascii="仿宋" w:hAnsi="仿宋" w:eastAsia="仿宋" w:cs="仿宋"/>
          <w:b/>
          <w:bCs/>
          <w:color w:val="auto"/>
          <w:kern w:val="0"/>
          <w:highlight w:val="none"/>
        </w:rPr>
        <w:t>1.验收</w:t>
      </w:r>
    </w:p>
    <w:p w14:paraId="0C4E4E0B">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F449DB">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1.2采购人可以邀请参加本项目的其他供应商或者第三方机构参与验收。参与验收的供应商或者第三方机构的意见作为验收书的参考资料一并存档。</w:t>
      </w:r>
    </w:p>
    <w:p w14:paraId="23B95424">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63504B">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E5C73F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1.5</w:t>
      </w:r>
      <w:r>
        <w:rPr>
          <w:rFonts w:hint="eastAsia" w:ascii="仿宋" w:hAnsi="仿宋" w:eastAsia="仿宋" w:cs="仿宋"/>
          <w:color w:val="auto"/>
          <w:kern w:val="0"/>
          <w:sz w:val="24"/>
          <w:highlight w:val="none"/>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820113E">
      <w:pP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十四、电子交易活动的中止</w:t>
      </w:r>
    </w:p>
    <w:p w14:paraId="7C80C817">
      <w:pPr>
        <w:tabs>
          <w:tab w:val="left" w:pos="0"/>
        </w:tabs>
        <w:spacing w:line="360" w:lineRule="auto"/>
        <w:ind w:firstLine="48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1.电子交易活动的中止</w:t>
      </w:r>
    </w:p>
    <w:p w14:paraId="42E55562">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29742DFD">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1.1电子交易平台发生故障而无法登录访问的； </w:t>
      </w:r>
    </w:p>
    <w:p w14:paraId="6A4E4B12">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14:paraId="6695617D">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14:paraId="6B39474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1.4病毒发作导致不能进行正常操作的； </w:t>
      </w:r>
    </w:p>
    <w:p w14:paraId="5A9C637D">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14:paraId="752DD7D2">
      <w:pPr>
        <w:tabs>
          <w:tab w:val="left" w:pos="0"/>
        </w:tabs>
        <w:spacing w:line="360" w:lineRule="auto"/>
        <w:ind w:firstLine="480"/>
        <w:rPr>
          <w:rFonts w:hint="eastAsia" w:ascii="仿宋" w:hAnsi="仿宋" w:eastAsia="仿宋" w:cs="仿宋"/>
          <w:b/>
          <w:color w:val="auto"/>
          <w:sz w:val="32"/>
          <w:szCs w:val="20"/>
          <w:highlight w:val="none"/>
        </w:rPr>
      </w:pPr>
      <w:r>
        <w:rPr>
          <w:rFonts w:hint="eastAsia" w:ascii="仿宋" w:hAnsi="仿宋" w:eastAsia="仿宋" w:cs="仿宋"/>
          <w:color w:val="auto"/>
          <w:kern w:val="0"/>
          <w:sz w:val="24"/>
          <w:highlight w:val="none"/>
        </w:rPr>
        <w:t>2.出现以上情形，不影响采购公平、公正性的，采购组织机构可以待上述情形消除后继续组织电子交易活动，也可以决定某些环节以纸质形式进行；影响或可能影响采购公平、公正性的，应当重新采购。</w:t>
      </w:r>
    </w:p>
    <w:p w14:paraId="1FA8DEC3">
      <w:pPr>
        <w:snapToGrid w:val="0"/>
        <w:spacing w:line="360" w:lineRule="auto"/>
        <w:jc w:val="center"/>
        <w:rPr>
          <w:rFonts w:hint="eastAsia" w:ascii="仿宋" w:hAnsi="仿宋" w:eastAsia="仿宋" w:cs="仿宋"/>
          <w:b/>
          <w:color w:val="auto"/>
          <w:sz w:val="32"/>
          <w:szCs w:val="20"/>
          <w:highlight w:val="none"/>
        </w:rPr>
      </w:pPr>
    </w:p>
    <w:p w14:paraId="61D61FBB">
      <w:pPr>
        <w:snapToGrid w:val="0"/>
        <w:spacing w:line="360" w:lineRule="auto"/>
        <w:jc w:val="center"/>
        <w:rPr>
          <w:rFonts w:hint="eastAsia" w:ascii="仿宋" w:hAnsi="仿宋" w:eastAsia="仿宋" w:cs="仿宋"/>
          <w:b/>
          <w:color w:val="auto"/>
          <w:sz w:val="32"/>
          <w:szCs w:val="20"/>
          <w:highlight w:val="none"/>
        </w:rPr>
      </w:pPr>
    </w:p>
    <w:p w14:paraId="6558946D">
      <w:pPr>
        <w:snapToGrid w:val="0"/>
        <w:spacing w:line="360" w:lineRule="auto"/>
        <w:jc w:val="center"/>
        <w:rPr>
          <w:rFonts w:hint="eastAsia" w:ascii="仿宋" w:hAnsi="仿宋" w:eastAsia="仿宋" w:cs="仿宋"/>
          <w:b/>
          <w:color w:val="auto"/>
          <w:sz w:val="32"/>
          <w:szCs w:val="20"/>
          <w:highlight w:val="none"/>
        </w:rPr>
      </w:pPr>
    </w:p>
    <w:p w14:paraId="6700120D">
      <w:pPr>
        <w:snapToGrid w:val="0"/>
        <w:spacing w:line="360" w:lineRule="auto"/>
        <w:jc w:val="center"/>
        <w:rPr>
          <w:rFonts w:hint="eastAsia" w:ascii="仿宋" w:hAnsi="仿宋" w:eastAsia="仿宋" w:cs="仿宋"/>
          <w:b/>
          <w:color w:val="auto"/>
          <w:sz w:val="32"/>
          <w:szCs w:val="20"/>
          <w:highlight w:val="none"/>
        </w:rPr>
      </w:pPr>
    </w:p>
    <w:bookmarkEnd w:id="9"/>
    <w:p w14:paraId="4F717ECE">
      <w:pPr>
        <w:rPr>
          <w:rFonts w:hint="eastAsia" w:ascii="仿宋" w:hAnsi="仿宋" w:eastAsia="仿宋" w:cs="仿宋"/>
          <w:b/>
          <w:snapToGrid/>
          <w:color w:val="auto"/>
          <w:sz w:val="36"/>
          <w:szCs w:val="20"/>
          <w:highlight w:val="none"/>
          <w:lang w:val="en-US" w:eastAsia="zh-CN"/>
        </w:rPr>
      </w:pPr>
      <w:bookmarkStart w:id="12" w:name="第四部分"/>
      <w:r>
        <w:rPr>
          <w:rFonts w:hint="eastAsia" w:ascii="仿宋" w:hAnsi="仿宋" w:eastAsia="仿宋" w:cs="仿宋"/>
          <w:b/>
          <w:snapToGrid/>
          <w:color w:val="auto"/>
          <w:sz w:val="36"/>
          <w:szCs w:val="20"/>
          <w:highlight w:val="none"/>
          <w:lang w:val="en-US" w:eastAsia="zh-CN"/>
        </w:rPr>
        <w:br w:type="page"/>
      </w:r>
    </w:p>
    <w:p w14:paraId="574ABF89">
      <w:pPr>
        <w:pStyle w:val="33"/>
        <w:numPr>
          <w:ilvl w:val="0"/>
          <w:numId w:val="0"/>
        </w:numPr>
        <w:spacing w:line="360" w:lineRule="auto"/>
        <w:jc w:val="center"/>
        <w:rPr>
          <w:rFonts w:ascii="仿宋" w:hAnsi="仿宋" w:eastAsia="仿宋" w:cs="仿宋"/>
          <w:b/>
          <w:snapToGrid/>
          <w:color w:val="auto"/>
          <w:sz w:val="36"/>
          <w:szCs w:val="20"/>
          <w:highlight w:val="none"/>
        </w:rPr>
      </w:pPr>
      <w:r>
        <w:rPr>
          <w:rFonts w:hint="eastAsia" w:ascii="仿宋" w:hAnsi="仿宋" w:eastAsia="仿宋" w:cs="仿宋"/>
          <w:b/>
          <w:snapToGrid/>
          <w:color w:val="auto"/>
          <w:sz w:val="36"/>
          <w:szCs w:val="20"/>
          <w:highlight w:val="none"/>
          <w:lang w:val="en-US" w:eastAsia="zh-CN"/>
        </w:rPr>
        <w:t xml:space="preserve">第四部分  </w:t>
      </w:r>
      <w:r>
        <w:rPr>
          <w:rFonts w:hint="eastAsia" w:ascii="仿宋" w:hAnsi="仿宋" w:eastAsia="仿宋" w:cs="仿宋"/>
          <w:b/>
          <w:snapToGrid/>
          <w:color w:val="auto"/>
          <w:sz w:val="36"/>
          <w:szCs w:val="20"/>
          <w:highlight w:val="none"/>
        </w:rPr>
        <w:t>采购需求</w:t>
      </w:r>
    </w:p>
    <w:p w14:paraId="5608D02B">
      <w:pPr>
        <w:keepNext w:val="0"/>
        <w:keepLines w:val="0"/>
        <w:pageBreakBefore w:val="0"/>
        <w:widowControl w:val="0"/>
        <w:kinsoku/>
        <w:wordWrap/>
        <w:overflowPunct/>
        <w:topLinePunct w:val="0"/>
        <w:autoSpaceDE/>
        <w:autoSpaceDN/>
        <w:bidi w:val="0"/>
        <w:adjustRightInd/>
        <w:snapToGrid w:val="0"/>
        <w:spacing w:line="360" w:lineRule="auto"/>
        <w:ind w:firstLine="466" w:firstLineChars="200"/>
        <w:textAlignment w:val="auto"/>
        <w:rPr>
          <w:rFonts w:hint="eastAsia" w:ascii="仿宋" w:hAnsi="仿宋" w:eastAsia="仿宋" w:cs="仿宋"/>
          <w:b/>
          <w:bCs/>
          <w:color w:val="auto"/>
          <w:spacing w:val="-4"/>
          <w:sz w:val="24"/>
          <w:szCs w:val="24"/>
          <w:highlight w:val="none"/>
        </w:rPr>
      </w:pPr>
      <w:r>
        <w:rPr>
          <w:rFonts w:hint="eastAsia" w:ascii="仿宋" w:hAnsi="仿宋" w:eastAsia="仿宋" w:cs="仿宋"/>
          <w:b/>
          <w:bCs/>
          <w:color w:val="auto"/>
          <w:spacing w:val="-4"/>
          <w:sz w:val="24"/>
          <w:szCs w:val="24"/>
          <w:highlight w:val="none"/>
          <w:lang w:val="en-US" w:eastAsia="zh-CN"/>
        </w:rPr>
        <w:t xml:space="preserve">一、项目概况 </w:t>
      </w:r>
    </w:p>
    <w:p w14:paraId="7200ACA1">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 xml:space="preserve">1.1 采购内容概述 </w:t>
      </w:r>
    </w:p>
    <w:p w14:paraId="59DD5953">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 xml:space="preserve">本项目采购内容为杭州市滨江区民政局所需的杭州市滨江区智慧养老呼叫综合服务，采用“政府购买服务”的形式，实施定价招标（定价标准为 20 元/人/月）。服务主要内容包括：根据《关于提升全市智慧养老综合服务工作的通知》(杭民发[2019]100 号)相关规定，为自愿选择套餐一签约型智慧养老服务的签约老人提供具备一键呼叫、定额通话等功能的服务终端，开发 APP 或微信小程序、搭建信息管理系统及呼叫中心、组建服务团队，整合社会各界资源为自愿选择套餐一签约型智慧养老服务的老年人提供《关于提升全市智慧养老综合服务工作的通知》(杭民发[2019]100 号)中规定的一类、二类、三类服务。 </w:t>
      </w:r>
    </w:p>
    <w:p w14:paraId="4C304587">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 xml:space="preserve">欢迎各合格响应供应商选择最佳方案前来投标。 </w:t>
      </w:r>
    </w:p>
    <w:p w14:paraId="21F5B084">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 xml:space="preserve">1.2 招标定价 </w:t>
      </w:r>
    </w:p>
    <w:p w14:paraId="48A2B470">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 xml:space="preserve">1.2.1 本项目采用定价招标，定价标准为“20 元/人/月”。 </w:t>
      </w:r>
    </w:p>
    <w:p w14:paraId="4CA99353">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 xml:space="preserve">1.2.2 说明：杭州市滨江区内符合《杭州市民政局、杭州市财政局关于提升全市智慧养老综合服务工作的通知》(杭民发[2019]100 号)规定可以选择套餐一签约型智慧养老服务（不含套餐二自助型）老人数约为7200名（暂估，实际以签约人数为准）。 </w:t>
      </w:r>
    </w:p>
    <w:p w14:paraId="10D4AB27">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1.3 合同期限</w:t>
      </w:r>
    </w:p>
    <w:p w14:paraId="6CD65BA6">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 xml:space="preserve">1.3.1 合同服务期限：本次招标采购合同服务期限为合同签订之日起一年。 </w:t>
      </w:r>
    </w:p>
    <w:p w14:paraId="281D11D8">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 xml:space="preserve">1.4 合同款结算和支付方式 </w:t>
      </w:r>
    </w:p>
    <w:p w14:paraId="3408ADE7">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 xml:space="preserve">1.4.1 合同款结算说明 </w:t>
      </w:r>
    </w:p>
    <w:p w14:paraId="7CCBEF01">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 xml:space="preserve">（1）本项目合同金额按实际签约老人人数每月进行核算，结算单价金额为 20 元/人/月。 </w:t>
      </w:r>
    </w:p>
    <w:p w14:paraId="289DEDA9">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 xml:space="preserve">（2）完成签约老人服务终端发放或安装的时间在每月 15 日（含）以前的，当月计算付款服务时间；完成终端发放或安装的时间在每月 15 日以后的，下月起计算付款服务时间。 </w:t>
      </w:r>
    </w:p>
    <w:p w14:paraId="119BA8CA">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val="en-US" w:eastAsia="zh-CN"/>
        </w:rPr>
        <w:t>（3）根据</w:t>
      </w:r>
      <w:r>
        <w:rPr>
          <w:rFonts w:hint="eastAsia" w:ascii="仿宋" w:hAnsi="仿宋" w:eastAsia="仿宋" w:cs="仿宋"/>
          <w:color w:val="auto"/>
          <w:sz w:val="24"/>
          <w:szCs w:val="24"/>
          <w:highlight w:val="none"/>
        </w:rPr>
        <w:t>杭州市民政局关于印发《杭州市智慧养老呼叫综合服务监管考核办法》的通知</w:t>
      </w:r>
      <w:r>
        <w:rPr>
          <w:rFonts w:hint="eastAsia" w:ascii="仿宋" w:hAnsi="仿宋" w:eastAsia="仿宋" w:cs="仿宋"/>
          <w:color w:val="auto"/>
          <w:spacing w:val="-4"/>
          <w:sz w:val="24"/>
          <w:szCs w:val="24"/>
          <w:highlight w:val="none"/>
          <w:lang w:val="en-US" w:eastAsia="zh-CN"/>
        </w:rPr>
        <w:t>（</w:t>
      </w:r>
      <w:r>
        <w:rPr>
          <w:rFonts w:hint="eastAsia" w:ascii="仿宋" w:hAnsi="仿宋" w:eastAsia="仿宋" w:cs="仿宋"/>
          <w:color w:val="auto"/>
          <w:sz w:val="24"/>
          <w:szCs w:val="24"/>
          <w:highlight w:val="none"/>
        </w:rPr>
        <w:t>杭州市民政局</w:t>
      </w:r>
      <w:r>
        <w:rPr>
          <w:rFonts w:hint="eastAsia" w:ascii="仿宋" w:hAnsi="仿宋" w:eastAsia="仿宋" w:cs="仿宋"/>
          <w:color w:val="auto"/>
          <w:sz w:val="24"/>
          <w:szCs w:val="24"/>
          <w:highlight w:val="none"/>
          <w:lang w:val="en-US" w:eastAsia="zh-CN"/>
        </w:rPr>
        <w:t>2022年9月13日印发</w:t>
      </w:r>
      <w:r>
        <w:rPr>
          <w:rFonts w:hint="eastAsia" w:ascii="仿宋" w:hAnsi="仿宋" w:eastAsia="仿宋" w:cs="仿宋"/>
          <w:color w:val="auto"/>
          <w:spacing w:val="-4"/>
          <w:sz w:val="24"/>
          <w:szCs w:val="24"/>
          <w:highlight w:val="none"/>
          <w:lang w:val="en-US" w:eastAsia="zh-CN"/>
        </w:rPr>
        <w:t>）相关</w:t>
      </w:r>
      <w:r>
        <w:rPr>
          <w:rFonts w:hint="eastAsia" w:ascii="仿宋" w:hAnsi="仿宋" w:eastAsia="仿宋" w:cs="仿宋"/>
          <w:color w:val="auto"/>
          <w:sz w:val="24"/>
          <w:szCs w:val="24"/>
          <w:highlight w:val="none"/>
          <w:lang w:val="en-US" w:eastAsia="zh-CN"/>
        </w:rPr>
        <w:t>规定，滨江区民政局邀请第三方对</w:t>
      </w:r>
      <w:r>
        <w:rPr>
          <w:rFonts w:hint="eastAsia" w:ascii="仿宋" w:hAnsi="仿宋" w:eastAsia="仿宋" w:cs="仿宋"/>
          <w:color w:val="auto"/>
          <w:spacing w:val="-4"/>
          <w:sz w:val="24"/>
          <w:szCs w:val="24"/>
          <w:highlight w:val="none"/>
          <w:lang w:val="en-US" w:eastAsia="zh-CN"/>
        </w:rPr>
        <w:t>成交供应商</w:t>
      </w:r>
      <w:r>
        <w:rPr>
          <w:rFonts w:hint="eastAsia" w:ascii="仿宋" w:hAnsi="仿宋" w:eastAsia="仿宋" w:cs="仿宋"/>
          <w:color w:val="auto"/>
          <w:sz w:val="24"/>
          <w:szCs w:val="24"/>
          <w:highlight w:val="none"/>
          <w:lang w:val="en-US" w:eastAsia="zh-CN"/>
        </w:rPr>
        <w:t>（服务商）进行考核，经采购人确认后，对</w:t>
      </w:r>
      <w:r>
        <w:rPr>
          <w:rFonts w:hint="eastAsia" w:ascii="仿宋" w:hAnsi="仿宋" w:eastAsia="仿宋" w:cs="仿宋"/>
          <w:color w:val="auto"/>
          <w:spacing w:val="-4"/>
          <w:sz w:val="24"/>
          <w:szCs w:val="24"/>
          <w:highlight w:val="none"/>
          <w:lang w:val="en-US" w:eastAsia="zh-CN"/>
        </w:rPr>
        <w:t>成交供应商</w:t>
      </w:r>
      <w:r>
        <w:rPr>
          <w:rFonts w:hint="eastAsia" w:ascii="仿宋" w:hAnsi="仿宋" w:eastAsia="仿宋" w:cs="仿宋"/>
          <w:color w:val="auto"/>
          <w:sz w:val="24"/>
          <w:szCs w:val="24"/>
          <w:highlight w:val="none"/>
          <w:lang w:val="en-US" w:eastAsia="zh-CN"/>
        </w:rPr>
        <w:t>（服务商）进行结算，考核评分以百分比的形式乘以当期合同核定金额即为当期应付合同款。</w:t>
      </w:r>
    </w:p>
    <w:p w14:paraId="36BC7C3B">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 xml:space="preserve">1.4.2 合同款支付方式 </w:t>
      </w:r>
    </w:p>
    <w:p w14:paraId="388ACB38">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（1）合同签订且具备实施条件后5天内，采购人凭成交供应商发票支付预算金额的50%作为预付款，预付款在后期计算应付合同款时予以扣除；</w:t>
      </w:r>
    </w:p>
    <w:p w14:paraId="0F7BD608">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 xml:space="preserve">（2）合同期上半年考核结果公示结束后的 30 个工作日内，支付上半年应付合同款； </w:t>
      </w:r>
    </w:p>
    <w:p w14:paraId="59723148">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 xml:space="preserve">（3）合同期下半年考核结果公示结束后的 30 个工作日内，支付下半年应付合同款。 </w:t>
      </w:r>
    </w:p>
    <w:p w14:paraId="32DD65B7">
      <w:pPr>
        <w:keepNext w:val="0"/>
        <w:keepLines w:val="0"/>
        <w:pageBreakBefore w:val="0"/>
        <w:widowControl w:val="0"/>
        <w:kinsoku/>
        <w:wordWrap/>
        <w:overflowPunct/>
        <w:topLinePunct w:val="0"/>
        <w:autoSpaceDE/>
        <w:autoSpaceDN/>
        <w:bidi w:val="0"/>
        <w:adjustRightInd/>
        <w:snapToGrid w:val="0"/>
        <w:spacing w:line="360" w:lineRule="auto"/>
        <w:ind w:firstLine="466" w:firstLineChars="200"/>
        <w:textAlignment w:val="auto"/>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二、服务要求</w:t>
      </w:r>
    </w:p>
    <w:p w14:paraId="4C81CDFA">
      <w:pPr>
        <w:keepNext w:val="0"/>
        <w:keepLines w:val="0"/>
        <w:pageBreakBefore w:val="0"/>
        <w:widowControl/>
        <w:suppressLineNumbers w:val="0"/>
        <w:kinsoku/>
        <w:wordWrap/>
        <w:overflowPunct/>
        <w:topLinePunct w:val="0"/>
        <w:autoSpaceDE/>
        <w:autoSpaceDN/>
        <w:bidi w:val="0"/>
        <w:spacing w:line="360" w:lineRule="auto"/>
        <w:ind w:firstLine="464" w:firstLineChars="200"/>
        <w:jc w:val="lef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响应供应商应具有覆盖招标区域范围的呼叫中心系统，组建起一支高效的服务团队；须提供符合要求的3类服务终端（具体要求详见本章节第五款“服务终端”），每类服务终端限提供1种，其中</w:t>
      </w:r>
      <w:r>
        <w:rPr>
          <w:rFonts w:hint="eastAsia" w:ascii="仿宋" w:hAnsi="仿宋" w:eastAsia="仿宋" w:cs="仿宋"/>
          <w:i w:val="0"/>
          <w:iCs w:val="0"/>
          <w:caps w:val="0"/>
          <w:color w:val="auto"/>
          <w:spacing w:val="0"/>
          <w:sz w:val="24"/>
          <w:szCs w:val="24"/>
          <w:highlight w:val="none"/>
          <w:shd w:val="clear" w:color="auto" w:fill="FFFFFF"/>
        </w:rPr>
        <w:t>移动设备需要支持4G网络</w:t>
      </w:r>
      <w:r>
        <w:rPr>
          <w:rFonts w:hint="eastAsia" w:ascii="仿宋" w:hAnsi="仿宋" w:eastAsia="仿宋" w:cs="仿宋"/>
          <w:color w:val="auto"/>
          <w:spacing w:val="-4"/>
          <w:sz w:val="24"/>
          <w:szCs w:val="24"/>
          <w:highlight w:val="none"/>
          <w:lang w:val="en-US" w:eastAsia="zh-CN"/>
        </w:rPr>
        <w:t>；有成熟、稳定的老年人信息管理系统，如有APP或小程序要求需配合上级部门相关规定执行，并对数据进行实时维护；能有效整合各种社会养老服务资源，通过自有服务团队或与加盟商家合作，提供《关于提升全市智慧养老综合服务工作的通知》(杭民发[2019]100号)中规定的一类、二类、三类服务。</w:t>
      </w:r>
    </w:p>
    <w:p w14:paraId="74689448">
      <w:pPr>
        <w:keepNext w:val="0"/>
        <w:keepLines w:val="0"/>
        <w:pageBreakBefore w:val="0"/>
        <w:widowControl w:val="0"/>
        <w:kinsoku/>
        <w:wordWrap/>
        <w:overflowPunct/>
        <w:topLinePunct w:val="0"/>
        <w:autoSpaceDE/>
        <w:autoSpaceDN/>
        <w:bidi w:val="0"/>
        <w:adjustRightInd/>
        <w:snapToGrid w:val="0"/>
        <w:spacing w:line="360" w:lineRule="auto"/>
        <w:ind w:firstLine="466" w:firstLineChars="200"/>
        <w:textAlignment w:val="auto"/>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三、服务内容</w:t>
      </w:r>
    </w:p>
    <w:p w14:paraId="7BB5B73B">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3.1一类服务。</w:t>
      </w:r>
      <w:bookmarkStart w:id="13" w:name="OLE_LINK3"/>
      <w:r>
        <w:rPr>
          <w:rFonts w:hint="eastAsia" w:ascii="仿宋" w:hAnsi="仿宋" w:eastAsia="仿宋" w:cs="仿宋"/>
          <w:color w:val="auto"/>
          <w:spacing w:val="-4"/>
          <w:sz w:val="24"/>
          <w:szCs w:val="24"/>
          <w:highlight w:val="none"/>
          <w:lang w:val="en-US" w:eastAsia="zh-CN"/>
        </w:rPr>
        <w:t>签约老人无需付费</w:t>
      </w:r>
      <w:bookmarkEnd w:id="13"/>
      <w:r>
        <w:rPr>
          <w:rFonts w:hint="eastAsia" w:ascii="仿宋" w:hAnsi="仿宋" w:eastAsia="仿宋" w:cs="仿宋"/>
          <w:color w:val="auto"/>
          <w:spacing w:val="-4"/>
          <w:sz w:val="24"/>
          <w:szCs w:val="24"/>
          <w:highlight w:val="none"/>
          <w:lang w:val="en-US" w:eastAsia="zh-CN"/>
        </w:rPr>
        <w:t>。</w:t>
      </w:r>
    </w:p>
    <w:p w14:paraId="3A258BD8">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3.1.1紧急呼叫服务。对签约老人发出的紧急呼叫请求作出快速响应（联系亲属、子女、监护人、责任社工、120等），确保老年人的紧急情况得到处理。</w:t>
      </w:r>
    </w:p>
    <w:p w14:paraId="246CBF6D">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3.1.2主动关怀服务。针对孤寡、独居及有需求的签约老人提供主动关怀服务。</w:t>
      </w:r>
    </w:p>
    <w:p w14:paraId="537CAA6C">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3.1.3亲情通话服务。为选择手机式终端的老人提供定量的亲情通话服务。</w:t>
      </w:r>
    </w:p>
    <w:p w14:paraId="42981715">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3.1.4特殊“助急”服务。在特殊时间段（18:00-次日8:00）针对老年人家中水管爆裂及电路故障两类突发情况，作出快速响应并有效解决。</w:t>
      </w:r>
    </w:p>
    <w:p w14:paraId="46D5E219">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3.2二类服务。平台服务商向签约区域内所有六十周岁及以上老年人提供牵线搭桥服务，老年人自行付费。</w:t>
      </w:r>
    </w:p>
    <w:p w14:paraId="247CBEDE">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3.2.1“助急”服务。服务内容包括除特殊“助急”服务之外的日常家电维修、开锁修锁、管道疏通、水电维修。</w:t>
      </w:r>
    </w:p>
    <w:p w14:paraId="15DBF255">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3.2.2“助洁”服务。服务内容包括居室清洁、衣物洗涤、理发修面。</w:t>
      </w:r>
    </w:p>
    <w:p w14:paraId="0BF3D7ED">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3.2.3“助餐”服务。服务内容包括上门送餐、代购菜品和米面佐料。</w:t>
      </w:r>
    </w:p>
    <w:p w14:paraId="642128F3">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3.2.4“助医”服务。服务内容包括家庭诊疗、陪医就诊、康复护理。</w:t>
      </w:r>
    </w:p>
    <w:p w14:paraId="6C54C2C3">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3.2.5“助浴”服务。服务内容包括辅助洗浴、足部护理。</w:t>
      </w:r>
    </w:p>
    <w:p w14:paraId="6E547C5A">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3.2.6“助行”服务。服务内容包括陪同购物、陪同散步、物品代购。</w:t>
      </w:r>
    </w:p>
    <w:p w14:paraId="67349983">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3.2.7“助聊”服务。服务内容包括读书读报。</w:t>
      </w:r>
    </w:p>
    <w:p w14:paraId="007055DF">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3.3三类服务。平台服务商面向区域内所有六十周岁及以上老年人，推介所在区域政府购买服务、公益服务等的相关服务项目，老年人自行付费。</w:t>
      </w:r>
    </w:p>
    <w:p w14:paraId="111B097D">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3.3.1政府购买服务内容。服务商在签约的城区范围内应整合当地政府购买服务供应商，推介当地政府购买服务内容。</w:t>
      </w:r>
    </w:p>
    <w:p w14:paraId="6F17E012">
      <w:pPr>
        <w:keepNext w:val="0"/>
        <w:keepLines w:val="0"/>
        <w:pageBreakBefore w:val="0"/>
        <w:widowControl w:val="0"/>
        <w:kinsoku/>
        <w:wordWrap/>
        <w:overflowPunct/>
        <w:topLinePunct w:val="0"/>
        <w:autoSpaceDE/>
        <w:autoSpaceDN/>
        <w:bidi w:val="0"/>
        <w:adjustRightInd/>
        <w:snapToGrid w:val="0"/>
        <w:spacing w:line="360" w:lineRule="auto"/>
        <w:ind w:firstLine="466" w:firstLineChars="200"/>
        <w:textAlignment w:val="auto"/>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四、呼叫中心以及系统模块</w:t>
      </w:r>
    </w:p>
    <w:p w14:paraId="161C2CD2">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4.1总体要求</w:t>
      </w:r>
    </w:p>
    <w:p w14:paraId="4AE6E294">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4.1.1具有已开发的智慧养老呼叫中心软件系统，响应供应商须出具软件著作权或第三方软件购买及维保合同；</w:t>
      </w:r>
    </w:p>
    <w:p w14:paraId="0552BE39">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4.1.2取得增值电信业务经营许可证（第二类增值电信业务中的信息服务业务和呼叫中心业务）；</w:t>
      </w:r>
    </w:p>
    <w:p w14:paraId="1E42B940">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4.1.3能够根据采购人的需求建立呼叫中心和远程坐席；具备方便灵活的呼入路由功能；具备来电排队功能、通话协同功能（来电通话信息同步转接给其他服务人员）；系统应具备录音功能、语音信箱功能，能按照采购人要求提供录音文件。</w:t>
      </w:r>
    </w:p>
    <w:p w14:paraId="31CA7D59">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4.1.4受理签约区域内签约老人的紧急呼叫请求，并承担相应处置管理责任；</w:t>
      </w:r>
    </w:p>
    <w:p w14:paraId="1C501D1F">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4.1.5遵循</w:t>
      </w:r>
      <w:r>
        <w:rPr>
          <w:rFonts w:hint="eastAsia" w:ascii="仿宋" w:hAnsi="仿宋" w:eastAsia="仿宋" w:cs="仿宋"/>
          <w:color w:val="auto"/>
          <w:sz w:val="24"/>
          <w:szCs w:val="24"/>
          <w:highlight w:val="none"/>
          <w:lang w:val="en-US" w:eastAsia="zh-CN"/>
        </w:rPr>
        <w:t>《杭州市智慧养老呼叫综合服务监管考核办法》</w:t>
      </w:r>
      <w:r>
        <w:rPr>
          <w:rFonts w:hint="eastAsia" w:ascii="仿宋" w:hAnsi="仿宋" w:eastAsia="仿宋" w:cs="仿宋"/>
          <w:color w:val="auto"/>
          <w:spacing w:val="-4"/>
          <w:sz w:val="24"/>
          <w:szCs w:val="24"/>
          <w:highlight w:val="none"/>
          <w:lang w:val="en-US" w:eastAsia="zh-CN"/>
        </w:rPr>
        <w:t>统一的业务、技术、数据标准规范，实现与民政业务系统之间的数据交互、业务协作，对于不规范的数据，要在规定的时间内完成整改；</w:t>
      </w:r>
    </w:p>
    <w:p w14:paraId="2D987DB8">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4.1.6严格按照党和国家有关保密的法律、法规，由平台服务商针对本项目制定保密制度和措施；</w:t>
      </w:r>
    </w:p>
    <w:p w14:paraId="71E81045">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4.1.7在实际服务过程中，若有老人放弃选择套餐一签约型智慧养老服务的，由成交供应商负责此数据的筛选、统计工作，及时向采购人提交相应的报表；</w:t>
      </w:r>
    </w:p>
    <w:p w14:paraId="5AE50BD8">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4.1.8提供采购人要求的各种数据报表及文件。</w:t>
      </w:r>
    </w:p>
    <w:p w14:paraId="14A48651">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4.2系统模块：</w:t>
      </w:r>
    </w:p>
    <w:p w14:paraId="4B304852">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4.2.1基础数据采集与管理的功能模块：（1）包括老人基础信息（含领用服务终端信息）、社会化养老服务网点信息、社会化养老服务人员信息、社区公共服务信息等基础信息的采集和管理功能，采集的数据要保证真实性和不可篡改性。（2）基础数据采集与管理的功能模块随时能提供符合接口规范的实时接口。（3）老人基础信息、服务终端领用信息等表格信息，需要提供每位老人填写表格的电子版（PDF格式），并通过监管平台的接口提供文件（PDF格式）。</w:t>
      </w:r>
    </w:p>
    <w:p w14:paraId="1FC7874F">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4.2.2身份智能识别的功能模块：对任意来电、服务终端预警、服务发起端均能识别其领用者的身份，提供弹屏，实时显示老年人信息，帮助话务人员提高服务效率；</w:t>
      </w:r>
    </w:p>
    <w:p w14:paraId="25BD4996">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4.2.3服务终端定位功能模块：能对拥有定位模块的服务终端所处位置进行精确定位，提高紧急救助准确性。</w:t>
      </w:r>
    </w:p>
    <w:p w14:paraId="521F0E87">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4.2.4紧急呼叫功能模块：（1）在发生紧急呼叫要求时，此模块能及时响应签约老人呼叫并进行处理。根据处理过程自动生成紧急呼叫的过程数据。（2）处理环节包含但不限于以下内容：紧急呼叫救援及时响应、回拨联系老人、联系紧急联系人、联系社工、联系紧急处置部门（或线下处置）等。（3）所有数据均能自动记录和采集，仅在小结情况说明、线下处置说明，事后回访说明等可由平台人员录入，非录入数据要保证真实性和不可篡改性；所有通话的记录和通话录音文件要完整、真实、清晰，并和紧急呼叫记录关联；数据一旦记录，必须全程留痕，便于回溯追责。（4）紧急呼叫功能模块随时能通过接口提供数据。</w:t>
      </w:r>
    </w:p>
    <w:p w14:paraId="56B6E2E9">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4.2.5主动关怀模块：（1）根据与签约老人签订的协议，能通过此模块定期与签约老人提供主动关怀服务。根据服务内容记录主动关怀服务的相关数据。（2）处理环节上，至少包括以下内容：制定主动关怀计划、开展主动关怀工作、告知责任社工、老人反馈及后续跟进服务等。（3）所有数据均能自动记录和采集，仅在小结情况说明、线下处置说明，事后回访说明等由平台人员录入，非录入数据要保证真实性和不可篡改；所有通话的记录和通话录音文件要完整、真实、清晰，并和主动关怀记录关联；数据一旦记录，必须全程留痕，便于回溯追责。（4）主动关怀模块随时能通过接口提供数据。</w:t>
      </w:r>
    </w:p>
    <w:p w14:paraId="6E679C5B">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4.2.6亲情通话模块：（1）在签约老人使用亲情通话服务时，此模块必须自动采集的运营商平台记录的详细通话及流量清单。（2）亲情通话模块随时能通过接口提供数据。</w:t>
      </w:r>
    </w:p>
    <w:p w14:paraId="79AFD0A4">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4.2.7特殊助急模块：（1）早上9:00前和晚上6：00后能及时响应签约老人的请求并自动就近安排服务。根据服务情况自动生成特殊助急的数据。（2）处理环节至少包括以下内容：特殊助急响应、安排上门服务人员并记录处理经过、进行服务回访等。（3）所有数据均能自动记录和采集，仅在小结情况说明、线下处置说明，事后回访说明等由平台人员录入，非录入数据要保证真实性和不可篡改性；所有通话的记录和通话录音文件要完整、真实、清晰，并和特殊助急记录关联；数据一旦记录，必须全程留痕，便于回溯追责。（4）特殊助急功能模块随时能通过接口提供数据。</w:t>
      </w:r>
    </w:p>
    <w:p w14:paraId="5E337F37">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4.2.8二类服务模块：（1）在发生二类服务要求时，此模块能及时响应老人呼叫并自动就近安排服务。根据服务情况自动录入二类服务的数据。（2）处理环节至少包括以下内容：二类服务响应、安排上门服务人员并记录处理经过、服务数量、服务费用进行服务回访等。（3）所有数据均能自动记录和采集，仅在小结情况说明、线下处置说明，事后回访说明等由平台人员录入，非录入数据要保证真实性和不可篡改；所有通话的记录和通话录音文件要完整、真实、清晰，并和二类服务记录关联；数据一旦记录，必须全程留痕，便于回溯追责。（4）二类服务模块随时能通过接口提供数据。</w:t>
      </w:r>
    </w:p>
    <w:p w14:paraId="0A330242">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4.2.9三类服务模块：（1）在发生三类服务要求时，此模块能及时响应老人呼叫并自动就近安排服务。根据服务情况自动录入三类服务的数据。（2）处理环节包含但不限于以下内容：三类服务响应、安排上门服务人员并记录处理经过、进行服务回访等。（3）所有数据均能自动记录和采集，仅在小结情况说明、线下处置说明，事后回访说明等由平台人员录入，非录入数据要保证真实性和不可篡改；所有通话的记录和通话录音文件要完整、真实、清晰，并和三类服务记录关联；数据一旦记录，必须全程留痕，便于回溯追责。（4）三类服务模块随时能通过接口提供数据。</w:t>
      </w:r>
    </w:p>
    <w:p w14:paraId="54E8C40B">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4.2.10异常信息监测模块：（1）在服务商上传数据至监管平台后，监管平台能通过此功能模块向服务商推送问题及错误数据。（2）异常信息监测模块随时通过接口接收数据。</w:t>
      </w:r>
    </w:p>
    <w:p w14:paraId="2A5BB4CA">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4.2.11服务质量考核监督功能模块：支持满意度调查、跟踪回访等多种形式的服务质量数据录入与管理。对各方提供的养老服务进行全面考核监督，确保养老服务的效率与质量。</w:t>
      </w:r>
    </w:p>
    <w:p w14:paraId="37732CB3">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4.2.12 统计分析的功能模块：对呼叫次数、服务需求、服务时间、响应时间等各类数据进行全面统计，分析养老服务各类相关数据。</w:t>
      </w:r>
    </w:p>
    <w:p w14:paraId="219BBD69">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4.2.13 系统管理的功能模块：具有用户管理、权限管理、安全管理等完善的系统管理功能。</w:t>
      </w:r>
    </w:p>
    <w:p w14:paraId="6A250374">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以上模块功能应在投标前具备，纳入评分项。服务商在中标后需及时与监管平台对接并通过验收后方可开展服务。</w:t>
      </w:r>
    </w:p>
    <w:p w14:paraId="07D9F0C4">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4.3工作要求</w:t>
      </w:r>
    </w:p>
    <w:p w14:paraId="5C71181D">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4.3.1提供7*24小时电话受理及杭州本地方言服务。按签约老人数每达到4000个，配比1个呼叫中心坐席的比例，最少不低于2个坐席；晚班坐席人数可根据话务量做适当调整。</w:t>
      </w:r>
    </w:p>
    <w:p w14:paraId="14FB6C1D">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4.3.2 签约老人数&lt;10000人（含），设置1个实体售后服务中心，签约老人数&gt;10000人，设置2个（含）以上实体售后服务中心，每个中心须配备2个（含）以上服务人员，负责各类咨询及产品售后服务。</w:t>
      </w:r>
    </w:p>
    <w:p w14:paraId="0A6A6E41">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4.3.3保存来电主叫、被叫、通话录音流水号和通话记录等。通话录音至少保存1年以上，通话记录至少保存3年以上。</w:t>
      </w:r>
    </w:p>
    <w:p w14:paraId="6BA487F8">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4.3.4 统计报表要求：应提供采购人所需的各种统计报表,统计报表应包括周、月、季、年的总呼叫量、亲情通话时间、流量使用量、呼叫次数、服务需求、平均通话时长、接通率、平均等待时间、平均处理时间和投诉率等。</w:t>
      </w:r>
    </w:p>
    <w:p w14:paraId="0225189F">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4.4接口与数据</w:t>
      </w:r>
    </w:p>
    <w:p w14:paraId="32BAE4E6">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根据采购人制定的接口标准、提供HTTPS、RESTful API形式的数据接口与市级监管平台实现数据交换；保证与监管平台数据真实性、一致性和完整性。服务平台要按照实名服务的要求，通过老年人基础数据库、老年人服务数据库、老年人服务满意率数据库等相关数据库逻辑关联和分析以及权限设定，确保服务对象、服务内容、服务流程、服务价格等相关数据的真实性和不可篡改性。接口应根据采购人要求，进行系统对接与改造，其中接口改造费用，由平台服务商自行承担。</w:t>
      </w:r>
    </w:p>
    <w:p w14:paraId="51CD7886">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4.5管理规范</w:t>
      </w:r>
    </w:p>
    <w:p w14:paraId="7F37409D">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需建立流程规范、服务守则、考核标准（含对加盟商家的考核标准）等一系列内部的管理规范制度，并提供相关证明资料。</w:t>
      </w:r>
    </w:p>
    <w:p w14:paraId="727D7F84">
      <w:pPr>
        <w:keepNext w:val="0"/>
        <w:keepLines w:val="0"/>
        <w:pageBreakBefore w:val="0"/>
        <w:widowControl w:val="0"/>
        <w:kinsoku/>
        <w:wordWrap/>
        <w:overflowPunct/>
        <w:topLinePunct w:val="0"/>
        <w:autoSpaceDE/>
        <w:autoSpaceDN/>
        <w:bidi w:val="0"/>
        <w:adjustRightInd/>
        <w:snapToGrid w:val="0"/>
        <w:spacing w:line="360" w:lineRule="auto"/>
        <w:ind w:firstLine="466" w:firstLineChars="200"/>
        <w:textAlignment w:val="auto"/>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五、服务终端</w:t>
      </w:r>
    </w:p>
    <w:p w14:paraId="3099C4CC">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5.1总体要求</w:t>
      </w:r>
    </w:p>
    <w:p w14:paraId="77E80647">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5.1.1响应供应商提供的服务终端须具备通信入网许可证（仅对具备通话功能的终端）、通过国家3C质量认证、产品检验报告，投标时提供相关证明材料。</w:t>
      </w:r>
      <w:r>
        <w:rPr>
          <w:rFonts w:hint="eastAsia" w:ascii="仿宋" w:hAnsi="仿宋" w:eastAsia="仿宋" w:cs="仿宋"/>
          <w:b/>
          <w:bCs/>
          <w:color w:val="auto"/>
          <w:spacing w:val="-4"/>
          <w:sz w:val="24"/>
          <w:szCs w:val="24"/>
          <w:highlight w:val="none"/>
          <w:lang w:val="en-US" w:eastAsia="zh-CN"/>
        </w:rPr>
        <w:t>▲响应供应商投标时未提供服务终端通信入网许可证（仅对具备通话功能的终端）或国家3C质量认证证书的，投标无效。</w:t>
      </w:r>
    </w:p>
    <w:p w14:paraId="01C03AF1">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5.1.2服务终端知识产权必须清晰，响应供应商须就该知识产权作出承诺保证，出现产权纠纷由响应供应商承担。</w:t>
      </w:r>
    </w:p>
    <w:p w14:paraId="1540AF48">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5.2具体产品</w:t>
      </w:r>
    </w:p>
    <w:p w14:paraId="630DE033">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5.2.1手机式终端，须提供来电显示、一键紧急呼叫、一键服务呼叫、</w:t>
      </w:r>
      <w:r>
        <w:rPr>
          <w:rFonts w:hint="eastAsia" w:ascii="仿宋" w:hAnsi="仿宋" w:eastAsia="仿宋" w:cs="仿宋"/>
          <w:color w:val="auto"/>
          <w:sz w:val="24"/>
          <w:szCs w:val="24"/>
          <w:highlight w:val="none"/>
          <w:lang w:val="en-US" w:eastAsia="zh-CN"/>
        </w:rPr>
        <w:t>每月20MB的免费流量（仅用于紧急呼叫时位置定位）及全网免费通话时长每月不低于350分钟服务，成交供应商须确保老人拨往智慧服务平台和亲情通话的费用</w:t>
      </w:r>
      <w:r>
        <w:rPr>
          <w:rFonts w:hint="eastAsia" w:ascii="仿宋" w:hAnsi="仿宋" w:eastAsia="仿宋" w:cs="仿宋"/>
          <w:color w:val="auto"/>
          <w:spacing w:val="-4"/>
          <w:sz w:val="24"/>
          <w:szCs w:val="24"/>
          <w:highlight w:val="none"/>
          <w:lang w:val="en-US" w:eastAsia="zh-CN"/>
        </w:rPr>
        <w:t>，其中为智慧养老用户之间免费提供每月不少于300分钟的亲情通话服务。具备卫星定位（须具备卫星定位芯片）、低电量提醒、智能围栏等适老化服务功能。该类型终端需充分考虑老年人群的特殊性，须采用全物理按键及定制式封闭系统，不得安装及绑定第三方应用软件，套餐内流量只能用于定位，不得提供除定位以外的其他数据流量接入口，超流量费用一律由平台服务商承担。</w:t>
      </w:r>
    </w:p>
    <w:p w14:paraId="53077EE8">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5.2.2穿戴式终端，成交供应商须确保老人拨往平台的呼叫和终端采集数据的流量费用。具备一键呼叫、点对点通话功能、卫星+WIFI+基站定位、运动健康数据采集、低电量提醒、生活防水等功能。</w:t>
      </w:r>
    </w:p>
    <w:p w14:paraId="4128A9C3">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5.2.3居家式终端，须具备紧急求助、行动监测、安防报警等符合老年人居家使用特点和需求。服务商接到此类终端凡涉及流量的，一律由平台服务商承担。</w:t>
      </w:r>
    </w:p>
    <w:p w14:paraId="190C2AEF">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 xml:space="preserve">投标时，响应供应商应提供符合上述要求的3类服务终端样品（每类服务终端限提供1件）。每件投标样品外包装均应标注响应供应商名称并加盖公章，否则由此导致的错评、漏评等一切后果由响应供应商自行负责。评标委员会推荐成交排名第一的响应供应商的投标样品将由采购人进行封存，作为合同验收或考核的依据之一。 </w:t>
      </w:r>
    </w:p>
    <w:p w14:paraId="66162FB0">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平台服务商须按照投标产品对老年人发放，合同期内如需更换应向甲方（杭州市滨江区民政局）发起申请，经专家评审不低于标书要求，且价值超过原有终端的（以正式采购合同价格为准），经杭州市滨江区民政局书面同意后，方可更换。</w:t>
      </w:r>
    </w:p>
    <w:p w14:paraId="23C107B6">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签约老人可自主选择1种服务终端，平台服务商须按照老人的选择为其发放（安装）相应终端。</w:t>
      </w:r>
    </w:p>
    <w:p w14:paraId="229A4CA0">
      <w:pPr>
        <w:keepNext w:val="0"/>
        <w:keepLines w:val="0"/>
        <w:pageBreakBefore w:val="0"/>
        <w:widowControl w:val="0"/>
        <w:kinsoku/>
        <w:wordWrap/>
        <w:overflowPunct/>
        <w:topLinePunct w:val="0"/>
        <w:autoSpaceDE/>
        <w:autoSpaceDN/>
        <w:bidi w:val="0"/>
        <w:adjustRightInd/>
        <w:snapToGrid w:val="0"/>
        <w:spacing w:line="360" w:lineRule="auto"/>
        <w:ind w:firstLine="466" w:firstLineChars="200"/>
        <w:textAlignment w:val="auto"/>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六、对响应供应商所整合的通讯运营商的要求</w:t>
      </w:r>
    </w:p>
    <w:p w14:paraId="1FE0510D">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考虑到紧急呼叫服务对信号稳定性要求较高，响应供应商所整合的通讯运营商应当在中国移动、中国电信、中国联通三大运营商中选择，响应供应商在投标前须出具与通讯运营商达成的合作意向协议书，保证成交后能稳定快速实施。</w:t>
      </w:r>
    </w:p>
    <w:p w14:paraId="19250E5C">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平台服务商须与合作通讯运营商建立定期沟通机制，每月获取使用该套餐的活跃用户人数、平均通话时间、流量使用情况（流量清单），并将上述数据录入亲情通话功能模块。</w:t>
      </w:r>
    </w:p>
    <w:p w14:paraId="002D5DC5">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同时考虑到为老服务的特殊性，平台服务商不得将项目以“终端+套餐”的形式分包给通讯运营商，固定套餐内流量只能用于定位，超流量费用一律由平台服务商承担。</w:t>
      </w:r>
    </w:p>
    <w:p w14:paraId="25436785">
      <w:pPr>
        <w:keepNext w:val="0"/>
        <w:keepLines w:val="0"/>
        <w:pageBreakBefore w:val="0"/>
        <w:widowControl w:val="0"/>
        <w:kinsoku/>
        <w:wordWrap/>
        <w:overflowPunct/>
        <w:topLinePunct w:val="0"/>
        <w:autoSpaceDE/>
        <w:autoSpaceDN/>
        <w:bidi w:val="0"/>
        <w:adjustRightInd/>
        <w:snapToGrid w:val="0"/>
        <w:spacing w:line="360" w:lineRule="auto"/>
        <w:ind w:firstLine="466" w:firstLineChars="200"/>
        <w:textAlignment w:val="auto"/>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七、对平台服务商所整合的社会化资源的要求</w:t>
      </w:r>
    </w:p>
    <w:p w14:paraId="3891977B">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平台服务商在签约区域内应整合政府购买服务商家和社会组织资源，向全区六十岁以上的老年人推介同等的服务内容，并由平台服务商对整合的社会化资源（含加盟商家）落实监管责任。</w:t>
      </w:r>
    </w:p>
    <w:p w14:paraId="5C974CD9">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所有服务数据及过程数据均通过服务商平台（详见呼叫中心及系统模块）完成整合，所有记录保证真实性、完整性、一致性、有效性，并实现数据修改留痕和全过程防篡改。</w:t>
      </w:r>
    </w:p>
    <w:p w14:paraId="673A8025">
      <w:pPr>
        <w:keepNext w:val="0"/>
        <w:keepLines w:val="0"/>
        <w:pageBreakBefore w:val="0"/>
        <w:widowControl w:val="0"/>
        <w:kinsoku/>
        <w:wordWrap/>
        <w:overflowPunct/>
        <w:topLinePunct w:val="0"/>
        <w:autoSpaceDE/>
        <w:autoSpaceDN/>
        <w:bidi w:val="0"/>
        <w:adjustRightInd/>
        <w:snapToGrid w:val="0"/>
        <w:spacing w:line="360" w:lineRule="auto"/>
        <w:ind w:firstLine="466" w:firstLineChars="200"/>
        <w:textAlignment w:val="auto"/>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八、其他管理要求</w:t>
      </w:r>
    </w:p>
    <w:p w14:paraId="34F94C61">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8.1为保证服务的连续性，供应商应积极做好前期的准备工作，主动与前一轮服务商沟通衔接，确保各项工作平稳过渡和落地落实，提供具体的衔接方案。</w:t>
      </w:r>
    </w:p>
    <w:p w14:paraId="3A2012F2">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8.2服务过程中，选择保留原套餐一的签约老人有权选择保留原手机号码，供应商不得强制要求老人更换原号码，相关手续由供应商负责处理，由此产生的费用由供应商承担。供应商需在磋商响应文件中提出针对本项目存量用户号码保留(包含实名制认证)的方案和解决措施</w:t>
      </w:r>
    </w:p>
    <w:p w14:paraId="5CCFA223">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8.3合同期满后，采购人有权要求成交供应商提供延续服务，延续服务时间根据实际情况另行确定。成交供应商应继续履行本项目合同约定及招投标中承诺的各项义务。直至采购人绩效评价考核结束或确定新一轮的服务商止。</w:t>
      </w:r>
    </w:p>
    <w:p w14:paraId="28B6695D">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8.4服务终端限签约老人本人使用，相应权责条款均应在平台服务商与老年人签署的服务合同（协议）书中予以明确。</w:t>
      </w:r>
    </w:p>
    <w:p w14:paraId="0EE38B16">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8.5平台服务商在掌握服务退出人员信息并核实无误后，停止相关服务。</w:t>
      </w:r>
    </w:p>
    <w:p w14:paraId="0224AE77">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8.6服务终端应在醒目位置印制提供此终端的平台服务商的售后服务电话。</w:t>
      </w:r>
    </w:p>
    <w:p w14:paraId="453E386D">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8.7平台服务商应有详细的宣传推广方案。</w:t>
      </w:r>
    </w:p>
    <w:p w14:paraId="21044285">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8.8平台服务商在合同期内均应向符合条件并提出申请的签约老人发放服务终端；按照最多跑一次要求，</w:t>
      </w:r>
      <w:r>
        <w:rPr>
          <w:rFonts w:hint="eastAsia" w:ascii="仿宋" w:hAnsi="仿宋" w:eastAsia="仿宋" w:cs="仿宋"/>
          <w:color w:val="auto"/>
          <w:sz w:val="24"/>
          <w:szCs w:val="24"/>
          <w:highlight w:val="none"/>
          <w:lang w:val="en-US" w:eastAsia="zh-CN"/>
        </w:rPr>
        <w:t>在区民政局审批通过之日起的20天内，派出工作人员上门完成终端发放（安装）任务</w:t>
      </w:r>
      <w:r>
        <w:rPr>
          <w:rFonts w:hint="eastAsia" w:ascii="仿宋" w:hAnsi="仿宋" w:eastAsia="仿宋" w:cs="仿宋"/>
          <w:color w:val="auto"/>
          <w:spacing w:val="-4"/>
          <w:sz w:val="24"/>
          <w:szCs w:val="24"/>
          <w:highlight w:val="none"/>
          <w:lang w:val="en-US" w:eastAsia="zh-CN"/>
        </w:rPr>
        <w:t>，并现场验证各项功能。</w:t>
      </w:r>
    </w:p>
    <w:p w14:paraId="3D61E0F6">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完成签约老人服务终端发放或安装的时间在每月15日（含）以前的，当月计入付费人数；完成终端发放或安装的时间在每月15日以后的，下月起计入付费人数。</w:t>
      </w:r>
    </w:p>
    <w:p w14:paraId="2ED9FAB9">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8.9平台服务商应将签约老人的信息录入自有信息管理平台的“基础数据采集与管理的功能模块”（包括老年人的姓名、地址、亲属子女或监护人及其联系方式、身体状况等）。</w:t>
      </w:r>
    </w:p>
    <w:p w14:paraId="7BA9ECF5">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8.10服务期内，老年人正常使用过程中，服务终端产生质量问题或发生故障等导致不能正常使用的，平台服务商应为老年人免费维修或更换，次数不限。老年人若因使用不当或遗失导致服务终端不能正常使用的，平台服务商需为老年人更换或重新配置，并按照响应文件中规定的整机及配件报价向老年人收取费用，不得额外收费。</w:t>
      </w:r>
    </w:p>
    <w:p w14:paraId="40AEF506">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8.11服务期间，发生因平台服务商过失导致的签约老人紧急呼叫未得到及时处理、服务终端质量问题、老年人有效投诉等相关责任事件，由平台服务商承担责任及赔偿损失。</w:t>
      </w:r>
    </w:p>
    <w:p w14:paraId="1974717F">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8.12平台服务商泄露老年人个人信息，用于不正当用途的，依法追究相应责任。</w:t>
      </w:r>
    </w:p>
    <w:p w14:paraId="13419C82">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8.13平台服务商未经老年人同意，不得向老年人推送各种信息和广告，遭到老年人有效投诉并查证属实的，依法承担相应责任。</w:t>
      </w:r>
    </w:p>
    <w:p w14:paraId="5C63BF6E">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8.14平台服务商不得将项目以“终端+套餐”的形式分包给通讯运营商，一经发现，取消中标资格。签约后发现的，可停止合同，并追究违约责任。</w:t>
      </w:r>
    </w:p>
    <w:p w14:paraId="1FFF4D22">
      <w:pPr>
        <w:keepNext w:val="0"/>
        <w:keepLines w:val="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val="en-US" w:eastAsia="zh-CN"/>
        </w:rPr>
        <w:t>8.15成交供应商在评标过程中提供的所有证明材料均设验证环节，如发现造假行为的，取消成交资格，相关责任由供应商自行承担。</w:t>
      </w:r>
    </w:p>
    <w:p w14:paraId="37E83D3D">
      <w:pPr>
        <w:rPr>
          <w:rFonts w:ascii="仿宋" w:hAnsi="仿宋" w:eastAsia="仿宋" w:cs="仿宋"/>
          <w:b/>
          <w:color w:val="auto"/>
          <w:sz w:val="36"/>
          <w:szCs w:val="20"/>
          <w:highlight w:val="none"/>
        </w:rPr>
      </w:pPr>
    </w:p>
    <w:p w14:paraId="0CFFCB57">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F65F703">
      <w:pPr>
        <w:snapToGrid w:val="0"/>
        <w:spacing w:line="360" w:lineRule="auto"/>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第五部分</w:t>
      </w:r>
      <w:bookmarkStart w:id="14" w:name="_Toc184310333"/>
      <w:bookmarkEnd w:id="14"/>
      <w:bookmarkStart w:id="15" w:name="_Toc184313299"/>
      <w:bookmarkEnd w:id="15"/>
      <w:bookmarkStart w:id="16" w:name="_Toc184312132"/>
      <w:bookmarkEnd w:id="16"/>
      <w:bookmarkStart w:id="17" w:name="_Toc184310282"/>
      <w:bookmarkEnd w:id="17"/>
      <w:bookmarkStart w:id="18" w:name="_Toc184314467"/>
      <w:bookmarkEnd w:id="18"/>
      <w:bookmarkStart w:id="19" w:name="_Toc184310342"/>
      <w:bookmarkEnd w:id="19"/>
      <w:bookmarkStart w:id="20" w:name="_Toc184310327"/>
      <w:bookmarkEnd w:id="20"/>
      <w:bookmarkStart w:id="21" w:name="_Toc184312102"/>
      <w:bookmarkEnd w:id="21"/>
      <w:bookmarkStart w:id="22" w:name="_Toc184310337"/>
      <w:bookmarkEnd w:id="22"/>
      <w:bookmarkStart w:id="23" w:name="_Toc184308107"/>
      <w:bookmarkEnd w:id="23"/>
      <w:bookmarkStart w:id="24" w:name="_Toc184310289"/>
      <w:bookmarkEnd w:id="24"/>
      <w:bookmarkStart w:id="25" w:name="_Toc184310297"/>
      <w:bookmarkEnd w:id="25"/>
      <w:bookmarkStart w:id="26" w:name="_Toc184314458"/>
      <w:bookmarkEnd w:id="26"/>
      <w:bookmarkStart w:id="27" w:name="_Toc184312117"/>
      <w:bookmarkEnd w:id="27"/>
      <w:bookmarkStart w:id="28" w:name="_Toc184308092"/>
      <w:bookmarkEnd w:id="28"/>
      <w:bookmarkStart w:id="29" w:name="_Toc184312119"/>
      <w:bookmarkEnd w:id="29"/>
      <w:bookmarkStart w:id="30" w:name="_Toc184312113"/>
      <w:bookmarkEnd w:id="30"/>
      <w:bookmarkStart w:id="31" w:name="_Toc184308087"/>
      <w:bookmarkEnd w:id="31"/>
      <w:bookmarkStart w:id="32" w:name="_Toc184313289"/>
      <w:bookmarkEnd w:id="32"/>
      <w:bookmarkStart w:id="33" w:name="_Toc184312085"/>
      <w:bookmarkEnd w:id="33"/>
      <w:bookmarkStart w:id="34" w:name="_Toc184310312"/>
      <w:bookmarkEnd w:id="34"/>
      <w:bookmarkStart w:id="35" w:name="_Toc184310274"/>
      <w:bookmarkEnd w:id="35"/>
      <w:bookmarkStart w:id="36" w:name="_Toc184313256"/>
      <w:bookmarkEnd w:id="36"/>
      <w:bookmarkStart w:id="37" w:name="_Toc184312096"/>
      <w:bookmarkEnd w:id="37"/>
      <w:bookmarkStart w:id="38" w:name="_Toc184308089"/>
      <w:bookmarkEnd w:id="38"/>
      <w:bookmarkStart w:id="39" w:name="_Toc184312121"/>
      <w:bookmarkEnd w:id="39"/>
      <w:bookmarkStart w:id="40" w:name="_Toc184314441"/>
      <w:bookmarkEnd w:id="40"/>
      <w:bookmarkStart w:id="41" w:name="_Toc184312087"/>
      <w:bookmarkEnd w:id="41"/>
      <w:bookmarkStart w:id="42" w:name="_Toc184313268"/>
      <w:bookmarkEnd w:id="42"/>
      <w:bookmarkStart w:id="43" w:name="_Toc184314445"/>
      <w:bookmarkEnd w:id="43"/>
      <w:bookmarkStart w:id="44" w:name="_Toc184314442"/>
      <w:bookmarkEnd w:id="44"/>
      <w:bookmarkStart w:id="45" w:name="_Toc184308047"/>
      <w:bookmarkEnd w:id="45"/>
      <w:bookmarkStart w:id="46" w:name="_Toc184314477"/>
      <w:bookmarkEnd w:id="46"/>
      <w:bookmarkStart w:id="47" w:name="_Toc184314463"/>
      <w:bookmarkEnd w:id="47"/>
      <w:bookmarkStart w:id="48" w:name="_Toc184313275"/>
      <w:bookmarkEnd w:id="48"/>
      <w:bookmarkStart w:id="49" w:name="_Toc184310304"/>
      <w:bookmarkEnd w:id="49"/>
      <w:bookmarkStart w:id="50" w:name="_Toc184308079"/>
      <w:bookmarkEnd w:id="50"/>
      <w:bookmarkStart w:id="51" w:name="_Toc184313278"/>
      <w:bookmarkEnd w:id="51"/>
      <w:bookmarkStart w:id="52" w:name="_Toc184310310"/>
      <w:bookmarkEnd w:id="52"/>
      <w:bookmarkStart w:id="53" w:name="_Toc184310305"/>
      <w:bookmarkEnd w:id="53"/>
      <w:bookmarkStart w:id="54" w:name="_Toc184310315"/>
      <w:bookmarkEnd w:id="54"/>
      <w:bookmarkStart w:id="55" w:name="_Toc184312101"/>
      <w:bookmarkEnd w:id="55"/>
      <w:bookmarkStart w:id="56" w:name="_Toc184314468"/>
      <w:bookmarkEnd w:id="56"/>
      <w:bookmarkStart w:id="57" w:name="_Toc184314475"/>
      <w:bookmarkEnd w:id="57"/>
      <w:bookmarkStart w:id="58" w:name="_Toc184314444"/>
      <w:bookmarkEnd w:id="58"/>
      <w:bookmarkStart w:id="59" w:name="_Toc184314435"/>
      <w:bookmarkEnd w:id="59"/>
      <w:bookmarkStart w:id="60" w:name="_Toc184312126"/>
      <w:bookmarkEnd w:id="60"/>
      <w:bookmarkStart w:id="61" w:name="_Toc184308075"/>
      <w:bookmarkEnd w:id="61"/>
      <w:bookmarkStart w:id="62" w:name="_Toc184308083"/>
      <w:bookmarkEnd w:id="62"/>
      <w:bookmarkStart w:id="63" w:name="_Toc184313301"/>
      <w:bookmarkEnd w:id="63"/>
      <w:bookmarkStart w:id="64" w:name="_Toc184314430"/>
      <w:bookmarkEnd w:id="64"/>
      <w:bookmarkStart w:id="65" w:name="_Toc184312133"/>
      <w:bookmarkEnd w:id="65"/>
      <w:bookmarkStart w:id="66" w:name="_Toc184312071"/>
      <w:bookmarkEnd w:id="66"/>
      <w:bookmarkStart w:id="67" w:name="_Toc184313285"/>
      <w:bookmarkEnd w:id="67"/>
      <w:bookmarkStart w:id="68" w:name="_Toc184308072"/>
      <w:bookmarkEnd w:id="68"/>
      <w:bookmarkStart w:id="69" w:name="_Toc184308070"/>
      <w:bookmarkEnd w:id="69"/>
      <w:bookmarkStart w:id="70" w:name="_Toc184308091"/>
      <w:bookmarkEnd w:id="70"/>
      <w:bookmarkStart w:id="71" w:name="_Toc184310323"/>
      <w:bookmarkEnd w:id="71"/>
      <w:bookmarkStart w:id="72" w:name="_Toc184314454"/>
      <w:bookmarkEnd w:id="72"/>
      <w:bookmarkStart w:id="73" w:name="_Toc184310332"/>
      <w:bookmarkEnd w:id="73"/>
      <w:bookmarkStart w:id="74" w:name="_Toc184308081"/>
      <w:bookmarkEnd w:id="74"/>
      <w:bookmarkStart w:id="75" w:name="_Toc184314473"/>
      <w:bookmarkEnd w:id="75"/>
      <w:bookmarkStart w:id="76" w:name="_Toc184314453"/>
      <w:bookmarkEnd w:id="76"/>
      <w:bookmarkStart w:id="77" w:name="_Toc184313271"/>
      <w:bookmarkEnd w:id="77"/>
      <w:bookmarkStart w:id="78" w:name="_Toc184312139"/>
      <w:bookmarkEnd w:id="78"/>
      <w:bookmarkStart w:id="79" w:name="_Toc184308046"/>
      <w:bookmarkEnd w:id="79"/>
      <w:bookmarkStart w:id="80" w:name="_Toc184312120"/>
      <w:bookmarkEnd w:id="80"/>
      <w:bookmarkStart w:id="81" w:name="_Toc184308042"/>
      <w:bookmarkEnd w:id="81"/>
      <w:bookmarkStart w:id="82" w:name="_Toc184313284"/>
      <w:bookmarkEnd w:id="82"/>
      <w:bookmarkStart w:id="83" w:name="_Toc184308085"/>
      <w:bookmarkEnd w:id="83"/>
      <w:bookmarkStart w:id="84" w:name="_Toc184310293"/>
      <w:bookmarkEnd w:id="84"/>
      <w:bookmarkStart w:id="85" w:name="_Toc184312089"/>
      <w:bookmarkEnd w:id="85"/>
      <w:bookmarkStart w:id="86" w:name="_Toc184313245"/>
      <w:bookmarkEnd w:id="86"/>
      <w:bookmarkStart w:id="87" w:name="_Toc184308095"/>
      <w:bookmarkEnd w:id="87"/>
      <w:bookmarkStart w:id="88" w:name="_Toc184308049"/>
      <w:bookmarkEnd w:id="88"/>
      <w:bookmarkStart w:id="89" w:name="_Toc184310335"/>
      <w:bookmarkEnd w:id="89"/>
      <w:bookmarkStart w:id="90" w:name="_Toc184314421"/>
      <w:bookmarkEnd w:id="90"/>
      <w:bookmarkStart w:id="91" w:name="_Toc184310285"/>
      <w:bookmarkEnd w:id="91"/>
      <w:bookmarkStart w:id="92" w:name="_Toc184310336"/>
      <w:bookmarkEnd w:id="92"/>
      <w:bookmarkStart w:id="93" w:name="_Toc184313251"/>
      <w:bookmarkEnd w:id="93"/>
      <w:bookmarkStart w:id="94" w:name="_Toc184308099"/>
      <w:bookmarkEnd w:id="94"/>
      <w:bookmarkStart w:id="95" w:name="_Toc184313276"/>
      <w:bookmarkEnd w:id="95"/>
      <w:bookmarkStart w:id="96" w:name="_Toc184314427"/>
      <w:bookmarkEnd w:id="96"/>
      <w:bookmarkStart w:id="97" w:name="_Toc184313281"/>
      <w:bookmarkEnd w:id="97"/>
      <w:bookmarkStart w:id="98" w:name="_Toc184314410"/>
      <w:bookmarkEnd w:id="98"/>
      <w:bookmarkStart w:id="99" w:name="_Toc184314447"/>
      <w:bookmarkEnd w:id="99"/>
      <w:bookmarkStart w:id="100" w:name="_Toc184312106"/>
      <w:bookmarkEnd w:id="100"/>
      <w:bookmarkStart w:id="101" w:name="_Toc184312123"/>
      <w:bookmarkEnd w:id="101"/>
      <w:bookmarkStart w:id="102" w:name="_Toc184308066"/>
      <w:bookmarkEnd w:id="102"/>
      <w:bookmarkStart w:id="103" w:name="_Toc184314411"/>
      <w:bookmarkEnd w:id="103"/>
      <w:bookmarkStart w:id="104" w:name="_Toc184314457"/>
      <w:bookmarkEnd w:id="104"/>
      <w:bookmarkStart w:id="105" w:name="_Toc184313263"/>
      <w:bookmarkEnd w:id="105"/>
      <w:bookmarkStart w:id="106" w:name="_Toc184310308"/>
      <w:bookmarkEnd w:id="106"/>
      <w:bookmarkStart w:id="107" w:name="_Toc184312070"/>
      <w:bookmarkEnd w:id="107"/>
      <w:bookmarkStart w:id="108" w:name="_Toc184312107"/>
      <w:bookmarkEnd w:id="108"/>
      <w:bookmarkStart w:id="109" w:name="_Toc184313244"/>
      <w:bookmarkEnd w:id="109"/>
      <w:bookmarkStart w:id="110" w:name="_Toc184313310"/>
      <w:bookmarkEnd w:id="110"/>
      <w:bookmarkStart w:id="111" w:name="_Toc184308077"/>
      <w:bookmarkEnd w:id="111"/>
      <w:bookmarkStart w:id="112" w:name="_Toc184312108"/>
      <w:bookmarkEnd w:id="112"/>
      <w:bookmarkStart w:id="113" w:name="_Toc184312067"/>
      <w:bookmarkEnd w:id="113"/>
      <w:bookmarkStart w:id="114" w:name="_Toc184308100"/>
      <w:bookmarkEnd w:id="114"/>
      <w:bookmarkStart w:id="115" w:name="_Toc184312130"/>
      <w:bookmarkEnd w:id="115"/>
      <w:bookmarkStart w:id="116" w:name="_Toc184310322"/>
      <w:bookmarkEnd w:id="116"/>
      <w:bookmarkStart w:id="117" w:name="_Toc184314481"/>
      <w:bookmarkEnd w:id="117"/>
      <w:bookmarkStart w:id="118" w:name="_Toc184308054"/>
      <w:bookmarkEnd w:id="118"/>
      <w:bookmarkStart w:id="119" w:name="_Toc184308037"/>
      <w:bookmarkEnd w:id="119"/>
      <w:bookmarkStart w:id="120" w:name="_Toc184310326"/>
      <w:bookmarkEnd w:id="120"/>
      <w:bookmarkStart w:id="121" w:name="_Toc184313260"/>
      <w:bookmarkEnd w:id="121"/>
      <w:bookmarkStart w:id="122" w:name="_Toc184314434"/>
      <w:bookmarkEnd w:id="122"/>
      <w:bookmarkStart w:id="123" w:name="_Toc184314446"/>
      <w:bookmarkEnd w:id="123"/>
      <w:bookmarkStart w:id="124" w:name="_Toc184314423"/>
      <w:bookmarkEnd w:id="124"/>
      <w:bookmarkStart w:id="125" w:name="_Toc184314462"/>
      <w:bookmarkEnd w:id="125"/>
      <w:bookmarkStart w:id="126" w:name="_Toc184314460"/>
      <w:bookmarkEnd w:id="126"/>
      <w:bookmarkStart w:id="127" w:name="_Toc184312124"/>
      <w:bookmarkEnd w:id="127"/>
      <w:bookmarkStart w:id="128" w:name="_Toc184312118"/>
      <w:bookmarkEnd w:id="128"/>
      <w:bookmarkStart w:id="129" w:name="_Toc184310301"/>
      <w:bookmarkEnd w:id="129"/>
      <w:bookmarkStart w:id="130" w:name="_Toc184308105"/>
      <w:bookmarkEnd w:id="130"/>
      <w:bookmarkStart w:id="131" w:name="_Toc184310329"/>
      <w:bookmarkEnd w:id="131"/>
      <w:bookmarkStart w:id="132" w:name="_Toc184313261"/>
      <w:bookmarkEnd w:id="132"/>
      <w:bookmarkStart w:id="133" w:name="_Toc184314433"/>
      <w:bookmarkEnd w:id="133"/>
      <w:bookmarkStart w:id="134" w:name="_Toc184310278"/>
      <w:bookmarkEnd w:id="134"/>
      <w:bookmarkStart w:id="135" w:name="_Toc184308069"/>
      <w:bookmarkEnd w:id="135"/>
      <w:bookmarkStart w:id="136" w:name="_Toc184313305"/>
      <w:bookmarkEnd w:id="136"/>
      <w:bookmarkStart w:id="137" w:name="_Toc184313243"/>
      <w:bookmarkEnd w:id="137"/>
      <w:bookmarkStart w:id="138" w:name="_Toc184308044"/>
      <w:bookmarkEnd w:id="138"/>
      <w:bookmarkStart w:id="139" w:name="_Toc184312092"/>
      <w:bookmarkEnd w:id="139"/>
      <w:bookmarkStart w:id="140" w:name="_Toc184312077"/>
      <w:bookmarkEnd w:id="140"/>
      <w:bookmarkStart w:id="141" w:name="_Toc184313298"/>
      <w:bookmarkEnd w:id="141"/>
      <w:bookmarkStart w:id="142" w:name="_Toc184313272"/>
      <w:bookmarkEnd w:id="142"/>
      <w:bookmarkStart w:id="143" w:name="_Toc184312134"/>
      <w:bookmarkEnd w:id="143"/>
      <w:bookmarkStart w:id="144" w:name="_Toc184310281"/>
      <w:bookmarkEnd w:id="144"/>
      <w:bookmarkStart w:id="145" w:name="_Toc184308063"/>
      <w:bookmarkEnd w:id="145"/>
      <w:bookmarkStart w:id="146" w:name="_Toc184308096"/>
      <w:bookmarkEnd w:id="146"/>
      <w:bookmarkStart w:id="147" w:name="_Toc184310330"/>
      <w:bookmarkEnd w:id="147"/>
      <w:bookmarkStart w:id="148" w:name="_Toc184313306"/>
      <w:bookmarkEnd w:id="148"/>
      <w:bookmarkStart w:id="149" w:name="_Toc184313288"/>
      <w:bookmarkEnd w:id="149"/>
      <w:bookmarkStart w:id="150" w:name="_Toc184314439"/>
      <w:bookmarkEnd w:id="150"/>
      <w:bookmarkStart w:id="151" w:name="_Toc184313248"/>
      <w:bookmarkEnd w:id="151"/>
      <w:bookmarkStart w:id="152" w:name="_Toc184310273"/>
      <w:bookmarkEnd w:id="152"/>
      <w:bookmarkStart w:id="153" w:name="_Toc184308040"/>
      <w:bookmarkEnd w:id="153"/>
      <w:bookmarkStart w:id="154" w:name="_Toc184312095"/>
      <w:bookmarkEnd w:id="154"/>
      <w:bookmarkStart w:id="155" w:name="_Toc184312135"/>
      <w:bookmarkEnd w:id="155"/>
      <w:bookmarkStart w:id="156" w:name="_Toc184310334"/>
      <w:bookmarkEnd w:id="156"/>
      <w:bookmarkStart w:id="157" w:name="_Toc184310288"/>
      <w:bookmarkEnd w:id="157"/>
      <w:bookmarkStart w:id="158" w:name="_Toc184313240"/>
      <w:bookmarkEnd w:id="158"/>
      <w:bookmarkStart w:id="159" w:name="_Toc184308062"/>
      <w:bookmarkEnd w:id="159"/>
      <w:bookmarkStart w:id="160" w:name="_Toc184312069"/>
      <w:bookmarkEnd w:id="160"/>
      <w:bookmarkStart w:id="161" w:name="_Toc184310321"/>
      <w:bookmarkEnd w:id="161"/>
      <w:bookmarkStart w:id="162" w:name="_Toc184314452"/>
      <w:bookmarkEnd w:id="162"/>
      <w:bookmarkStart w:id="163" w:name="_Toc184312082"/>
      <w:bookmarkEnd w:id="163"/>
      <w:bookmarkStart w:id="164" w:name="_Toc184312094"/>
      <w:bookmarkEnd w:id="164"/>
      <w:bookmarkStart w:id="165" w:name="_Toc184314448"/>
      <w:bookmarkEnd w:id="165"/>
      <w:bookmarkStart w:id="166" w:name="_Toc184312137"/>
      <w:bookmarkEnd w:id="166"/>
      <w:bookmarkStart w:id="167" w:name="_Toc184313295"/>
      <w:bookmarkEnd w:id="167"/>
      <w:bookmarkStart w:id="168" w:name="_Toc184313270"/>
      <w:bookmarkEnd w:id="168"/>
      <w:bookmarkStart w:id="169" w:name="_Toc184312079"/>
      <w:bookmarkEnd w:id="169"/>
      <w:bookmarkStart w:id="170" w:name="_Toc184314451"/>
      <w:bookmarkEnd w:id="170"/>
      <w:bookmarkStart w:id="171" w:name="_Toc184313269"/>
      <w:bookmarkEnd w:id="171"/>
      <w:bookmarkStart w:id="172" w:name="_Toc184313239"/>
      <w:bookmarkEnd w:id="172"/>
      <w:bookmarkStart w:id="173" w:name="_Toc184314482"/>
      <w:bookmarkEnd w:id="173"/>
      <w:bookmarkStart w:id="174" w:name="_Toc184312103"/>
      <w:bookmarkEnd w:id="174"/>
      <w:bookmarkStart w:id="175" w:name="_Toc184313293"/>
      <w:bookmarkEnd w:id="175"/>
      <w:bookmarkStart w:id="176" w:name="_Toc184313255"/>
      <w:bookmarkEnd w:id="176"/>
      <w:bookmarkStart w:id="177" w:name="_Toc184312076"/>
      <w:bookmarkEnd w:id="177"/>
      <w:bookmarkStart w:id="178" w:name="_Toc184308098"/>
      <w:bookmarkEnd w:id="178"/>
      <w:bookmarkStart w:id="179" w:name="_Toc184310292"/>
      <w:bookmarkEnd w:id="179"/>
      <w:bookmarkStart w:id="180" w:name="_Toc184310311"/>
      <w:bookmarkEnd w:id="180"/>
      <w:bookmarkStart w:id="181" w:name="_Toc184308052"/>
      <w:bookmarkEnd w:id="181"/>
      <w:bookmarkStart w:id="182" w:name="_Toc184308074"/>
      <w:bookmarkEnd w:id="182"/>
      <w:bookmarkStart w:id="183" w:name="_Toc184312114"/>
      <w:bookmarkEnd w:id="183"/>
      <w:bookmarkStart w:id="184" w:name="_Toc184313283"/>
      <w:bookmarkEnd w:id="184"/>
      <w:bookmarkStart w:id="185" w:name="_Toc184308065"/>
      <w:bookmarkEnd w:id="185"/>
      <w:bookmarkStart w:id="186" w:name="_Toc184308084"/>
      <w:bookmarkEnd w:id="186"/>
      <w:bookmarkStart w:id="187" w:name="_Toc184312097"/>
      <w:bookmarkEnd w:id="187"/>
      <w:bookmarkStart w:id="188" w:name="_Toc184312075"/>
      <w:bookmarkEnd w:id="188"/>
      <w:bookmarkStart w:id="189" w:name="_Toc184308106"/>
      <w:bookmarkEnd w:id="189"/>
      <w:bookmarkStart w:id="190" w:name="_Toc184314429"/>
      <w:bookmarkEnd w:id="190"/>
      <w:bookmarkStart w:id="191" w:name="_Toc184313296"/>
      <w:bookmarkEnd w:id="191"/>
      <w:bookmarkStart w:id="192" w:name="_Toc184308043"/>
      <w:bookmarkEnd w:id="192"/>
      <w:bookmarkStart w:id="193" w:name="_Toc184314479"/>
      <w:bookmarkEnd w:id="193"/>
      <w:bookmarkStart w:id="194" w:name="_Toc184313265"/>
      <w:bookmarkEnd w:id="194"/>
      <w:bookmarkStart w:id="195" w:name="_Toc184314466"/>
      <w:bookmarkEnd w:id="195"/>
      <w:bookmarkStart w:id="196" w:name="_Toc184310295"/>
      <w:bookmarkEnd w:id="196"/>
      <w:bookmarkStart w:id="197" w:name="_Toc184310325"/>
      <w:bookmarkEnd w:id="197"/>
      <w:bookmarkStart w:id="198" w:name="_Toc184314420"/>
      <w:bookmarkEnd w:id="198"/>
      <w:bookmarkStart w:id="199" w:name="_Toc184312074"/>
      <w:bookmarkEnd w:id="199"/>
      <w:bookmarkStart w:id="200" w:name="_Toc184313259"/>
      <w:bookmarkEnd w:id="200"/>
      <w:bookmarkStart w:id="201" w:name="_Toc184313267"/>
      <w:bookmarkEnd w:id="201"/>
      <w:bookmarkStart w:id="202" w:name="_Toc184310291"/>
      <w:bookmarkEnd w:id="202"/>
      <w:bookmarkStart w:id="203" w:name="_Toc184314424"/>
      <w:bookmarkEnd w:id="203"/>
      <w:bookmarkStart w:id="204" w:name="_Toc184313257"/>
      <w:bookmarkEnd w:id="204"/>
      <w:bookmarkStart w:id="205" w:name="_Toc184313297"/>
      <w:bookmarkEnd w:id="205"/>
      <w:bookmarkStart w:id="206" w:name="_Toc184310277"/>
      <w:bookmarkEnd w:id="206"/>
      <w:bookmarkStart w:id="207" w:name="_Toc184313302"/>
      <w:bookmarkEnd w:id="207"/>
      <w:bookmarkStart w:id="208" w:name="_Toc184312115"/>
      <w:bookmarkEnd w:id="208"/>
      <w:bookmarkStart w:id="209" w:name="_Toc184310340"/>
      <w:bookmarkEnd w:id="209"/>
      <w:bookmarkStart w:id="210" w:name="_Toc184308053"/>
      <w:bookmarkEnd w:id="210"/>
      <w:bookmarkStart w:id="211" w:name="_Toc184310328"/>
      <w:bookmarkEnd w:id="211"/>
      <w:bookmarkStart w:id="212" w:name="_Toc184312125"/>
      <w:bookmarkEnd w:id="212"/>
      <w:bookmarkStart w:id="213" w:name="_Toc184314415"/>
      <w:bookmarkEnd w:id="213"/>
      <w:bookmarkStart w:id="214" w:name="_Toc184314426"/>
      <w:bookmarkEnd w:id="214"/>
      <w:bookmarkStart w:id="215" w:name="_Toc184310331"/>
      <w:bookmarkEnd w:id="215"/>
      <w:bookmarkStart w:id="216" w:name="_Toc184312072"/>
      <w:bookmarkEnd w:id="216"/>
      <w:bookmarkStart w:id="217" w:name="_Toc184313308"/>
      <w:bookmarkEnd w:id="217"/>
      <w:bookmarkStart w:id="218" w:name="_Toc184314476"/>
      <w:bookmarkEnd w:id="218"/>
      <w:bookmarkStart w:id="219" w:name="_Toc184308048"/>
      <w:bookmarkEnd w:id="219"/>
      <w:bookmarkStart w:id="220" w:name="_Toc184314471"/>
      <w:bookmarkEnd w:id="220"/>
      <w:bookmarkStart w:id="221" w:name="_Toc184310276"/>
      <w:bookmarkEnd w:id="221"/>
      <w:bookmarkStart w:id="222" w:name="_Toc184310280"/>
      <w:bookmarkEnd w:id="222"/>
      <w:bookmarkStart w:id="223" w:name="_Toc184310324"/>
      <w:bookmarkEnd w:id="223"/>
      <w:bookmarkStart w:id="224" w:name="_Toc184314428"/>
      <w:bookmarkEnd w:id="224"/>
      <w:bookmarkStart w:id="225" w:name="_Toc184314470"/>
      <w:bookmarkEnd w:id="225"/>
      <w:bookmarkStart w:id="226" w:name="_Toc184313286"/>
      <w:bookmarkEnd w:id="226"/>
      <w:bookmarkStart w:id="227" w:name="_Toc184308093"/>
      <w:bookmarkEnd w:id="227"/>
      <w:bookmarkStart w:id="228" w:name="_Toc184308067"/>
      <w:bookmarkEnd w:id="228"/>
      <w:bookmarkStart w:id="229" w:name="_Toc184310306"/>
      <w:bookmarkEnd w:id="229"/>
      <w:bookmarkStart w:id="230" w:name="_Toc184310316"/>
      <w:bookmarkEnd w:id="230"/>
      <w:bookmarkStart w:id="231" w:name="_Toc184310290"/>
      <w:bookmarkEnd w:id="231"/>
      <w:bookmarkStart w:id="232" w:name="_Toc184312128"/>
      <w:bookmarkEnd w:id="232"/>
      <w:bookmarkStart w:id="233" w:name="_Toc184308059"/>
      <w:bookmarkEnd w:id="233"/>
      <w:bookmarkStart w:id="234" w:name="_Toc184314459"/>
      <w:bookmarkEnd w:id="234"/>
      <w:bookmarkStart w:id="235" w:name="_Toc184308060"/>
      <w:bookmarkEnd w:id="235"/>
      <w:bookmarkStart w:id="236" w:name="_Toc184313238"/>
      <w:bookmarkEnd w:id="236"/>
      <w:bookmarkStart w:id="237" w:name="_Toc184312078"/>
      <w:bookmarkEnd w:id="237"/>
      <w:bookmarkStart w:id="238" w:name="_Toc184313264"/>
      <w:bookmarkEnd w:id="238"/>
      <w:bookmarkStart w:id="239" w:name="_Toc184314425"/>
      <w:bookmarkEnd w:id="239"/>
      <w:bookmarkStart w:id="240" w:name="_Toc184313279"/>
      <w:bookmarkEnd w:id="240"/>
      <w:bookmarkStart w:id="241" w:name="_Toc184313253"/>
      <w:bookmarkEnd w:id="241"/>
      <w:bookmarkStart w:id="242" w:name="_Toc184308058"/>
      <w:bookmarkEnd w:id="242"/>
      <w:bookmarkStart w:id="243" w:name="_Toc184308038"/>
      <w:bookmarkEnd w:id="243"/>
      <w:bookmarkStart w:id="244" w:name="_Toc184314412"/>
      <w:bookmarkEnd w:id="244"/>
      <w:bookmarkStart w:id="245" w:name="_Toc184313277"/>
      <w:bookmarkEnd w:id="245"/>
      <w:bookmarkStart w:id="246" w:name="_Toc184314432"/>
      <w:bookmarkEnd w:id="246"/>
      <w:bookmarkStart w:id="247" w:name="_Toc184312083"/>
      <w:bookmarkEnd w:id="247"/>
      <w:bookmarkStart w:id="248" w:name="_Toc184308045"/>
      <w:bookmarkEnd w:id="248"/>
      <w:bookmarkStart w:id="249" w:name="_Toc184308097"/>
      <w:bookmarkEnd w:id="249"/>
      <w:bookmarkStart w:id="250" w:name="_Toc184314417"/>
      <w:bookmarkEnd w:id="250"/>
      <w:bookmarkStart w:id="251" w:name="_Toc184308051"/>
      <w:bookmarkEnd w:id="251"/>
      <w:bookmarkStart w:id="252" w:name="_Toc184308073"/>
      <w:bookmarkEnd w:id="252"/>
      <w:bookmarkStart w:id="253" w:name="_Toc184314461"/>
      <w:bookmarkEnd w:id="253"/>
      <w:bookmarkStart w:id="254" w:name="_Toc184314474"/>
      <w:bookmarkEnd w:id="254"/>
      <w:bookmarkStart w:id="255" w:name="_Toc184314450"/>
      <w:bookmarkEnd w:id="255"/>
      <w:bookmarkStart w:id="256" w:name="_Toc184314478"/>
      <w:bookmarkEnd w:id="256"/>
      <w:bookmarkStart w:id="257" w:name="_Toc184310318"/>
      <w:bookmarkEnd w:id="257"/>
      <w:bookmarkStart w:id="258" w:name="_Toc184314438"/>
      <w:bookmarkEnd w:id="258"/>
      <w:bookmarkStart w:id="259" w:name="_Toc184310319"/>
      <w:bookmarkEnd w:id="259"/>
      <w:bookmarkStart w:id="260" w:name="_Toc184312100"/>
      <w:bookmarkEnd w:id="260"/>
      <w:bookmarkStart w:id="261" w:name="_Toc184313287"/>
      <w:bookmarkEnd w:id="261"/>
      <w:bookmarkStart w:id="262" w:name="_Toc184308102"/>
      <w:bookmarkEnd w:id="262"/>
      <w:bookmarkStart w:id="263" w:name="_Toc184308039"/>
      <w:bookmarkEnd w:id="263"/>
      <w:bookmarkStart w:id="264" w:name="_Toc184310341"/>
      <w:bookmarkEnd w:id="264"/>
      <w:bookmarkStart w:id="265" w:name="_Toc184308101"/>
      <w:bookmarkEnd w:id="265"/>
      <w:bookmarkStart w:id="266" w:name="_Toc184308071"/>
      <w:bookmarkEnd w:id="266"/>
      <w:bookmarkStart w:id="267" w:name="_Toc184310303"/>
      <w:bookmarkEnd w:id="267"/>
      <w:bookmarkStart w:id="268" w:name="_Toc184313274"/>
      <w:bookmarkEnd w:id="268"/>
      <w:bookmarkStart w:id="269" w:name="_Toc184310344"/>
      <w:bookmarkEnd w:id="269"/>
      <w:bookmarkStart w:id="270" w:name="_Toc184312138"/>
      <w:bookmarkEnd w:id="270"/>
      <w:bookmarkStart w:id="271" w:name="_Toc184310313"/>
      <w:bookmarkEnd w:id="271"/>
      <w:bookmarkStart w:id="272" w:name="_Toc184312105"/>
      <w:bookmarkEnd w:id="272"/>
      <w:bookmarkStart w:id="273" w:name="_Toc184308103"/>
      <w:bookmarkEnd w:id="273"/>
      <w:bookmarkStart w:id="274" w:name="_Toc184310343"/>
      <w:bookmarkEnd w:id="274"/>
      <w:bookmarkStart w:id="275" w:name="_Toc184312098"/>
      <w:bookmarkEnd w:id="275"/>
      <w:bookmarkStart w:id="276" w:name="_Toc184308088"/>
      <w:bookmarkEnd w:id="276"/>
      <w:bookmarkStart w:id="277" w:name="_Toc184314449"/>
      <w:bookmarkEnd w:id="277"/>
      <w:bookmarkStart w:id="278" w:name="_Toc184314456"/>
      <w:bookmarkEnd w:id="278"/>
      <w:bookmarkStart w:id="279" w:name="_Toc184312111"/>
      <w:bookmarkEnd w:id="279"/>
      <w:bookmarkStart w:id="280" w:name="_Toc184312091"/>
      <w:bookmarkEnd w:id="280"/>
      <w:bookmarkStart w:id="281" w:name="_Toc184314416"/>
      <w:bookmarkEnd w:id="281"/>
      <w:bookmarkStart w:id="282" w:name="_Toc184313309"/>
      <w:bookmarkEnd w:id="282"/>
      <w:bookmarkStart w:id="283" w:name="_Toc184312086"/>
      <w:bookmarkEnd w:id="283"/>
      <w:bookmarkStart w:id="284" w:name="_Toc184312109"/>
      <w:bookmarkEnd w:id="284"/>
      <w:bookmarkStart w:id="285" w:name="_Toc184310314"/>
      <w:bookmarkEnd w:id="285"/>
      <w:bookmarkStart w:id="286" w:name="_Toc184314455"/>
      <w:bookmarkEnd w:id="286"/>
      <w:bookmarkStart w:id="287" w:name="_Toc184308050"/>
      <w:bookmarkEnd w:id="287"/>
      <w:bookmarkStart w:id="288" w:name="_Toc184313303"/>
      <w:bookmarkEnd w:id="288"/>
      <w:bookmarkStart w:id="289" w:name="_Toc184313292"/>
      <w:bookmarkEnd w:id="289"/>
      <w:bookmarkStart w:id="290" w:name="_Toc184310320"/>
      <w:bookmarkEnd w:id="290"/>
      <w:bookmarkStart w:id="291" w:name="_Toc184313246"/>
      <w:bookmarkEnd w:id="291"/>
      <w:bookmarkStart w:id="292" w:name="_Toc184308082"/>
      <w:bookmarkEnd w:id="292"/>
      <w:bookmarkStart w:id="293" w:name="_Toc184313247"/>
      <w:bookmarkEnd w:id="293"/>
      <w:bookmarkStart w:id="294" w:name="_Toc184313290"/>
      <w:bookmarkEnd w:id="294"/>
      <w:bookmarkStart w:id="295" w:name="_Toc184308090"/>
      <w:bookmarkEnd w:id="295"/>
      <w:bookmarkStart w:id="296" w:name="_Toc184313258"/>
      <w:bookmarkEnd w:id="296"/>
      <w:bookmarkStart w:id="297" w:name="_Toc184313254"/>
      <w:bookmarkEnd w:id="297"/>
      <w:bookmarkStart w:id="298" w:name="_Toc184308076"/>
      <w:bookmarkEnd w:id="298"/>
      <w:bookmarkStart w:id="299" w:name="_Toc184312122"/>
      <w:bookmarkEnd w:id="299"/>
      <w:bookmarkStart w:id="300" w:name="_Toc184314464"/>
      <w:bookmarkEnd w:id="300"/>
      <w:bookmarkStart w:id="301" w:name="_Toc184312110"/>
      <w:bookmarkEnd w:id="301"/>
      <w:bookmarkStart w:id="302" w:name="_Toc184310287"/>
      <w:bookmarkEnd w:id="302"/>
      <w:bookmarkStart w:id="303" w:name="_Toc184310286"/>
      <w:bookmarkEnd w:id="303"/>
      <w:bookmarkStart w:id="304" w:name="_Toc184312136"/>
      <w:bookmarkEnd w:id="304"/>
      <w:bookmarkStart w:id="305" w:name="_Toc184312104"/>
      <w:bookmarkEnd w:id="305"/>
      <w:bookmarkStart w:id="306" w:name="_Toc184312080"/>
      <w:bookmarkEnd w:id="306"/>
      <w:bookmarkStart w:id="307" w:name="_Toc184313291"/>
      <w:bookmarkEnd w:id="307"/>
      <w:bookmarkStart w:id="308" w:name="_Toc184310284"/>
      <w:bookmarkEnd w:id="308"/>
      <w:bookmarkStart w:id="309" w:name="_Toc184310272"/>
      <w:bookmarkEnd w:id="309"/>
      <w:bookmarkStart w:id="310" w:name="_Toc184313262"/>
      <w:bookmarkEnd w:id="310"/>
      <w:bookmarkStart w:id="311" w:name="_Toc184312127"/>
      <w:bookmarkEnd w:id="311"/>
      <w:bookmarkStart w:id="312" w:name="_Toc184308036"/>
      <w:bookmarkEnd w:id="312"/>
      <w:bookmarkStart w:id="313" w:name="_Toc184312081"/>
      <w:bookmarkEnd w:id="313"/>
      <w:bookmarkStart w:id="314" w:name="_Toc184313252"/>
      <w:bookmarkEnd w:id="314"/>
      <w:bookmarkStart w:id="315" w:name="_Toc184308104"/>
      <w:bookmarkEnd w:id="315"/>
      <w:bookmarkStart w:id="316" w:name="_Toc184308064"/>
      <w:bookmarkEnd w:id="316"/>
      <w:bookmarkStart w:id="317" w:name="_Toc184308057"/>
      <w:bookmarkEnd w:id="317"/>
      <w:bookmarkStart w:id="318" w:name="_Toc184313294"/>
      <w:bookmarkEnd w:id="318"/>
      <w:bookmarkStart w:id="319" w:name="_Toc184308041"/>
      <w:bookmarkEnd w:id="319"/>
      <w:bookmarkStart w:id="320" w:name="_Toc184308068"/>
      <w:bookmarkEnd w:id="320"/>
      <w:bookmarkStart w:id="321" w:name="_Toc184312090"/>
      <w:bookmarkEnd w:id="321"/>
      <w:bookmarkStart w:id="322" w:name="_Toc184308080"/>
      <w:bookmarkEnd w:id="322"/>
      <w:bookmarkStart w:id="323" w:name="_Toc184314431"/>
      <w:bookmarkEnd w:id="323"/>
      <w:bookmarkStart w:id="324" w:name="_Toc184310300"/>
      <w:bookmarkEnd w:id="324"/>
      <w:bookmarkStart w:id="325" w:name="_Toc184314419"/>
      <w:bookmarkEnd w:id="325"/>
      <w:bookmarkStart w:id="326" w:name="_Toc184308061"/>
      <w:bookmarkEnd w:id="326"/>
      <w:bookmarkStart w:id="327" w:name="_Toc184310307"/>
      <w:bookmarkEnd w:id="327"/>
      <w:bookmarkStart w:id="328" w:name="_Toc184312112"/>
      <w:bookmarkEnd w:id="328"/>
      <w:bookmarkStart w:id="329" w:name="_Toc184310275"/>
      <w:bookmarkEnd w:id="329"/>
      <w:bookmarkStart w:id="330" w:name="_Toc184313304"/>
      <w:bookmarkEnd w:id="330"/>
      <w:bookmarkStart w:id="331" w:name="_Toc184312131"/>
      <w:bookmarkEnd w:id="331"/>
      <w:bookmarkStart w:id="332" w:name="_Toc184313249"/>
      <w:bookmarkEnd w:id="332"/>
      <w:bookmarkStart w:id="333" w:name="_Toc184312093"/>
      <w:bookmarkEnd w:id="333"/>
      <w:bookmarkStart w:id="334" w:name="_Toc184313307"/>
      <w:bookmarkEnd w:id="334"/>
      <w:bookmarkStart w:id="335" w:name="_Toc184312068"/>
      <w:bookmarkEnd w:id="335"/>
      <w:bookmarkStart w:id="336" w:name="_Toc184310338"/>
      <w:bookmarkEnd w:id="336"/>
      <w:bookmarkStart w:id="337" w:name="_Toc184314472"/>
      <w:bookmarkEnd w:id="337"/>
      <w:bookmarkStart w:id="338" w:name="_Toc184313273"/>
      <w:bookmarkEnd w:id="338"/>
      <w:bookmarkStart w:id="339" w:name="_Toc184314465"/>
      <w:bookmarkEnd w:id="339"/>
      <w:bookmarkStart w:id="340" w:name="_Toc184314440"/>
      <w:bookmarkEnd w:id="340"/>
      <w:bookmarkStart w:id="341" w:name="_Toc184313280"/>
      <w:bookmarkEnd w:id="341"/>
      <w:bookmarkStart w:id="342" w:name="_Toc184313266"/>
      <w:bookmarkEnd w:id="342"/>
      <w:bookmarkStart w:id="343" w:name="_Toc184312084"/>
      <w:bookmarkEnd w:id="343"/>
      <w:bookmarkStart w:id="344" w:name="_Toc184314480"/>
      <w:bookmarkEnd w:id="344"/>
      <w:bookmarkStart w:id="345" w:name="_Toc184314437"/>
      <w:bookmarkEnd w:id="345"/>
      <w:bookmarkStart w:id="346" w:name="_Toc184312099"/>
      <w:bookmarkEnd w:id="346"/>
      <w:bookmarkStart w:id="347" w:name="_Toc184314414"/>
      <w:bookmarkEnd w:id="347"/>
      <w:bookmarkStart w:id="348" w:name="_Toc184310339"/>
      <w:bookmarkEnd w:id="348"/>
      <w:bookmarkStart w:id="349" w:name="_Toc184313241"/>
      <w:bookmarkEnd w:id="349"/>
      <w:bookmarkStart w:id="350" w:name="_Toc184308108"/>
      <w:bookmarkEnd w:id="350"/>
      <w:bookmarkStart w:id="351" w:name="_Toc184310302"/>
      <w:bookmarkEnd w:id="351"/>
      <w:bookmarkStart w:id="352" w:name="_Toc184308055"/>
      <w:bookmarkEnd w:id="352"/>
      <w:bookmarkStart w:id="353" w:name="_Toc184312088"/>
      <w:bookmarkEnd w:id="353"/>
      <w:bookmarkStart w:id="354" w:name="_Toc184310294"/>
      <w:bookmarkEnd w:id="354"/>
      <w:bookmarkStart w:id="355" w:name="_Toc184313282"/>
      <w:bookmarkEnd w:id="355"/>
      <w:bookmarkStart w:id="356" w:name="_Toc184314469"/>
      <w:bookmarkEnd w:id="356"/>
      <w:bookmarkStart w:id="357" w:name="_Toc184310317"/>
      <w:bookmarkEnd w:id="357"/>
      <w:bookmarkStart w:id="358" w:name="_Toc184308078"/>
      <w:bookmarkEnd w:id="358"/>
      <w:bookmarkStart w:id="359" w:name="_Toc184310309"/>
      <w:bookmarkEnd w:id="359"/>
      <w:bookmarkStart w:id="360" w:name="_Toc184312073"/>
      <w:bookmarkEnd w:id="360"/>
      <w:bookmarkStart w:id="361" w:name="_Toc184314443"/>
      <w:bookmarkEnd w:id="361"/>
      <w:bookmarkStart w:id="362" w:name="_Toc184314418"/>
      <w:bookmarkEnd w:id="362"/>
      <w:bookmarkStart w:id="363" w:name="_Toc184312116"/>
      <w:bookmarkEnd w:id="363"/>
      <w:bookmarkStart w:id="364" w:name="_Toc184314422"/>
      <w:bookmarkEnd w:id="364"/>
      <w:bookmarkStart w:id="365" w:name="_Toc184308056"/>
      <w:bookmarkEnd w:id="365"/>
      <w:bookmarkStart w:id="366" w:name="_Toc184310296"/>
      <w:bookmarkEnd w:id="366"/>
      <w:bookmarkStart w:id="367" w:name="_Toc184313242"/>
      <w:bookmarkEnd w:id="367"/>
      <w:bookmarkStart w:id="368" w:name="_Toc184310283"/>
      <w:bookmarkEnd w:id="368"/>
      <w:bookmarkStart w:id="369" w:name="_Toc184313300"/>
      <w:bookmarkEnd w:id="369"/>
      <w:bookmarkStart w:id="370" w:name="_Toc184308094"/>
      <w:bookmarkEnd w:id="370"/>
      <w:bookmarkStart w:id="371" w:name="_Toc184310299"/>
      <w:bookmarkEnd w:id="371"/>
      <w:bookmarkStart w:id="372" w:name="_Toc184308086"/>
      <w:bookmarkEnd w:id="372"/>
      <w:bookmarkStart w:id="373" w:name="_Toc184314436"/>
      <w:bookmarkEnd w:id="373"/>
      <w:bookmarkStart w:id="374" w:name="_Toc184310298"/>
      <w:bookmarkEnd w:id="374"/>
      <w:bookmarkStart w:id="375" w:name="_Toc184314413"/>
      <w:bookmarkEnd w:id="375"/>
      <w:bookmarkStart w:id="376" w:name="_Toc184310279"/>
      <w:bookmarkEnd w:id="376"/>
      <w:bookmarkStart w:id="377" w:name="_Toc184313250"/>
      <w:bookmarkEnd w:id="377"/>
      <w:bookmarkStart w:id="378" w:name="_Toc184312129"/>
      <w:bookmarkEnd w:id="378"/>
      <w:r>
        <w:rPr>
          <w:rFonts w:hint="eastAsia" w:ascii="仿宋" w:hAnsi="仿宋" w:eastAsia="仿宋" w:cs="仿宋"/>
          <w:b/>
          <w:color w:val="auto"/>
          <w:sz w:val="36"/>
          <w:szCs w:val="20"/>
          <w:highlight w:val="none"/>
        </w:rPr>
        <w:t xml:space="preserve">   评审方法及评审标准</w:t>
      </w:r>
    </w:p>
    <w:p w14:paraId="38E208C8">
      <w:pPr>
        <w:pStyle w:val="134"/>
        <w:spacing w:before="0"/>
        <w:ind w:firstLine="723"/>
        <w:jc w:val="center"/>
        <w:rPr>
          <w:rFonts w:ascii="仿宋" w:hAnsi="仿宋" w:eastAsia="仿宋" w:cs="仿宋"/>
          <w:b/>
          <w:color w:val="auto"/>
          <w:sz w:val="36"/>
          <w:highlight w:val="none"/>
        </w:rPr>
      </w:pPr>
      <w:r>
        <w:rPr>
          <w:rFonts w:hint="eastAsia" w:ascii="仿宋" w:hAnsi="仿宋" w:eastAsia="仿宋" w:cs="仿宋"/>
          <w:b/>
          <w:color w:val="auto"/>
          <w:sz w:val="36"/>
          <w:highlight w:val="none"/>
        </w:rPr>
        <w:t>评审方法前附表</w:t>
      </w:r>
    </w:p>
    <w:tbl>
      <w:tblPr>
        <w:tblStyle w:val="63"/>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549"/>
        <w:gridCol w:w="5180"/>
        <w:gridCol w:w="750"/>
        <w:gridCol w:w="1048"/>
      </w:tblGrid>
      <w:tr w14:paraId="5358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atLeast"/>
          <w:jc w:val="center"/>
        </w:trPr>
        <w:tc>
          <w:tcPr>
            <w:tcW w:w="550" w:type="dxa"/>
            <w:noWrap w:val="0"/>
            <w:vAlign w:val="center"/>
          </w:tcPr>
          <w:p w14:paraId="26012FC2">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49" w:type="dxa"/>
            <w:noWrap w:val="0"/>
            <w:vAlign w:val="center"/>
          </w:tcPr>
          <w:p w14:paraId="00B55191">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w:t>
            </w:r>
          </w:p>
        </w:tc>
        <w:tc>
          <w:tcPr>
            <w:tcW w:w="5180" w:type="dxa"/>
            <w:noWrap w:val="0"/>
            <w:vAlign w:val="center"/>
          </w:tcPr>
          <w:p w14:paraId="549ECE7D">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评审细则</w:t>
            </w:r>
          </w:p>
        </w:tc>
        <w:tc>
          <w:tcPr>
            <w:tcW w:w="750" w:type="dxa"/>
            <w:noWrap w:val="0"/>
            <w:vAlign w:val="center"/>
          </w:tcPr>
          <w:p w14:paraId="2C3BE26D">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048" w:type="dxa"/>
            <w:noWrap w:val="0"/>
            <w:vAlign w:val="center"/>
          </w:tcPr>
          <w:p w14:paraId="18D23B86">
            <w:pPr>
              <w:spacing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主/客观分属性</w:t>
            </w:r>
          </w:p>
        </w:tc>
      </w:tr>
      <w:tr w14:paraId="617B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550" w:type="dxa"/>
            <w:noWrap w:val="0"/>
            <w:vAlign w:val="center"/>
          </w:tcPr>
          <w:p w14:paraId="3A4D33D0">
            <w:pPr>
              <w:spacing w:line="288"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49" w:type="dxa"/>
            <w:noWrap w:val="0"/>
            <w:vAlign w:val="center"/>
          </w:tcPr>
          <w:p w14:paraId="764FFC2C">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商务及技术响应情况</w:t>
            </w:r>
          </w:p>
        </w:tc>
        <w:tc>
          <w:tcPr>
            <w:tcW w:w="5180" w:type="dxa"/>
            <w:noWrap w:val="0"/>
            <w:vAlign w:val="center"/>
          </w:tcPr>
          <w:p w14:paraId="49857679">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采购内容及要求响应（满足）程度：全部满足采购文件要求：得30分；一般技术/服务条款（指标、参数）有负偏离的，每项扣2分，扣完为止。</w:t>
            </w:r>
          </w:p>
        </w:tc>
        <w:tc>
          <w:tcPr>
            <w:tcW w:w="750" w:type="dxa"/>
            <w:noWrap w:val="0"/>
            <w:vAlign w:val="center"/>
          </w:tcPr>
          <w:p w14:paraId="03CFA24C">
            <w:pPr>
              <w:spacing w:line="288"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30分</w:t>
            </w:r>
          </w:p>
        </w:tc>
        <w:tc>
          <w:tcPr>
            <w:tcW w:w="1048" w:type="dxa"/>
            <w:noWrap w:val="0"/>
            <w:vAlign w:val="center"/>
          </w:tcPr>
          <w:p w14:paraId="011D1CEA">
            <w:pPr>
              <w:spacing w:line="288"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r>
      <w:tr w14:paraId="38C0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550" w:type="dxa"/>
            <w:noWrap w:val="0"/>
            <w:vAlign w:val="center"/>
          </w:tcPr>
          <w:p w14:paraId="3F2C90DA">
            <w:pPr>
              <w:spacing w:line="288"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49" w:type="dxa"/>
            <w:noWrap w:val="0"/>
            <w:vAlign w:val="center"/>
          </w:tcPr>
          <w:p w14:paraId="55B79C8E">
            <w:pPr>
              <w:spacing w:line="288"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服务资源整合能力</w:t>
            </w:r>
          </w:p>
        </w:tc>
        <w:tc>
          <w:tcPr>
            <w:tcW w:w="5180" w:type="dxa"/>
            <w:noWrap w:val="0"/>
            <w:vAlign w:val="center"/>
          </w:tcPr>
          <w:p w14:paraId="24A20F62">
            <w:pPr>
              <w:spacing w:line="400" w:lineRule="exact"/>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en-US" w:eastAsia="zh-CN"/>
              </w:rPr>
              <w:t>响应供应商与杭州市政府采购居家养老服务商有正式合作关系的，每个合作服务商得1分，最多得2分。证明材料：提供正式合作协议扫描件，原件备查。</w:t>
            </w:r>
          </w:p>
        </w:tc>
        <w:tc>
          <w:tcPr>
            <w:tcW w:w="750" w:type="dxa"/>
            <w:noWrap w:val="0"/>
            <w:vAlign w:val="center"/>
          </w:tcPr>
          <w:p w14:paraId="28852524">
            <w:pPr>
              <w:spacing w:line="288"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2分</w:t>
            </w:r>
          </w:p>
        </w:tc>
        <w:tc>
          <w:tcPr>
            <w:tcW w:w="1048" w:type="dxa"/>
            <w:noWrap w:val="0"/>
            <w:vAlign w:val="center"/>
          </w:tcPr>
          <w:p w14:paraId="1FDFE5E1">
            <w:pPr>
              <w:spacing w:line="288"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w:t>
            </w:r>
          </w:p>
        </w:tc>
      </w:tr>
      <w:tr w14:paraId="3606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550" w:type="dxa"/>
            <w:noWrap w:val="0"/>
            <w:vAlign w:val="center"/>
          </w:tcPr>
          <w:p w14:paraId="2E8199FA">
            <w:pPr>
              <w:spacing w:line="288"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49" w:type="dxa"/>
            <w:noWrap w:val="0"/>
            <w:vAlign w:val="center"/>
          </w:tcPr>
          <w:p w14:paraId="715874EB">
            <w:pPr>
              <w:spacing w:line="288" w:lineRule="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通讯运营商整合能力</w:t>
            </w:r>
          </w:p>
        </w:tc>
        <w:tc>
          <w:tcPr>
            <w:tcW w:w="5180" w:type="dxa"/>
            <w:noWrap w:val="0"/>
            <w:vAlign w:val="center"/>
          </w:tcPr>
          <w:p w14:paraId="794947A1">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响应供应商与通讯运营商已达成符合采购要求的固定的套餐合作协议的得2分，否则不得分。证明材料：提供合作协议书扫描件，原件备查。</w:t>
            </w:r>
          </w:p>
        </w:tc>
        <w:tc>
          <w:tcPr>
            <w:tcW w:w="750" w:type="dxa"/>
            <w:noWrap w:val="0"/>
            <w:vAlign w:val="center"/>
          </w:tcPr>
          <w:p w14:paraId="10D8BDEB">
            <w:pPr>
              <w:spacing w:line="288"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c>
          <w:tcPr>
            <w:tcW w:w="1048" w:type="dxa"/>
            <w:noWrap w:val="0"/>
            <w:vAlign w:val="center"/>
          </w:tcPr>
          <w:p w14:paraId="5163E842">
            <w:pPr>
              <w:spacing w:line="288"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r>
      <w:tr w14:paraId="2614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50" w:type="dxa"/>
            <w:vMerge w:val="restart"/>
            <w:noWrap w:val="0"/>
            <w:vAlign w:val="center"/>
          </w:tcPr>
          <w:p w14:paraId="1A32FBCD">
            <w:pPr>
              <w:spacing w:line="288"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549" w:type="dxa"/>
            <w:vMerge w:val="restart"/>
            <w:noWrap w:val="0"/>
            <w:vAlign w:val="center"/>
          </w:tcPr>
          <w:p w14:paraId="4E69381F">
            <w:pPr>
              <w:tabs>
                <w:tab w:val="left" w:pos="1080"/>
                <w:tab w:val="left" w:pos="3990"/>
              </w:tabs>
              <w:spacing w:line="32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服务终端评价</w:t>
            </w:r>
          </w:p>
        </w:tc>
        <w:tc>
          <w:tcPr>
            <w:tcW w:w="5180" w:type="dxa"/>
            <w:noWrap w:val="0"/>
            <w:vAlign w:val="center"/>
          </w:tcPr>
          <w:p w14:paraId="2619DD62">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4.1三类服务终端的整体性能评价：包括产品的技术规格、功能、实用性、操作便捷度、耐用性等内容。（评分范围：3,2,1,0）</w:t>
            </w:r>
          </w:p>
        </w:tc>
        <w:tc>
          <w:tcPr>
            <w:tcW w:w="750" w:type="dxa"/>
            <w:noWrap w:val="0"/>
            <w:vAlign w:val="center"/>
          </w:tcPr>
          <w:p w14:paraId="705BA85E">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1048" w:type="dxa"/>
            <w:noWrap w:val="0"/>
            <w:vAlign w:val="center"/>
          </w:tcPr>
          <w:p w14:paraId="2D72DDD3">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r>
      <w:tr w14:paraId="0FCC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550" w:type="dxa"/>
            <w:vMerge w:val="continue"/>
            <w:noWrap w:val="0"/>
            <w:vAlign w:val="center"/>
          </w:tcPr>
          <w:p w14:paraId="670E9C44">
            <w:pPr>
              <w:spacing w:line="288" w:lineRule="auto"/>
              <w:jc w:val="center"/>
              <w:rPr>
                <w:rFonts w:hint="default" w:ascii="仿宋" w:hAnsi="仿宋" w:eastAsia="仿宋" w:cs="仿宋"/>
                <w:color w:val="auto"/>
                <w:sz w:val="24"/>
                <w:szCs w:val="24"/>
                <w:highlight w:val="none"/>
                <w:lang w:val="en-US" w:eastAsia="zh-CN"/>
              </w:rPr>
            </w:pPr>
          </w:p>
        </w:tc>
        <w:tc>
          <w:tcPr>
            <w:tcW w:w="1549" w:type="dxa"/>
            <w:vMerge w:val="continue"/>
            <w:noWrap w:val="0"/>
            <w:vAlign w:val="center"/>
          </w:tcPr>
          <w:p w14:paraId="24E6B0E6">
            <w:pPr>
              <w:tabs>
                <w:tab w:val="left" w:pos="1080"/>
                <w:tab w:val="left" w:pos="3990"/>
              </w:tabs>
              <w:spacing w:line="320" w:lineRule="exact"/>
              <w:rPr>
                <w:rFonts w:hint="eastAsia" w:ascii="仿宋" w:hAnsi="仿宋" w:eastAsia="仿宋" w:cs="仿宋"/>
                <w:bCs/>
                <w:color w:val="auto"/>
                <w:sz w:val="24"/>
                <w:szCs w:val="24"/>
                <w:highlight w:val="none"/>
                <w:lang w:val="en-US" w:eastAsia="zh-CN"/>
              </w:rPr>
            </w:pPr>
          </w:p>
        </w:tc>
        <w:tc>
          <w:tcPr>
            <w:tcW w:w="5180" w:type="dxa"/>
            <w:noWrap w:val="0"/>
            <w:vAlign w:val="center"/>
          </w:tcPr>
          <w:p w14:paraId="7A239B87">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4.2服务终端生产企业通过ISO质量认证的，每类终端得1分，最多得3分，否则不得分，未提供证明材料的不得分。证明材料：提供证书扫描件，原件备查。</w:t>
            </w:r>
          </w:p>
        </w:tc>
        <w:tc>
          <w:tcPr>
            <w:tcW w:w="750" w:type="dxa"/>
            <w:noWrap w:val="0"/>
            <w:vAlign w:val="center"/>
          </w:tcPr>
          <w:p w14:paraId="20974F19">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1048" w:type="dxa"/>
            <w:noWrap w:val="0"/>
            <w:vAlign w:val="center"/>
          </w:tcPr>
          <w:p w14:paraId="1B13878F">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r>
      <w:tr w14:paraId="2F5D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550" w:type="dxa"/>
            <w:vMerge w:val="continue"/>
            <w:noWrap w:val="0"/>
            <w:vAlign w:val="center"/>
          </w:tcPr>
          <w:p w14:paraId="7C8CB208">
            <w:pPr>
              <w:spacing w:line="288" w:lineRule="auto"/>
              <w:jc w:val="center"/>
              <w:rPr>
                <w:rFonts w:hint="default" w:ascii="仿宋" w:hAnsi="仿宋" w:eastAsia="仿宋" w:cs="仿宋"/>
                <w:color w:val="auto"/>
                <w:sz w:val="24"/>
                <w:szCs w:val="24"/>
                <w:highlight w:val="none"/>
                <w:lang w:val="en-US" w:eastAsia="zh-CN"/>
              </w:rPr>
            </w:pPr>
          </w:p>
        </w:tc>
        <w:tc>
          <w:tcPr>
            <w:tcW w:w="1549" w:type="dxa"/>
            <w:vMerge w:val="continue"/>
            <w:noWrap w:val="0"/>
            <w:vAlign w:val="center"/>
          </w:tcPr>
          <w:p w14:paraId="0528B1E1">
            <w:pPr>
              <w:tabs>
                <w:tab w:val="left" w:pos="1080"/>
                <w:tab w:val="left" w:pos="3990"/>
              </w:tabs>
              <w:spacing w:line="320" w:lineRule="exact"/>
              <w:rPr>
                <w:rFonts w:hint="eastAsia" w:ascii="仿宋" w:hAnsi="仿宋" w:eastAsia="仿宋" w:cs="仿宋"/>
                <w:bCs/>
                <w:color w:val="auto"/>
                <w:sz w:val="24"/>
                <w:szCs w:val="24"/>
                <w:highlight w:val="none"/>
                <w:lang w:val="en-US" w:eastAsia="zh-CN"/>
              </w:rPr>
            </w:pPr>
          </w:p>
        </w:tc>
        <w:tc>
          <w:tcPr>
            <w:tcW w:w="5180" w:type="dxa"/>
            <w:noWrap w:val="0"/>
            <w:vAlign w:val="center"/>
          </w:tcPr>
          <w:p w14:paraId="69749E67">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4.3服务终端免费质保时间：免费质保期两年或以上的得2分；免费质保期两年以下、一年及以上的得1分；其他不得分。</w:t>
            </w:r>
          </w:p>
        </w:tc>
        <w:tc>
          <w:tcPr>
            <w:tcW w:w="750" w:type="dxa"/>
            <w:noWrap w:val="0"/>
            <w:vAlign w:val="center"/>
          </w:tcPr>
          <w:p w14:paraId="0B828B19">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c>
          <w:tcPr>
            <w:tcW w:w="1048" w:type="dxa"/>
            <w:noWrap w:val="0"/>
            <w:vAlign w:val="center"/>
          </w:tcPr>
          <w:p w14:paraId="00BB4622">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r>
      <w:tr w14:paraId="7369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550" w:type="dxa"/>
            <w:vMerge w:val="continue"/>
            <w:noWrap w:val="0"/>
            <w:vAlign w:val="center"/>
          </w:tcPr>
          <w:p w14:paraId="6A61E20B">
            <w:pPr>
              <w:spacing w:line="288" w:lineRule="auto"/>
              <w:jc w:val="center"/>
              <w:rPr>
                <w:rFonts w:hint="default" w:ascii="仿宋" w:hAnsi="仿宋" w:eastAsia="仿宋" w:cs="仿宋"/>
                <w:color w:val="auto"/>
                <w:sz w:val="24"/>
                <w:szCs w:val="24"/>
                <w:highlight w:val="none"/>
                <w:lang w:val="en-US" w:eastAsia="zh-CN"/>
              </w:rPr>
            </w:pPr>
          </w:p>
        </w:tc>
        <w:tc>
          <w:tcPr>
            <w:tcW w:w="1549" w:type="dxa"/>
            <w:vMerge w:val="continue"/>
            <w:noWrap w:val="0"/>
            <w:vAlign w:val="center"/>
          </w:tcPr>
          <w:p w14:paraId="0615F0E7">
            <w:pPr>
              <w:tabs>
                <w:tab w:val="left" w:pos="1080"/>
                <w:tab w:val="left" w:pos="3990"/>
              </w:tabs>
              <w:spacing w:line="320" w:lineRule="exact"/>
              <w:rPr>
                <w:rFonts w:hint="eastAsia" w:ascii="仿宋" w:hAnsi="仿宋" w:eastAsia="仿宋" w:cs="仿宋"/>
                <w:bCs/>
                <w:color w:val="auto"/>
                <w:sz w:val="24"/>
                <w:szCs w:val="24"/>
                <w:highlight w:val="none"/>
                <w:lang w:val="en-US" w:eastAsia="zh-CN"/>
              </w:rPr>
            </w:pPr>
          </w:p>
        </w:tc>
        <w:tc>
          <w:tcPr>
            <w:tcW w:w="5180" w:type="dxa"/>
            <w:noWrap w:val="0"/>
            <w:vAlign w:val="center"/>
          </w:tcPr>
          <w:p w14:paraId="7B415C64">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4.4针对本项目服务终端的损坏维修方案的合理性、科学性评价。评价因素包括方案是否切实可行，制度是否规范。方案科学、规范可行能够为签约老人提供便捷服务的得2分，否则不得分。</w:t>
            </w:r>
          </w:p>
        </w:tc>
        <w:tc>
          <w:tcPr>
            <w:tcW w:w="750" w:type="dxa"/>
            <w:noWrap w:val="0"/>
            <w:vAlign w:val="center"/>
          </w:tcPr>
          <w:p w14:paraId="72BABE4C">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c>
          <w:tcPr>
            <w:tcW w:w="1048" w:type="dxa"/>
            <w:noWrap w:val="0"/>
            <w:vAlign w:val="center"/>
          </w:tcPr>
          <w:p w14:paraId="29B2C434">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r>
      <w:tr w14:paraId="676B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50" w:type="dxa"/>
            <w:vMerge w:val="continue"/>
            <w:noWrap w:val="0"/>
            <w:vAlign w:val="center"/>
          </w:tcPr>
          <w:p w14:paraId="2BA4C5AE">
            <w:pPr>
              <w:spacing w:line="288" w:lineRule="auto"/>
              <w:jc w:val="center"/>
              <w:rPr>
                <w:rFonts w:hint="default" w:ascii="仿宋" w:hAnsi="仿宋" w:eastAsia="仿宋" w:cs="仿宋"/>
                <w:color w:val="auto"/>
                <w:sz w:val="24"/>
                <w:szCs w:val="24"/>
                <w:highlight w:val="none"/>
                <w:lang w:val="en-US" w:eastAsia="zh-CN"/>
              </w:rPr>
            </w:pPr>
          </w:p>
        </w:tc>
        <w:tc>
          <w:tcPr>
            <w:tcW w:w="1549" w:type="dxa"/>
            <w:vMerge w:val="continue"/>
            <w:noWrap w:val="0"/>
            <w:vAlign w:val="center"/>
          </w:tcPr>
          <w:p w14:paraId="584EBECC">
            <w:pPr>
              <w:tabs>
                <w:tab w:val="left" w:pos="1080"/>
                <w:tab w:val="left" w:pos="3990"/>
              </w:tabs>
              <w:spacing w:line="320" w:lineRule="exact"/>
              <w:rPr>
                <w:rFonts w:hint="eastAsia" w:ascii="仿宋" w:hAnsi="仿宋" w:eastAsia="仿宋" w:cs="仿宋"/>
                <w:bCs/>
                <w:color w:val="auto"/>
                <w:sz w:val="24"/>
                <w:szCs w:val="24"/>
                <w:highlight w:val="none"/>
                <w:lang w:val="en-US" w:eastAsia="zh-CN"/>
              </w:rPr>
            </w:pPr>
          </w:p>
        </w:tc>
        <w:tc>
          <w:tcPr>
            <w:tcW w:w="5180" w:type="dxa"/>
            <w:noWrap w:val="0"/>
            <w:vAlign w:val="center"/>
          </w:tcPr>
          <w:p w14:paraId="278484E2">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4.5服务终端售后服务形式：承诺为签约老人提供免上门费维修服务的得2分，否则不得分。</w:t>
            </w:r>
          </w:p>
        </w:tc>
        <w:tc>
          <w:tcPr>
            <w:tcW w:w="750" w:type="dxa"/>
            <w:noWrap w:val="0"/>
            <w:vAlign w:val="center"/>
          </w:tcPr>
          <w:p w14:paraId="766802C6">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c>
          <w:tcPr>
            <w:tcW w:w="1048" w:type="dxa"/>
            <w:noWrap w:val="0"/>
            <w:vAlign w:val="center"/>
          </w:tcPr>
          <w:p w14:paraId="17DE1D90">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r>
      <w:tr w14:paraId="32EE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550" w:type="dxa"/>
            <w:vMerge w:val="continue"/>
            <w:noWrap w:val="0"/>
            <w:vAlign w:val="center"/>
          </w:tcPr>
          <w:p w14:paraId="124E1CE0">
            <w:pPr>
              <w:spacing w:line="288" w:lineRule="auto"/>
              <w:jc w:val="center"/>
              <w:rPr>
                <w:rFonts w:hint="default" w:ascii="仿宋" w:hAnsi="仿宋" w:eastAsia="仿宋" w:cs="仿宋"/>
                <w:color w:val="auto"/>
                <w:sz w:val="24"/>
                <w:szCs w:val="24"/>
                <w:highlight w:val="none"/>
                <w:lang w:val="en-US" w:eastAsia="zh-CN"/>
              </w:rPr>
            </w:pPr>
          </w:p>
        </w:tc>
        <w:tc>
          <w:tcPr>
            <w:tcW w:w="1549" w:type="dxa"/>
            <w:vMerge w:val="continue"/>
            <w:noWrap w:val="0"/>
            <w:vAlign w:val="center"/>
          </w:tcPr>
          <w:p w14:paraId="4E632699">
            <w:pPr>
              <w:tabs>
                <w:tab w:val="left" w:pos="1080"/>
                <w:tab w:val="left" w:pos="3990"/>
              </w:tabs>
              <w:spacing w:line="320" w:lineRule="exact"/>
              <w:rPr>
                <w:rFonts w:hint="eastAsia" w:ascii="仿宋" w:hAnsi="仿宋" w:eastAsia="仿宋" w:cs="仿宋"/>
                <w:bCs/>
                <w:color w:val="auto"/>
                <w:sz w:val="24"/>
                <w:szCs w:val="24"/>
                <w:highlight w:val="none"/>
                <w:lang w:val="en-US" w:eastAsia="zh-CN"/>
              </w:rPr>
            </w:pPr>
          </w:p>
        </w:tc>
        <w:tc>
          <w:tcPr>
            <w:tcW w:w="5180" w:type="dxa"/>
            <w:noWrap w:val="0"/>
            <w:vAlign w:val="center"/>
          </w:tcPr>
          <w:p w14:paraId="147F613F">
            <w:pPr>
              <w:spacing w:line="400" w:lineRule="exac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4.6服务终端售后服务的响应时间、收费项目与标准、质量承诺方案。（评分范围：3,2,1,0）</w:t>
            </w:r>
          </w:p>
        </w:tc>
        <w:tc>
          <w:tcPr>
            <w:tcW w:w="750" w:type="dxa"/>
            <w:noWrap w:val="0"/>
            <w:vAlign w:val="center"/>
          </w:tcPr>
          <w:p w14:paraId="4C6BD691">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1048" w:type="dxa"/>
            <w:noWrap w:val="0"/>
            <w:vAlign w:val="center"/>
          </w:tcPr>
          <w:p w14:paraId="5EBED3C5">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r>
      <w:tr w14:paraId="41B9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550" w:type="dxa"/>
            <w:vMerge w:val="restart"/>
            <w:noWrap w:val="0"/>
            <w:vAlign w:val="center"/>
          </w:tcPr>
          <w:p w14:paraId="06B5B7C0">
            <w:pPr>
              <w:spacing w:line="288"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549" w:type="dxa"/>
            <w:vMerge w:val="restart"/>
            <w:noWrap w:val="0"/>
            <w:vAlign w:val="center"/>
          </w:tcPr>
          <w:p w14:paraId="518DA7BA">
            <w:pPr>
              <w:tabs>
                <w:tab w:val="left" w:pos="1080"/>
                <w:tab w:val="left" w:pos="3990"/>
              </w:tabs>
              <w:spacing w:line="32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呼叫中心系统平台及系统模块评价</w:t>
            </w:r>
          </w:p>
        </w:tc>
        <w:tc>
          <w:tcPr>
            <w:tcW w:w="5180" w:type="dxa"/>
            <w:noWrap w:val="0"/>
            <w:vAlign w:val="center"/>
          </w:tcPr>
          <w:p w14:paraId="4CBD558B">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5.1响应供应商在杭州主城区内已有自运营呼叫中心（附地址及现场照片、标识）及不少于2个呼叫坐席（附人员名单及从业履历）的得3分，没有的不得分。证明材料：提供已有自运营呼叫中心地址及现场照片、标识和呼叫坐席人员名单、从业履历说明等材料，加盖响应供应商公章。</w:t>
            </w:r>
          </w:p>
        </w:tc>
        <w:tc>
          <w:tcPr>
            <w:tcW w:w="750" w:type="dxa"/>
            <w:noWrap w:val="0"/>
            <w:vAlign w:val="center"/>
          </w:tcPr>
          <w:p w14:paraId="27106027">
            <w:pPr>
              <w:tabs>
                <w:tab w:val="left" w:pos="1080"/>
                <w:tab w:val="left" w:pos="3990"/>
              </w:tabs>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3分</w:t>
            </w:r>
          </w:p>
        </w:tc>
        <w:tc>
          <w:tcPr>
            <w:tcW w:w="1048" w:type="dxa"/>
            <w:noWrap w:val="0"/>
            <w:vAlign w:val="center"/>
          </w:tcPr>
          <w:p w14:paraId="3B2C1619">
            <w:pPr>
              <w:tabs>
                <w:tab w:val="left" w:pos="1080"/>
                <w:tab w:val="left" w:pos="3990"/>
              </w:tabs>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4"/>
                <w:szCs w:val="24"/>
                <w:highlight w:val="none"/>
                <w:lang w:val="en-US" w:eastAsia="zh-CN"/>
              </w:rPr>
              <w:t>客观</w:t>
            </w:r>
          </w:p>
        </w:tc>
      </w:tr>
      <w:tr w14:paraId="7C3E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550" w:type="dxa"/>
            <w:vMerge w:val="continue"/>
            <w:noWrap w:val="0"/>
            <w:vAlign w:val="center"/>
          </w:tcPr>
          <w:p w14:paraId="5C7D1FEB">
            <w:pPr>
              <w:spacing w:line="288" w:lineRule="auto"/>
              <w:jc w:val="center"/>
              <w:rPr>
                <w:rFonts w:hint="default" w:ascii="仿宋" w:hAnsi="仿宋" w:eastAsia="仿宋" w:cs="仿宋"/>
                <w:color w:val="auto"/>
                <w:sz w:val="24"/>
                <w:szCs w:val="24"/>
                <w:highlight w:val="none"/>
                <w:lang w:val="en-US" w:eastAsia="zh-CN"/>
              </w:rPr>
            </w:pPr>
          </w:p>
        </w:tc>
        <w:tc>
          <w:tcPr>
            <w:tcW w:w="1549" w:type="dxa"/>
            <w:vMerge w:val="continue"/>
            <w:noWrap w:val="0"/>
            <w:vAlign w:val="center"/>
          </w:tcPr>
          <w:p w14:paraId="5156E575">
            <w:pPr>
              <w:tabs>
                <w:tab w:val="left" w:pos="1080"/>
                <w:tab w:val="left" w:pos="3990"/>
              </w:tabs>
              <w:spacing w:line="320" w:lineRule="exact"/>
              <w:rPr>
                <w:rFonts w:hint="eastAsia" w:ascii="仿宋" w:hAnsi="仿宋" w:eastAsia="仿宋" w:cs="仿宋"/>
                <w:bCs/>
                <w:color w:val="auto"/>
                <w:sz w:val="24"/>
                <w:szCs w:val="24"/>
                <w:highlight w:val="none"/>
                <w:lang w:val="en-US" w:eastAsia="zh-CN"/>
              </w:rPr>
            </w:pPr>
          </w:p>
        </w:tc>
        <w:tc>
          <w:tcPr>
            <w:tcW w:w="5180" w:type="dxa"/>
            <w:noWrap w:val="0"/>
            <w:vAlign w:val="center"/>
          </w:tcPr>
          <w:p w14:paraId="009B9763">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5.2呼叫中心后台系统建设在专用IDC机房（具备多路供电、防震、防雷、防水、防盗、防网络攻击、防静电,有完善的数据备份方案，附机房托管协议），符合的得2分，否则的不得分。证明材料：提供机房情况说明及机房托管协议扫描件，原件备查。</w:t>
            </w:r>
          </w:p>
        </w:tc>
        <w:tc>
          <w:tcPr>
            <w:tcW w:w="750" w:type="dxa"/>
            <w:noWrap w:val="0"/>
            <w:vAlign w:val="center"/>
          </w:tcPr>
          <w:p w14:paraId="3B836E4B">
            <w:pPr>
              <w:tabs>
                <w:tab w:val="left" w:pos="1080"/>
                <w:tab w:val="left" w:pos="3990"/>
              </w:tabs>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2分</w:t>
            </w:r>
          </w:p>
        </w:tc>
        <w:tc>
          <w:tcPr>
            <w:tcW w:w="1048" w:type="dxa"/>
            <w:noWrap w:val="0"/>
            <w:vAlign w:val="center"/>
          </w:tcPr>
          <w:p w14:paraId="43D8B148">
            <w:pPr>
              <w:tabs>
                <w:tab w:val="left" w:pos="1080"/>
                <w:tab w:val="left" w:pos="3990"/>
              </w:tabs>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客观</w:t>
            </w:r>
          </w:p>
        </w:tc>
      </w:tr>
      <w:tr w14:paraId="4278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50" w:type="dxa"/>
            <w:vMerge w:val="continue"/>
            <w:noWrap w:val="0"/>
            <w:vAlign w:val="center"/>
          </w:tcPr>
          <w:p w14:paraId="33FF88FC">
            <w:pPr>
              <w:spacing w:line="288" w:lineRule="auto"/>
              <w:jc w:val="center"/>
              <w:rPr>
                <w:rFonts w:hint="default" w:ascii="仿宋" w:hAnsi="仿宋" w:eastAsia="仿宋" w:cs="仿宋"/>
                <w:color w:val="auto"/>
                <w:sz w:val="24"/>
                <w:szCs w:val="24"/>
                <w:highlight w:val="none"/>
                <w:lang w:val="en-US" w:eastAsia="zh-CN"/>
              </w:rPr>
            </w:pPr>
          </w:p>
        </w:tc>
        <w:tc>
          <w:tcPr>
            <w:tcW w:w="1549" w:type="dxa"/>
            <w:vMerge w:val="continue"/>
            <w:noWrap w:val="0"/>
            <w:vAlign w:val="center"/>
          </w:tcPr>
          <w:p w14:paraId="2E379FB7">
            <w:pPr>
              <w:tabs>
                <w:tab w:val="left" w:pos="1080"/>
                <w:tab w:val="left" w:pos="3990"/>
              </w:tabs>
              <w:spacing w:line="320" w:lineRule="exact"/>
              <w:rPr>
                <w:rFonts w:hint="eastAsia" w:ascii="仿宋" w:hAnsi="仿宋" w:eastAsia="仿宋" w:cs="仿宋"/>
                <w:bCs/>
                <w:color w:val="auto"/>
                <w:sz w:val="24"/>
                <w:szCs w:val="24"/>
                <w:highlight w:val="none"/>
                <w:lang w:val="en-US" w:eastAsia="zh-CN"/>
              </w:rPr>
            </w:pPr>
          </w:p>
        </w:tc>
        <w:tc>
          <w:tcPr>
            <w:tcW w:w="5180" w:type="dxa"/>
            <w:noWrap w:val="0"/>
            <w:vAlign w:val="center"/>
          </w:tcPr>
          <w:p w14:paraId="55B77EF8">
            <w:pPr>
              <w:spacing w:line="400" w:lineRule="exac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5.3呼叫中心系统管理有明确、合理、有效的信息数据保密及安全制度。（评分范围：3,2,1,0）</w:t>
            </w:r>
          </w:p>
        </w:tc>
        <w:tc>
          <w:tcPr>
            <w:tcW w:w="750" w:type="dxa"/>
            <w:noWrap w:val="0"/>
            <w:vAlign w:val="center"/>
          </w:tcPr>
          <w:p w14:paraId="285C171A">
            <w:pPr>
              <w:tabs>
                <w:tab w:val="left" w:pos="1080"/>
                <w:tab w:val="left" w:pos="3990"/>
              </w:tabs>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3分</w:t>
            </w:r>
          </w:p>
        </w:tc>
        <w:tc>
          <w:tcPr>
            <w:tcW w:w="1048" w:type="dxa"/>
            <w:noWrap w:val="0"/>
            <w:vAlign w:val="center"/>
          </w:tcPr>
          <w:p w14:paraId="342C14B3">
            <w:pPr>
              <w:tabs>
                <w:tab w:val="left" w:pos="1080"/>
                <w:tab w:val="left" w:pos="3990"/>
              </w:tabs>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主观</w:t>
            </w:r>
          </w:p>
        </w:tc>
      </w:tr>
      <w:tr w14:paraId="200D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550" w:type="dxa"/>
            <w:vMerge w:val="continue"/>
            <w:noWrap w:val="0"/>
            <w:vAlign w:val="center"/>
          </w:tcPr>
          <w:p w14:paraId="611CB798">
            <w:pPr>
              <w:spacing w:line="288" w:lineRule="auto"/>
              <w:jc w:val="center"/>
              <w:rPr>
                <w:rFonts w:hint="default" w:ascii="仿宋" w:hAnsi="仿宋" w:eastAsia="仿宋" w:cs="仿宋"/>
                <w:color w:val="auto"/>
                <w:sz w:val="24"/>
                <w:szCs w:val="24"/>
                <w:highlight w:val="none"/>
                <w:lang w:val="en-US" w:eastAsia="zh-CN"/>
              </w:rPr>
            </w:pPr>
          </w:p>
        </w:tc>
        <w:tc>
          <w:tcPr>
            <w:tcW w:w="1549" w:type="dxa"/>
            <w:vMerge w:val="continue"/>
            <w:noWrap w:val="0"/>
            <w:vAlign w:val="center"/>
          </w:tcPr>
          <w:p w14:paraId="4F8D1AB5">
            <w:pPr>
              <w:tabs>
                <w:tab w:val="left" w:pos="1080"/>
                <w:tab w:val="left" w:pos="3990"/>
              </w:tabs>
              <w:spacing w:line="320" w:lineRule="exact"/>
              <w:rPr>
                <w:rFonts w:hint="eastAsia" w:ascii="仿宋" w:hAnsi="仿宋" w:eastAsia="仿宋" w:cs="仿宋"/>
                <w:bCs/>
                <w:color w:val="auto"/>
                <w:sz w:val="24"/>
                <w:szCs w:val="24"/>
                <w:highlight w:val="none"/>
                <w:lang w:val="en-US" w:eastAsia="zh-CN"/>
              </w:rPr>
            </w:pPr>
          </w:p>
        </w:tc>
        <w:tc>
          <w:tcPr>
            <w:tcW w:w="5180" w:type="dxa"/>
            <w:noWrap w:val="0"/>
            <w:vAlign w:val="center"/>
          </w:tcPr>
          <w:p w14:paraId="1B2FEE76">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5.4呼叫中心系统平台软件通过专业机构检测，取得系统安全测评报告，二级（含）以上的得2分，一级得1分，其余不得分。证明材料：提供对应有效的系统安全检测报告扫描件，原件备查。</w:t>
            </w:r>
          </w:p>
        </w:tc>
        <w:tc>
          <w:tcPr>
            <w:tcW w:w="750" w:type="dxa"/>
            <w:noWrap w:val="0"/>
            <w:vAlign w:val="center"/>
          </w:tcPr>
          <w:p w14:paraId="0E04C243">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c>
          <w:tcPr>
            <w:tcW w:w="1048" w:type="dxa"/>
            <w:noWrap w:val="0"/>
            <w:vAlign w:val="center"/>
          </w:tcPr>
          <w:p w14:paraId="3E318AA2">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r>
      <w:tr w14:paraId="01CF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550" w:type="dxa"/>
            <w:vMerge w:val="restart"/>
            <w:noWrap w:val="0"/>
            <w:vAlign w:val="center"/>
          </w:tcPr>
          <w:p w14:paraId="63A1F7C1">
            <w:pPr>
              <w:spacing w:line="288"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549" w:type="dxa"/>
            <w:vMerge w:val="restart"/>
            <w:noWrap w:val="0"/>
            <w:vAlign w:val="center"/>
          </w:tcPr>
          <w:p w14:paraId="3C1A7B87">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项目实施方案评价</w:t>
            </w:r>
          </w:p>
        </w:tc>
        <w:tc>
          <w:tcPr>
            <w:tcW w:w="5180" w:type="dxa"/>
            <w:noWrap w:val="0"/>
            <w:vAlign w:val="center"/>
          </w:tcPr>
          <w:p w14:paraId="4C4F91DD">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6.1响应供应商针对本项目实施的重点、难点分析评价：供应商根据采购需求，结合自身的经验，对本项目服务区域内智慧养老的现状以及本项目实施过程中的重点、难点进行逐一分析；提出详细的解决方案。（评分范围：4,3,2,1,0）</w:t>
            </w:r>
          </w:p>
        </w:tc>
        <w:tc>
          <w:tcPr>
            <w:tcW w:w="750" w:type="dxa"/>
            <w:noWrap w:val="0"/>
            <w:vAlign w:val="center"/>
          </w:tcPr>
          <w:p w14:paraId="691D0B69">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1048" w:type="dxa"/>
            <w:noWrap w:val="0"/>
            <w:vAlign w:val="center"/>
          </w:tcPr>
          <w:p w14:paraId="4E7E36A5">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r>
      <w:tr w14:paraId="2C71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50" w:type="dxa"/>
            <w:vMerge w:val="continue"/>
            <w:noWrap w:val="0"/>
            <w:vAlign w:val="center"/>
          </w:tcPr>
          <w:p w14:paraId="26171DE8">
            <w:pPr>
              <w:spacing w:line="288" w:lineRule="auto"/>
              <w:jc w:val="center"/>
              <w:rPr>
                <w:rFonts w:hint="eastAsia" w:ascii="仿宋" w:hAnsi="仿宋" w:eastAsia="仿宋" w:cs="仿宋"/>
                <w:color w:val="auto"/>
                <w:sz w:val="24"/>
                <w:szCs w:val="24"/>
                <w:highlight w:val="none"/>
                <w:lang w:val="en-US" w:eastAsia="zh-CN"/>
              </w:rPr>
            </w:pPr>
          </w:p>
        </w:tc>
        <w:tc>
          <w:tcPr>
            <w:tcW w:w="1549" w:type="dxa"/>
            <w:vMerge w:val="continue"/>
            <w:noWrap w:val="0"/>
            <w:vAlign w:val="center"/>
          </w:tcPr>
          <w:p w14:paraId="7DB1FC0A">
            <w:pPr>
              <w:spacing w:line="400" w:lineRule="exact"/>
              <w:rPr>
                <w:rFonts w:hint="eastAsia" w:ascii="仿宋" w:hAnsi="仿宋" w:eastAsia="仿宋" w:cs="仿宋"/>
                <w:bCs/>
                <w:color w:val="auto"/>
                <w:sz w:val="24"/>
                <w:szCs w:val="24"/>
                <w:highlight w:val="none"/>
                <w:lang w:val="en-US" w:eastAsia="zh-CN"/>
              </w:rPr>
            </w:pPr>
          </w:p>
        </w:tc>
        <w:tc>
          <w:tcPr>
            <w:tcW w:w="5180" w:type="dxa"/>
            <w:noWrap w:val="0"/>
            <w:vAlign w:val="center"/>
          </w:tcPr>
          <w:p w14:paraId="5F6ECE05">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6.2响应供应商提出的服务过渡方案及保障措施。（评分范围：2,1,0）</w:t>
            </w:r>
          </w:p>
        </w:tc>
        <w:tc>
          <w:tcPr>
            <w:tcW w:w="750" w:type="dxa"/>
            <w:noWrap w:val="0"/>
            <w:vAlign w:val="center"/>
          </w:tcPr>
          <w:p w14:paraId="2750C244">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c>
          <w:tcPr>
            <w:tcW w:w="1048" w:type="dxa"/>
            <w:noWrap w:val="0"/>
            <w:vAlign w:val="center"/>
          </w:tcPr>
          <w:p w14:paraId="0A7868FF">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r>
      <w:tr w14:paraId="34E8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550" w:type="dxa"/>
            <w:vMerge w:val="continue"/>
            <w:noWrap w:val="0"/>
            <w:vAlign w:val="center"/>
          </w:tcPr>
          <w:p w14:paraId="0BFD103F">
            <w:pPr>
              <w:spacing w:line="288" w:lineRule="auto"/>
              <w:jc w:val="center"/>
              <w:rPr>
                <w:rFonts w:hint="eastAsia" w:ascii="仿宋" w:hAnsi="仿宋" w:eastAsia="仿宋" w:cs="仿宋"/>
                <w:color w:val="auto"/>
                <w:sz w:val="24"/>
                <w:szCs w:val="24"/>
                <w:highlight w:val="none"/>
                <w:lang w:val="en-US" w:eastAsia="zh-CN"/>
              </w:rPr>
            </w:pPr>
          </w:p>
        </w:tc>
        <w:tc>
          <w:tcPr>
            <w:tcW w:w="1549" w:type="dxa"/>
            <w:vMerge w:val="continue"/>
            <w:noWrap w:val="0"/>
            <w:vAlign w:val="center"/>
          </w:tcPr>
          <w:p w14:paraId="484A393C">
            <w:pPr>
              <w:spacing w:line="400" w:lineRule="exact"/>
              <w:rPr>
                <w:rFonts w:hint="eastAsia" w:ascii="仿宋" w:hAnsi="仿宋" w:eastAsia="仿宋" w:cs="仿宋"/>
                <w:bCs/>
                <w:color w:val="auto"/>
                <w:sz w:val="24"/>
                <w:szCs w:val="24"/>
                <w:highlight w:val="none"/>
                <w:lang w:val="en-US" w:eastAsia="zh-CN"/>
              </w:rPr>
            </w:pPr>
          </w:p>
        </w:tc>
        <w:tc>
          <w:tcPr>
            <w:tcW w:w="5180" w:type="dxa"/>
            <w:noWrap w:val="0"/>
            <w:vAlign w:val="center"/>
          </w:tcPr>
          <w:p w14:paraId="2DE75988">
            <w:pPr>
              <w:spacing w:line="400" w:lineRule="exac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6.3响应供应商提出的针对本项目的详细实施方案合理性评价：包括详细的工作实施组织方案、组织机构、工作时间进度表、工作程序和步骤、管理和协调方法、关键步骤的思路和要点等。（评分范围：6,5,4,3,2,1,0）</w:t>
            </w:r>
          </w:p>
        </w:tc>
        <w:tc>
          <w:tcPr>
            <w:tcW w:w="750" w:type="dxa"/>
            <w:noWrap w:val="0"/>
            <w:vAlign w:val="center"/>
          </w:tcPr>
          <w:p w14:paraId="47386236">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1048" w:type="dxa"/>
            <w:noWrap w:val="0"/>
            <w:vAlign w:val="center"/>
          </w:tcPr>
          <w:p w14:paraId="1E36C9F1">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r>
      <w:tr w14:paraId="3651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550" w:type="dxa"/>
            <w:vMerge w:val="restart"/>
            <w:noWrap w:val="0"/>
            <w:vAlign w:val="center"/>
          </w:tcPr>
          <w:p w14:paraId="0F05BB06">
            <w:pPr>
              <w:spacing w:line="288"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49" w:type="dxa"/>
            <w:vMerge w:val="restart"/>
            <w:noWrap w:val="0"/>
            <w:vAlign w:val="center"/>
          </w:tcPr>
          <w:p w14:paraId="7903D598">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服务方案</w:t>
            </w:r>
          </w:p>
        </w:tc>
        <w:tc>
          <w:tcPr>
            <w:tcW w:w="5180" w:type="dxa"/>
            <w:noWrap w:val="0"/>
            <w:vAlign w:val="center"/>
          </w:tcPr>
          <w:p w14:paraId="634A32B5">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7.1响应供应商提出的针对本项目的终端发放方案 （线上+线下）的合理性、科学性评价。评价因素包括方案是否切实可行，制度是否规范，是否通过技术手段实现数据精准化，是否有专门的服务团队（附人员名单及从业履历），是否与社区建立沟通协调机制等。（评分范围：4,3,2,1,0）</w:t>
            </w:r>
          </w:p>
        </w:tc>
        <w:tc>
          <w:tcPr>
            <w:tcW w:w="750" w:type="dxa"/>
            <w:noWrap w:val="0"/>
            <w:vAlign w:val="center"/>
          </w:tcPr>
          <w:p w14:paraId="447223B8">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1048" w:type="dxa"/>
            <w:noWrap w:val="0"/>
            <w:vAlign w:val="center"/>
          </w:tcPr>
          <w:p w14:paraId="542445B7">
            <w:pPr>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r>
      <w:tr w14:paraId="5895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50" w:type="dxa"/>
            <w:vMerge w:val="continue"/>
            <w:noWrap w:val="0"/>
            <w:vAlign w:val="center"/>
          </w:tcPr>
          <w:p w14:paraId="1EC3BED5">
            <w:pPr>
              <w:spacing w:line="288" w:lineRule="auto"/>
              <w:jc w:val="center"/>
              <w:rPr>
                <w:rFonts w:hint="default" w:ascii="仿宋" w:hAnsi="仿宋" w:eastAsia="仿宋" w:cs="仿宋"/>
                <w:color w:val="auto"/>
                <w:sz w:val="24"/>
                <w:szCs w:val="24"/>
                <w:highlight w:val="none"/>
                <w:lang w:val="en-US" w:eastAsia="zh-CN"/>
              </w:rPr>
            </w:pPr>
          </w:p>
        </w:tc>
        <w:tc>
          <w:tcPr>
            <w:tcW w:w="1549" w:type="dxa"/>
            <w:vMerge w:val="continue"/>
            <w:noWrap w:val="0"/>
            <w:vAlign w:val="center"/>
          </w:tcPr>
          <w:p w14:paraId="41B8A4EA">
            <w:pPr>
              <w:spacing w:line="400" w:lineRule="exact"/>
              <w:rPr>
                <w:rFonts w:hint="eastAsia" w:ascii="仿宋" w:hAnsi="仿宋" w:eastAsia="仿宋" w:cs="仿宋"/>
                <w:bCs/>
                <w:color w:val="auto"/>
                <w:sz w:val="24"/>
                <w:szCs w:val="24"/>
                <w:highlight w:val="none"/>
                <w:lang w:val="en-US" w:eastAsia="zh-CN"/>
              </w:rPr>
            </w:pPr>
          </w:p>
        </w:tc>
        <w:tc>
          <w:tcPr>
            <w:tcW w:w="5180" w:type="dxa"/>
            <w:noWrap w:val="0"/>
            <w:vAlign w:val="center"/>
          </w:tcPr>
          <w:p w14:paraId="5DCC8BEF">
            <w:pPr>
              <w:spacing w:line="400" w:lineRule="exac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7.2响应供应商提出针对本项目的紧急呼叫方案，至少包括方案的可行性、制度规范的科学性、建立联动机制等内容。（评分范围：4,3,2,1,0）</w:t>
            </w:r>
          </w:p>
        </w:tc>
        <w:tc>
          <w:tcPr>
            <w:tcW w:w="750" w:type="dxa"/>
            <w:noWrap w:val="0"/>
            <w:vAlign w:val="center"/>
          </w:tcPr>
          <w:p w14:paraId="25043C22">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1048" w:type="dxa"/>
            <w:noWrap w:val="0"/>
            <w:vAlign w:val="center"/>
          </w:tcPr>
          <w:p w14:paraId="4D15A4FD">
            <w:pPr>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r>
      <w:tr w14:paraId="353B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550" w:type="dxa"/>
            <w:vMerge w:val="continue"/>
            <w:noWrap w:val="0"/>
            <w:vAlign w:val="center"/>
          </w:tcPr>
          <w:p w14:paraId="15FFF832">
            <w:pPr>
              <w:spacing w:line="288" w:lineRule="auto"/>
              <w:jc w:val="center"/>
              <w:rPr>
                <w:rFonts w:hint="default" w:ascii="仿宋" w:hAnsi="仿宋" w:eastAsia="仿宋" w:cs="仿宋"/>
                <w:color w:val="auto"/>
                <w:sz w:val="24"/>
                <w:szCs w:val="24"/>
                <w:highlight w:val="none"/>
                <w:lang w:val="en-US" w:eastAsia="zh-CN"/>
              </w:rPr>
            </w:pPr>
          </w:p>
        </w:tc>
        <w:tc>
          <w:tcPr>
            <w:tcW w:w="1549" w:type="dxa"/>
            <w:vMerge w:val="continue"/>
            <w:noWrap w:val="0"/>
            <w:vAlign w:val="center"/>
          </w:tcPr>
          <w:p w14:paraId="03340043">
            <w:pPr>
              <w:spacing w:line="400" w:lineRule="exact"/>
              <w:rPr>
                <w:rFonts w:hint="eastAsia" w:ascii="仿宋" w:hAnsi="仿宋" w:eastAsia="仿宋" w:cs="仿宋"/>
                <w:bCs/>
                <w:color w:val="auto"/>
                <w:sz w:val="24"/>
                <w:szCs w:val="24"/>
                <w:highlight w:val="none"/>
                <w:lang w:val="en-US" w:eastAsia="zh-CN"/>
              </w:rPr>
            </w:pPr>
          </w:p>
        </w:tc>
        <w:tc>
          <w:tcPr>
            <w:tcW w:w="5180" w:type="dxa"/>
            <w:noWrap w:val="0"/>
            <w:vAlign w:val="center"/>
          </w:tcPr>
          <w:p w14:paraId="6A5F2311">
            <w:pPr>
              <w:spacing w:line="400" w:lineRule="exac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7.3响应供应商提出的针对本项目的独居、孤寡老人的主动关怀服务方案（线上+线下）：主要包括方案是否切实可行、制度是否规范、是否通过技术手段实现精准化、是否有专门的服务团队（附人员名单及从业履历）、是否与社区建立沟通协调机制等。（评分范围：4,3,2,1,0）</w:t>
            </w:r>
          </w:p>
        </w:tc>
        <w:tc>
          <w:tcPr>
            <w:tcW w:w="750" w:type="dxa"/>
            <w:noWrap w:val="0"/>
            <w:vAlign w:val="center"/>
          </w:tcPr>
          <w:p w14:paraId="4B585FB6">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1048" w:type="dxa"/>
            <w:noWrap w:val="0"/>
            <w:vAlign w:val="center"/>
          </w:tcPr>
          <w:p w14:paraId="1B2C92EF">
            <w:pPr>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r>
      <w:tr w14:paraId="2F89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550" w:type="dxa"/>
            <w:vMerge w:val="continue"/>
            <w:noWrap w:val="0"/>
            <w:vAlign w:val="center"/>
          </w:tcPr>
          <w:p w14:paraId="27787497">
            <w:pPr>
              <w:spacing w:line="288" w:lineRule="auto"/>
              <w:jc w:val="center"/>
              <w:rPr>
                <w:rFonts w:hint="default" w:ascii="仿宋" w:hAnsi="仿宋" w:eastAsia="仿宋" w:cs="仿宋"/>
                <w:color w:val="auto"/>
                <w:sz w:val="24"/>
                <w:szCs w:val="24"/>
                <w:highlight w:val="none"/>
                <w:lang w:val="en-US" w:eastAsia="zh-CN"/>
              </w:rPr>
            </w:pPr>
          </w:p>
        </w:tc>
        <w:tc>
          <w:tcPr>
            <w:tcW w:w="1549" w:type="dxa"/>
            <w:vMerge w:val="continue"/>
            <w:noWrap w:val="0"/>
            <w:vAlign w:val="center"/>
          </w:tcPr>
          <w:p w14:paraId="3D416C53">
            <w:pPr>
              <w:spacing w:line="400" w:lineRule="exact"/>
              <w:rPr>
                <w:rFonts w:hint="eastAsia" w:ascii="仿宋" w:hAnsi="仿宋" w:eastAsia="仿宋" w:cs="仿宋"/>
                <w:bCs/>
                <w:color w:val="auto"/>
                <w:sz w:val="24"/>
                <w:szCs w:val="24"/>
                <w:highlight w:val="none"/>
                <w:lang w:val="en-US" w:eastAsia="zh-CN"/>
              </w:rPr>
            </w:pPr>
          </w:p>
        </w:tc>
        <w:tc>
          <w:tcPr>
            <w:tcW w:w="5180" w:type="dxa"/>
            <w:noWrap w:val="0"/>
            <w:vAlign w:val="center"/>
          </w:tcPr>
          <w:p w14:paraId="60D1220A">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7.4响应供应商提出的针对本项目的特殊助急方案：包括方案是否切实可行、制度是否规范、是否有专门的应急响应队伍（附人员名单及从业履历）等。（评分范围：4,3,2,1,0）</w:t>
            </w:r>
          </w:p>
        </w:tc>
        <w:tc>
          <w:tcPr>
            <w:tcW w:w="750" w:type="dxa"/>
            <w:noWrap w:val="0"/>
            <w:vAlign w:val="center"/>
          </w:tcPr>
          <w:p w14:paraId="0AF96CA4">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1048" w:type="dxa"/>
            <w:noWrap w:val="0"/>
            <w:vAlign w:val="center"/>
          </w:tcPr>
          <w:p w14:paraId="265AC250">
            <w:pPr>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r>
      <w:tr w14:paraId="4591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550" w:type="dxa"/>
            <w:vMerge w:val="continue"/>
            <w:noWrap w:val="0"/>
            <w:vAlign w:val="center"/>
          </w:tcPr>
          <w:p w14:paraId="5C959095">
            <w:pPr>
              <w:spacing w:line="288" w:lineRule="auto"/>
              <w:jc w:val="center"/>
              <w:rPr>
                <w:rFonts w:hint="default" w:ascii="仿宋" w:hAnsi="仿宋" w:eastAsia="仿宋" w:cs="仿宋"/>
                <w:color w:val="auto"/>
                <w:sz w:val="24"/>
                <w:szCs w:val="24"/>
                <w:highlight w:val="none"/>
                <w:lang w:val="en-US" w:eastAsia="zh-CN"/>
              </w:rPr>
            </w:pPr>
          </w:p>
        </w:tc>
        <w:tc>
          <w:tcPr>
            <w:tcW w:w="1549" w:type="dxa"/>
            <w:vMerge w:val="continue"/>
            <w:noWrap w:val="0"/>
            <w:vAlign w:val="center"/>
          </w:tcPr>
          <w:p w14:paraId="363E7735">
            <w:pPr>
              <w:spacing w:line="400" w:lineRule="exact"/>
              <w:rPr>
                <w:rFonts w:hint="eastAsia" w:ascii="仿宋" w:hAnsi="仿宋" w:eastAsia="仿宋" w:cs="仿宋"/>
                <w:bCs/>
                <w:color w:val="auto"/>
                <w:sz w:val="24"/>
                <w:szCs w:val="24"/>
                <w:highlight w:val="none"/>
                <w:lang w:val="en-US" w:eastAsia="zh-CN"/>
              </w:rPr>
            </w:pPr>
          </w:p>
        </w:tc>
        <w:tc>
          <w:tcPr>
            <w:tcW w:w="5180" w:type="dxa"/>
            <w:noWrap w:val="0"/>
            <w:vAlign w:val="center"/>
          </w:tcPr>
          <w:p w14:paraId="7BEA4DB4">
            <w:pPr>
              <w:spacing w:line="400" w:lineRule="exac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7.5响应供应商提出的针对本项目的“七助”服务方案（线上+线下）：主要包括方案是否切实可行、制度是否规范、是否有详细服务清单及服务价格等。（评分范围：4,3,2,1,0）</w:t>
            </w:r>
          </w:p>
        </w:tc>
        <w:tc>
          <w:tcPr>
            <w:tcW w:w="750" w:type="dxa"/>
            <w:noWrap w:val="0"/>
            <w:vAlign w:val="center"/>
          </w:tcPr>
          <w:p w14:paraId="0AFA38F6">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1048" w:type="dxa"/>
            <w:noWrap w:val="0"/>
            <w:vAlign w:val="center"/>
          </w:tcPr>
          <w:p w14:paraId="5658EB83">
            <w:pPr>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r>
      <w:tr w14:paraId="3279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0" w:type="dxa"/>
            <w:vMerge w:val="restart"/>
            <w:noWrap w:val="0"/>
            <w:vAlign w:val="center"/>
          </w:tcPr>
          <w:p w14:paraId="5649A7F3">
            <w:pPr>
              <w:spacing w:line="288"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549" w:type="dxa"/>
            <w:vMerge w:val="restart"/>
            <w:noWrap w:val="0"/>
            <w:vAlign w:val="center"/>
          </w:tcPr>
          <w:p w14:paraId="34BF2945">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投标样品及系统演示（由供应商自行准备及演示，每个响应供应商演示时间不超过15分钟）</w:t>
            </w:r>
          </w:p>
        </w:tc>
        <w:tc>
          <w:tcPr>
            <w:tcW w:w="5180" w:type="dxa"/>
            <w:noWrap w:val="0"/>
            <w:vAlign w:val="center"/>
          </w:tcPr>
          <w:p w14:paraId="301C51A8">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8.1提供演示用平台软件著作权或第三方软件购买及维保合同的得2分，没有的不得分。</w:t>
            </w:r>
          </w:p>
        </w:tc>
        <w:tc>
          <w:tcPr>
            <w:tcW w:w="750" w:type="dxa"/>
            <w:noWrap w:val="0"/>
            <w:vAlign w:val="center"/>
          </w:tcPr>
          <w:p w14:paraId="30A0816D">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c>
          <w:tcPr>
            <w:tcW w:w="1048" w:type="dxa"/>
            <w:noWrap w:val="0"/>
            <w:vAlign w:val="center"/>
          </w:tcPr>
          <w:p w14:paraId="0A828B04">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r>
      <w:tr w14:paraId="30C5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jc w:val="center"/>
        </w:trPr>
        <w:tc>
          <w:tcPr>
            <w:tcW w:w="550" w:type="dxa"/>
            <w:vMerge w:val="continue"/>
            <w:noWrap w:val="0"/>
            <w:vAlign w:val="center"/>
          </w:tcPr>
          <w:p w14:paraId="2EAD8084">
            <w:pPr>
              <w:spacing w:line="288" w:lineRule="auto"/>
              <w:jc w:val="center"/>
              <w:rPr>
                <w:rFonts w:hint="default" w:ascii="仿宋" w:hAnsi="仿宋" w:eastAsia="仿宋" w:cs="仿宋"/>
                <w:color w:val="auto"/>
                <w:sz w:val="24"/>
                <w:szCs w:val="24"/>
                <w:highlight w:val="none"/>
                <w:lang w:val="en-US" w:eastAsia="zh-CN"/>
              </w:rPr>
            </w:pPr>
          </w:p>
        </w:tc>
        <w:tc>
          <w:tcPr>
            <w:tcW w:w="1549" w:type="dxa"/>
            <w:vMerge w:val="continue"/>
            <w:noWrap w:val="0"/>
            <w:vAlign w:val="center"/>
          </w:tcPr>
          <w:p w14:paraId="46B37E10">
            <w:pPr>
              <w:spacing w:line="400" w:lineRule="exact"/>
              <w:rPr>
                <w:rFonts w:hint="eastAsia" w:ascii="仿宋" w:hAnsi="仿宋" w:eastAsia="仿宋" w:cs="仿宋"/>
                <w:bCs/>
                <w:color w:val="auto"/>
                <w:sz w:val="24"/>
                <w:szCs w:val="24"/>
                <w:highlight w:val="none"/>
                <w:lang w:val="en-US" w:eastAsia="zh-CN"/>
              </w:rPr>
            </w:pPr>
          </w:p>
        </w:tc>
        <w:tc>
          <w:tcPr>
            <w:tcW w:w="5180" w:type="dxa"/>
            <w:noWrap w:val="0"/>
            <w:vAlign w:val="center"/>
          </w:tcPr>
          <w:p w14:paraId="151A89A8">
            <w:pPr>
              <w:spacing w:line="400" w:lineRule="exac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8.2服务平台功能演示情况，演示内容包括一键弹屏、定位显示、紧急通知、服务派单、数据展示、服务设施地图、监控管理等。具备服务对象基础信息、服务设施和终端设备管理、服务队伍和服务派单管理、大数据展示等功能，通过大屏实时动态呈现各类数据信息，为服务对象提供政策法规咨询、养老服务转介、服务满意度回访、主动关怀、投诉及表扬受理等服务。按功能实现程度由专家综合评价给分。（评分范围：4,3,2,1,0）</w:t>
            </w:r>
          </w:p>
        </w:tc>
        <w:tc>
          <w:tcPr>
            <w:tcW w:w="750" w:type="dxa"/>
            <w:noWrap w:val="0"/>
            <w:vAlign w:val="center"/>
          </w:tcPr>
          <w:p w14:paraId="3DB98735">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1048" w:type="dxa"/>
            <w:noWrap w:val="0"/>
            <w:vAlign w:val="center"/>
          </w:tcPr>
          <w:p w14:paraId="3D40F720">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r>
      <w:tr w14:paraId="5358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550" w:type="dxa"/>
            <w:vMerge w:val="continue"/>
            <w:noWrap w:val="0"/>
            <w:vAlign w:val="center"/>
          </w:tcPr>
          <w:p w14:paraId="54343E01">
            <w:pPr>
              <w:spacing w:line="288" w:lineRule="auto"/>
              <w:jc w:val="center"/>
              <w:rPr>
                <w:rFonts w:hint="default" w:ascii="仿宋" w:hAnsi="仿宋" w:eastAsia="仿宋" w:cs="仿宋"/>
                <w:color w:val="auto"/>
                <w:sz w:val="24"/>
                <w:szCs w:val="24"/>
                <w:highlight w:val="none"/>
                <w:lang w:val="en-US" w:eastAsia="zh-CN"/>
              </w:rPr>
            </w:pPr>
          </w:p>
        </w:tc>
        <w:tc>
          <w:tcPr>
            <w:tcW w:w="1549" w:type="dxa"/>
            <w:vMerge w:val="continue"/>
            <w:noWrap w:val="0"/>
            <w:vAlign w:val="center"/>
          </w:tcPr>
          <w:p w14:paraId="6ACCDE57">
            <w:pPr>
              <w:spacing w:line="400" w:lineRule="exact"/>
              <w:rPr>
                <w:rFonts w:hint="eastAsia" w:ascii="仿宋" w:hAnsi="仿宋" w:eastAsia="仿宋" w:cs="仿宋"/>
                <w:bCs/>
                <w:color w:val="auto"/>
                <w:sz w:val="24"/>
                <w:szCs w:val="24"/>
                <w:highlight w:val="none"/>
                <w:lang w:val="en-US" w:eastAsia="zh-CN"/>
              </w:rPr>
            </w:pPr>
          </w:p>
        </w:tc>
        <w:tc>
          <w:tcPr>
            <w:tcW w:w="5180" w:type="dxa"/>
            <w:noWrap w:val="0"/>
            <w:vAlign w:val="center"/>
          </w:tcPr>
          <w:p w14:paraId="4B035AF1">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8.3服务终端样品功能演示，按功能实现程度进行评价给分（每类终端1分，合计3分）。三类服务终端分别进行演示，按采购要求进行演示，能够实时与平台连接。</w:t>
            </w:r>
          </w:p>
        </w:tc>
        <w:tc>
          <w:tcPr>
            <w:tcW w:w="750" w:type="dxa"/>
            <w:noWrap w:val="0"/>
            <w:vAlign w:val="center"/>
          </w:tcPr>
          <w:p w14:paraId="2CAFAE4E">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1048" w:type="dxa"/>
            <w:noWrap w:val="0"/>
            <w:vAlign w:val="center"/>
          </w:tcPr>
          <w:p w14:paraId="4089FB69">
            <w:pPr>
              <w:tabs>
                <w:tab w:val="left" w:pos="1080"/>
                <w:tab w:val="left" w:pos="3990"/>
              </w:tabs>
              <w:spacing w:line="32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r>
      <w:tr w14:paraId="457A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50" w:type="dxa"/>
            <w:noWrap w:val="0"/>
            <w:vAlign w:val="center"/>
          </w:tcPr>
          <w:p w14:paraId="429F44CF">
            <w:pPr>
              <w:spacing w:line="288"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549" w:type="dxa"/>
            <w:noWrap w:val="0"/>
            <w:vAlign w:val="center"/>
          </w:tcPr>
          <w:p w14:paraId="7CD9374A">
            <w:pPr>
              <w:pStyle w:val="62"/>
              <w:autoSpaceDE w:val="0"/>
              <w:autoSpaceDN w:val="0"/>
              <w:spacing w:line="288" w:lineRule="auto"/>
              <w:ind w:left="0" w:leftChars="0" w:firstLine="0" w:firstLine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价格评审</w:t>
            </w:r>
          </w:p>
        </w:tc>
        <w:tc>
          <w:tcPr>
            <w:tcW w:w="5180" w:type="dxa"/>
            <w:noWrap w:val="0"/>
            <w:vAlign w:val="center"/>
          </w:tcPr>
          <w:p w14:paraId="278B85F9">
            <w:pPr>
              <w:tabs>
                <w:tab w:val="left" w:pos="1080"/>
                <w:tab w:val="left" w:pos="3990"/>
              </w:tabs>
              <w:spacing w:line="3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本项目价格不作为竞争因素，设定固定综合单价20 元/人/月。</w:t>
            </w:r>
          </w:p>
        </w:tc>
        <w:tc>
          <w:tcPr>
            <w:tcW w:w="750" w:type="dxa"/>
            <w:noWrap w:val="0"/>
            <w:vAlign w:val="center"/>
          </w:tcPr>
          <w:p w14:paraId="052676AD">
            <w:pPr>
              <w:pStyle w:val="62"/>
              <w:autoSpaceDE w:val="0"/>
              <w:autoSpaceDN w:val="0"/>
              <w:spacing w:line="288" w:lineRule="auto"/>
              <w:ind w:left="0" w:leftChars="0" w:firstLine="0" w:firstLineChars="0"/>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p>
        </w:tc>
        <w:tc>
          <w:tcPr>
            <w:tcW w:w="1048" w:type="dxa"/>
            <w:noWrap w:val="0"/>
            <w:vAlign w:val="center"/>
          </w:tcPr>
          <w:p w14:paraId="4A61CFA0">
            <w:pPr>
              <w:pStyle w:val="62"/>
              <w:autoSpaceDE w:val="0"/>
              <w:autoSpaceDN w:val="0"/>
              <w:spacing w:line="288" w:lineRule="auto"/>
              <w:ind w:left="0" w:leftChars="0" w:firstLine="0" w:firstLineChars="0"/>
              <w:jc w:val="center"/>
              <w:textAlignment w:val="bottom"/>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14:paraId="006AA412">
      <w:pPr>
        <w:adjustRightInd/>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备注：供应商编制响应文件时，建议按此目录（序号和内容）提供评审标准相应的商务技术资料。</w:t>
      </w:r>
    </w:p>
    <w:p w14:paraId="65583B02">
      <w:pPr>
        <w:snapToGrid w:val="0"/>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14:paraId="1A2C22DF">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w:t>
      </w:r>
      <w:r>
        <w:rPr>
          <w:rFonts w:hint="eastAsia" w:ascii="仿宋" w:hAnsi="仿宋" w:eastAsia="仿宋" w:cs="仿宋"/>
          <w:color w:val="auto"/>
          <w:kern w:val="0"/>
          <w:sz w:val="24"/>
          <w:highlight w:val="none"/>
          <w:lang w:val="en-US" w:eastAsia="zh-CN"/>
        </w:rPr>
        <w:t>磋商</w:t>
      </w:r>
      <w:r>
        <w:rPr>
          <w:rFonts w:hint="eastAsia" w:ascii="仿宋" w:hAnsi="仿宋" w:eastAsia="仿宋" w:cs="仿宋"/>
          <w:color w:val="auto"/>
          <w:kern w:val="0"/>
          <w:sz w:val="24"/>
          <w:highlight w:val="none"/>
        </w:rPr>
        <w:t>文件全部实质性要求且按评审因素的量化指标评审得分最高的供应商为成交候选供应商的评审方法。</w:t>
      </w:r>
    </w:p>
    <w:p w14:paraId="04A7D2F3">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 xml:space="preserve">   二、磋商小组的组成</w:t>
      </w:r>
    </w:p>
    <w:p w14:paraId="1F2654D5">
      <w:pPr>
        <w:pStyle w:val="134"/>
        <w:spacing w:before="0"/>
        <w:ind w:firstLine="482"/>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1.磋商小组的组成。</w:t>
      </w:r>
    </w:p>
    <w:p w14:paraId="75144B6C">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B9979C7">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88FB9E3">
      <w:pPr>
        <w:pStyle w:val="134"/>
        <w:spacing w:before="0"/>
        <w:ind w:firstLine="482"/>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2.磋商小组的组成人员的回避。</w:t>
      </w:r>
    </w:p>
    <w:p w14:paraId="7D143F4D">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在政府采购活动中，磋商小组的组成人员与供应商有下列利害关系之一的，应当回避：</w:t>
      </w:r>
    </w:p>
    <w:p w14:paraId="523C436F">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2.1参加采购活动前3年内与供应商存在劳动关系；</w:t>
      </w:r>
    </w:p>
    <w:p w14:paraId="65793B4E">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2.2参加采购活动前3年内担任供应商的董事、监事；</w:t>
      </w:r>
    </w:p>
    <w:p w14:paraId="1B24FD8F">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2.3参加采购活动前3年内是供应商的控股股东或者实际控制人；</w:t>
      </w:r>
    </w:p>
    <w:p w14:paraId="255F3EA5">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2.4与供应商的法定代表人或者负责人有夫妻、直系血亲、三代以内旁系血亲或者近姻亲关系；</w:t>
      </w:r>
    </w:p>
    <w:p w14:paraId="30CD9E21">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2.5与供应商有其他可能影响政府采购活动公平、公正进行的关系。</w:t>
      </w:r>
    </w:p>
    <w:p w14:paraId="5E387A05">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三、磋商小组的职责</w:t>
      </w:r>
    </w:p>
    <w:p w14:paraId="4670A0BA">
      <w:pPr>
        <w:pStyle w:val="134"/>
        <w:spacing w:before="0"/>
        <w:ind w:firstLine="482"/>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1.磋商小组负责具体评审事务，并独立履行下列职责：</w:t>
      </w:r>
    </w:p>
    <w:p w14:paraId="6DC06CE4">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1.1对供应商的资格进行审查；对响应文件的有效性、完整性和响应程度进行审查；</w:t>
      </w:r>
    </w:p>
    <w:p w14:paraId="2340497E">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1.2审查、评价响应文件是否符合磋商文件的商务、技术等实质性要求；</w:t>
      </w:r>
    </w:p>
    <w:p w14:paraId="730BC63F">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1.3要求供应商对响应文件有关事项作出澄清、说明或者更正；</w:t>
      </w:r>
    </w:p>
    <w:p w14:paraId="69DD1BC5">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1.4磋商小组集中与单一供应商分别进行磋商；</w:t>
      </w:r>
    </w:p>
    <w:p w14:paraId="54AF5E56">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1.5确定磋商文件的变动情况，并确定提交最后报价的供应商；</w:t>
      </w:r>
    </w:p>
    <w:p w14:paraId="3761A6DC">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1.6根据磋商文件确定的评审办法及评审标准对提交最后报价的供应商的响应文件和最后报价采用综合评分法进行综合评分；</w:t>
      </w:r>
    </w:p>
    <w:p w14:paraId="7CAA21DE">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1.7编制评审报告，确定成交候选人名单，以及根据采购人委托直接确定成交人；</w:t>
      </w:r>
    </w:p>
    <w:p w14:paraId="57BECA87">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1.8向采购人、采购代理机构或者有关部门报告评审中发现的违法行为；</w:t>
      </w:r>
    </w:p>
    <w:p w14:paraId="3FE455EC">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1.9法律、法规、规章、磋商文件等规定的其它事项。</w:t>
      </w:r>
    </w:p>
    <w:p w14:paraId="28972426">
      <w:pPr>
        <w:pStyle w:val="134"/>
        <w:spacing w:before="0"/>
        <w:ind w:firstLine="482"/>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2.磋商小组及其成员不得有下列行为：</w:t>
      </w:r>
    </w:p>
    <w:p w14:paraId="04DFEDEC">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2.1确定参与本项目至评审结束前私自接触供应商；</w:t>
      </w:r>
    </w:p>
    <w:p w14:paraId="235731BB">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2.2接受供应商提出的“超出响应文件的范围或者改变响应文件的实质性内容”的澄清、说明或者更正； </w:t>
      </w:r>
    </w:p>
    <w:p w14:paraId="3A19859E">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2.3违反评审纪律发表倾向性意见或者征询采购人的倾向性意见；</w:t>
      </w:r>
    </w:p>
    <w:p w14:paraId="140AC2CC">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2.4对需要专业判断的主观评审因素协商评分；</w:t>
      </w:r>
    </w:p>
    <w:p w14:paraId="4DBA1251">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2.5在评审过程中擅离职守，影响评审程序正常进行的；</w:t>
      </w:r>
    </w:p>
    <w:p w14:paraId="7F09664C">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2.6记录、复制或者带走任何评审资料；</w:t>
      </w:r>
    </w:p>
    <w:p w14:paraId="3A0D3E51">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2.7其他不遵守评审纪律的行为。</w:t>
      </w:r>
    </w:p>
    <w:p w14:paraId="6C628072">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磋商小组成员有2.1-2.5行为之一的，其评审意见无效，并不得获取评审劳务报酬和报销异地评审差旅费。</w:t>
      </w:r>
    </w:p>
    <w:p w14:paraId="540F1A24">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14:paraId="15AE4522">
      <w:pPr>
        <w:pStyle w:val="134"/>
        <w:spacing w:before="0"/>
        <w:ind w:firstLine="482"/>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详见磋商文件“第二部分 竞争性磋商流程”。</w:t>
      </w:r>
    </w:p>
    <w:p w14:paraId="397CE9FE">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五、评审须知</w:t>
      </w:r>
    </w:p>
    <w:p w14:paraId="773BB14F">
      <w:pPr>
        <w:pStyle w:val="134"/>
        <w:spacing w:before="0"/>
        <w:ind w:firstLine="482"/>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1.响应文件的澄清</w:t>
      </w:r>
    </w:p>
    <w:p w14:paraId="6D38F480">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3097C4A">
      <w:pPr>
        <w:pStyle w:val="134"/>
        <w:spacing w:before="0"/>
        <w:ind w:firstLine="482"/>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2.报价的修正原则</w:t>
      </w:r>
    </w:p>
    <w:p w14:paraId="7D0FDF60">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磋商小组对响应文件的最后报价进行审核，对发现计算、书写等错误的，按以下原则进行修正：</w:t>
      </w:r>
    </w:p>
    <w:p w14:paraId="77805DD0">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2.1《最后报价一览表》内容与响应文件中响应内容不一致的，以《最后报价一览表》为准;</w:t>
      </w:r>
    </w:p>
    <w:p w14:paraId="3E910B97">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2.2大写金额和小写金额不一致的，以大写金额为准;</w:t>
      </w:r>
    </w:p>
    <w:p w14:paraId="3B588299">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2.3单价金额小数点或者百分比有明显错位的，以《最后报价一览表》的总价为准，并修改单价;</w:t>
      </w:r>
    </w:p>
    <w:p w14:paraId="6C25D74D">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2.4总价金额与按单价汇总金额不一致的，以单价金额计算结果为准；</w:t>
      </w:r>
    </w:p>
    <w:p w14:paraId="407A1A85">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2.5同时出现两种以上不一致的，按照前款规定的顺序修正；</w:t>
      </w:r>
    </w:p>
    <w:p w14:paraId="6F8E432E">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2.6以修正后的总价作为最后报价。</w:t>
      </w:r>
    </w:p>
    <w:p w14:paraId="41BA0009">
      <w:pPr>
        <w:pStyle w:val="134"/>
        <w:spacing w:before="0"/>
        <w:ind w:firstLine="482"/>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▲供应商对根据修正原则修正后的报价不确认的，响应无效。</w:t>
      </w:r>
    </w:p>
    <w:p w14:paraId="367EF507">
      <w:pPr>
        <w:pStyle w:val="134"/>
        <w:spacing w:before="0"/>
        <w:ind w:firstLine="482"/>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3.响应无效</w:t>
      </w:r>
    </w:p>
    <w:p w14:paraId="39156069">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有下列情况之一的，响应无效：</w:t>
      </w:r>
    </w:p>
    <w:p w14:paraId="7E62339A">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3.1单位负责人为同一人或者存在直接控股、管理关系的不同供应商参加同一合同项下的政府采购活动的（均无效）；</w:t>
      </w:r>
    </w:p>
    <w:p w14:paraId="1DD7CC9C">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3.2为采购项目提供整体设计、规范编制或者项目管理、监理、检测等服务的供应商再参加该采购项目的其他采购活动的； </w:t>
      </w:r>
    </w:p>
    <w:p w14:paraId="2BFCAAE4">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3.3供应商不具备磋商文件中规定的资格要求的（供应商未提供有效的资格证明文件的，视为供应商不具备磋商文件中规定的资格要求）；</w:t>
      </w:r>
    </w:p>
    <w:p w14:paraId="25330058">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3.4如以联合体形式参加政府采购活动的，联合协议不符合磋商文件规定的联合协议要求的；</w:t>
      </w:r>
    </w:p>
    <w:p w14:paraId="2C2C71D3">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3.5响应文件未按磋商文件的澄清、修改的内容编制，又不符合实质性要求的；</w:t>
      </w:r>
    </w:p>
    <w:p w14:paraId="37762ACC">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3.6响应文件组成漏项，内容不全或内容字迹模糊辨认不清的；</w:t>
      </w:r>
    </w:p>
    <w:p w14:paraId="15612DEC">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3.7响应文件中法人授权书所载内容与本项目内容有异的；</w:t>
      </w:r>
    </w:p>
    <w:p w14:paraId="4DECD374">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3.8响应文件未按照磋商文件要求签署、盖章的；</w:t>
      </w:r>
    </w:p>
    <w:p w14:paraId="0C3BB89C">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3.9采购人拟采购的产品属于政府强制采购的节能产品品目清单范围的，供应商相应的响应产品未获得国家确定的认证机构出具的、处于有效期之内的节能产品认证证书的；</w:t>
      </w:r>
    </w:p>
    <w:p w14:paraId="07EDE787">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3.10响应文件含有采购人不能接受的附加条件的；</w:t>
      </w:r>
    </w:p>
    <w:p w14:paraId="2202F931">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3.11响应文件中承诺的响应有效期少于磋商文件中载明的响应有效期的；</w:t>
      </w:r>
    </w:p>
    <w:p w14:paraId="5F50A264">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3.12供应商所投内容不符合磋商文件中实质性要求的；</w:t>
      </w:r>
    </w:p>
    <w:p w14:paraId="05FD7F5A">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3.13所提交的《最后报价一览表》中出现不是唯一的、有选择性的报价的;</w:t>
      </w:r>
    </w:p>
    <w:p w14:paraId="36A1FE92">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3.14最后报价高于本项目采购预算或者最高限价的;</w:t>
      </w:r>
    </w:p>
    <w:p w14:paraId="51B91B34">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3.15最后报价明显低于其他供应商的最后报价，有可能影响产品质量或者不能诚信履约的，未能按要求提供书面说明或者提交相关证明材料，不能证明其报价合理性的;</w:t>
      </w:r>
    </w:p>
    <w:p w14:paraId="5D07ADE9">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3.16《最后报价一览表》填写不完整或字迹不能辨认或有漏项的；</w:t>
      </w:r>
    </w:p>
    <w:p w14:paraId="2DF29C67">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3.17供应商对根据修正原则修正后的最后报价不确认的；</w:t>
      </w:r>
    </w:p>
    <w:p w14:paraId="0169786A">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3.18供应商提供虚假材料响应的（包括但不限于以下情节）；</w:t>
      </w:r>
    </w:p>
    <w:p w14:paraId="10DDF810">
      <w:pPr>
        <w:pStyle w:val="969"/>
        <w:numPr>
          <w:ilvl w:val="0"/>
          <w:numId w:val="2"/>
        </w:numPr>
        <w:spacing w:line="360" w:lineRule="auto"/>
        <w:ind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使用伪造、变造的许可证件；</w:t>
      </w:r>
    </w:p>
    <w:p w14:paraId="2380D410">
      <w:pPr>
        <w:pStyle w:val="969"/>
        <w:numPr>
          <w:ilvl w:val="0"/>
          <w:numId w:val="2"/>
        </w:numPr>
        <w:spacing w:line="360" w:lineRule="auto"/>
        <w:ind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提供虚假的财务状况或者业绩；</w:t>
      </w:r>
    </w:p>
    <w:p w14:paraId="7CD83747">
      <w:pPr>
        <w:pStyle w:val="969"/>
        <w:numPr>
          <w:ilvl w:val="0"/>
          <w:numId w:val="2"/>
        </w:numPr>
        <w:spacing w:line="360" w:lineRule="auto"/>
        <w:ind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提供虚假的项目负责人或者主要技术人员简历、劳动关系证明；</w:t>
      </w:r>
    </w:p>
    <w:p w14:paraId="681A4E46">
      <w:pPr>
        <w:pStyle w:val="969"/>
        <w:numPr>
          <w:ilvl w:val="0"/>
          <w:numId w:val="2"/>
        </w:numPr>
        <w:spacing w:line="360" w:lineRule="auto"/>
        <w:ind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提供虚假的信用状况；</w:t>
      </w:r>
    </w:p>
    <w:p w14:paraId="4E20DB3A">
      <w:pPr>
        <w:pStyle w:val="969"/>
        <w:numPr>
          <w:ilvl w:val="0"/>
          <w:numId w:val="2"/>
        </w:numPr>
        <w:spacing w:line="360" w:lineRule="auto"/>
        <w:ind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其他弄虚作假的行为。</w:t>
      </w:r>
    </w:p>
    <w:p w14:paraId="6F067200">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3.19供应商有恶意串通、妨碍其他供应商的竞争行为、损害采购人或者其他供应商的合法权益情形的。</w:t>
      </w:r>
    </w:p>
    <w:p w14:paraId="2195D143">
      <w:pPr>
        <w:pStyle w:val="134"/>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有下列情形之一的，属于或视为恶意串通，其响应无效：</w:t>
      </w:r>
    </w:p>
    <w:p w14:paraId="4CD4B73C">
      <w:pPr>
        <w:pStyle w:val="969"/>
        <w:numPr>
          <w:ilvl w:val="0"/>
          <w:numId w:val="3"/>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供应商直接或者间接从采购人或者采购代理机构处获得其他供应商的相关情况并修改其响应文件；</w:t>
      </w:r>
    </w:p>
    <w:p w14:paraId="1E534C08">
      <w:pPr>
        <w:pStyle w:val="969"/>
        <w:numPr>
          <w:ilvl w:val="0"/>
          <w:numId w:val="3"/>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供应商按照采购人或者采购代理机构的授意撤换、修改投标文件或者响应文件；</w:t>
      </w:r>
    </w:p>
    <w:p w14:paraId="7486C790">
      <w:pPr>
        <w:pStyle w:val="969"/>
        <w:numPr>
          <w:ilvl w:val="0"/>
          <w:numId w:val="3"/>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供应商之间协商报价、技术方案等投标文件或者响应文件的实质性内容；</w:t>
      </w:r>
    </w:p>
    <w:p w14:paraId="1A910F09">
      <w:pPr>
        <w:pStyle w:val="969"/>
        <w:numPr>
          <w:ilvl w:val="0"/>
          <w:numId w:val="3"/>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属于同一集团、协会、商会等组织成员的供应商按照该组织要求协同参加政府采购活动；</w:t>
      </w:r>
    </w:p>
    <w:p w14:paraId="0410D19A">
      <w:pPr>
        <w:pStyle w:val="969"/>
        <w:numPr>
          <w:ilvl w:val="0"/>
          <w:numId w:val="3"/>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供应商之间事先约定由某一特定供应商中标、成交；</w:t>
      </w:r>
    </w:p>
    <w:p w14:paraId="36856FAE">
      <w:pPr>
        <w:pStyle w:val="969"/>
        <w:numPr>
          <w:ilvl w:val="0"/>
          <w:numId w:val="3"/>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供应商之间商定部分供应商放弃参加政府采购活动或者放弃中标、成交；</w:t>
      </w:r>
    </w:p>
    <w:p w14:paraId="787FFEEC">
      <w:pPr>
        <w:pStyle w:val="969"/>
        <w:numPr>
          <w:ilvl w:val="0"/>
          <w:numId w:val="3"/>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供应商与采购人或者采购代理机构之间、供应商相互之间，为谋求特定供应商中标、成交或者排斥其他供应商的其他串通行为。</w:t>
      </w:r>
    </w:p>
    <w:p w14:paraId="7E08683F">
      <w:pPr>
        <w:pStyle w:val="969"/>
        <w:numPr>
          <w:ilvl w:val="0"/>
          <w:numId w:val="3"/>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不同供应商的响应文件由同一单位或者个人编制；</w:t>
      </w:r>
    </w:p>
    <w:p w14:paraId="3EA2F492">
      <w:pPr>
        <w:pStyle w:val="969"/>
        <w:numPr>
          <w:ilvl w:val="0"/>
          <w:numId w:val="3"/>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不同供应商委托同一单位或者个人办理响应事宜；</w:t>
      </w:r>
    </w:p>
    <w:p w14:paraId="750C5927">
      <w:pPr>
        <w:pStyle w:val="969"/>
        <w:numPr>
          <w:ilvl w:val="0"/>
          <w:numId w:val="3"/>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不同供应商的响应文件载明的项目管理成员或者联系人员为同一人；</w:t>
      </w:r>
    </w:p>
    <w:p w14:paraId="4F48F1D0">
      <w:pPr>
        <w:pStyle w:val="969"/>
        <w:numPr>
          <w:ilvl w:val="0"/>
          <w:numId w:val="3"/>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不同供应商的响应文件异常一致或者最后报价呈规律性差异；</w:t>
      </w:r>
    </w:p>
    <w:p w14:paraId="229D68E1">
      <w:pPr>
        <w:pStyle w:val="969"/>
        <w:numPr>
          <w:ilvl w:val="0"/>
          <w:numId w:val="3"/>
        </w:numPr>
        <w:spacing w:line="360" w:lineRule="auto"/>
        <w:ind w:left="1259"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不同供应商的响应文件相互混装。</w:t>
      </w:r>
    </w:p>
    <w:p w14:paraId="50F2838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3.20供应商仅提交备份响应文件，没有在电子交易平台传输提交响应文件的，响应无效；</w:t>
      </w:r>
    </w:p>
    <w:p w14:paraId="1D1557EB">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3.21</w:t>
      </w:r>
      <w:r>
        <w:rPr>
          <w:rFonts w:hint="eastAsia" w:ascii="仿宋" w:hAnsi="仿宋" w:eastAsia="仿宋" w:cs="仿宋"/>
          <w:b/>
          <w:bCs/>
          <w:color w:val="auto"/>
          <w:kern w:val="0"/>
          <w:sz w:val="24"/>
          <w:highlight w:val="none"/>
        </w:rPr>
        <w:t>不同供应商的响应文件上传计算机的网卡MAC地址或硬盘序列号等硬件信息相同的；</w:t>
      </w:r>
    </w:p>
    <w:p w14:paraId="318BA2E7">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3.22</w:t>
      </w:r>
      <w:r>
        <w:rPr>
          <w:rFonts w:hint="eastAsia" w:ascii="仿宋" w:hAnsi="仿宋" w:eastAsia="仿宋" w:cs="仿宋"/>
          <w:b/>
          <w:bCs/>
          <w:color w:val="auto"/>
          <w:kern w:val="0"/>
          <w:sz w:val="24"/>
          <w:highlight w:val="none"/>
        </w:rPr>
        <w:t>上传的响应文件若出现使用本项目其他响应供应商的数字证书加密的，或者加盖本项目其他响应供应商的电子印章的；</w:t>
      </w:r>
    </w:p>
    <w:p w14:paraId="40E47E56">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3.23</w:t>
      </w:r>
      <w:r>
        <w:rPr>
          <w:rFonts w:hint="eastAsia" w:ascii="仿宋" w:hAnsi="仿宋" w:eastAsia="仿宋" w:cs="仿宋"/>
          <w:b/>
          <w:bCs/>
          <w:color w:val="auto"/>
          <w:kern w:val="0"/>
          <w:sz w:val="24"/>
          <w:highlight w:val="none"/>
        </w:rPr>
        <w:t>不同供应商的响应文件的内容存在3处（含）以上错误一致的；</w:t>
      </w:r>
    </w:p>
    <w:p w14:paraId="6A326785">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3.24</w:t>
      </w:r>
      <w:r>
        <w:rPr>
          <w:rFonts w:hint="eastAsia" w:ascii="仿宋" w:hAnsi="仿宋" w:eastAsia="仿宋" w:cs="仿宋"/>
          <w:b/>
          <w:bCs/>
          <w:color w:val="auto"/>
          <w:kern w:val="0"/>
          <w:sz w:val="24"/>
          <w:highlight w:val="none"/>
        </w:rPr>
        <w:t>不同供应商联系人为同一人或不同联系人的联系电话一致的。</w:t>
      </w:r>
    </w:p>
    <w:p w14:paraId="352109C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3.25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7B555934">
      <w:pPr>
        <w:pStyle w:val="134"/>
        <w:spacing w:before="0"/>
        <w:ind w:firstLine="482"/>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4.重新开展采购活动</w:t>
      </w:r>
    </w:p>
    <w:p w14:paraId="64E7272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出现下列情形之一的，采购代理机构应当终止竞争性磋商采购活动，通过电子交易平台发布项目终止公告并说明原因，重新开展采购活动：</w:t>
      </w:r>
    </w:p>
    <w:p w14:paraId="5A591EC4">
      <w:pPr>
        <w:spacing w:line="360" w:lineRule="auto"/>
        <w:ind w:firstLine="465" w:firstLineChars="194"/>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（1）因情况变化，不再符合规定的竞争性磋商采购方式适用情形的；</w:t>
      </w:r>
    </w:p>
    <w:p w14:paraId="0746B6EA">
      <w:pPr>
        <w:spacing w:line="360" w:lineRule="auto"/>
        <w:ind w:firstLine="465" w:firstLineChars="194"/>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（2）出现影响采购公正的违法、违规行为的；</w:t>
      </w:r>
    </w:p>
    <w:p w14:paraId="2232314A">
      <w:pPr>
        <w:spacing w:line="360" w:lineRule="auto"/>
        <w:ind w:firstLine="465" w:firstLineChars="194"/>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（3）在采购过程中符合要求的供应商或者最后报价未超过采购预算的供应商不足3家的（有特殊规定的从其规定）。</w:t>
      </w:r>
    </w:p>
    <w:p w14:paraId="0DC05AAA">
      <w:pPr>
        <w:pStyle w:val="134"/>
        <w:spacing w:before="0"/>
        <w:ind w:firstLine="482"/>
        <w:rPr>
          <w:rFonts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rPr>
        <w:t>5. 终止采购活动</w:t>
      </w:r>
    </w:p>
    <w:p w14:paraId="7348B67F">
      <w:pPr>
        <w:spacing w:line="360" w:lineRule="auto"/>
        <w:ind w:firstLine="465" w:firstLineChars="194"/>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7297DFCF">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6.采购代理机构有权对磋商小组各成员的评分情况和评审意见进行合理性和合规性审查</w:t>
      </w:r>
      <w:r>
        <w:rPr>
          <w:rFonts w:hint="eastAsia" w:ascii="仿宋" w:hAnsi="仿宋" w:eastAsia="仿宋" w:cs="仿宋"/>
          <w:color w:val="auto"/>
          <w:kern w:val="0"/>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CA0D358">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六、评审过程的保密与录像</w:t>
      </w:r>
    </w:p>
    <w:p w14:paraId="66E9A812">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1.保密。</w:t>
      </w:r>
      <w:r>
        <w:rPr>
          <w:rFonts w:hint="eastAsia" w:ascii="仿宋" w:hAnsi="仿宋" w:eastAsia="仿宋" w:cs="仿宋"/>
          <w:color w:val="auto"/>
          <w:kern w:val="0"/>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75BF6B28">
      <w:pPr>
        <w:spacing w:line="360" w:lineRule="auto"/>
        <w:ind w:firstLine="482" w:firstLineChars="200"/>
        <w:rPr>
          <w:rFonts w:hint="eastAsia" w:ascii="仿宋" w:hAnsi="仿宋" w:eastAsia="仿宋" w:cs="仿宋"/>
          <w:b/>
          <w:color w:val="auto"/>
          <w:sz w:val="32"/>
          <w:highlight w:val="none"/>
        </w:rPr>
      </w:pPr>
      <w:r>
        <w:rPr>
          <w:rFonts w:hint="eastAsia" w:ascii="仿宋" w:hAnsi="仿宋" w:eastAsia="仿宋" w:cs="仿宋"/>
          <w:b/>
          <w:bCs/>
          <w:color w:val="auto"/>
          <w:kern w:val="0"/>
          <w:sz w:val="24"/>
          <w:highlight w:val="none"/>
        </w:rPr>
        <w:t>2.录音录像。</w:t>
      </w:r>
      <w:r>
        <w:rPr>
          <w:rFonts w:hint="eastAsia" w:ascii="仿宋" w:hAnsi="仿宋" w:eastAsia="仿宋" w:cs="仿宋"/>
          <w:color w:val="auto"/>
          <w:kern w:val="0"/>
          <w:sz w:val="24"/>
          <w:highlight w:val="none"/>
        </w:rPr>
        <w:t>采购代理机构对评审工作现场进行全过程录音录像，录音录像资料作为采购项目文件随其他文件一并存档。</w:t>
      </w:r>
    </w:p>
    <w:p w14:paraId="744B080B">
      <w:pPr>
        <w:snapToGrid w:val="0"/>
        <w:spacing w:line="360" w:lineRule="auto"/>
        <w:jc w:val="center"/>
        <w:rPr>
          <w:rFonts w:hint="eastAsia" w:ascii="仿宋" w:hAnsi="仿宋" w:eastAsia="仿宋" w:cs="仿宋"/>
          <w:b/>
          <w:color w:val="auto"/>
          <w:sz w:val="32"/>
          <w:highlight w:val="none"/>
        </w:rPr>
      </w:pPr>
    </w:p>
    <w:bookmarkEnd w:id="12"/>
    <w:p w14:paraId="5FD95215">
      <w:pPr>
        <w:rPr>
          <w:rFonts w:hint="eastAsia" w:ascii="仿宋" w:hAnsi="仿宋" w:eastAsia="仿宋" w:cs="仿宋"/>
          <w:b/>
          <w:color w:val="auto"/>
          <w:sz w:val="36"/>
          <w:szCs w:val="36"/>
          <w:highlight w:val="none"/>
        </w:rPr>
      </w:pPr>
      <w:bookmarkStart w:id="379" w:name="第五部分"/>
      <w:bookmarkStart w:id="380" w:name="_Toc86217003"/>
      <w:r>
        <w:rPr>
          <w:rFonts w:hint="eastAsia" w:ascii="仿宋" w:hAnsi="仿宋" w:eastAsia="仿宋" w:cs="仿宋"/>
          <w:b/>
          <w:color w:val="auto"/>
          <w:sz w:val="36"/>
          <w:szCs w:val="36"/>
          <w:highlight w:val="none"/>
        </w:rPr>
        <w:br w:type="page"/>
      </w:r>
    </w:p>
    <w:p w14:paraId="241443A8">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六</w:t>
      </w:r>
      <w:r>
        <w:rPr>
          <w:rFonts w:hint="eastAsia" w:ascii="仿宋" w:hAnsi="仿宋" w:eastAsia="仿宋" w:cs="仿宋"/>
          <w:b/>
          <w:color w:val="auto"/>
          <w:sz w:val="36"/>
          <w:szCs w:val="36"/>
          <w:highlight w:val="none"/>
        </w:rPr>
        <w:t xml:space="preserve">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拟签订的合同文本</w:t>
      </w:r>
    </w:p>
    <w:p w14:paraId="75B5EC14">
      <w:pPr>
        <w:spacing w:line="360" w:lineRule="auto"/>
        <w:rPr>
          <w:rFonts w:hint="eastAsia" w:ascii="仿宋" w:hAnsi="仿宋" w:eastAsia="仿宋" w:cs="仿宋"/>
          <w:color w:val="auto"/>
          <w:sz w:val="32"/>
          <w:szCs w:val="32"/>
          <w:highlight w:val="none"/>
        </w:rPr>
      </w:pPr>
    </w:p>
    <w:p w14:paraId="45C5CD9D">
      <w:pPr>
        <w:spacing w:line="360" w:lineRule="auto"/>
        <w:rPr>
          <w:rFonts w:hint="eastAsia" w:ascii="仿宋" w:hAnsi="仿宋" w:eastAsia="仿宋" w:cs="仿宋"/>
          <w:color w:val="auto"/>
          <w:sz w:val="32"/>
          <w:szCs w:val="32"/>
          <w:highlight w:val="none"/>
        </w:rPr>
      </w:pPr>
    </w:p>
    <w:p w14:paraId="6FA0D92A">
      <w:pPr>
        <w:spacing w:line="360" w:lineRule="auto"/>
        <w:ind w:firstLine="960" w:firstLineChars="3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72983FF3">
      <w:pPr>
        <w:spacing w:line="360" w:lineRule="auto"/>
        <w:rPr>
          <w:rFonts w:ascii="仿宋" w:hAnsi="仿宋" w:eastAsia="仿宋" w:cs="仿宋"/>
          <w:color w:val="auto"/>
          <w:sz w:val="32"/>
          <w:szCs w:val="32"/>
          <w:highlight w:val="none"/>
          <w:u w:val="single"/>
        </w:rPr>
      </w:pPr>
    </w:p>
    <w:p w14:paraId="3A253F46">
      <w:pPr>
        <w:pStyle w:val="705"/>
        <w:ind w:leftChars="0" w:firstLine="3013" w:firstLineChars="682"/>
        <w:jc w:val="left"/>
        <w:rPr>
          <w:rFonts w:ascii="仿宋" w:hAnsi="仿宋" w:eastAsia="仿宋" w:cs="仿宋"/>
          <w:b/>
          <w:color w:val="auto"/>
          <w:sz w:val="44"/>
          <w:szCs w:val="44"/>
          <w:highlight w:val="none"/>
        </w:rPr>
      </w:pPr>
    </w:p>
    <w:p w14:paraId="68640EAC">
      <w:pPr>
        <w:pStyle w:val="705"/>
        <w:ind w:leftChars="0" w:firstLine="3013" w:firstLineChars="682"/>
        <w:jc w:val="left"/>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政府采购合同书</w:t>
      </w:r>
    </w:p>
    <w:p w14:paraId="64567D95">
      <w:pPr>
        <w:pStyle w:val="705"/>
        <w:ind w:firstLine="640"/>
        <w:rPr>
          <w:rFonts w:ascii="仿宋" w:hAnsi="仿宋" w:eastAsia="仿宋" w:cs="仿宋"/>
          <w:color w:val="auto"/>
          <w:sz w:val="32"/>
          <w:szCs w:val="32"/>
          <w:highlight w:val="none"/>
        </w:rPr>
      </w:pPr>
    </w:p>
    <w:p w14:paraId="1988D0EF">
      <w:pPr>
        <w:pStyle w:val="705"/>
        <w:ind w:firstLine="640"/>
        <w:rPr>
          <w:rFonts w:ascii="仿宋" w:hAnsi="仿宋" w:eastAsia="仿宋" w:cs="仿宋"/>
          <w:color w:val="auto"/>
          <w:sz w:val="32"/>
          <w:szCs w:val="32"/>
          <w:highlight w:val="none"/>
        </w:rPr>
      </w:pPr>
    </w:p>
    <w:p w14:paraId="0D996840">
      <w:pPr>
        <w:spacing w:before="120" w:line="360" w:lineRule="auto"/>
        <w:rPr>
          <w:rFonts w:ascii="仿宋" w:hAnsi="仿宋" w:eastAsia="仿宋" w:cs="仿宋"/>
          <w:color w:val="auto"/>
          <w:sz w:val="32"/>
          <w:szCs w:val="32"/>
          <w:highlight w:val="none"/>
        </w:rPr>
      </w:pPr>
    </w:p>
    <w:p w14:paraId="7F67B14F">
      <w:pPr>
        <w:spacing w:before="120" w:line="360" w:lineRule="auto"/>
        <w:ind w:left="960"/>
        <w:rPr>
          <w:rFonts w:ascii="仿宋" w:hAnsi="仿宋" w:eastAsia="仿宋" w:cs="仿宋"/>
          <w:color w:val="auto"/>
          <w:sz w:val="32"/>
          <w:szCs w:val="32"/>
          <w:highlight w:val="none"/>
        </w:rPr>
      </w:pPr>
    </w:p>
    <w:p w14:paraId="32A901E6">
      <w:pPr>
        <w:spacing w:before="120" w:line="360" w:lineRule="auto"/>
        <w:ind w:left="96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项目名称：</w:t>
      </w:r>
      <w:r>
        <w:rPr>
          <w:rFonts w:hint="eastAsia" w:ascii="仿宋" w:hAnsi="仿宋" w:eastAsia="仿宋" w:cs="仿宋"/>
          <w:color w:val="auto"/>
          <w:sz w:val="32"/>
          <w:szCs w:val="32"/>
          <w:highlight w:val="none"/>
          <w:u w:val="single"/>
        </w:rPr>
        <w:t xml:space="preserve">                                   </w:t>
      </w:r>
    </w:p>
    <w:p w14:paraId="4EC260F0">
      <w:pPr>
        <w:spacing w:line="360" w:lineRule="auto"/>
        <w:rPr>
          <w:rFonts w:ascii="仿宋" w:hAnsi="仿宋" w:eastAsia="仿宋" w:cs="仿宋"/>
          <w:color w:val="auto"/>
          <w:sz w:val="32"/>
          <w:szCs w:val="32"/>
          <w:highlight w:val="none"/>
        </w:rPr>
      </w:pPr>
    </w:p>
    <w:p w14:paraId="356AB2BB">
      <w:pPr>
        <w:spacing w:before="120" w:line="360" w:lineRule="auto"/>
        <w:ind w:left="96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甲方：</w:t>
      </w:r>
      <w:r>
        <w:rPr>
          <w:rFonts w:hint="eastAsia" w:ascii="仿宋" w:hAnsi="仿宋" w:eastAsia="仿宋" w:cs="仿宋"/>
          <w:color w:val="auto"/>
          <w:sz w:val="32"/>
          <w:szCs w:val="32"/>
          <w:highlight w:val="none"/>
          <w:u w:val="single"/>
        </w:rPr>
        <w:t xml:space="preserve">                                       </w:t>
      </w:r>
    </w:p>
    <w:p w14:paraId="58ACF1A0">
      <w:pPr>
        <w:spacing w:before="120" w:line="360" w:lineRule="auto"/>
        <w:ind w:left="96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乙方：</w:t>
      </w:r>
      <w:r>
        <w:rPr>
          <w:rFonts w:hint="eastAsia" w:ascii="仿宋" w:hAnsi="仿宋" w:eastAsia="仿宋" w:cs="仿宋"/>
          <w:color w:val="auto"/>
          <w:sz w:val="32"/>
          <w:szCs w:val="32"/>
          <w:highlight w:val="none"/>
          <w:u w:val="single"/>
        </w:rPr>
        <w:t xml:space="preserve">                                       </w:t>
      </w:r>
    </w:p>
    <w:p w14:paraId="3C734F6C">
      <w:pPr>
        <w:spacing w:before="120" w:line="360" w:lineRule="auto"/>
        <w:ind w:firstLine="960" w:firstLineChars="3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签订地：</w:t>
      </w:r>
      <w:r>
        <w:rPr>
          <w:rFonts w:hint="eastAsia" w:ascii="仿宋" w:hAnsi="仿宋" w:eastAsia="仿宋" w:cs="仿宋"/>
          <w:color w:val="auto"/>
          <w:sz w:val="32"/>
          <w:szCs w:val="32"/>
          <w:highlight w:val="none"/>
          <w:u w:val="single"/>
        </w:rPr>
        <w:t xml:space="preserve">                                     </w:t>
      </w:r>
    </w:p>
    <w:p w14:paraId="58E139BB">
      <w:pPr>
        <w:spacing w:before="120" w:line="360" w:lineRule="auto"/>
        <w:ind w:firstLine="960" w:firstLineChars="3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签订日期：</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日</w:t>
      </w:r>
    </w:p>
    <w:p w14:paraId="4FAD6A15">
      <w:pPr>
        <w:rPr>
          <w:rFonts w:hint="eastAsia" w:ascii="仿宋" w:hAnsi="仿宋" w:eastAsia="仿宋" w:cs="仿宋"/>
          <w:color w:val="auto"/>
          <w:sz w:val="24"/>
          <w:szCs w:val="24"/>
          <w:highlight w:val="none"/>
        </w:rPr>
      </w:pPr>
    </w:p>
    <w:p w14:paraId="3033E2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C819C62">
      <w:pPr>
        <w:pStyle w:val="33"/>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  方（委托方）： </w:t>
      </w:r>
    </w:p>
    <w:p w14:paraId="71348BA0">
      <w:pPr>
        <w:pStyle w:val="33"/>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  方（受托方）： </w:t>
      </w:r>
    </w:p>
    <w:p w14:paraId="2F7B5780">
      <w:pPr>
        <w:pStyle w:val="33"/>
        <w:spacing w:line="360" w:lineRule="auto"/>
        <w:ind w:firstLine="42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采购代理机构（鉴证方）：</w:t>
      </w:r>
    </w:p>
    <w:p w14:paraId="63573498">
      <w:pPr>
        <w:spacing w:line="360" w:lineRule="auto"/>
        <w:ind w:firstLine="420"/>
        <w:jc w:val="center"/>
        <w:rPr>
          <w:rFonts w:ascii="仿宋" w:hAnsi="仿宋" w:eastAsia="仿宋" w:cs="仿宋"/>
          <w:color w:val="auto"/>
          <w:sz w:val="24"/>
          <w:highlight w:val="none"/>
        </w:rPr>
      </w:pPr>
    </w:p>
    <w:p w14:paraId="6EF160B4">
      <w:pPr>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根据《中华人民共和国民法典》等法律法规和</w:t>
      </w:r>
      <w:r>
        <w:rPr>
          <w:rFonts w:hint="eastAsia" w:ascii="仿宋" w:hAnsi="仿宋" w:eastAsia="仿宋" w:cs="仿宋"/>
          <w:color w:val="auto"/>
          <w:sz w:val="24"/>
          <w:highlight w:val="none"/>
          <w:lang w:eastAsia="zh-CN"/>
        </w:rPr>
        <w:t>杭州市滨江区智慧养老呼叫综合服务项目</w:t>
      </w:r>
      <w:r>
        <w:rPr>
          <w:rFonts w:hint="eastAsia" w:ascii="仿宋" w:hAnsi="仿宋" w:eastAsia="仿宋" w:cs="仿宋"/>
          <w:bCs/>
          <w:color w:val="auto"/>
          <w:sz w:val="24"/>
          <w:highlight w:val="none"/>
        </w:rPr>
        <w:t>（采购编号：</w:t>
      </w:r>
      <w:r>
        <w:rPr>
          <w:rFonts w:hint="eastAsia" w:ascii="仿宋" w:hAnsi="仿宋" w:eastAsia="仿宋" w:cs="仿宋"/>
          <w:bCs/>
          <w:color w:val="auto"/>
          <w:sz w:val="24"/>
          <w:highlight w:val="none"/>
          <w:lang w:eastAsia="zh-CN"/>
        </w:rPr>
        <w:t>BSZB2025-CQZC007</w:t>
      </w:r>
      <w:r>
        <w:rPr>
          <w:rFonts w:hint="eastAsia" w:ascii="仿宋" w:hAnsi="仿宋" w:eastAsia="仿宋" w:cs="仿宋"/>
          <w:bCs/>
          <w:color w:val="auto"/>
          <w:sz w:val="24"/>
          <w:highlight w:val="none"/>
        </w:rPr>
        <w:t>），磋商文件，磋商响应文件、磋商记录等相关材料；经双方协商，同意签订本合同，共同遵守。</w:t>
      </w:r>
    </w:p>
    <w:p w14:paraId="2DC4729F">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 xml:space="preserve">第一条 </w:t>
      </w:r>
      <w:r>
        <w:rPr>
          <w:rFonts w:hint="eastAsia" w:ascii="仿宋" w:hAnsi="仿宋" w:eastAsia="仿宋" w:cs="仿宋"/>
          <w:b/>
          <w:bCs w:val="0"/>
          <w:color w:val="auto"/>
          <w:kern w:val="0"/>
          <w:sz w:val="24"/>
          <w:szCs w:val="24"/>
          <w:highlight w:val="none"/>
          <w:lang w:val="en-US" w:eastAsia="zh-CN"/>
        </w:rPr>
        <w:t xml:space="preserve"> </w:t>
      </w:r>
      <w:r>
        <w:rPr>
          <w:rFonts w:hint="eastAsia" w:ascii="仿宋" w:hAnsi="仿宋" w:eastAsia="仿宋" w:cs="仿宋"/>
          <w:b/>
          <w:bCs w:val="0"/>
          <w:color w:val="auto"/>
          <w:kern w:val="0"/>
          <w:sz w:val="24"/>
          <w:szCs w:val="24"/>
          <w:highlight w:val="none"/>
        </w:rPr>
        <w:t>定义</w:t>
      </w:r>
    </w:p>
    <w:p w14:paraId="60FED1E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1、本项目：特指“</w:t>
      </w:r>
      <w:r>
        <w:rPr>
          <w:rFonts w:hint="eastAsia" w:ascii="仿宋" w:hAnsi="仿宋" w:eastAsia="仿宋" w:cs="仿宋"/>
          <w:bCs/>
          <w:color w:val="auto"/>
          <w:kern w:val="0"/>
          <w:sz w:val="24"/>
          <w:szCs w:val="24"/>
          <w:highlight w:val="none"/>
          <w:lang w:val="en-US" w:eastAsia="zh-CN"/>
        </w:rPr>
        <w:t>杭州市滨江区智慧养老呼叫综合服务</w:t>
      </w:r>
      <w:r>
        <w:rPr>
          <w:rFonts w:hint="eastAsia" w:ascii="仿宋" w:hAnsi="仿宋" w:eastAsia="仿宋" w:cs="仿宋"/>
          <w:bCs/>
          <w:color w:val="auto"/>
          <w:kern w:val="0"/>
          <w:sz w:val="24"/>
          <w:szCs w:val="24"/>
          <w:highlight w:val="none"/>
        </w:rPr>
        <w:t>项目”。</w:t>
      </w:r>
    </w:p>
    <w:p w14:paraId="2670B3E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2、签约区域</w:t>
      </w:r>
      <w:r>
        <w:rPr>
          <w:rFonts w:hint="eastAsia" w:ascii="仿宋" w:hAnsi="仿宋" w:eastAsia="仿宋" w:cs="仿宋"/>
          <w:bCs/>
          <w:color w:val="auto"/>
          <w:kern w:val="0"/>
          <w:sz w:val="24"/>
          <w:szCs w:val="24"/>
          <w:highlight w:val="none"/>
          <w:u w:val="single"/>
        </w:rPr>
        <w:t>：   区   街道、   区   街道、   区    街道、    区    街道</w:t>
      </w:r>
      <w:r>
        <w:rPr>
          <w:rFonts w:hint="eastAsia" w:ascii="仿宋" w:hAnsi="仿宋" w:eastAsia="仿宋" w:cs="仿宋"/>
          <w:bCs/>
          <w:color w:val="auto"/>
          <w:kern w:val="0"/>
          <w:sz w:val="24"/>
          <w:szCs w:val="24"/>
          <w:highlight w:val="none"/>
        </w:rPr>
        <w:t>。</w:t>
      </w:r>
    </w:p>
    <w:p w14:paraId="163CB13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w:t>
      </w:r>
      <w:r>
        <w:rPr>
          <w:rFonts w:hint="eastAsia" w:ascii="仿宋" w:hAnsi="仿宋" w:eastAsia="仿宋" w:cs="仿宋"/>
          <w:bCs/>
          <w:color w:val="auto"/>
          <w:kern w:val="0"/>
          <w:sz w:val="24"/>
          <w:szCs w:val="24"/>
          <w:highlight w:val="none"/>
          <w:lang w:val="zh-CN"/>
        </w:rPr>
        <w:t>平台服务商：</w:t>
      </w:r>
      <w:r>
        <w:rPr>
          <w:rFonts w:hint="eastAsia" w:ascii="仿宋" w:hAnsi="仿宋" w:eastAsia="仿宋" w:cs="仿宋"/>
          <w:bCs/>
          <w:color w:val="auto"/>
          <w:kern w:val="0"/>
          <w:sz w:val="24"/>
          <w:szCs w:val="24"/>
          <w:highlight w:val="none"/>
        </w:rPr>
        <w:t>指在本项目中，为签约老人发放服务终端、搭建信息管理系统及呼叫中心、开发APP或微信小程序、组建服务团队，整合社会各界资源提供《关于提升全市智慧养老综合服务工作的通知》(杭民发[2019]100号)中规定的一类、二类、三类服务的商家。</w:t>
      </w:r>
    </w:p>
    <w:p w14:paraId="0172303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w:t>
      </w:r>
      <w:r>
        <w:rPr>
          <w:rFonts w:hint="eastAsia" w:ascii="仿宋" w:hAnsi="仿宋" w:eastAsia="仿宋" w:cs="仿宋"/>
          <w:bCs/>
          <w:color w:val="auto"/>
          <w:kern w:val="0"/>
          <w:sz w:val="24"/>
          <w:szCs w:val="24"/>
          <w:highlight w:val="none"/>
          <w:lang w:val="zh-CN"/>
        </w:rPr>
        <w:t>签约老人：</w:t>
      </w:r>
      <w:r>
        <w:rPr>
          <w:rFonts w:hint="eastAsia" w:ascii="仿宋" w:hAnsi="仿宋" w:eastAsia="仿宋" w:cs="仿宋"/>
          <w:bCs/>
          <w:color w:val="auto"/>
          <w:kern w:val="0"/>
          <w:sz w:val="24"/>
          <w:szCs w:val="24"/>
          <w:highlight w:val="none"/>
        </w:rPr>
        <w:t>指《关于提升全市智慧养老综合服务工作的通知》(杭民发[2019]100号)规定的符合申请条件并自愿与平台服务商签订服务协议的套餐一签约型老年人。</w:t>
      </w:r>
    </w:p>
    <w:p w14:paraId="5F50227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5、加盟商家：指在本项目中，以加盟方式与平台服务商签订合作协议的服务商家。</w:t>
      </w:r>
    </w:p>
    <w:p w14:paraId="32E11ED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6、市级监管平台：指甲方指定的为本项目提供监管职能的平台。</w:t>
      </w:r>
    </w:p>
    <w:p w14:paraId="24E3310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7、呼叫中心：指平台服务商搭建的能够向签约区域内老年人提供人工语音服务的呼叫系统及坐席。</w:t>
      </w:r>
    </w:p>
    <w:p w14:paraId="2842EC86">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 xml:space="preserve">第二条 </w:t>
      </w:r>
      <w:r>
        <w:rPr>
          <w:rFonts w:hint="eastAsia" w:ascii="仿宋" w:hAnsi="仿宋" w:eastAsia="仿宋" w:cs="仿宋"/>
          <w:b/>
          <w:bCs w:val="0"/>
          <w:color w:val="auto"/>
          <w:kern w:val="0"/>
          <w:sz w:val="24"/>
          <w:szCs w:val="24"/>
          <w:highlight w:val="none"/>
          <w:lang w:val="en-US" w:eastAsia="zh-CN"/>
        </w:rPr>
        <w:t xml:space="preserve"> </w:t>
      </w:r>
      <w:r>
        <w:rPr>
          <w:rFonts w:hint="eastAsia" w:ascii="仿宋" w:hAnsi="仿宋" w:eastAsia="仿宋" w:cs="仿宋"/>
          <w:b/>
          <w:bCs w:val="0"/>
          <w:color w:val="auto"/>
          <w:kern w:val="0"/>
          <w:sz w:val="24"/>
          <w:szCs w:val="24"/>
          <w:highlight w:val="none"/>
        </w:rPr>
        <w:t>采购内容</w:t>
      </w:r>
    </w:p>
    <w:p w14:paraId="66447A8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以政府购买服务的形式，向平台服务商购买“智慧养老”综合服务，具体内容包括为签约老人发放服务终端、搭建信息管理系统及呼叫中心</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组建服务团队，整合社会各界资源提供一类、二类、三类服务。</w:t>
      </w:r>
    </w:p>
    <w:p w14:paraId="7E57BC40">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 xml:space="preserve">第三条 </w:t>
      </w:r>
      <w:r>
        <w:rPr>
          <w:rFonts w:hint="eastAsia" w:ascii="仿宋" w:hAnsi="仿宋" w:eastAsia="仿宋" w:cs="仿宋"/>
          <w:b/>
          <w:bCs w:val="0"/>
          <w:color w:val="auto"/>
          <w:kern w:val="0"/>
          <w:sz w:val="24"/>
          <w:szCs w:val="24"/>
          <w:highlight w:val="none"/>
          <w:lang w:val="en-US" w:eastAsia="zh-CN"/>
        </w:rPr>
        <w:t xml:space="preserve"> </w:t>
      </w:r>
      <w:r>
        <w:rPr>
          <w:rFonts w:hint="eastAsia" w:ascii="仿宋" w:hAnsi="仿宋" w:eastAsia="仿宋" w:cs="仿宋"/>
          <w:b/>
          <w:bCs w:val="0"/>
          <w:color w:val="auto"/>
          <w:kern w:val="0"/>
          <w:sz w:val="24"/>
          <w:szCs w:val="24"/>
          <w:highlight w:val="none"/>
        </w:rPr>
        <w:t>服务要求</w:t>
      </w:r>
    </w:p>
    <w:p w14:paraId="3F850C8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乙方应具有覆盖招标区域范围的呼叫中心系统，组建起一支高效的服务团队；须提供符合要求的3类服务终端，每类服务终端限提供1种；有成熟、稳定的老年人信息管理系统，如有APP或小程序要求需配合上级部门相关规定执行</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并对数据进行实时维护；能有效整合各种社会养老服务资源，通过自有服务团队或与加盟商家合作，提供《关于提升全市智慧养老综合服务工作的通知》(杭民发[2019]100号)中规定的一类、二类、三类服务。</w:t>
      </w:r>
    </w:p>
    <w:p w14:paraId="3B6F3CD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2、服务终端要求：乙方提供的服务终端须提供通信入网许可证（仅对具备通话功能的终端）、国家3C质量认证、产品检验报告等材料，每类服务终端限提供1种</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color w:val="auto"/>
          <w:spacing w:val="-4"/>
          <w:sz w:val="24"/>
          <w:szCs w:val="24"/>
          <w:highlight w:val="none"/>
          <w:lang w:val="en-US" w:eastAsia="zh-CN"/>
        </w:rPr>
        <w:t>其中</w:t>
      </w:r>
      <w:r>
        <w:rPr>
          <w:rFonts w:hint="eastAsia" w:ascii="仿宋" w:hAnsi="仿宋" w:eastAsia="仿宋" w:cs="仿宋"/>
          <w:i w:val="0"/>
          <w:iCs w:val="0"/>
          <w:caps w:val="0"/>
          <w:color w:val="auto"/>
          <w:spacing w:val="0"/>
          <w:sz w:val="24"/>
          <w:szCs w:val="24"/>
          <w:highlight w:val="none"/>
          <w:shd w:val="clear" w:color="auto" w:fill="FFFFFF"/>
        </w:rPr>
        <w:t>移动设备需要支持4G网络</w:t>
      </w:r>
      <w:r>
        <w:rPr>
          <w:rFonts w:hint="eastAsia" w:ascii="仿宋" w:hAnsi="仿宋" w:eastAsia="仿宋" w:cs="仿宋"/>
          <w:bCs/>
          <w:color w:val="auto"/>
          <w:kern w:val="0"/>
          <w:sz w:val="24"/>
          <w:szCs w:val="24"/>
          <w:highlight w:val="none"/>
        </w:rPr>
        <w:t>。</w:t>
      </w:r>
    </w:p>
    <w:p w14:paraId="5E7E032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具体产品要求如下：</w:t>
      </w:r>
    </w:p>
    <w:p w14:paraId="537F44B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2.1手机式终端，须提供来电显示、一键紧急呼叫、一键服务呼叫、每月20MB的免费流量（仅用于紧急呼叫时位置定位）及全网免费通话时长每月不低于300分钟服务，乙方须确保老人拨往</w:t>
      </w:r>
      <w:r>
        <w:rPr>
          <w:rFonts w:hint="eastAsia" w:ascii="仿宋" w:hAnsi="仿宋" w:eastAsia="仿宋" w:cs="仿宋"/>
          <w:bCs/>
          <w:color w:val="auto"/>
          <w:kern w:val="0"/>
          <w:sz w:val="24"/>
          <w:szCs w:val="24"/>
          <w:highlight w:val="none"/>
          <w:lang w:val="en-US" w:eastAsia="zh-CN"/>
        </w:rPr>
        <w:t>智慧</w:t>
      </w:r>
      <w:r>
        <w:rPr>
          <w:rFonts w:hint="eastAsia" w:ascii="仿宋" w:hAnsi="仿宋" w:eastAsia="仿宋" w:cs="仿宋"/>
          <w:bCs/>
          <w:color w:val="auto"/>
          <w:kern w:val="0"/>
          <w:sz w:val="24"/>
          <w:szCs w:val="24"/>
          <w:highlight w:val="none"/>
        </w:rPr>
        <w:t>服务平台和亲情通话的费用。具备卫星定位（须具备卫星定位芯片）、低电量提醒、智能围栏等适老化服务功能。该类型终端需充分考虑老年人群的特殊性，须采用全物理按键及定制式封闭系统，不得安装及绑定第三方应用软件，套餐内流量只能用于定位，不得提供除定位以外的其他数据流量接入口，超流量费用一律由平台服务商承担。</w:t>
      </w:r>
    </w:p>
    <w:p w14:paraId="4C6DB67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2.2穿戴式终端，乙方须确保老人拨往服务平台的呼叫和终端采集数据的流量费用。具备一键呼叫、点对点通话功能、卫星+WIFI+基站定位、运动健康数据采集、低电量提醒、生活防水等功能。</w:t>
      </w:r>
    </w:p>
    <w:p w14:paraId="0622FA2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2.3居家式终端，须具备紧急求助、行动监测、安防报警等符合老年人居家使用特点和需求。服务商接到此类终端凡涉及流量的，一律由平台服务商承担。</w:t>
      </w:r>
    </w:p>
    <w:p w14:paraId="3530F0A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3、信息管理系统及呼叫中心要求：</w:t>
      </w:r>
    </w:p>
    <w:p w14:paraId="05E6C2C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3.1乙方所使用的信息管理系统需按甲方要求，具备基础数据采集与管理、身份智能识别、终端定位、紧急呼叫、主动关怀、亲情通话、特殊助急、二类服务、三类服务、异常信息监测、服务质量考核监督、统计分析、系统管理等功能模块，并能够按照甲方要求实现与市级监管平台对接。</w:t>
      </w:r>
    </w:p>
    <w:p w14:paraId="4768738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3.2乙方需根据甲方的要求建立呼叫中心和远程坐席；具备方便灵活的呼入路由功能；具备来电排队功能、通话协同功能（来电通话信息同步转接给其他服务人员）；系统应具备录音功能、语音信箱功能，能按照甲方要求提供录音文件。</w:t>
      </w:r>
    </w:p>
    <w:p w14:paraId="5FBEEE8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3.3乙方需受理签约区域范围内的签约老年人紧急呼叫请求，并承担相应处置管理责任；</w:t>
      </w:r>
    </w:p>
    <w:p w14:paraId="1393153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3.4乙方需在签约区域内，提供7*24小时电话受理及杭州本地方言服务。按服务老人数每达到4000个，配比1个呼叫中心坐席的比例，最少不低于2个坐席；晚班坐席人数可根据话务量做适当调整。</w:t>
      </w:r>
    </w:p>
    <w:p w14:paraId="2389547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3.5签约区域内，服务老人数&lt;10000人（含），设置1个实体售后服务中心，服务老人数&gt;10000人，设置2个（含）以上实体售后服务中心，每个中心应配备2名（含）以上服务人员，负责各类咨询及产品售后服务。</w:t>
      </w:r>
    </w:p>
    <w:p w14:paraId="786E1B9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3.6乙方应保存来电主叫、被叫、通话录音流水号和通话记录等。通话录音需保存1年以上，通话记录需保存3年以上；应向甲方提供所需的各种统计报表,统计报表应包括周、月、季、年的总呼叫量、亲情通话时间、流量使用量、呼叫次数、服务需求、平均通话时长、接通率、平均等待时间、平均处理时间和投诉率等。</w:t>
      </w:r>
    </w:p>
    <w:p w14:paraId="0124411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3.7乙方根据甲方制定的接口标准，提供HTTPS、RESTful API形式的数据接口与市级监管平台实现数据交换，并保证数据的一致性和完整性。服务平台要按照实名服务的要求，通过老年人基础数据库、老年人服务数据库、老年人服务满意率数据库等相关数据库逻辑关联和分析以及权限设定，确保服务对象、服务内容、服务流程、服务价格等相关数据的真实性和不可篡改性。接口应根据甲方要求，进行系统对接与改造，其中接口改造费用，由乙方承担。</w:t>
      </w:r>
    </w:p>
    <w:p w14:paraId="6F9FE44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3.8 乙方需按要求建立相应流程规范、服务守则、考核标准（含对加盟商家的考核标准）等一系列内部的管理规范制度。</w:t>
      </w:r>
    </w:p>
    <w:p w14:paraId="3C49B46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4、对乙方整合的通讯运营商要求：为保证服务质量，甲方要求乙方所整合的通讯运营商应当在中国移动、中国电信、中国联通三大运营商中选择</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并与合作运营商建立定期沟通机制，每月获取使用该套餐的活跃用户人数、平均通话时间、流量使用情况（流量清单）等数据，并将上述数据及时录入亲情通话功能模块中；同时考虑到为老服务的特殊性，乙方不得将项目以“终端+套餐”的形式分包给通讯运营商，固定套餐内流量只能用于定位，超流量费用一律由乙方承担。</w:t>
      </w:r>
    </w:p>
    <w:p w14:paraId="0FE1033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对乙方整合的社会化资源要求：乙方在签约的城区范围内应整合政府购买服务商家和社会组织资源，向全区六十岁以上的老年人推介同等的服务内容，并对整合的社会化资源（含加盟商家）落实监管责任，如因乙方推介的加盟商家出现重大违法行为，乙方应负相应连带责任。乙方所有服务数据及过程数据均通过服务商平台完成整合，所有记录保证真实性、完整性、一致性、有效性，并做好数据修改留痕和全过程防篡改。</w:t>
      </w:r>
    </w:p>
    <w:p w14:paraId="208CF98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6、其他管理要求：</w:t>
      </w:r>
    </w:p>
    <w:p w14:paraId="7DA49B1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6.1服务终端限签约老人本人使用，相应权责条款均应在平台服务商与老年人签署的服务合同（协议）书中予以明确。</w:t>
      </w:r>
    </w:p>
    <w:p w14:paraId="1D1F71E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6.2乙方在掌握退出服务人员的信息并核实无误后，停止相关服务。</w:t>
      </w:r>
    </w:p>
    <w:p w14:paraId="3D9A35B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6.3服务终端应在醒目位置印制乙方的售后服务电话。</w:t>
      </w:r>
    </w:p>
    <w:p w14:paraId="05B99E6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6.4乙方应有详细的宣传推广方案，但不得采取不正当手段吸引老人签约。</w:t>
      </w:r>
    </w:p>
    <w:p w14:paraId="1F6A41A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6.5乙方在合同期内均应向符合条件并提出申请的签约老人发放服务终端；按照最多跑一次要求，在甲方审批通过之日起的15天内，派出工作人员上门完成终端发放（安装）任务，并现场验证各项功能。</w:t>
      </w:r>
    </w:p>
    <w:p w14:paraId="444C7B5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6.6乙方应将签约老人的信息录入自有信息管理平台的“基础数据采集与管理的功能模块”（包括老年人的姓名、地址、亲属子女或监护人及其联系方式、身体状况等）。</w:t>
      </w:r>
    </w:p>
    <w:p w14:paraId="63FC6E3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6.7服务期间，发生因乙方原因导致的签约老人紧急呼叫未得到及时处理、服务终端质量问题、老年人有效投诉等相关责任事件，由乙方承担责任并赔偿损失。</w:t>
      </w:r>
    </w:p>
    <w:p w14:paraId="70DA2A7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6.8乙方不得将项目以“终端+套餐”的形式分包给通讯运营商，一经发现，甲方有权解除本合同并追究违约责任。</w:t>
      </w:r>
    </w:p>
    <w:p w14:paraId="565E51D6">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 xml:space="preserve">第四条 </w:t>
      </w:r>
      <w:r>
        <w:rPr>
          <w:rFonts w:hint="eastAsia" w:ascii="仿宋" w:hAnsi="仿宋" w:eastAsia="仿宋" w:cs="仿宋"/>
          <w:b/>
          <w:bCs w:val="0"/>
          <w:color w:val="auto"/>
          <w:kern w:val="0"/>
          <w:sz w:val="24"/>
          <w:szCs w:val="24"/>
          <w:highlight w:val="none"/>
          <w:lang w:val="en-US" w:eastAsia="zh-CN"/>
        </w:rPr>
        <w:t xml:space="preserve"> </w:t>
      </w:r>
      <w:r>
        <w:rPr>
          <w:rFonts w:hint="eastAsia" w:ascii="仿宋" w:hAnsi="仿宋" w:eastAsia="仿宋" w:cs="仿宋"/>
          <w:b/>
          <w:bCs w:val="0"/>
          <w:color w:val="auto"/>
          <w:kern w:val="0"/>
          <w:sz w:val="24"/>
          <w:szCs w:val="24"/>
          <w:highlight w:val="none"/>
        </w:rPr>
        <w:t>合同期限</w:t>
      </w:r>
    </w:p>
    <w:p w14:paraId="70A7C21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合同期限为合同签订之日起一年，期满合同自动终止。合同期满后，应甲方要求，乙方应当继续履行本合同约定及招投标中承诺的各项义务，直至甲方考核绩效评价结束或甲方与下一年度平台服务商签订合同时止。</w:t>
      </w:r>
    </w:p>
    <w:p w14:paraId="76A8BE36">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 xml:space="preserve">第五条 </w:t>
      </w:r>
      <w:r>
        <w:rPr>
          <w:rFonts w:hint="eastAsia" w:ascii="仿宋" w:hAnsi="仿宋" w:eastAsia="仿宋" w:cs="仿宋"/>
          <w:b/>
          <w:bCs w:val="0"/>
          <w:color w:val="auto"/>
          <w:kern w:val="0"/>
          <w:sz w:val="24"/>
          <w:szCs w:val="24"/>
          <w:highlight w:val="none"/>
          <w:lang w:val="en-US" w:eastAsia="zh-CN"/>
        </w:rPr>
        <w:t xml:space="preserve"> </w:t>
      </w:r>
      <w:r>
        <w:rPr>
          <w:rFonts w:hint="eastAsia" w:ascii="仿宋" w:hAnsi="仿宋" w:eastAsia="仿宋" w:cs="仿宋"/>
          <w:b/>
          <w:bCs w:val="0"/>
          <w:color w:val="auto"/>
          <w:kern w:val="0"/>
          <w:sz w:val="24"/>
          <w:szCs w:val="24"/>
          <w:highlight w:val="none"/>
        </w:rPr>
        <w:t>合同金额、付款方式</w:t>
      </w:r>
    </w:p>
    <w:p w14:paraId="7E6FC2D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本合同金额由甲方按实际签约服务人数每月进行核算，服务金额为20元/每人每月；完成签约老人服务终端发放或安装的时间在每月15日（含）以前的，计入当月付费人数；完成终端发放或安装的时间在每月15日以后的，计入下月付费人数。</w:t>
      </w:r>
    </w:p>
    <w:p w14:paraId="0BD7B84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根据</w:t>
      </w:r>
      <w:r>
        <w:rPr>
          <w:rFonts w:hint="eastAsia" w:ascii="仿宋" w:hAnsi="仿宋" w:eastAsia="仿宋" w:cs="仿宋"/>
          <w:color w:val="auto"/>
          <w:sz w:val="24"/>
          <w:szCs w:val="24"/>
          <w:highlight w:val="none"/>
        </w:rPr>
        <w:t>《杭州市智慧养老呼叫综合服务监管考核办法》的通知</w:t>
      </w:r>
      <w:r>
        <w:rPr>
          <w:rFonts w:hint="eastAsia" w:ascii="仿宋" w:hAnsi="仿宋" w:eastAsia="仿宋" w:cs="仿宋"/>
          <w:color w:val="auto"/>
          <w:spacing w:val="-4"/>
          <w:sz w:val="24"/>
          <w:szCs w:val="24"/>
          <w:highlight w:val="none"/>
          <w:lang w:val="en-US" w:eastAsia="zh-CN"/>
        </w:rPr>
        <w:t>（</w:t>
      </w:r>
      <w:r>
        <w:rPr>
          <w:rFonts w:hint="eastAsia" w:ascii="仿宋" w:hAnsi="仿宋" w:eastAsia="仿宋" w:cs="仿宋"/>
          <w:color w:val="auto"/>
          <w:sz w:val="24"/>
          <w:szCs w:val="24"/>
          <w:highlight w:val="none"/>
        </w:rPr>
        <w:t>杭州市民政局</w:t>
      </w:r>
      <w:r>
        <w:rPr>
          <w:rFonts w:hint="eastAsia" w:ascii="仿宋" w:hAnsi="仿宋" w:eastAsia="仿宋" w:cs="仿宋"/>
          <w:color w:val="auto"/>
          <w:sz w:val="24"/>
          <w:szCs w:val="24"/>
          <w:highlight w:val="none"/>
          <w:lang w:val="en-US" w:eastAsia="zh-CN"/>
        </w:rPr>
        <w:t>2022年9月13日印发</w:t>
      </w:r>
      <w:r>
        <w:rPr>
          <w:rFonts w:hint="eastAsia" w:ascii="仿宋" w:hAnsi="仿宋" w:eastAsia="仿宋" w:cs="仿宋"/>
          <w:color w:val="auto"/>
          <w:spacing w:val="-4"/>
          <w:sz w:val="24"/>
          <w:szCs w:val="24"/>
          <w:highlight w:val="none"/>
          <w:lang w:val="en-US" w:eastAsia="zh-CN"/>
        </w:rPr>
        <w:t>）</w:t>
      </w:r>
      <w:r>
        <w:rPr>
          <w:rFonts w:hint="eastAsia" w:ascii="仿宋" w:hAnsi="仿宋" w:eastAsia="仿宋" w:cs="仿宋"/>
          <w:bCs/>
          <w:color w:val="auto"/>
          <w:kern w:val="0"/>
          <w:sz w:val="24"/>
          <w:szCs w:val="24"/>
          <w:highlight w:val="none"/>
        </w:rPr>
        <w:t>文件相关规定，甲方每</w:t>
      </w:r>
      <w:r>
        <w:rPr>
          <w:rFonts w:hint="eastAsia" w:ascii="仿宋" w:hAnsi="仿宋" w:eastAsia="仿宋" w:cs="仿宋"/>
          <w:bCs/>
          <w:color w:val="auto"/>
          <w:kern w:val="0"/>
          <w:sz w:val="24"/>
          <w:szCs w:val="24"/>
          <w:highlight w:val="none"/>
          <w:lang w:val="en-US" w:eastAsia="zh-CN"/>
        </w:rPr>
        <w:t>季度</w:t>
      </w:r>
      <w:r>
        <w:rPr>
          <w:rFonts w:hint="eastAsia" w:ascii="仿宋" w:hAnsi="仿宋" w:eastAsia="仿宋" w:cs="仿宋"/>
          <w:bCs/>
          <w:color w:val="auto"/>
          <w:kern w:val="0"/>
          <w:sz w:val="24"/>
          <w:szCs w:val="24"/>
          <w:highlight w:val="none"/>
        </w:rPr>
        <w:t>对乙方进行一次整体考核评分，考核评分换算为百分比再乘以当期合同核定金额即为当期应付合同款。</w:t>
      </w:r>
    </w:p>
    <w:p w14:paraId="06A3A4F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市级监管平台每月与火化数据库进行比对，已火化老人（去世老人）下月起自动退出计费人员名单；一年时间内无通话或使用记录的老人自动退出计费人员名单。</w:t>
      </w:r>
    </w:p>
    <w:p w14:paraId="06FD263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2、支付方式：</w:t>
      </w:r>
    </w:p>
    <w:p w14:paraId="4CBC6BC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合同签订且具备实施条件后5天内，</w:t>
      </w:r>
      <w:r>
        <w:rPr>
          <w:rFonts w:hint="eastAsia" w:ascii="仿宋" w:hAnsi="仿宋" w:eastAsia="仿宋" w:cs="仿宋"/>
          <w:bCs/>
          <w:color w:val="auto"/>
          <w:kern w:val="0"/>
          <w:sz w:val="24"/>
          <w:szCs w:val="24"/>
          <w:highlight w:val="none"/>
          <w:lang w:val="en-US" w:eastAsia="zh-CN"/>
        </w:rPr>
        <w:t>甲方</w:t>
      </w:r>
      <w:r>
        <w:rPr>
          <w:rFonts w:hint="eastAsia" w:ascii="仿宋" w:hAnsi="仿宋" w:eastAsia="仿宋" w:cs="仿宋"/>
          <w:bCs/>
          <w:color w:val="auto"/>
          <w:kern w:val="0"/>
          <w:sz w:val="24"/>
          <w:szCs w:val="24"/>
          <w:highlight w:val="none"/>
        </w:rPr>
        <w:t>凭</w:t>
      </w:r>
      <w:r>
        <w:rPr>
          <w:rFonts w:hint="eastAsia" w:ascii="仿宋" w:hAnsi="仿宋" w:eastAsia="仿宋" w:cs="仿宋"/>
          <w:bCs/>
          <w:color w:val="auto"/>
          <w:kern w:val="0"/>
          <w:sz w:val="24"/>
          <w:szCs w:val="24"/>
          <w:highlight w:val="none"/>
          <w:lang w:val="en-US" w:eastAsia="zh-CN"/>
        </w:rPr>
        <w:t>乙方</w:t>
      </w:r>
      <w:r>
        <w:rPr>
          <w:rFonts w:hint="eastAsia" w:ascii="仿宋" w:hAnsi="仿宋" w:eastAsia="仿宋" w:cs="仿宋"/>
          <w:bCs/>
          <w:color w:val="auto"/>
          <w:kern w:val="0"/>
          <w:sz w:val="24"/>
          <w:szCs w:val="24"/>
          <w:highlight w:val="none"/>
        </w:rPr>
        <w:t>发票支付预算金额的50%作为预付款，预付款在后期计算应付合同款时予以扣除；</w:t>
      </w:r>
    </w:p>
    <w:p w14:paraId="20553DE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合同期上半年考核结果公示结束后的30个工作日内，支付上半年应付合同款。</w:t>
      </w:r>
    </w:p>
    <w:p w14:paraId="54A8329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合同期下半年考核结果公示结束后的30个工作日内，支付下半年应付合同款，如甲方更换平台服务商的，乙方应甲方要求，服务至新的平台服务商开始服务时止，该期应付合同款于新的平台服务商开始服务之日起30日内支付。</w:t>
      </w:r>
    </w:p>
    <w:p w14:paraId="2C0F167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3、乙方应及时向甲方开具发票，甲方收到发票后向乙方付款。</w:t>
      </w:r>
    </w:p>
    <w:p w14:paraId="5C92399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4、乙方的指定收款账户如下：</w:t>
      </w:r>
    </w:p>
    <w:p w14:paraId="3529C1E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户名：</w:t>
      </w:r>
    </w:p>
    <w:p w14:paraId="0BA3CC9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开户行：</w:t>
      </w:r>
    </w:p>
    <w:p w14:paraId="44FD9A2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账号：</w:t>
      </w:r>
    </w:p>
    <w:p w14:paraId="315F124C">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 xml:space="preserve">第六条 </w:t>
      </w:r>
      <w:r>
        <w:rPr>
          <w:rFonts w:hint="eastAsia" w:ascii="仿宋" w:hAnsi="仿宋" w:eastAsia="仿宋" w:cs="仿宋"/>
          <w:b/>
          <w:bCs w:val="0"/>
          <w:color w:val="auto"/>
          <w:kern w:val="0"/>
          <w:sz w:val="24"/>
          <w:szCs w:val="24"/>
          <w:highlight w:val="none"/>
          <w:lang w:val="en-US" w:eastAsia="zh-CN"/>
        </w:rPr>
        <w:t xml:space="preserve"> </w:t>
      </w:r>
      <w:r>
        <w:rPr>
          <w:rFonts w:hint="eastAsia" w:ascii="仿宋" w:hAnsi="仿宋" w:eastAsia="仿宋" w:cs="仿宋"/>
          <w:b/>
          <w:bCs w:val="0"/>
          <w:color w:val="auto"/>
          <w:kern w:val="0"/>
          <w:sz w:val="24"/>
          <w:szCs w:val="24"/>
          <w:highlight w:val="none"/>
        </w:rPr>
        <w:t>知识产权</w:t>
      </w:r>
    </w:p>
    <w:p w14:paraId="0FF4295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甲方拥有包括平台服务商系统及本项目内涉及到的所有系统内数据信息的知识产权的所有权。</w:t>
      </w:r>
    </w:p>
    <w:p w14:paraId="3D07C9F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未经甲方事先书面授权，乙方及加盟商家不得以任何方式向任何其他组织或个人泄露、转让、许可使用、交换、赠与或与其他组织或个人共同使用或不正当使用该项目涉及的数据信息，否则将追究其法律责任。</w:t>
      </w:r>
    </w:p>
    <w:p w14:paraId="64A80DD5">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val="0"/>
          <w:color w:val="auto"/>
          <w:kern w:val="0"/>
          <w:sz w:val="24"/>
          <w:szCs w:val="24"/>
          <w:highlight w:val="none"/>
          <w:lang w:eastAsia="zh-CN"/>
        </w:rPr>
      </w:pPr>
      <w:r>
        <w:rPr>
          <w:rFonts w:hint="eastAsia" w:ascii="仿宋" w:hAnsi="仿宋" w:eastAsia="仿宋" w:cs="仿宋"/>
          <w:b/>
          <w:bCs w:val="0"/>
          <w:color w:val="auto"/>
          <w:kern w:val="0"/>
          <w:sz w:val="24"/>
          <w:szCs w:val="24"/>
          <w:highlight w:val="none"/>
          <w:lang w:eastAsia="zh-CN"/>
        </w:rPr>
        <w:t xml:space="preserve">第七条 </w:t>
      </w:r>
      <w:r>
        <w:rPr>
          <w:rFonts w:hint="eastAsia" w:ascii="仿宋" w:hAnsi="仿宋" w:eastAsia="仿宋" w:cs="仿宋"/>
          <w:b/>
          <w:bCs w:val="0"/>
          <w:color w:val="auto"/>
          <w:kern w:val="0"/>
          <w:sz w:val="24"/>
          <w:szCs w:val="24"/>
          <w:highlight w:val="none"/>
          <w:lang w:val="en-US" w:eastAsia="zh-CN"/>
        </w:rPr>
        <w:t xml:space="preserve"> </w:t>
      </w:r>
      <w:r>
        <w:rPr>
          <w:rFonts w:hint="eastAsia" w:ascii="仿宋" w:hAnsi="仿宋" w:eastAsia="仿宋" w:cs="仿宋"/>
          <w:b/>
          <w:bCs w:val="0"/>
          <w:color w:val="auto"/>
          <w:kern w:val="0"/>
          <w:sz w:val="24"/>
          <w:szCs w:val="24"/>
          <w:highlight w:val="none"/>
          <w:lang w:eastAsia="zh-CN"/>
        </w:rPr>
        <w:t>权利和义务</w:t>
      </w:r>
    </w:p>
    <w:p w14:paraId="0A6E883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eastAsia="zh-CN"/>
        </w:rPr>
        <w:t>甲方的权利和义务</w:t>
      </w:r>
    </w:p>
    <w:p w14:paraId="22AC627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eastAsia="zh-CN"/>
        </w:rPr>
        <w:t>1、甲方有权要求乙方遵守其投标时递交的各种投标文件、询标澄清记录等相关材料，并履行其作出的相关承诺。</w:t>
      </w:r>
    </w:p>
    <w:p w14:paraId="1F20522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eastAsia="zh-CN"/>
        </w:rPr>
        <w:t>2、甲方有权利对乙方向老年人提供的各类服务提出规范性要求，确保乙方的服务质量。</w:t>
      </w:r>
    </w:p>
    <w:p w14:paraId="6C6C1D1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eastAsia="zh-CN"/>
        </w:rPr>
        <w:t>3、甲方有权结合相关考核要求和监管结果，按比例支付合同款。</w:t>
      </w:r>
    </w:p>
    <w:p w14:paraId="5D386B0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eastAsia="zh-CN"/>
        </w:rPr>
        <w:t>4、甲方有权了解乙方服务情况，对其智慧养老服务工作进行监督指导以不断提高乙方的服务质量和水平；在服务过程中发现问题应按照本合同以及</w:t>
      </w:r>
      <w:r>
        <w:rPr>
          <w:rFonts w:hint="eastAsia" w:ascii="仿宋" w:hAnsi="仿宋" w:eastAsia="仿宋" w:cs="仿宋"/>
          <w:color w:val="auto"/>
          <w:sz w:val="24"/>
          <w:szCs w:val="24"/>
          <w:highlight w:val="none"/>
        </w:rPr>
        <w:t>《杭州市智慧养老呼叫综合服务监管考核办法》的通知</w:t>
      </w:r>
      <w:r>
        <w:rPr>
          <w:rFonts w:hint="eastAsia" w:ascii="仿宋" w:hAnsi="仿宋" w:eastAsia="仿宋" w:cs="仿宋"/>
          <w:color w:val="auto"/>
          <w:spacing w:val="-4"/>
          <w:sz w:val="24"/>
          <w:szCs w:val="24"/>
          <w:highlight w:val="none"/>
          <w:lang w:val="en-US" w:eastAsia="zh-CN"/>
        </w:rPr>
        <w:t>（</w:t>
      </w:r>
      <w:r>
        <w:rPr>
          <w:rFonts w:hint="eastAsia" w:ascii="仿宋" w:hAnsi="仿宋" w:eastAsia="仿宋" w:cs="仿宋"/>
          <w:color w:val="auto"/>
          <w:sz w:val="24"/>
          <w:szCs w:val="24"/>
          <w:highlight w:val="none"/>
        </w:rPr>
        <w:t>杭州市民政局</w:t>
      </w:r>
      <w:r>
        <w:rPr>
          <w:rFonts w:hint="eastAsia" w:ascii="仿宋" w:hAnsi="仿宋" w:eastAsia="仿宋" w:cs="仿宋"/>
          <w:color w:val="auto"/>
          <w:sz w:val="24"/>
          <w:szCs w:val="24"/>
          <w:highlight w:val="none"/>
          <w:lang w:val="en-US" w:eastAsia="zh-CN"/>
        </w:rPr>
        <w:t>2022年9月13日印发</w:t>
      </w:r>
      <w:r>
        <w:rPr>
          <w:rFonts w:hint="eastAsia" w:ascii="仿宋" w:hAnsi="仿宋" w:eastAsia="仿宋" w:cs="仿宋"/>
          <w:color w:val="auto"/>
          <w:spacing w:val="-4"/>
          <w:sz w:val="24"/>
          <w:szCs w:val="24"/>
          <w:highlight w:val="none"/>
          <w:lang w:val="en-US" w:eastAsia="zh-CN"/>
        </w:rPr>
        <w:t>）</w:t>
      </w:r>
      <w:r>
        <w:rPr>
          <w:rFonts w:hint="eastAsia" w:ascii="仿宋" w:hAnsi="仿宋" w:eastAsia="仿宋" w:cs="仿宋"/>
          <w:bCs/>
          <w:color w:val="auto"/>
          <w:kern w:val="0"/>
          <w:sz w:val="24"/>
          <w:szCs w:val="24"/>
          <w:highlight w:val="none"/>
          <w:lang w:eastAsia="zh-CN"/>
        </w:rPr>
        <w:t>文件等相关规定进行处理。</w:t>
      </w:r>
    </w:p>
    <w:p w14:paraId="7D5F586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eastAsia="zh-CN"/>
        </w:rPr>
        <w:t>5、甲方应为乙方提供相关养老政策支持。</w:t>
      </w:r>
    </w:p>
    <w:p w14:paraId="59B02D7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eastAsia="zh-CN"/>
        </w:rPr>
        <w:t>6、甲方应按照</w:t>
      </w:r>
      <w:r>
        <w:rPr>
          <w:rFonts w:hint="eastAsia" w:ascii="仿宋" w:hAnsi="仿宋" w:eastAsia="仿宋" w:cs="仿宋"/>
          <w:color w:val="auto"/>
          <w:sz w:val="24"/>
          <w:szCs w:val="24"/>
          <w:highlight w:val="none"/>
        </w:rPr>
        <w:t>《杭州市智慧养老呼叫综合服务监管考核办法》的通知</w:t>
      </w:r>
      <w:r>
        <w:rPr>
          <w:rFonts w:hint="eastAsia" w:ascii="仿宋" w:hAnsi="仿宋" w:eastAsia="仿宋" w:cs="仿宋"/>
          <w:color w:val="auto"/>
          <w:spacing w:val="-4"/>
          <w:sz w:val="24"/>
          <w:szCs w:val="24"/>
          <w:highlight w:val="none"/>
          <w:lang w:val="en-US" w:eastAsia="zh-CN"/>
        </w:rPr>
        <w:t>（</w:t>
      </w:r>
      <w:r>
        <w:rPr>
          <w:rFonts w:hint="eastAsia" w:ascii="仿宋" w:hAnsi="仿宋" w:eastAsia="仿宋" w:cs="仿宋"/>
          <w:color w:val="auto"/>
          <w:sz w:val="24"/>
          <w:szCs w:val="24"/>
          <w:highlight w:val="none"/>
        </w:rPr>
        <w:t>杭州市民政局</w:t>
      </w:r>
      <w:r>
        <w:rPr>
          <w:rFonts w:hint="eastAsia" w:ascii="仿宋" w:hAnsi="仿宋" w:eastAsia="仿宋" w:cs="仿宋"/>
          <w:color w:val="auto"/>
          <w:sz w:val="24"/>
          <w:szCs w:val="24"/>
          <w:highlight w:val="none"/>
          <w:lang w:val="en-US" w:eastAsia="zh-CN"/>
        </w:rPr>
        <w:t>2022年9月13日印发</w:t>
      </w:r>
      <w:r>
        <w:rPr>
          <w:rFonts w:hint="eastAsia" w:ascii="仿宋" w:hAnsi="仿宋" w:eastAsia="仿宋" w:cs="仿宋"/>
          <w:color w:val="auto"/>
          <w:spacing w:val="-4"/>
          <w:sz w:val="24"/>
          <w:szCs w:val="24"/>
          <w:highlight w:val="none"/>
          <w:lang w:val="en-US" w:eastAsia="zh-CN"/>
        </w:rPr>
        <w:t>）</w:t>
      </w:r>
      <w:r>
        <w:rPr>
          <w:rFonts w:hint="eastAsia" w:ascii="仿宋" w:hAnsi="仿宋" w:eastAsia="仿宋" w:cs="仿宋"/>
          <w:bCs/>
          <w:color w:val="auto"/>
          <w:kern w:val="0"/>
          <w:sz w:val="24"/>
          <w:szCs w:val="24"/>
          <w:highlight w:val="none"/>
          <w:lang w:eastAsia="zh-CN"/>
        </w:rPr>
        <w:t>文件等相关规定形成的考核结果，核算需向乙方支付的服务费用，并按实支付。</w:t>
      </w:r>
    </w:p>
    <w:p w14:paraId="67C1073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（二）乙方的权利和义务</w:t>
      </w:r>
    </w:p>
    <w:p w14:paraId="2756DA2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1、乙方有权在指定期限内对考评结果提出置疑，并进行举证、申诉。</w:t>
      </w:r>
    </w:p>
    <w:p w14:paraId="6A236C3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2、乙方有义务遵守投标时递交的各种投标文件、询标澄清记录等相关材料，并履行其作出的相关承诺。</w:t>
      </w:r>
    </w:p>
    <w:p w14:paraId="1BD6A01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服务期内，服务终端产生质量问题或发生故障等导致不能正常使用的，乙方应为老年人免费维修或更换，次数不限。老年人若因使用不当或遗失导致服务终端不能正常使用的，乙方应为老年人更换或重新配置，并按照投标文件中规定的整机及配件报价向老年人收取费用，不得额外收费。</w:t>
      </w:r>
    </w:p>
    <w:p w14:paraId="1F8408B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乙方服务期满或终止服务的，服务终端不得收回。</w:t>
      </w:r>
    </w:p>
    <w:p w14:paraId="23B4FB2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4、服务期间，因乙方原因造成签约老人未得到紧急救助等相关责任事件，由乙方自行承担责任及赔偿损失。</w:t>
      </w:r>
    </w:p>
    <w:p w14:paraId="40B5BD0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5、乙方不得不经老人同意，泄露老年人个人信息或随意向老人推送各种信息、广告。</w:t>
      </w:r>
    </w:p>
    <w:p w14:paraId="0730644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6、对于不符合申请条件的老人，乙方应做好解释说明工作。</w:t>
      </w:r>
    </w:p>
    <w:p w14:paraId="369C966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7、按照“最多跑一次”的要求，在甲方审批通过之日起的15天内，乙方应派出工作人员上门完成终端发放（安装）任务，并现场验证各项功能。</w:t>
      </w:r>
    </w:p>
    <w:p w14:paraId="0457E7C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8、本合同期满后，应甲方要求，乙方应继续履行好本合同约定及招投标中承诺的各项义务，直至甲方考核绩效评价结束或甲方与下一年度平台服务商签订合同时止。</w:t>
      </w:r>
    </w:p>
    <w:p w14:paraId="3AB9D965">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 xml:space="preserve">第八条 </w:t>
      </w:r>
      <w:r>
        <w:rPr>
          <w:rFonts w:hint="eastAsia" w:ascii="仿宋" w:hAnsi="仿宋" w:eastAsia="仿宋" w:cs="仿宋"/>
          <w:b/>
          <w:bCs w:val="0"/>
          <w:color w:val="auto"/>
          <w:kern w:val="0"/>
          <w:sz w:val="24"/>
          <w:szCs w:val="24"/>
          <w:highlight w:val="none"/>
          <w:lang w:val="en-US" w:eastAsia="zh-CN"/>
        </w:rPr>
        <w:t xml:space="preserve"> </w:t>
      </w:r>
      <w:r>
        <w:rPr>
          <w:rFonts w:hint="eastAsia" w:ascii="仿宋" w:hAnsi="仿宋" w:eastAsia="仿宋" w:cs="仿宋"/>
          <w:b/>
          <w:bCs w:val="0"/>
          <w:color w:val="auto"/>
          <w:kern w:val="0"/>
          <w:sz w:val="24"/>
          <w:szCs w:val="24"/>
          <w:highlight w:val="none"/>
        </w:rPr>
        <w:t>保密条款</w:t>
      </w:r>
    </w:p>
    <w:p w14:paraId="64123E9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合同各方对在签订和履行本合同过程中从对方获知的技术秘密和商业秘密，均应共同遵守国家与地方有关版权、专利、商标等知识产权以及保密方面的法律规定，相互尊重对方的知识产权，对所知悉的对方技术秘密和商业秘密负有保密责任。</w:t>
      </w:r>
    </w:p>
    <w:p w14:paraId="2D73E51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乙方应对所有涉及到的老年人的所有信息、发放服务终端的中标价、上传至信息系统的各种服务数据等予以保密。未经甲方书面授权，不得以任何方式向加盟商以外的任何其他组织或个人泄露、转让、许可使用、交换、赠与或与其他组织或个人共同使用或不正当使用。</w:t>
      </w:r>
    </w:p>
    <w:p w14:paraId="3014B24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3、因服务期满、人员调整等原因造成参与本项目的服务提供方工作人员发生变动时，服务提供方应要求该工作人员交还其所持有的一切项目相关材料。</w:t>
      </w:r>
    </w:p>
    <w:p w14:paraId="701642F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4、本条约定长期有效，不因本合同的变更、中止或到期而失效。</w:t>
      </w:r>
    </w:p>
    <w:p w14:paraId="776F415F">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 xml:space="preserve">第九条 </w:t>
      </w:r>
      <w:r>
        <w:rPr>
          <w:rFonts w:hint="eastAsia" w:ascii="仿宋" w:hAnsi="仿宋" w:eastAsia="仿宋" w:cs="仿宋"/>
          <w:b/>
          <w:bCs w:val="0"/>
          <w:color w:val="auto"/>
          <w:kern w:val="0"/>
          <w:sz w:val="24"/>
          <w:szCs w:val="24"/>
          <w:highlight w:val="none"/>
          <w:lang w:val="en-US" w:eastAsia="zh-CN"/>
        </w:rPr>
        <w:t xml:space="preserve"> </w:t>
      </w:r>
      <w:r>
        <w:rPr>
          <w:rFonts w:hint="eastAsia" w:ascii="仿宋" w:hAnsi="仿宋" w:eastAsia="仿宋" w:cs="仿宋"/>
          <w:b/>
          <w:bCs w:val="0"/>
          <w:color w:val="auto"/>
          <w:kern w:val="0"/>
          <w:sz w:val="24"/>
          <w:szCs w:val="24"/>
          <w:highlight w:val="none"/>
        </w:rPr>
        <w:t>违约责任</w:t>
      </w:r>
    </w:p>
    <w:p w14:paraId="5A2A220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1、任何一方违反本合同所规定的保密义务或知识产权保护义务的，违约方应按当期合同核定金额的20％向守约方支付违约金。如守约方的实际损失超过违约金的，违约方应按实际损失予以赔偿。</w:t>
      </w:r>
    </w:p>
    <w:p w14:paraId="3B2A017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2、服务期间，因乙方原因导致签约老人紧急呼叫未得到及时处理、服务终端质量问题等相关责任事件发生，由乙方自行承担所有责任及一切赔偿。</w:t>
      </w:r>
    </w:p>
    <w:p w14:paraId="331CAD2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3、乙方泄露老年人个人信息的，一经发现，甲方有权按照本合同核算出最终的实际金额的   %在应付的合同价款中予以扣除。</w:t>
      </w:r>
    </w:p>
    <w:p w14:paraId="38192CD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4、乙方未经老年人同意，随意向老人推送各种信息和广告，遭到老人投诉并查证属实的，应在3个工作日内消除影响，并按照每人每次</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元的标准在应付的合同价款中予以扣除。</w:t>
      </w:r>
    </w:p>
    <w:p w14:paraId="7AD039C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5、老年人正常使用服务终端时，服务终端出现质量问题，乙方未在48小时内上门维修或更换，遭到老人投诉并查证属实的，应在24小时内上门维修或更换，并按照每人每次    元的标准在应付的合同价款中予以扣除。</w:t>
      </w:r>
    </w:p>
    <w:p w14:paraId="78C6B5F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因乙方未及时上门维修或更换服务终端导致老年人出现问题无法解决时，由乙方自行承担相关责任。</w:t>
      </w:r>
    </w:p>
    <w:p w14:paraId="74CBB31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6、乙方擅自向老年人收取额外费用的，在甲方查证属实之日起两日内，乙方应上门退还收取的全部费用并另行支付给老年人擅自收取款额2倍的违约金。</w:t>
      </w:r>
    </w:p>
    <w:p w14:paraId="093D8F0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7、乙方将项目以“终端+套餐”的形式进行分包的或出现其他违约情形的，经甲方要求纠正而不予纠正的，甲方有权终止本合同，乙方应按合同终止时甲方应支付的服务费用总额的30%支付违约金。</w:t>
      </w:r>
    </w:p>
    <w:p w14:paraId="5226D56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8、乙方应对整合的社会化资源（含加盟商家）落实监管责任，如因乙方推介的加盟商家出现重大违法行为，乙方应承担连带责任。</w:t>
      </w:r>
    </w:p>
    <w:p w14:paraId="2EE2CFD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9、按照“最多跑一次”的要求，在甲方审批通过之日起的</w:t>
      </w:r>
      <w:r>
        <w:rPr>
          <w:rFonts w:hint="eastAsia" w:ascii="仿宋" w:hAnsi="仿宋" w:eastAsia="仿宋" w:cs="仿宋"/>
          <w:bCs/>
          <w:color w:val="auto"/>
          <w:kern w:val="0"/>
          <w:sz w:val="24"/>
          <w:szCs w:val="24"/>
          <w:highlight w:val="none"/>
          <w:lang w:val="en-US" w:eastAsia="zh-CN"/>
        </w:rPr>
        <w:t>20</w:t>
      </w:r>
      <w:r>
        <w:rPr>
          <w:rFonts w:hint="eastAsia" w:ascii="仿宋" w:hAnsi="仿宋" w:eastAsia="仿宋" w:cs="仿宋"/>
          <w:bCs/>
          <w:color w:val="auto"/>
          <w:kern w:val="0"/>
          <w:sz w:val="24"/>
          <w:szCs w:val="24"/>
          <w:highlight w:val="none"/>
        </w:rPr>
        <w:t>天内，乙方应派出工作人员上门完成终端发放（安装）任务，并现场验证各项功能。超过</w:t>
      </w:r>
      <w:r>
        <w:rPr>
          <w:rFonts w:hint="eastAsia" w:ascii="仿宋" w:hAnsi="仿宋" w:eastAsia="仿宋" w:cs="仿宋"/>
          <w:bCs/>
          <w:color w:val="auto"/>
          <w:kern w:val="0"/>
          <w:sz w:val="24"/>
          <w:szCs w:val="24"/>
          <w:highlight w:val="none"/>
          <w:lang w:val="en-US" w:eastAsia="zh-CN"/>
        </w:rPr>
        <w:t>20</w:t>
      </w:r>
      <w:r>
        <w:rPr>
          <w:rFonts w:hint="eastAsia" w:ascii="仿宋" w:hAnsi="仿宋" w:eastAsia="仿宋" w:cs="仿宋"/>
          <w:bCs/>
          <w:color w:val="auto"/>
          <w:kern w:val="0"/>
          <w:sz w:val="24"/>
          <w:szCs w:val="24"/>
          <w:highlight w:val="none"/>
        </w:rPr>
        <w:t>天的，按照每次    元的标准在应付的合同价款中予以扣除，超过30天的，按照每次    元的标准在应付的合同价款中予以扣除。</w:t>
      </w:r>
    </w:p>
    <w:p w14:paraId="3FE4341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10、本合同期满后，甲方考核绩效评价结束或甲方与下一年度平台服务商签订合同前，乙方未按甲方要求继续履行好本合同约定及招投标中承诺的各项义务的，该期间内产生的费用由乙方承担，费用从甲方应向乙方支付的费用中扣除。</w:t>
      </w:r>
    </w:p>
    <w:p w14:paraId="744F086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11、如发生其他违约事件，守约方要求违约方支付违约金时，应以书面方式通知违约方，内容包括违约事件、违约金、支付时间和方式等。违约方在收到上述通知后，应于30天内答复对方，并支付违约金。如双方不能就此达成一致意见，将按照本合同所规定的争议解决条款解决双方的纠纷，任何一方不得采取非法手段或以损害本项目的方式实现违约金。</w:t>
      </w:r>
    </w:p>
    <w:p w14:paraId="73FD485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12、其他违约责任参照</w:t>
      </w:r>
      <w:r>
        <w:rPr>
          <w:rFonts w:hint="eastAsia" w:ascii="仿宋" w:hAnsi="仿宋" w:eastAsia="仿宋" w:cs="仿宋"/>
          <w:color w:val="auto"/>
          <w:sz w:val="24"/>
          <w:szCs w:val="24"/>
          <w:highlight w:val="none"/>
        </w:rPr>
        <w:t>《杭州市智慧养老呼叫综合服务监管考核办法》的通知</w:t>
      </w:r>
      <w:r>
        <w:rPr>
          <w:rFonts w:hint="eastAsia" w:ascii="仿宋" w:hAnsi="仿宋" w:eastAsia="仿宋" w:cs="仿宋"/>
          <w:color w:val="auto"/>
          <w:spacing w:val="-4"/>
          <w:sz w:val="24"/>
          <w:szCs w:val="24"/>
          <w:highlight w:val="none"/>
          <w:lang w:val="en-US" w:eastAsia="zh-CN"/>
        </w:rPr>
        <w:t>（</w:t>
      </w:r>
      <w:r>
        <w:rPr>
          <w:rFonts w:hint="eastAsia" w:ascii="仿宋" w:hAnsi="仿宋" w:eastAsia="仿宋" w:cs="仿宋"/>
          <w:color w:val="auto"/>
          <w:sz w:val="24"/>
          <w:szCs w:val="24"/>
          <w:highlight w:val="none"/>
        </w:rPr>
        <w:t>杭州市民政局</w:t>
      </w:r>
      <w:r>
        <w:rPr>
          <w:rFonts w:hint="eastAsia" w:ascii="仿宋" w:hAnsi="仿宋" w:eastAsia="仿宋" w:cs="仿宋"/>
          <w:color w:val="auto"/>
          <w:sz w:val="24"/>
          <w:szCs w:val="24"/>
          <w:highlight w:val="none"/>
          <w:lang w:val="en-US" w:eastAsia="zh-CN"/>
        </w:rPr>
        <w:t>2022年9月13日印发</w:t>
      </w:r>
      <w:r>
        <w:rPr>
          <w:rFonts w:hint="eastAsia" w:ascii="仿宋" w:hAnsi="仿宋" w:eastAsia="仿宋" w:cs="仿宋"/>
          <w:color w:val="auto"/>
          <w:spacing w:val="-4"/>
          <w:sz w:val="24"/>
          <w:szCs w:val="24"/>
          <w:highlight w:val="none"/>
          <w:lang w:val="en-US" w:eastAsia="zh-CN"/>
        </w:rPr>
        <w:t>）</w:t>
      </w:r>
      <w:r>
        <w:rPr>
          <w:rFonts w:hint="eastAsia" w:ascii="仿宋" w:hAnsi="仿宋" w:eastAsia="仿宋" w:cs="仿宋"/>
          <w:bCs/>
          <w:color w:val="auto"/>
          <w:kern w:val="0"/>
          <w:sz w:val="24"/>
          <w:szCs w:val="24"/>
          <w:highlight w:val="none"/>
        </w:rPr>
        <w:t>执行。</w:t>
      </w:r>
    </w:p>
    <w:p w14:paraId="50F942D5">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 xml:space="preserve">第十条 </w:t>
      </w:r>
      <w:r>
        <w:rPr>
          <w:rFonts w:hint="eastAsia" w:ascii="仿宋" w:hAnsi="仿宋" w:eastAsia="仿宋" w:cs="仿宋"/>
          <w:b/>
          <w:bCs w:val="0"/>
          <w:color w:val="auto"/>
          <w:kern w:val="0"/>
          <w:sz w:val="24"/>
          <w:szCs w:val="24"/>
          <w:highlight w:val="none"/>
          <w:lang w:val="en-US" w:eastAsia="zh-CN"/>
        </w:rPr>
        <w:t xml:space="preserve">  </w:t>
      </w:r>
      <w:r>
        <w:rPr>
          <w:rFonts w:hint="eastAsia" w:ascii="仿宋" w:hAnsi="仿宋" w:eastAsia="仿宋" w:cs="仿宋"/>
          <w:b/>
          <w:bCs w:val="0"/>
          <w:color w:val="auto"/>
          <w:kern w:val="0"/>
          <w:sz w:val="24"/>
          <w:szCs w:val="24"/>
          <w:highlight w:val="none"/>
        </w:rPr>
        <w:t>争议的处理</w:t>
      </w:r>
    </w:p>
    <w:p w14:paraId="635D47B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1、本合同的订立、解释、履行、效力和争议的解决等均适用中华人民共和国法律。</w:t>
      </w:r>
    </w:p>
    <w:p w14:paraId="4F4A14E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2、本合同在履行过程中发生的争议，由双方当事人协商解决，协商不成的，可向甲方所在地人民法院提请诉讼。</w:t>
      </w:r>
    </w:p>
    <w:p w14:paraId="14A05C6A">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 xml:space="preserve">第十一条 </w:t>
      </w:r>
      <w:r>
        <w:rPr>
          <w:rFonts w:hint="eastAsia" w:ascii="仿宋" w:hAnsi="仿宋" w:eastAsia="仿宋" w:cs="仿宋"/>
          <w:b/>
          <w:bCs w:val="0"/>
          <w:color w:val="auto"/>
          <w:kern w:val="0"/>
          <w:sz w:val="24"/>
          <w:szCs w:val="24"/>
          <w:highlight w:val="none"/>
          <w:lang w:val="en-US" w:eastAsia="zh-CN"/>
        </w:rPr>
        <w:t xml:space="preserve"> </w:t>
      </w:r>
      <w:r>
        <w:rPr>
          <w:rFonts w:hint="eastAsia" w:ascii="仿宋" w:hAnsi="仿宋" w:eastAsia="仿宋" w:cs="仿宋"/>
          <w:b/>
          <w:bCs w:val="0"/>
          <w:color w:val="auto"/>
          <w:kern w:val="0"/>
          <w:sz w:val="24"/>
          <w:szCs w:val="24"/>
          <w:highlight w:val="none"/>
        </w:rPr>
        <w:t>合同的变更、终止</w:t>
      </w:r>
    </w:p>
    <w:p w14:paraId="357AC95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本合同履行期间，发生特殊情况时，甲、乙任何一方需变更本合同的，要求变更一方应及时书面通知对方，征得对方同意后，在5个工作日内签订书面变更协议，该协议将成为合同不可分割的部分。未经双方签署书面文件，任何一方无权变更本合同，否则，由此造成对方的经济损失，由责任方承担。</w:t>
      </w:r>
    </w:p>
    <w:p w14:paraId="2AF70F8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2、甲方依据</w:t>
      </w:r>
      <w:r>
        <w:rPr>
          <w:rFonts w:hint="eastAsia" w:ascii="仿宋" w:hAnsi="仿宋" w:eastAsia="仿宋" w:cs="仿宋"/>
          <w:color w:val="auto"/>
          <w:sz w:val="24"/>
          <w:szCs w:val="24"/>
          <w:highlight w:val="none"/>
        </w:rPr>
        <w:t>《杭州市智慧养老呼叫综合服务监管考核办法》的通知</w:t>
      </w:r>
      <w:r>
        <w:rPr>
          <w:rFonts w:hint="eastAsia" w:ascii="仿宋" w:hAnsi="仿宋" w:eastAsia="仿宋" w:cs="仿宋"/>
          <w:color w:val="auto"/>
          <w:spacing w:val="-4"/>
          <w:sz w:val="24"/>
          <w:szCs w:val="24"/>
          <w:highlight w:val="none"/>
          <w:lang w:val="en-US" w:eastAsia="zh-CN"/>
        </w:rPr>
        <w:t>（</w:t>
      </w:r>
      <w:r>
        <w:rPr>
          <w:rFonts w:hint="eastAsia" w:ascii="仿宋" w:hAnsi="仿宋" w:eastAsia="仿宋" w:cs="仿宋"/>
          <w:color w:val="auto"/>
          <w:sz w:val="24"/>
          <w:szCs w:val="24"/>
          <w:highlight w:val="none"/>
        </w:rPr>
        <w:t>杭州市民政局</w:t>
      </w:r>
      <w:r>
        <w:rPr>
          <w:rFonts w:hint="eastAsia" w:ascii="仿宋" w:hAnsi="仿宋" w:eastAsia="仿宋" w:cs="仿宋"/>
          <w:color w:val="auto"/>
          <w:sz w:val="24"/>
          <w:szCs w:val="24"/>
          <w:highlight w:val="none"/>
          <w:lang w:val="en-US" w:eastAsia="zh-CN"/>
        </w:rPr>
        <w:t>2022年9月13日印发</w:t>
      </w:r>
      <w:r>
        <w:rPr>
          <w:rFonts w:hint="eastAsia" w:ascii="仿宋" w:hAnsi="仿宋" w:eastAsia="仿宋" w:cs="仿宋"/>
          <w:color w:val="auto"/>
          <w:spacing w:val="-4"/>
          <w:sz w:val="24"/>
          <w:szCs w:val="24"/>
          <w:highlight w:val="none"/>
          <w:lang w:val="en-US" w:eastAsia="zh-CN"/>
        </w:rPr>
        <w:t>）</w:t>
      </w:r>
      <w:r>
        <w:rPr>
          <w:rFonts w:hint="eastAsia" w:ascii="仿宋" w:hAnsi="仿宋" w:eastAsia="仿宋" w:cs="仿宋"/>
          <w:bCs/>
          <w:color w:val="auto"/>
          <w:kern w:val="0"/>
          <w:sz w:val="24"/>
          <w:szCs w:val="24"/>
          <w:highlight w:val="none"/>
        </w:rPr>
        <w:t>对乙方各项服务内容及质量进行监管考核，若依据考核结果认定乙方不达标或乙方符合考核办法中规定的相关终止条件的，甲方有权利终止与乙方的合同或不续签合同，因上述原因导致的合同终止甲方无需承担相应责任。</w:t>
      </w:r>
    </w:p>
    <w:p w14:paraId="733330A4">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第十二条</w:t>
      </w:r>
      <w:r>
        <w:rPr>
          <w:rFonts w:hint="eastAsia" w:ascii="仿宋" w:hAnsi="仿宋" w:eastAsia="仿宋" w:cs="仿宋"/>
          <w:b/>
          <w:bCs w:val="0"/>
          <w:color w:val="auto"/>
          <w:kern w:val="0"/>
          <w:sz w:val="24"/>
          <w:szCs w:val="24"/>
          <w:highlight w:val="none"/>
          <w:lang w:val="en-US" w:eastAsia="zh-CN"/>
        </w:rPr>
        <w:t xml:space="preserve">   </w:t>
      </w:r>
      <w:r>
        <w:rPr>
          <w:rFonts w:hint="eastAsia" w:ascii="仿宋" w:hAnsi="仿宋" w:eastAsia="仿宋" w:cs="仿宋"/>
          <w:b/>
          <w:bCs w:val="0"/>
          <w:color w:val="auto"/>
          <w:kern w:val="0"/>
          <w:sz w:val="24"/>
          <w:szCs w:val="24"/>
          <w:highlight w:val="none"/>
        </w:rPr>
        <w:t>合同的转让</w:t>
      </w:r>
    </w:p>
    <w:p w14:paraId="25ECAAD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除合同中另有规定外或经双方协商同意外，本合同所规定双方的任何权利和义务，任何一方在未经征得另一方书面同意之前，不得转让给第三者。任何转让，未经另一方书面明确同意，均属无效。</w:t>
      </w:r>
    </w:p>
    <w:p w14:paraId="0C5283DA">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 xml:space="preserve">第十三条 </w:t>
      </w:r>
      <w:r>
        <w:rPr>
          <w:rFonts w:hint="eastAsia" w:ascii="仿宋" w:hAnsi="仿宋" w:eastAsia="仿宋" w:cs="仿宋"/>
          <w:b/>
          <w:bCs w:val="0"/>
          <w:color w:val="auto"/>
          <w:kern w:val="0"/>
          <w:sz w:val="24"/>
          <w:szCs w:val="24"/>
          <w:highlight w:val="none"/>
          <w:lang w:val="en-US" w:eastAsia="zh-CN"/>
        </w:rPr>
        <w:t xml:space="preserve">  </w:t>
      </w:r>
      <w:r>
        <w:rPr>
          <w:rFonts w:hint="eastAsia" w:ascii="仿宋" w:hAnsi="仿宋" w:eastAsia="仿宋" w:cs="仿宋"/>
          <w:b/>
          <w:bCs w:val="0"/>
          <w:color w:val="auto"/>
          <w:kern w:val="0"/>
          <w:sz w:val="24"/>
          <w:szCs w:val="24"/>
          <w:highlight w:val="none"/>
        </w:rPr>
        <w:t>不可抗力条款</w:t>
      </w:r>
    </w:p>
    <w:p w14:paraId="5B10C67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1、如果本合同任何一方因受不可抗力事件影响而未能履行其在本合同下的全部或部分义务，该义务的履行在不可抗力事件妨碍其履行期间应予以中止。</w:t>
      </w:r>
    </w:p>
    <w:p w14:paraId="664ED7B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遇到不可抗力事件的一方，应尽可能在最短时间内通过书面形式通知合同另一方，并应在不可抗力事件发生后五日内，向另一方提供经不可抗力事件发生地区公证机构出具的证明合同不能履行或需要延期履行、部分履行的有效证明文件。遇到不可抗力事件的一方有责任尽一切合理的努力消除或减轻此等不可抗力事件的影响。</w:t>
      </w:r>
    </w:p>
    <w:p w14:paraId="33BA460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不可抗力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的一方无须为此承担责任。当事人延迟履行后发生不可抗力的，不能免除责任。</w:t>
      </w:r>
    </w:p>
    <w:p w14:paraId="029F9AD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本合同所称“不可抗力”是指受影响一方不能合理控制的，无法预料或即使可预料到也不可避免且无法克服，并于本合同签订之后出现的，使双方对本合同全部或部分的履行在客观上成为不可能或不实际的任何事件。此等事件包括但不限于自然灾害如水灾、火灾、旱灾、台风、地震，以及社会异常事件如战争、动乱、罢工，政府行为等其他法律规定的不可抗力事件。</w:t>
      </w:r>
    </w:p>
    <w:p w14:paraId="0CC27CFB">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 xml:space="preserve">第十四条 </w:t>
      </w:r>
      <w:r>
        <w:rPr>
          <w:rFonts w:hint="eastAsia" w:ascii="仿宋" w:hAnsi="仿宋" w:eastAsia="仿宋" w:cs="仿宋"/>
          <w:b/>
          <w:bCs w:val="0"/>
          <w:color w:val="auto"/>
          <w:kern w:val="0"/>
          <w:sz w:val="24"/>
          <w:szCs w:val="24"/>
          <w:highlight w:val="none"/>
          <w:lang w:val="en-US" w:eastAsia="zh-CN"/>
        </w:rPr>
        <w:t xml:space="preserve">  </w:t>
      </w:r>
      <w:r>
        <w:rPr>
          <w:rFonts w:hint="eastAsia" w:ascii="仿宋" w:hAnsi="仿宋" w:eastAsia="仿宋" w:cs="仿宋"/>
          <w:b/>
          <w:bCs w:val="0"/>
          <w:color w:val="auto"/>
          <w:kern w:val="0"/>
          <w:sz w:val="24"/>
          <w:szCs w:val="24"/>
          <w:highlight w:val="none"/>
        </w:rPr>
        <w:t>其他</w:t>
      </w:r>
    </w:p>
    <w:p w14:paraId="12D8EFE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1、本合同与监管考核办法等有出入的，如监管考核办法的实施时间早于本合同的，则以合同为准；如监管考核办法的实施时间晚于本合同的，则以监管考核办法为准。</w:t>
      </w:r>
    </w:p>
    <w:p w14:paraId="1DABD5D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2、合同履行期内甲、乙双方均不得随意变更或解除合同。本合同如有未尽事宜，依照相关法律、法规执行；法律、法规未作规定的，甲乙双方可以通过友好协商方式达成书面补充合同或协议。相关</w:t>
      </w:r>
      <w:r>
        <w:rPr>
          <w:rFonts w:hint="eastAsia" w:ascii="仿宋" w:hAnsi="仿宋" w:eastAsia="仿宋" w:cs="仿宋"/>
          <w:bCs/>
          <w:color w:val="auto"/>
          <w:kern w:val="0"/>
          <w:sz w:val="24"/>
          <w:szCs w:val="24"/>
          <w:highlight w:val="none"/>
          <w:lang w:val="en-US" w:eastAsia="zh-CN"/>
        </w:rPr>
        <w:t>磋商</w:t>
      </w:r>
      <w:r>
        <w:rPr>
          <w:rFonts w:hint="eastAsia" w:ascii="仿宋" w:hAnsi="仿宋" w:eastAsia="仿宋" w:cs="仿宋"/>
          <w:bCs/>
          <w:color w:val="auto"/>
          <w:kern w:val="0"/>
          <w:sz w:val="24"/>
          <w:szCs w:val="24"/>
          <w:highlight w:val="none"/>
        </w:rPr>
        <w:t>文件、</w:t>
      </w:r>
      <w:r>
        <w:rPr>
          <w:rFonts w:hint="eastAsia" w:ascii="仿宋" w:hAnsi="仿宋" w:eastAsia="仿宋" w:cs="仿宋"/>
          <w:bCs/>
          <w:color w:val="auto"/>
          <w:kern w:val="0"/>
          <w:sz w:val="24"/>
          <w:szCs w:val="24"/>
          <w:highlight w:val="none"/>
          <w:lang w:val="en-US" w:eastAsia="zh-CN"/>
        </w:rPr>
        <w:t>磋商响应</w:t>
      </w:r>
      <w:r>
        <w:rPr>
          <w:rFonts w:hint="eastAsia" w:ascii="仿宋" w:hAnsi="仿宋" w:eastAsia="仿宋" w:cs="仿宋"/>
          <w:bCs/>
          <w:color w:val="auto"/>
          <w:kern w:val="0"/>
          <w:sz w:val="24"/>
          <w:szCs w:val="24"/>
          <w:highlight w:val="none"/>
        </w:rPr>
        <w:t>文件、本合同的附件和补充合同、协议、监管考核办法及与本项目有关的全部政府文件等均为本合同不可分割的组成部分，与本合同具有同等的法律效力。</w:t>
      </w:r>
    </w:p>
    <w:p w14:paraId="23202E8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3、本合同正本一式</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份，具有同等法律效力，甲乙双方各执</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份、</w:t>
      </w:r>
      <w:r>
        <w:rPr>
          <w:rFonts w:hint="eastAsia" w:ascii="仿宋" w:hAnsi="仿宋" w:eastAsia="仿宋" w:cs="仿宋"/>
          <w:bCs/>
          <w:color w:val="auto"/>
          <w:kern w:val="0"/>
          <w:sz w:val="24"/>
          <w:szCs w:val="24"/>
          <w:highlight w:val="none"/>
          <w:lang w:val="en-US" w:eastAsia="zh-CN"/>
        </w:rPr>
        <w:t>采购</w:t>
      </w:r>
      <w:r>
        <w:rPr>
          <w:rFonts w:hint="eastAsia" w:ascii="仿宋" w:hAnsi="仿宋" w:eastAsia="仿宋" w:cs="仿宋"/>
          <w:bCs/>
          <w:color w:val="auto"/>
          <w:kern w:val="0"/>
          <w:sz w:val="24"/>
          <w:szCs w:val="24"/>
          <w:highlight w:val="none"/>
        </w:rPr>
        <w:t>代理机构执一份。</w:t>
      </w:r>
    </w:p>
    <w:p w14:paraId="64FC8132">
      <w:pPr>
        <w:widowControl/>
        <w:adjustRightInd/>
        <w:spacing w:line="360" w:lineRule="auto"/>
        <w:rPr>
          <w:rFonts w:ascii="仿宋" w:hAnsi="仿宋" w:eastAsia="仿宋" w:cs="仿宋"/>
          <w:color w:val="auto"/>
          <w:sz w:val="24"/>
          <w:highlight w:val="none"/>
        </w:rPr>
      </w:pPr>
    </w:p>
    <w:p w14:paraId="47B255B9">
      <w:pPr>
        <w:spacing w:line="360" w:lineRule="auto"/>
        <w:ind w:firstLine="420"/>
        <w:rPr>
          <w:rFonts w:ascii="仿宋" w:hAnsi="仿宋" w:eastAsia="仿宋" w:cs="仿宋"/>
          <w:color w:val="auto"/>
          <w:sz w:val="24"/>
          <w:highlight w:val="none"/>
        </w:rPr>
      </w:pPr>
    </w:p>
    <w:p w14:paraId="17DB7BF9">
      <w:pPr>
        <w:spacing w:line="360" w:lineRule="auto"/>
        <w:ind w:firstLine="420"/>
        <w:rPr>
          <w:rFonts w:ascii="仿宋" w:hAnsi="仿宋" w:eastAsia="仿宋" w:cs="仿宋"/>
          <w:color w:val="auto"/>
          <w:sz w:val="24"/>
          <w:highlight w:val="none"/>
        </w:rPr>
      </w:pPr>
    </w:p>
    <w:p w14:paraId="7D7D6DB0">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甲方：                                  乙方：</w:t>
      </w:r>
    </w:p>
    <w:p w14:paraId="68EC0931">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地址：                                  地址：</w:t>
      </w:r>
    </w:p>
    <w:p w14:paraId="45BD917E">
      <w:pPr>
        <w:spacing w:line="360" w:lineRule="auto"/>
        <w:ind w:firstLine="420"/>
        <w:rPr>
          <w:rFonts w:ascii="仿宋" w:hAnsi="仿宋" w:eastAsia="仿宋" w:cs="仿宋"/>
          <w:bCs/>
          <w:color w:val="auto"/>
          <w:sz w:val="24"/>
          <w:highlight w:val="none"/>
        </w:rPr>
      </w:pPr>
      <w:r>
        <w:rPr>
          <w:rFonts w:hint="eastAsia" w:ascii="仿宋" w:hAnsi="仿宋" w:eastAsia="仿宋" w:cs="仿宋"/>
          <w:bCs/>
          <w:color w:val="auto"/>
          <w:sz w:val="24"/>
          <w:highlight w:val="none"/>
        </w:rPr>
        <w:t>法定代表人（或</w:t>
      </w:r>
      <w:r>
        <w:rPr>
          <w:rFonts w:hint="eastAsia" w:ascii="仿宋" w:hAnsi="仿宋" w:eastAsia="仿宋" w:cs="仿宋"/>
          <w:bCs/>
          <w:color w:val="auto"/>
          <w:sz w:val="24"/>
          <w:highlight w:val="none"/>
          <w:lang w:val="en-US" w:eastAsia="zh-CN"/>
        </w:rPr>
        <w:t>授权代表</w:t>
      </w:r>
      <w:r>
        <w:rPr>
          <w:rFonts w:hint="eastAsia" w:ascii="仿宋" w:hAnsi="仿宋" w:eastAsia="仿宋" w:cs="仿宋"/>
          <w:bCs/>
          <w:color w:val="auto"/>
          <w:sz w:val="24"/>
          <w:highlight w:val="none"/>
        </w:rPr>
        <w:t xml:space="preserve">）签字：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法定代表人（或</w:t>
      </w:r>
      <w:r>
        <w:rPr>
          <w:rFonts w:hint="eastAsia" w:ascii="仿宋" w:hAnsi="仿宋" w:eastAsia="仿宋" w:cs="仿宋"/>
          <w:bCs/>
          <w:color w:val="auto"/>
          <w:sz w:val="24"/>
          <w:highlight w:val="none"/>
          <w:lang w:val="en-US" w:eastAsia="zh-CN"/>
        </w:rPr>
        <w:t>授权代表</w:t>
      </w:r>
      <w:r>
        <w:rPr>
          <w:rFonts w:hint="eastAsia" w:ascii="仿宋" w:hAnsi="仿宋" w:eastAsia="仿宋" w:cs="仿宋"/>
          <w:bCs/>
          <w:color w:val="auto"/>
          <w:sz w:val="24"/>
          <w:highlight w:val="none"/>
        </w:rPr>
        <w:t>）签字：</w:t>
      </w:r>
    </w:p>
    <w:p w14:paraId="20CF7602">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14:paraId="032C5641">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帐号：                                  帐号：</w:t>
      </w:r>
    </w:p>
    <w:p w14:paraId="4CFCAFCC">
      <w:pPr>
        <w:spacing w:line="360" w:lineRule="auto"/>
        <w:ind w:firstLine="42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签订日期：                              签订日期：</w:t>
      </w:r>
    </w:p>
    <w:p w14:paraId="6B1F7D9C">
      <w:pPr>
        <w:spacing w:line="360" w:lineRule="auto"/>
        <w:ind w:firstLine="420"/>
        <w:rPr>
          <w:rFonts w:hint="default" w:ascii="仿宋" w:hAnsi="仿宋" w:eastAsia="仿宋" w:cs="仿宋"/>
          <w:color w:val="auto"/>
          <w:sz w:val="24"/>
          <w:highlight w:val="none"/>
          <w:lang w:val="en-US" w:eastAsia="zh-CN"/>
        </w:rPr>
      </w:pPr>
    </w:p>
    <w:p w14:paraId="2172DC6A">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1C52F5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鉴证方：杭州博实招标代理有限公司</w:t>
      </w:r>
    </w:p>
    <w:p w14:paraId="7FB0C673">
      <w:pPr>
        <w:spacing w:line="360" w:lineRule="auto"/>
        <w:ind w:firstLine="42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法定代表人（或</w:t>
      </w:r>
      <w:r>
        <w:rPr>
          <w:rFonts w:hint="eastAsia" w:ascii="仿宋" w:hAnsi="仿宋" w:eastAsia="仿宋" w:cs="仿宋"/>
          <w:bCs/>
          <w:color w:val="auto"/>
          <w:sz w:val="24"/>
          <w:highlight w:val="none"/>
          <w:lang w:val="en-US" w:eastAsia="zh-CN"/>
        </w:rPr>
        <w:t>授权代表</w:t>
      </w:r>
      <w:r>
        <w:rPr>
          <w:rFonts w:hint="eastAsia" w:ascii="仿宋" w:hAnsi="仿宋" w:eastAsia="仿宋" w:cs="仿宋"/>
          <w:bCs/>
          <w:color w:val="auto"/>
          <w:sz w:val="24"/>
          <w:highlight w:val="none"/>
        </w:rPr>
        <w:t>）签字：</w:t>
      </w:r>
    </w:p>
    <w:p w14:paraId="68291913">
      <w:pPr>
        <w:spacing w:line="360" w:lineRule="auto"/>
        <w:ind w:firstLine="42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地址：杭州市西湖区振华路200号瑞鼎大厦B-606</w:t>
      </w:r>
    </w:p>
    <w:p w14:paraId="6BB88DD8">
      <w:pPr>
        <w:spacing w:line="360" w:lineRule="auto"/>
        <w:ind w:firstLine="42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签订日期：</w:t>
      </w:r>
    </w:p>
    <w:p w14:paraId="1E129F08">
      <w:pPr>
        <w:spacing w:line="360" w:lineRule="auto"/>
        <w:ind w:firstLine="420"/>
        <w:rPr>
          <w:rFonts w:ascii="仿宋" w:hAnsi="仿宋" w:eastAsia="仿宋" w:cs="仿宋"/>
          <w:color w:val="auto"/>
          <w:highlight w:val="none"/>
        </w:rPr>
      </w:pPr>
      <w:r>
        <w:rPr>
          <w:rFonts w:hint="eastAsia" w:ascii="仿宋" w:hAnsi="仿宋" w:eastAsia="仿宋" w:cs="仿宋"/>
          <w:bCs/>
          <w:color w:val="auto"/>
          <w:sz w:val="24"/>
          <w:highlight w:val="none"/>
        </w:rPr>
        <w:t xml:space="preserve"> </w:t>
      </w:r>
    </w:p>
    <w:p w14:paraId="50DB6328">
      <w:pPr>
        <w:spacing w:line="480" w:lineRule="auto"/>
        <w:jc w:val="center"/>
        <w:rPr>
          <w:rFonts w:ascii="仿宋" w:hAnsi="仿宋" w:eastAsia="仿宋" w:cs="仿宋"/>
          <w:color w:val="auto"/>
          <w:spacing w:val="100"/>
          <w:sz w:val="48"/>
          <w:szCs w:val="48"/>
          <w:highlight w:val="none"/>
        </w:rPr>
      </w:pPr>
    </w:p>
    <w:p w14:paraId="45A69802">
      <w:pPr>
        <w:rPr>
          <w:rFonts w:ascii="仿宋" w:hAnsi="仿宋" w:eastAsia="仿宋" w:cs="仿宋"/>
          <w:b/>
          <w:color w:val="auto"/>
          <w:sz w:val="36"/>
          <w:szCs w:val="20"/>
          <w:highlight w:val="none"/>
        </w:rPr>
      </w:pPr>
    </w:p>
    <w:p w14:paraId="258E7A59">
      <w:pPr>
        <w:keepNext w:val="0"/>
        <w:keepLines w:val="0"/>
        <w:pageBreakBefore w:val="0"/>
        <w:widowControl/>
        <w:tabs>
          <w:tab w:val="left" w:pos="0"/>
        </w:tabs>
        <w:kinsoku/>
        <w:wordWrap/>
        <w:overflowPunct/>
        <w:topLinePunct w:val="0"/>
        <w:autoSpaceDE/>
        <w:autoSpaceDN/>
        <w:bidi w:val="0"/>
        <w:adjustRightIn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color w:val="auto"/>
          <w:sz w:val="24"/>
          <w:szCs w:val="24"/>
          <w:highlight w:val="none"/>
        </w:rPr>
        <w:t>附件：</w:t>
      </w:r>
    </w:p>
    <w:p w14:paraId="7A9EC94C">
      <w:pPr>
        <w:widowControl/>
        <w:adjustRightInd w:val="0"/>
        <w:snapToGrid w:val="0"/>
        <w:spacing w:line="240" w:lineRule="auto"/>
        <w:jc w:val="center"/>
        <w:rPr>
          <w:rFonts w:hint="eastAsia" w:ascii="仿宋" w:hAnsi="仿宋" w:eastAsia="仿宋" w:cs="仿宋"/>
          <w:b/>
          <w:bCs w:val="0"/>
          <w:color w:val="auto"/>
          <w:spacing w:val="-11"/>
          <w:kern w:val="0"/>
          <w:sz w:val="28"/>
          <w:szCs w:val="28"/>
          <w:highlight w:val="none"/>
        </w:rPr>
      </w:pPr>
      <w:r>
        <w:rPr>
          <w:rFonts w:hint="eastAsia" w:ascii="仿宋" w:hAnsi="仿宋" w:eastAsia="仿宋" w:cs="仿宋"/>
          <w:b/>
          <w:bCs w:val="0"/>
          <w:color w:val="auto"/>
          <w:spacing w:val="-11"/>
          <w:kern w:val="0"/>
          <w:sz w:val="28"/>
          <w:szCs w:val="28"/>
          <w:highlight w:val="none"/>
        </w:rPr>
        <w:t>杭州市智慧</w:t>
      </w:r>
      <w:r>
        <w:rPr>
          <w:rFonts w:hint="eastAsia" w:ascii="仿宋" w:hAnsi="仿宋" w:eastAsia="仿宋" w:cs="仿宋"/>
          <w:b/>
          <w:bCs w:val="0"/>
          <w:color w:val="auto"/>
          <w:spacing w:val="-11"/>
          <w:kern w:val="0"/>
          <w:sz w:val="28"/>
          <w:szCs w:val="28"/>
          <w:highlight w:val="none"/>
          <w:lang w:eastAsia="zh-CN"/>
        </w:rPr>
        <w:t>养老呼叫</w:t>
      </w:r>
      <w:r>
        <w:rPr>
          <w:rFonts w:hint="eastAsia" w:ascii="仿宋" w:hAnsi="仿宋" w:eastAsia="仿宋" w:cs="仿宋"/>
          <w:b/>
          <w:bCs w:val="0"/>
          <w:color w:val="auto"/>
          <w:spacing w:val="-11"/>
          <w:kern w:val="0"/>
          <w:sz w:val="28"/>
          <w:szCs w:val="28"/>
          <w:highlight w:val="none"/>
        </w:rPr>
        <w:t>综合服务监管考核办法</w:t>
      </w:r>
    </w:p>
    <w:p w14:paraId="2DCC0F17">
      <w:pPr>
        <w:widowControl/>
        <w:adjustRightInd w:val="0"/>
        <w:snapToGrid w:val="0"/>
        <w:spacing w:line="336" w:lineRule="auto"/>
        <w:jc w:val="center"/>
        <w:rPr>
          <w:rFonts w:hint="eastAsia" w:ascii="仿宋" w:hAnsi="仿宋" w:eastAsia="仿宋" w:cs="仿宋"/>
          <w:color w:val="auto"/>
          <w:kern w:val="0"/>
          <w:sz w:val="24"/>
          <w:szCs w:val="24"/>
          <w:highlight w:val="none"/>
        </w:rPr>
      </w:pPr>
    </w:p>
    <w:p w14:paraId="5C10AA55">
      <w:pPr>
        <w:widowControl/>
        <w:adjustRightInd w:val="0"/>
        <w:snapToGrid w:val="0"/>
        <w:spacing w:line="336" w:lineRule="auto"/>
        <w:jc w:val="center"/>
        <w:rPr>
          <w:rFonts w:hint="eastAsia" w:ascii="仿宋" w:hAnsi="仿宋" w:eastAsia="仿宋" w:cs="仿宋"/>
          <w:color w:val="auto"/>
          <w:kern w:val="0"/>
          <w:sz w:val="24"/>
          <w:szCs w:val="24"/>
          <w:highlight w:val="none"/>
        </w:rPr>
      </w:pPr>
    </w:p>
    <w:p w14:paraId="6DB985D1">
      <w:pPr>
        <w:keepNext w:val="0"/>
        <w:keepLines w:val="0"/>
        <w:pageBreakBefore w:val="0"/>
        <w:kinsoku/>
        <w:wordWrap/>
        <w:overflowPunct/>
        <w:topLinePunct w:val="0"/>
        <w:autoSpaceDE/>
        <w:autoSpaceDN/>
        <w:bidi w:val="0"/>
        <w:adjustRightInd w:val="0"/>
        <w:snapToGrid/>
        <w:spacing w:line="360" w:lineRule="auto"/>
        <w:ind w:firstLine="480" w:firstLineChars="20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第一章  总  则</w:t>
      </w:r>
    </w:p>
    <w:p w14:paraId="167AE1AF">
      <w:pPr>
        <w:widowControl/>
        <w:adjustRightInd w:val="0"/>
        <w:snapToGrid w:val="0"/>
        <w:spacing w:line="336" w:lineRule="auto"/>
        <w:ind w:firstLine="1913" w:firstLineChars="794"/>
        <w:rPr>
          <w:rFonts w:hint="eastAsia" w:ascii="仿宋" w:hAnsi="仿宋" w:eastAsia="仿宋" w:cs="仿宋"/>
          <w:b/>
          <w:bCs/>
          <w:color w:val="auto"/>
          <w:kern w:val="0"/>
          <w:sz w:val="24"/>
          <w:szCs w:val="24"/>
          <w:highlight w:val="none"/>
        </w:rPr>
      </w:pPr>
    </w:p>
    <w:p w14:paraId="3ABE6E5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第一条</w:t>
      </w:r>
      <w:r>
        <w:rPr>
          <w:rFonts w:hint="eastAsia" w:ascii="仿宋" w:hAnsi="仿宋" w:eastAsia="仿宋" w:cs="仿宋"/>
          <w:bCs/>
          <w:color w:val="auto"/>
          <w:kern w:val="0"/>
          <w:sz w:val="24"/>
          <w:szCs w:val="24"/>
          <w:highlight w:val="none"/>
        </w:rPr>
        <w:t xml:space="preserve"> 为全面提升杭州市智慧养老</w:t>
      </w:r>
      <w:r>
        <w:rPr>
          <w:rFonts w:hint="eastAsia" w:ascii="仿宋" w:hAnsi="仿宋" w:eastAsia="仿宋" w:cs="仿宋"/>
          <w:bCs/>
          <w:color w:val="auto"/>
          <w:kern w:val="0"/>
          <w:sz w:val="24"/>
          <w:szCs w:val="24"/>
          <w:highlight w:val="none"/>
          <w:lang w:val="en-US" w:eastAsia="zh-CN"/>
        </w:rPr>
        <w:t>呼叫</w:t>
      </w:r>
      <w:r>
        <w:rPr>
          <w:rFonts w:hint="eastAsia" w:ascii="仿宋" w:hAnsi="仿宋" w:eastAsia="仿宋" w:cs="仿宋"/>
          <w:bCs/>
          <w:color w:val="auto"/>
          <w:kern w:val="0"/>
          <w:sz w:val="24"/>
          <w:szCs w:val="24"/>
          <w:highlight w:val="none"/>
        </w:rPr>
        <w:t>综合服务监管效能和水平，</w:t>
      </w:r>
      <w:r>
        <w:rPr>
          <w:rFonts w:hint="eastAsia" w:ascii="仿宋" w:hAnsi="仿宋" w:eastAsia="仿宋" w:cs="仿宋"/>
          <w:bCs/>
          <w:color w:val="auto"/>
          <w:kern w:val="0"/>
          <w:sz w:val="24"/>
          <w:szCs w:val="24"/>
          <w:highlight w:val="none"/>
          <w:lang w:eastAsia="zh-CN"/>
        </w:rPr>
        <w:t>贯彻落实省、市养老服务数字化改革相关要求，根据《</w:t>
      </w:r>
      <w:r>
        <w:rPr>
          <w:rFonts w:hint="eastAsia" w:ascii="仿宋" w:hAnsi="仿宋" w:eastAsia="仿宋" w:cs="仿宋"/>
          <w:bCs/>
          <w:color w:val="auto"/>
          <w:kern w:val="0"/>
          <w:sz w:val="24"/>
          <w:szCs w:val="24"/>
          <w:highlight w:val="none"/>
        </w:rPr>
        <w:t>杭州市民政局</w:t>
      </w:r>
      <w:r>
        <w:rPr>
          <w:rFonts w:hint="eastAsia" w:ascii="仿宋" w:hAnsi="仿宋" w:eastAsia="仿宋" w:cs="仿宋"/>
          <w:bCs/>
          <w:color w:val="auto"/>
          <w:kern w:val="0"/>
          <w:sz w:val="24"/>
          <w:szCs w:val="24"/>
          <w:highlight w:val="none"/>
          <w:lang w:val="en-US" w:eastAsia="zh-CN"/>
        </w:rPr>
        <w:t xml:space="preserve"> </w:t>
      </w:r>
      <w:r>
        <w:rPr>
          <w:rFonts w:hint="eastAsia" w:ascii="仿宋" w:hAnsi="仿宋" w:eastAsia="仿宋" w:cs="仿宋"/>
          <w:bCs/>
          <w:color w:val="auto"/>
          <w:kern w:val="0"/>
          <w:sz w:val="24"/>
          <w:szCs w:val="24"/>
          <w:highlight w:val="none"/>
        </w:rPr>
        <w:t>杭州市财政局关于提升全市智慧养老综合服务工作的通知</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杭民发〔2019〕100号</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，制定本办法。</w:t>
      </w:r>
    </w:p>
    <w:p w14:paraId="799CE99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rPr>
        <w:t xml:space="preserve">第二条  </w:t>
      </w:r>
      <w:r>
        <w:rPr>
          <w:rFonts w:hint="eastAsia" w:ascii="仿宋" w:hAnsi="仿宋" w:eastAsia="仿宋" w:cs="仿宋"/>
          <w:bCs/>
          <w:color w:val="auto"/>
          <w:kern w:val="0"/>
          <w:sz w:val="24"/>
          <w:szCs w:val="24"/>
          <w:highlight w:val="none"/>
          <w:lang w:eastAsia="zh-CN"/>
        </w:rPr>
        <w:t>智慧养老呼叫</w:t>
      </w:r>
      <w:r>
        <w:rPr>
          <w:rFonts w:hint="eastAsia" w:ascii="仿宋" w:hAnsi="仿宋" w:eastAsia="仿宋" w:cs="仿宋"/>
          <w:bCs/>
          <w:color w:val="auto"/>
          <w:kern w:val="0"/>
          <w:sz w:val="24"/>
          <w:szCs w:val="24"/>
          <w:highlight w:val="none"/>
        </w:rPr>
        <w:t>综合服务监管考核，是指</w:t>
      </w:r>
      <w:r>
        <w:rPr>
          <w:rFonts w:hint="eastAsia" w:ascii="仿宋" w:hAnsi="仿宋" w:eastAsia="仿宋" w:cs="仿宋"/>
          <w:bCs/>
          <w:color w:val="auto"/>
          <w:kern w:val="0"/>
          <w:sz w:val="24"/>
          <w:szCs w:val="24"/>
          <w:highlight w:val="none"/>
          <w:lang w:eastAsia="zh-CN"/>
        </w:rPr>
        <w:t>为满足老年人使用服务终端呼叫养老服务，依托</w:t>
      </w:r>
      <w:r>
        <w:rPr>
          <w:rFonts w:hint="eastAsia" w:ascii="仿宋" w:hAnsi="仿宋" w:eastAsia="仿宋" w:cs="仿宋"/>
          <w:bCs/>
          <w:color w:val="auto"/>
          <w:kern w:val="0"/>
          <w:sz w:val="24"/>
          <w:szCs w:val="24"/>
          <w:highlight w:val="none"/>
        </w:rPr>
        <w:t>市</w:t>
      </w:r>
      <w:r>
        <w:rPr>
          <w:rFonts w:hint="eastAsia" w:ascii="仿宋" w:hAnsi="仿宋" w:eastAsia="仿宋" w:cs="仿宋"/>
          <w:bCs/>
          <w:color w:val="auto"/>
          <w:kern w:val="0"/>
          <w:sz w:val="24"/>
          <w:szCs w:val="24"/>
          <w:highlight w:val="none"/>
          <w:lang w:eastAsia="zh-CN"/>
        </w:rPr>
        <w:t>级统一的综合</w:t>
      </w:r>
      <w:r>
        <w:rPr>
          <w:rFonts w:hint="eastAsia" w:ascii="仿宋" w:hAnsi="仿宋" w:eastAsia="仿宋" w:cs="仿宋"/>
          <w:bCs/>
          <w:color w:val="auto"/>
          <w:kern w:val="0"/>
          <w:sz w:val="24"/>
          <w:szCs w:val="24"/>
          <w:highlight w:val="none"/>
        </w:rPr>
        <w:t>监管平台，对各区</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县（市）的智慧养老呼叫综合</w:t>
      </w:r>
      <w:r>
        <w:rPr>
          <w:rFonts w:hint="eastAsia" w:ascii="仿宋" w:hAnsi="仿宋" w:eastAsia="仿宋" w:cs="仿宋"/>
          <w:bCs/>
          <w:color w:val="auto"/>
          <w:kern w:val="0"/>
          <w:sz w:val="24"/>
          <w:szCs w:val="24"/>
          <w:highlight w:val="none"/>
        </w:rPr>
        <w:t>服务进行综合性考核评价。</w:t>
      </w:r>
    </w:p>
    <w:p w14:paraId="7CB9DD6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第三条  智慧养老</w:t>
      </w:r>
      <w:r>
        <w:rPr>
          <w:rFonts w:hint="eastAsia" w:ascii="仿宋" w:hAnsi="仿宋" w:eastAsia="仿宋" w:cs="仿宋"/>
          <w:bCs/>
          <w:color w:val="auto"/>
          <w:kern w:val="0"/>
          <w:sz w:val="24"/>
          <w:szCs w:val="24"/>
          <w:highlight w:val="none"/>
          <w:lang w:eastAsia="zh-CN"/>
        </w:rPr>
        <w:t>呼叫服务综合</w:t>
      </w:r>
      <w:r>
        <w:rPr>
          <w:rFonts w:hint="eastAsia" w:ascii="仿宋" w:hAnsi="仿宋" w:eastAsia="仿宋" w:cs="仿宋"/>
          <w:bCs/>
          <w:color w:val="auto"/>
          <w:kern w:val="0"/>
          <w:sz w:val="24"/>
          <w:szCs w:val="24"/>
          <w:highlight w:val="none"/>
        </w:rPr>
        <w:t>监管平台(以下简称“市级监管平台”）向</w:t>
      </w:r>
      <w:r>
        <w:rPr>
          <w:rFonts w:hint="eastAsia" w:ascii="仿宋" w:hAnsi="仿宋" w:eastAsia="仿宋" w:cs="仿宋"/>
          <w:bCs/>
          <w:color w:val="auto"/>
          <w:kern w:val="0"/>
          <w:sz w:val="24"/>
          <w:szCs w:val="24"/>
          <w:highlight w:val="none"/>
          <w:lang w:val="en-US" w:eastAsia="zh-CN"/>
        </w:rPr>
        <w:t>相应地区</w:t>
      </w:r>
      <w:r>
        <w:rPr>
          <w:rFonts w:hint="eastAsia" w:ascii="仿宋" w:hAnsi="仿宋" w:eastAsia="仿宋" w:cs="仿宋"/>
          <w:bCs/>
          <w:color w:val="auto"/>
          <w:kern w:val="0"/>
          <w:sz w:val="24"/>
          <w:szCs w:val="24"/>
          <w:highlight w:val="none"/>
        </w:rPr>
        <w:t>开放权限，市区两级联合进行监管考核。杭州市民政局负责统筹全市智慧养老</w:t>
      </w:r>
      <w:r>
        <w:rPr>
          <w:rFonts w:hint="eastAsia" w:ascii="仿宋" w:hAnsi="仿宋" w:eastAsia="仿宋" w:cs="仿宋"/>
          <w:bCs/>
          <w:color w:val="auto"/>
          <w:kern w:val="0"/>
          <w:sz w:val="24"/>
          <w:szCs w:val="24"/>
          <w:highlight w:val="none"/>
          <w:lang w:val="en-US" w:eastAsia="zh-CN"/>
        </w:rPr>
        <w:t>呼叫</w:t>
      </w:r>
      <w:r>
        <w:rPr>
          <w:rFonts w:hint="eastAsia" w:ascii="仿宋" w:hAnsi="仿宋" w:eastAsia="仿宋" w:cs="仿宋"/>
          <w:bCs/>
          <w:color w:val="auto"/>
          <w:kern w:val="0"/>
          <w:sz w:val="24"/>
          <w:szCs w:val="24"/>
          <w:highlight w:val="none"/>
        </w:rPr>
        <w:t>综合服务监管考核工作，</w:t>
      </w:r>
      <w:r>
        <w:rPr>
          <w:rFonts w:hint="eastAsia" w:ascii="仿宋" w:hAnsi="仿宋" w:eastAsia="仿宋" w:cs="仿宋"/>
          <w:bCs/>
          <w:color w:val="auto"/>
          <w:kern w:val="0"/>
          <w:sz w:val="24"/>
          <w:szCs w:val="24"/>
          <w:highlight w:val="none"/>
          <w:lang w:val="en-US" w:eastAsia="zh-CN"/>
        </w:rPr>
        <w:t>各</w:t>
      </w:r>
      <w:r>
        <w:rPr>
          <w:rFonts w:hint="eastAsia" w:ascii="仿宋" w:hAnsi="仿宋" w:eastAsia="仿宋" w:cs="仿宋"/>
          <w:bCs/>
          <w:color w:val="auto"/>
          <w:kern w:val="0"/>
          <w:sz w:val="24"/>
          <w:szCs w:val="24"/>
          <w:highlight w:val="none"/>
        </w:rPr>
        <w:t>区</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县（市）</w:t>
      </w:r>
      <w:r>
        <w:rPr>
          <w:rFonts w:hint="eastAsia" w:ascii="仿宋" w:hAnsi="仿宋" w:eastAsia="仿宋" w:cs="仿宋"/>
          <w:bCs/>
          <w:color w:val="auto"/>
          <w:kern w:val="0"/>
          <w:sz w:val="24"/>
          <w:szCs w:val="24"/>
          <w:highlight w:val="none"/>
        </w:rPr>
        <w:t>民政局（社发局）负责落实</w:t>
      </w:r>
      <w:r>
        <w:rPr>
          <w:rFonts w:hint="eastAsia" w:ascii="仿宋" w:hAnsi="仿宋" w:eastAsia="仿宋" w:cs="仿宋"/>
          <w:bCs/>
          <w:color w:val="auto"/>
          <w:kern w:val="0"/>
          <w:sz w:val="24"/>
          <w:szCs w:val="24"/>
          <w:highlight w:val="none"/>
          <w:lang w:val="en-US" w:eastAsia="zh-CN"/>
        </w:rPr>
        <w:t>辖区</w:t>
      </w:r>
      <w:r>
        <w:rPr>
          <w:rFonts w:hint="eastAsia" w:ascii="仿宋" w:hAnsi="仿宋" w:eastAsia="仿宋" w:cs="仿宋"/>
          <w:bCs/>
          <w:color w:val="auto"/>
          <w:kern w:val="0"/>
          <w:sz w:val="24"/>
          <w:szCs w:val="24"/>
          <w:highlight w:val="none"/>
        </w:rPr>
        <w:t>内</w:t>
      </w:r>
      <w:r>
        <w:rPr>
          <w:rFonts w:hint="eastAsia" w:ascii="仿宋" w:hAnsi="仿宋" w:eastAsia="仿宋" w:cs="仿宋"/>
          <w:bCs/>
          <w:color w:val="auto"/>
          <w:kern w:val="0"/>
          <w:sz w:val="24"/>
          <w:szCs w:val="24"/>
          <w:highlight w:val="none"/>
          <w:lang w:val="en-US" w:eastAsia="zh-CN"/>
        </w:rPr>
        <w:t>的</w:t>
      </w:r>
      <w:r>
        <w:rPr>
          <w:rFonts w:hint="eastAsia" w:ascii="仿宋" w:hAnsi="仿宋" w:eastAsia="仿宋" w:cs="仿宋"/>
          <w:bCs/>
          <w:color w:val="auto"/>
          <w:kern w:val="0"/>
          <w:sz w:val="24"/>
          <w:szCs w:val="24"/>
          <w:highlight w:val="none"/>
        </w:rPr>
        <w:t>监管考核工作。</w:t>
      </w:r>
    </w:p>
    <w:p w14:paraId="348929D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第四条  坚持科学规范、客观公正的原则，将日常考核与</w:t>
      </w:r>
      <w:r>
        <w:rPr>
          <w:rFonts w:hint="eastAsia" w:ascii="仿宋" w:hAnsi="仿宋" w:eastAsia="仿宋" w:cs="仿宋"/>
          <w:bCs/>
          <w:color w:val="auto"/>
          <w:kern w:val="0"/>
          <w:sz w:val="24"/>
          <w:szCs w:val="24"/>
          <w:highlight w:val="none"/>
          <w:lang w:val="en-US" w:eastAsia="zh-CN"/>
        </w:rPr>
        <w:t>季度</w:t>
      </w:r>
      <w:r>
        <w:rPr>
          <w:rFonts w:hint="eastAsia" w:ascii="仿宋" w:hAnsi="仿宋" w:eastAsia="仿宋" w:cs="仿宋"/>
          <w:bCs/>
          <w:color w:val="auto"/>
          <w:kern w:val="0"/>
          <w:sz w:val="24"/>
          <w:szCs w:val="24"/>
          <w:highlight w:val="none"/>
        </w:rPr>
        <w:t>考核、定性考核与定量考核、过程考核与结果考核相结合，不断提升考核科学化、制度化、规范化水平。</w:t>
      </w:r>
    </w:p>
    <w:p w14:paraId="6205A4BE">
      <w:pPr>
        <w:keepNext w:val="0"/>
        <w:keepLines w:val="0"/>
        <w:pageBreakBefore w:val="0"/>
        <w:kinsoku/>
        <w:wordWrap/>
        <w:overflowPunct/>
        <w:topLinePunct w:val="0"/>
        <w:autoSpaceDE/>
        <w:autoSpaceDN/>
        <w:bidi w:val="0"/>
        <w:adjustRightInd w:val="0"/>
        <w:snapToGrid/>
        <w:spacing w:line="360" w:lineRule="auto"/>
        <w:ind w:firstLine="480" w:firstLineChars="200"/>
        <w:jc w:val="center"/>
        <w:textAlignment w:val="auto"/>
        <w:rPr>
          <w:rFonts w:hint="eastAsia" w:ascii="仿宋" w:hAnsi="仿宋" w:eastAsia="仿宋" w:cs="仿宋"/>
          <w:bCs/>
          <w:color w:val="auto"/>
          <w:kern w:val="0"/>
          <w:sz w:val="24"/>
          <w:szCs w:val="24"/>
          <w:highlight w:val="none"/>
          <w:lang w:val="en-US" w:eastAsia="zh-CN"/>
        </w:rPr>
      </w:pPr>
    </w:p>
    <w:p w14:paraId="1F0DB63B">
      <w:pPr>
        <w:keepNext w:val="0"/>
        <w:keepLines w:val="0"/>
        <w:pageBreakBefore w:val="0"/>
        <w:kinsoku/>
        <w:wordWrap/>
        <w:overflowPunct/>
        <w:topLinePunct w:val="0"/>
        <w:autoSpaceDE/>
        <w:autoSpaceDN/>
        <w:bidi w:val="0"/>
        <w:adjustRightInd w:val="0"/>
        <w:snapToGrid/>
        <w:spacing w:line="360" w:lineRule="auto"/>
        <w:ind w:firstLine="480" w:firstLineChars="20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第二章  考核内容</w:t>
      </w:r>
    </w:p>
    <w:p w14:paraId="471B6CD3">
      <w:pPr>
        <w:widowControl/>
        <w:adjustRightInd w:val="0"/>
        <w:snapToGrid w:val="0"/>
        <w:spacing w:line="336" w:lineRule="auto"/>
        <w:jc w:val="center"/>
        <w:rPr>
          <w:rFonts w:hint="eastAsia" w:ascii="仿宋" w:hAnsi="仿宋" w:eastAsia="仿宋" w:cs="仿宋"/>
          <w:color w:val="auto"/>
          <w:kern w:val="0"/>
          <w:sz w:val="24"/>
          <w:szCs w:val="24"/>
          <w:highlight w:val="none"/>
        </w:rPr>
      </w:pPr>
    </w:p>
    <w:p w14:paraId="1DA9143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第</w:t>
      </w:r>
      <w:r>
        <w:rPr>
          <w:rFonts w:hint="eastAsia" w:ascii="仿宋" w:hAnsi="仿宋" w:eastAsia="仿宋" w:cs="仿宋"/>
          <w:bCs/>
          <w:color w:val="auto"/>
          <w:kern w:val="0"/>
          <w:sz w:val="24"/>
          <w:szCs w:val="24"/>
          <w:highlight w:val="none"/>
          <w:lang w:val="en-US" w:eastAsia="zh-CN"/>
        </w:rPr>
        <w:t>五</w:t>
      </w:r>
      <w:r>
        <w:rPr>
          <w:rFonts w:hint="eastAsia" w:ascii="仿宋" w:hAnsi="仿宋" w:eastAsia="仿宋" w:cs="仿宋"/>
          <w:bCs/>
          <w:color w:val="auto"/>
          <w:kern w:val="0"/>
          <w:sz w:val="24"/>
          <w:szCs w:val="24"/>
          <w:highlight w:val="none"/>
        </w:rPr>
        <w:t>条  智慧养老服务内容</w:t>
      </w:r>
    </w:p>
    <w:p w14:paraId="3FB3209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（一）一类服务内容</w:t>
      </w:r>
    </w:p>
    <w:p w14:paraId="2CE6756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1.</w:t>
      </w:r>
      <w:r>
        <w:rPr>
          <w:rFonts w:hint="eastAsia" w:ascii="仿宋" w:hAnsi="仿宋" w:eastAsia="仿宋" w:cs="仿宋"/>
          <w:bCs/>
          <w:color w:val="auto"/>
          <w:kern w:val="0"/>
          <w:sz w:val="24"/>
          <w:szCs w:val="24"/>
          <w:highlight w:val="none"/>
        </w:rPr>
        <w:t>紧急呼叫服务。</w:t>
      </w:r>
    </w:p>
    <w:p w14:paraId="1F3F659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rPr>
        <w:t>.主动关怀服务。</w:t>
      </w:r>
    </w:p>
    <w:p w14:paraId="207C514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3</w:t>
      </w:r>
      <w:r>
        <w:rPr>
          <w:rFonts w:hint="eastAsia" w:ascii="仿宋" w:hAnsi="仿宋" w:eastAsia="仿宋" w:cs="仿宋"/>
          <w:bCs/>
          <w:color w:val="auto"/>
          <w:kern w:val="0"/>
          <w:sz w:val="24"/>
          <w:szCs w:val="24"/>
          <w:highlight w:val="none"/>
        </w:rPr>
        <w:t>.特殊助急服务。</w:t>
      </w:r>
    </w:p>
    <w:p w14:paraId="3929E0F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二</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二类、三类服务</w:t>
      </w:r>
      <w:r>
        <w:rPr>
          <w:rFonts w:hint="eastAsia" w:ascii="仿宋" w:hAnsi="仿宋" w:eastAsia="仿宋" w:cs="仿宋"/>
          <w:bCs/>
          <w:color w:val="auto"/>
          <w:kern w:val="0"/>
          <w:sz w:val="24"/>
          <w:szCs w:val="24"/>
          <w:highlight w:val="none"/>
          <w:lang w:val="en-US" w:eastAsia="zh-CN"/>
        </w:rPr>
        <w:t>内容</w:t>
      </w:r>
    </w:p>
    <w:p w14:paraId="41A9B8E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“七助”服务、区域内政府购买服务及公益服务。</w:t>
      </w:r>
    </w:p>
    <w:p w14:paraId="0D4DA91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第</w:t>
      </w:r>
      <w:r>
        <w:rPr>
          <w:rFonts w:hint="eastAsia" w:ascii="仿宋" w:hAnsi="仿宋" w:eastAsia="仿宋" w:cs="仿宋"/>
          <w:bCs/>
          <w:color w:val="auto"/>
          <w:kern w:val="0"/>
          <w:sz w:val="24"/>
          <w:szCs w:val="24"/>
          <w:highlight w:val="none"/>
          <w:lang w:val="en-US" w:eastAsia="zh-CN"/>
        </w:rPr>
        <w:t>六</w:t>
      </w:r>
      <w:r>
        <w:rPr>
          <w:rFonts w:hint="eastAsia" w:ascii="仿宋" w:hAnsi="仿宋" w:eastAsia="仿宋" w:cs="仿宋"/>
          <w:bCs/>
          <w:color w:val="auto"/>
          <w:kern w:val="0"/>
          <w:sz w:val="24"/>
          <w:szCs w:val="24"/>
          <w:highlight w:val="none"/>
        </w:rPr>
        <w:t>条  智慧养老服务质量</w:t>
      </w:r>
    </w:p>
    <w:p w14:paraId="2528369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(一)智慧养老服务满意率</w:t>
      </w:r>
    </w:p>
    <w:p w14:paraId="204CEB1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(二)平台服务商诚信度</w:t>
      </w:r>
    </w:p>
    <w:p w14:paraId="49F55232">
      <w:pPr>
        <w:keepNext w:val="0"/>
        <w:keepLines w:val="0"/>
        <w:pageBreakBefore w:val="0"/>
        <w:kinsoku/>
        <w:wordWrap/>
        <w:overflowPunct/>
        <w:topLinePunct w:val="0"/>
        <w:autoSpaceDE/>
        <w:autoSpaceDN/>
        <w:bidi w:val="0"/>
        <w:adjustRightInd w:val="0"/>
        <w:snapToGrid/>
        <w:spacing w:line="360" w:lineRule="auto"/>
        <w:ind w:firstLine="480" w:firstLineChars="20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第三章  考核要求</w:t>
      </w:r>
    </w:p>
    <w:p w14:paraId="4EEBF54A">
      <w:pPr>
        <w:widowControl/>
        <w:adjustRightInd w:val="0"/>
        <w:snapToGrid w:val="0"/>
        <w:spacing w:line="336" w:lineRule="auto"/>
        <w:jc w:val="center"/>
        <w:rPr>
          <w:rFonts w:hint="eastAsia" w:ascii="仿宋" w:hAnsi="仿宋" w:eastAsia="仿宋" w:cs="仿宋"/>
          <w:color w:val="auto"/>
          <w:kern w:val="0"/>
          <w:sz w:val="24"/>
          <w:szCs w:val="24"/>
          <w:highlight w:val="none"/>
        </w:rPr>
      </w:pPr>
    </w:p>
    <w:p w14:paraId="2965278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第七条  落实智慧养老综合服务</w:t>
      </w:r>
    </w:p>
    <w:p w14:paraId="455774B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(一)区、县（市）平台服务商应对签约老人发出的紧急呼叫、特殊助急请求作出快速响应，并妥善处理。</w:t>
      </w:r>
    </w:p>
    <w:p w14:paraId="09DCAF1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(二)区、县（市）平台服务商依约为孤寡老人及有需求的独居老人提供主动关怀服务。</w:t>
      </w:r>
    </w:p>
    <w:p w14:paraId="032805B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(三)区、县（市）平台服务商应为签约老人提供高效、优质的“七助”、区域内政府购买服务及公益服务。</w:t>
      </w:r>
    </w:p>
    <w:p w14:paraId="689282C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第八条  区、县（市）平台服务商应按时为签约老人发放并开通服务终端，并提供及时到位的售后服务。</w:t>
      </w:r>
    </w:p>
    <w:p w14:paraId="396CC6C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第九条  区、县（市）平台服务商应按照规定的时间和方式，及时、准确、完整地提供各类服务信息，无错报、漏报、虚报、估报、瞒报等现象。</w:t>
      </w:r>
    </w:p>
    <w:p w14:paraId="48A401B8">
      <w:pPr>
        <w:widowControl/>
        <w:adjustRightInd w:val="0"/>
        <w:snapToGrid w:val="0"/>
        <w:spacing w:line="336" w:lineRule="auto"/>
        <w:ind w:firstLine="645"/>
        <w:jc w:val="left"/>
        <w:rPr>
          <w:rFonts w:hint="eastAsia" w:ascii="仿宋" w:hAnsi="仿宋" w:eastAsia="仿宋" w:cs="仿宋"/>
          <w:color w:val="auto"/>
          <w:kern w:val="0"/>
          <w:sz w:val="24"/>
          <w:szCs w:val="24"/>
          <w:highlight w:val="none"/>
        </w:rPr>
      </w:pPr>
    </w:p>
    <w:p w14:paraId="33C75C7E">
      <w:pPr>
        <w:keepNext w:val="0"/>
        <w:keepLines w:val="0"/>
        <w:pageBreakBefore w:val="0"/>
        <w:kinsoku/>
        <w:wordWrap/>
        <w:overflowPunct/>
        <w:topLinePunct w:val="0"/>
        <w:autoSpaceDE/>
        <w:autoSpaceDN/>
        <w:bidi w:val="0"/>
        <w:adjustRightInd w:val="0"/>
        <w:snapToGrid/>
        <w:spacing w:line="360" w:lineRule="auto"/>
        <w:ind w:firstLine="480" w:firstLineChars="20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第四章  考核方法</w:t>
      </w:r>
    </w:p>
    <w:p w14:paraId="2DDC9535">
      <w:pPr>
        <w:widowControl/>
        <w:adjustRightInd w:val="0"/>
        <w:snapToGrid w:val="0"/>
        <w:spacing w:line="336" w:lineRule="auto"/>
        <w:ind w:firstLine="645"/>
        <w:jc w:val="left"/>
        <w:rPr>
          <w:rFonts w:hint="eastAsia" w:ascii="仿宋" w:hAnsi="仿宋" w:eastAsia="仿宋" w:cs="仿宋"/>
          <w:color w:val="auto"/>
          <w:kern w:val="0"/>
          <w:sz w:val="24"/>
          <w:szCs w:val="24"/>
          <w:highlight w:val="none"/>
          <w:lang w:val="en-US" w:eastAsia="zh-CN"/>
        </w:rPr>
      </w:pPr>
    </w:p>
    <w:p w14:paraId="7643D58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第十条  考核总分计分标准</w:t>
      </w:r>
    </w:p>
    <w:p w14:paraId="08F5E18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考核总分为100分（各分项分值扣完为止，数据真实性考核扣分除外）。其中，紧急呼叫服务考核20分、主动关怀服务考核30分、特殊助急服务考核5分、智慧养老二类及三类服务考核10分、服务满意率考核10分、服务商诚信度考核25分（详见附件1）。</w:t>
      </w:r>
    </w:p>
    <w:p w14:paraId="51E006A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考核涉及的所有比率、完成率、满意率均采取四舍五入、保留小数点后2位的方式计算。</w:t>
      </w:r>
    </w:p>
    <w:p w14:paraId="19EFB75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第十一条  紧急呼叫服务计分标准</w:t>
      </w:r>
    </w:p>
    <w:p w14:paraId="67EC05C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(一)接到服务请求后1分钟内必须响应，超过1分钟未作出响应的每次扣0.2分。</w:t>
      </w:r>
    </w:p>
    <w:p w14:paraId="171BB24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(二)10分钟以内完成与紧急联系人或相关联系人的确认，未按规定时间完成的每次扣0.2分。</w:t>
      </w:r>
    </w:p>
    <w:p w14:paraId="61D8863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(三)全过程跟进，3小时以内完成回访并确认最终状态，未按规定时间完成的每次扣0.1分。</w:t>
      </w:r>
    </w:p>
    <w:p w14:paraId="39E4FE0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第十二条  主动关怀服务计分标准</w:t>
      </w:r>
    </w:p>
    <w:p w14:paraId="4280E0D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一)根据签约孤寡、独居老人需求提供主动关怀服务（名单由各区审核确认）。区、县（市）平台服务商应根据老人实际情况，提供电话问候、上门慰问、定期活动等多种形式的主动关怀服务，并按照市级监管平台要求记录台账。</w:t>
      </w:r>
    </w:p>
    <w:p w14:paraId="12ABF41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(二)区、县（市）平台服务商应对主动关怀名单以外的签约老人每季度回访一次，并按照市级监管平台要求记录台账。</w:t>
      </w:r>
    </w:p>
    <w:p w14:paraId="4F360C8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当季完成率高于90%（含）的，不扣分；完成率在80%（含）-90%之间的扣2分；完成率在80%以下的扣5分。未按约定提供主动关怀服务，造成重大不良社会影响的，每出现一次扣10分。</w:t>
      </w:r>
    </w:p>
    <w:p w14:paraId="1070E7E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第十三条  特殊助急服务计分标准</w:t>
      </w:r>
    </w:p>
    <w:p w14:paraId="307DF68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在特殊助急时间段内（18:00-次日8:00），区、县（市）平台服务商对于签约老年人发出的家中水管爆裂及电路故障两类突发情况服务请求，应通过电话、上门等服务形式对突发情况进行响应，如当前突发情况无法通过电话沟通解决或用户要求提供上门服务的，必须提供上门服务。未响应或未按要求提供服务的，每次扣0.1分。</w:t>
      </w:r>
    </w:p>
    <w:p w14:paraId="46DF27D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第十四条  智慧养老二类、三类服务计分标准</w:t>
      </w:r>
    </w:p>
    <w:p w14:paraId="5AA2F79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智慧养老二类、三类服务根据其价值不同赋予其相应的分值（详见附件2），为享受政府养老服务补贴对象提供的区级政府购买服务及自费签约的老人提供的各项生活服务不计算在内，签约人数以每季度考核截止时点为准（3月31日24点、6月30日24点、9月30日24点、12月31日24点）。</w:t>
      </w:r>
    </w:p>
    <w:p w14:paraId="30EA7E6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(一)每季度合同期内，有效生活服务累计积分/签约人数比率高于0.25（含）的，不扣分。</w:t>
      </w:r>
    </w:p>
    <w:p w14:paraId="214B619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(二)每季度合同期内，有效生活服务累计积分/签约人数比率在0.2（含）至0.25之间的，扣2分。</w:t>
      </w:r>
    </w:p>
    <w:p w14:paraId="6112FAF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(三)每季度合同期内，有效生活服务累计积分/签约人数比率在0.15（含）至0.2之间的，扣4分。</w:t>
      </w:r>
    </w:p>
    <w:p w14:paraId="7D2F503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(四)每季度合同期内，有效生活服务累计积分/签约人数比率在0.1（含）至0.15之间的，扣5分。</w:t>
      </w:r>
    </w:p>
    <w:p w14:paraId="364664E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(五)每季度合同期内，有效生活服务累计积分/签约人数比率在0.05（含）至0.1之间的，扣8分。</w:t>
      </w:r>
    </w:p>
    <w:p w14:paraId="1D60B57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(六)每季度合同期内，有效生活服务累计积分/签约人数比率低于0.05的，扣10分。</w:t>
      </w:r>
    </w:p>
    <w:p w14:paraId="5898926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服务积分每季度考核结束后自动清零。</w:t>
      </w:r>
    </w:p>
    <w:p w14:paraId="69C2E5C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第十五条  服务满意率计分标准</w:t>
      </w:r>
    </w:p>
    <w:p w14:paraId="055AAA4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(一)紧急呼叫服务满意率计分标准</w:t>
      </w:r>
    </w:p>
    <w:p w14:paraId="10C1902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对区、县（市）平台服务商提供的所有紧急呼叫服务进行全程质量跟踪和满意率调查，整体满意率高于90%（含）的不扣分，低于90%的扣2分。</w:t>
      </w:r>
    </w:p>
    <w:p w14:paraId="1647AD4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(二)主动关怀服务满意率计分标准</w:t>
      </w:r>
    </w:p>
    <w:p w14:paraId="40E9A7D9">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对区、县（市）平台服务商主动关怀服务进行满意率调查，整体满意率高于90%（含）的不扣分，低于90%的扣2分。</w:t>
      </w:r>
    </w:p>
    <w:p w14:paraId="6CD7DE2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(三)特殊助急服务满意率计分标准.</w:t>
      </w:r>
    </w:p>
    <w:p w14:paraId="32515E3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对区、县（市）平台服务商提供的所有特殊助急服务进行满意率调查，整体满意率高于90%（含）的不扣分，低于90%的扣2分。</w:t>
      </w:r>
    </w:p>
    <w:p w14:paraId="2A0C8AB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(四) 智慧养老二类、三类服务满意率计分标准</w:t>
      </w:r>
    </w:p>
    <w:p w14:paraId="372DF69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对区、县（市）平台服务商提供的智慧养老二类、三类服务进行满意率调查，整体满意率高于90%（含）的不扣分，低于90%的扣2分。</w:t>
      </w:r>
    </w:p>
    <w:p w14:paraId="11C8240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(五)综合满意率计分标准</w:t>
      </w:r>
    </w:p>
    <w:p w14:paraId="6643833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对区、县（市）平台服务商提供的各项服务，面向区民政局（社发局）、街道、社区相关工作人员进行满意率调查，整体满意率高于90%（含）的不扣分，低于90%的扣2分。</w:t>
      </w:r>
    </w:p>
    <w:p w14:paraId="75B5C20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服务满意率每季度出具一次考核结果，考核结束后自动清零。</w:t>
      </w:r>
    </w:p>
    <w:p w14:paraId="0904B36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第十六条  区、县（市）平台服务商诚信度计分标准</w:t>
      </w:r>
    </w:p>
    <w:p w14:paraId="207D971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(一)服务终端按时发放</w:t>
      </w:r>
    </w:p>
    <w:p w14:paraId="314E393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区、县（市）平台服务商应在收到市级监管平台推送的信息后20个自然日（含）内为新签约老人（含户籍迁移老人）发放并开通服务终端，逾期每例扣0.05分（以市级监管平台抓取到老人签约信息的时间点为准）。</w:t>
      </w:r>
    </w:p>
    <w:p w14:paraId="0CD9C6C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(二)售后服务及时到位</w:t>
      </w:r>
    </w:p>
    <w:p w14:paraId="4B0844F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区、县（市）平台服务商因售后服务不到位导致的签约老人投诉事件，经核实确认，每例扣0.05分。</w:t>
      </w:r>
    </w:p>
    <w:p w14:paraId="7571A8A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区、县（市）平台服务商应在15个自然日内完成终端维修工作，超出该期限应为老人提供代替的备用机，若不能提供的，逾期每例扣0.05分。</w:t>
      </w:r>
    </w:p>
    <w:p w14:paraId="7C316FF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因签约老人投诉，经查实为有效投诉的，每例扣0.1分。</w:t>
      </w:r>
    </w:p>
    <w:p w14:paraId="556D8D7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(三)各类数据质量计分标准</w:t>
      </w:r>
    </w:p>
    <w:p w14:paraId="7560296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1.真实性。市级监管平台发现存疑数据后反馈给区、县（市）平台服务商，在经提醒后1个工作日内无法作出合理说明的，每个存疑数据扣0.1分，本项无扣分上限。</w:t>
      </w:r>
    </w:p>
    <w:p w14:paraId="3B4B4CD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2.完整性。市级监管平台发现不完整的数据后反馈给平台服务商，在经提醒后1个工作日内数据完整率仍不能达到90%的，每个扣0.1分。</w:t>
      </w:r>
    </w:p>
    <w:p w14:paraId="2120DB6C">
      <w:pPr>
        <w:widowControl/>
        <w:adjustRightInd w:val="0"/>
        <w:snapToGrid w:val="0"/>
        <w:spacing w:line="336" w:lineRule="auto"/>
        <w:jc w:val="center"/>
        <w:rPr>
          <w:rFonts w:hint="eastAsia" w:ascii="仿宋" w:hAnsi="仿宋" w:eastAsia="仿宋" w:cs="仿宋"/>
          <w:bCs/>
          <w:color w:val="auto"/>
          <w:kern w:val="0"/>
          <w:sz w:val="24"/>
          <w:szCs w:val="24"/>
          <w:highlight w:val="none"/>
        </w:rPr>
      </w:pPr>
    </w:p>
    <w:p w14:paraId="47FCFC54">
      <w:pPr>
        <w:keepNext w:val="0"/>
        <w:keepLines w:val="0"/>
        <w:pageBreakBefore w:val="0"/>
        <w:kinsoku/>
        <w:wordWrap/>
        <w:overflowPunct/>
        <w:topLinePunct w:val="0"/>
        <w:autoSpaceDE/>
        <w:autoSpaceDN/>
        <w:bidi w:val="0"/>
        <w:adjustRightInd w:val="0"/>
        <w:snapToGrid/>
        <w:spacing w:line="360" w:lineRule="auto"/>
        <w:ind w:firstLine="480" w:firstLineChars="200"/>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第五章　附　则</w:t>
      </w:r>
    </w:p>
    <w:p w14:paraId="747A5FB2">
      <w:pPr>
        <w:widowControl/>
        <w:adjustRightInd w:val="0"/>
        <w:snapToGrid w:val="0"/>
        <w:spacing w:line="336" w:lineRule="auto"/>
        <w:jc w:val="center"/>
        <w:rPr>
          <w:rFonts w:hint="eastAsia" w:ascii="仿宋" w:hAnsi="仿宋" w:eastAsia="仿宋" w:cs="仿宋"/>
          <w:b/>
          <w:color w:val="auto"/>
          <w:kern w:val="0"/>
          <w:sz w:val="24"/>
          <w:szCs w:val="24"/>
          <w:highlight w:val="none"/>
        </w:rPr>
      </w:pPr>
    </w:p>
    <w:p w14:paraId="34C532D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第十七条  杭州市民政局定期公布市级监管平台统计汇总的各区、县（市）智慧养老呼叫综合服务监管考核得分情况，考核结果将与资金挂钩。</w:t>
      </w:r>
    </w:p>
    <w:p w14:paraId="1CCA4F6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第十八条  区、县（市）服务商季度绩效评价结果为不合格的，属地民政局（社发局）有权终止与该服务商的合同或不续签合同。</w:t>
      </w:r>
    </w:p>
    <w:p w14:paraId="696DAC9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第十九条 考核结果将与资金挂钩，计算细则详见资金补助文件。</w:t>
      </w:r>
    </w:p>
    <w:p w14:paraId="08CACEC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第二十条  本办法自2024年1 月1 日起施行，在法律规定的范围内，由杭州市民政局负责解释。《杭州市智慧养老综合服务监管考核暂行办法》（杭民发〔2017〕371号）同时废止。</w:t>
      </w:r>
    </w:p>
    <w:p w14:paraId="32DAA6A4">
      <w:pPr>
        <w:widowControl/>
        <w:adjustRightInd w:val="0"/>
        <w:snapToGrid w:val="0"/>
        <w:spacing w:line="336" w:lineRule="auto"/>
        <w:ind w:firstLine="630"/>
        <w:jc w:val="left"/>
        <w:rPr>
          <w:rFonts w:hint="eastAsia" w:ascii="仿宋" w:hAnsi="仿宋" w:eastAsia="仿宋" w:cs="仿宋"/>
          <w:color w:val="auto"/>
          <w:kern w:val="0"/>
          <w:sz w:val="24"/>
          <w:szCs w:val="24"/>
          <w:highlight w:val="none"/>
        </w:rPr>
      </w:pPr>
    </w:p>
    <w:p w14:paraId="0CB399D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附件：1.考核评分表</w:t>
      </w:r>
    </w:p>
    <w:p w14:paraId="2E28822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 xml:space="preserve">      2.智慧养老二类、三类服务积分表</w:t>
      </w:r>
    </w:p>
    <w:p w14:paraId="29D4E52A">
      <w:pPr>
        <w:widowControl/>
        <w:adjustRightInd w:val="0"/>
        <w:snapToGrid w:val="0"/>
        <w:spacing w:line="336" w:lineRule="auto"/>
        <w:jc w:val="left"/>
        <w:rPr>
          <w:rFonts w:hint="eastAsia" w:ascii="仿宋" w:hAnsi="仿宋" w:eastAsia="仿宋" w:cs="仿宋"/>
          <w:color w:val="auto"/>
          <w:kern w:val="0"/>
          <w:sz w:val="24"/>
          <w:szCs w:val="24"/>
          <w:highlight w:val="none"/>
        </w:rPr>
      </w:pPr>
    </w:p>
    <w:p w14:paraId="3F755CEC">
      <w:pPr>
        <w:widowControl/>
        <w:adjustRightInd w:val="0"/>
        <w:snapToGrid w:val="0"/>
        <w:spacing w:line="336" w:lineRule="auto"/>
        <w:jc w:val="left"/>
        <w:rPr>
          <w:rFonts w:hint="eastAsia" w:ascii="仿宋" w:hAnsi="仿宋" w:eastAsia="仿宋" w:cs="仿宋"/>
          <w:color w:val="auto"/>
          <w:kern w:val="0"/>
          <w:sz w:val="24"/>
          <w:szCs w:val="24"/>
          <w:highlight w:val="none"/>
        </w:rPr>
      </w:pPr>
    </w:p>
    <w:p w14:paraId="7423EBE8">
      <w:pPr>
        <w:widowControl/>
        <w:adjustRightInd w:val="0"/>
        <w:snapToGrid w:val="0"/>
        <w:spacing w:line="336" w:lineRule="auto"/>
        <w:jc w:val="left"/>
        <w:rPr>
          <w:rFonts w:hint="eastAsia" w:ascii="仿宋" w:hAnsi="仿宋" w:eastAsia="仿宋" w:cs="仿宋"/>
          <w:color w:val="auto"/>
          <w:kern w:val="0"/>
          <w:sz w:val="24"/>
          <w:szCs w:val="24"/>
          <w:highlight w:val="none"/>
        </w:rPr>
      </w:pPr>
    </w:p>
    <w:p w14:paraId="535A07C6">
      <w:pPr>
        <w:widowControl/>
        <w:adjustRightInd w:val="0"/>
        <w:snapToGrid w:val="0"/>
        <w:spacing w:line="336" w:lineRule="auto"/>
        <w:jc w:val="left"/>
        <w:rPr>
          <w:rFonts w:hint="eastAsia" w:ascii="仿宋" w:hAnsi="仿宋" w:eastAsia="仿宋" w:cs="仿宋"/>
          <w:color w:val="auto"/>
          <w:kern w:val="0"/>
          <w:sz w:val="24"/>
          <w:szCs w:val="24"/>
          <w:highlight w:val="none"/>
        </w:rPr>
      </w:pPr>
    </w:p>
    <w:p w14:paraId="28794F87">
      <w:pPr>
        <w:widowControl/>
        <w:adjustRightInd w:val="0"/>
        <w:snapToGrid w:val="0"/>
        <w:spacing w:line="336" w:lineRule="auto"/>
        <w:jc w:val="left"/>
        <w:rPr>
          <w:rFonts w:hint="eastAsia" w:ascii="仿宋" w:hAnsi="仿宋" w:eastAsia="仿宋" w:cs="仿宋"/>
          <w:color w:val="auto"/>
          <w:kern w:val="0"/>
          <w:sz w:val="24"/>
          <w:szCs w:val="24"/>
          <w:highlight w:val="none"/>
        </w:rPr>
      </w:pPr>
    </w:p>
    <w:p w14:paraId="23665851">
      <w:pPr>
        <w:widowControl/>
        <w:adjustRightInd w:val="0"/>
        <w:snapToGrid w:val="0"/>
        <w:spacing w:line="336" w:lineRule="auto"/>
        <w:jc w:val="left"/>
        <w:rPr>
          <w:rFonts w:hint="eastAsia" w:ascii="仿宋" w:hAnsi="仿宋" w:eastAsia="仿宋" w:cs="仿宋"/>
          <w:color w:val="auto"/>
          <w:kern w:val="0"/>
          <w:sz w:val="24"/>
          <w:szCs w:val="24"/>
          <w:highlight w:val="none"/>
        </w:rPr>
      </w:pPr>
    </w:p>
    <w:p w14:paraId="6AE6F4C9">
      <w:pPr>
        <w:widowControl/>
        <w:adjustRightInd w:val="0"/>
        <w:snapToGrid w:val="0"/>
        <w:spacing w:line="336" w:lineRule="auto"/>
        <w:jc w:val="left"/>
        <w:rPr>
          <w:rFonts w:hint="eastAsia" w:ascii="仿宋" w:hAnsi="仿宋" w:eastAsia="仿宋" w:cs="仿宋"/>
          <w:color w:val="auto"/>
          <w:kern w:val="0"/>
          <w:sz w:val="24"/>
          <w:szCs w:val="24"/>
          <w:highlight w:val="none"/>
        </w:rPr>
      </w:pPr>
    </w:p>
    <w:p w14:paraId="3413D8E7">
      <w:pPr>
        <w:widowControl/>
        <w:adjustRightInd w:val="0"/>
        <w:snapToGrid w:val="0"/>
        <w:spacing w:line="336" w:lineRule="auto"/>
        <w:jc w:val="left"/>
        <w:rPr>
          <w:rFonts w:hint="eastAsia" w:ascii="仿宋" w:hAnsi="仿宋" w:eastAsia="仿宋" w:cs="仿宋"/>
          <w:color w:val="auto"/>
          <w:kern w:val="0"/>
          <w:sz w:val="24"/>
          <w:szCs w:val="24"/>
          <w:highlight w:val="none"/>
        </w:rPr>
      </w:pPr>
    </w:p>
    <w:p w14:paraId="222A9651">
      <w:pPr>
        <w:widowControl/>
        <w:adjustRightInd w:val="0"/>
        <w:snapToGrid w:val="0"/>
        <w:spacing w:line="336" w:lineRule="auto"/>
        <w:jc w:val="left"/>
        <w:rPr>
          <w:rFonts w:hint="eastAsia" w:ascii="仿宋" w:hAnsi="仿宋" w:eastAsia="仿宋" w:cs="仿宋"/>
          <w:color w:val="auto"/>
          <w:kern w:val="0"/>
          <w:sz w:val="24"/>
          <w:szCs w:val="24"/>
          <w:highlight w:val="none"/>
        </w:rPr>
      </w:pPr>
    </w:p>
    <w:p w14:paraId="2F946938">
      <w:pPr>
        <w:widowControl/>
        <w:adjustRightInd w:val="0"/>
        <w:snapToGrid w:val="0"/>
        <w:spacing w:line="336" w:lineRule="auto"/>
        <w:jc w:val="left"/>
        <w:rPr>
          <w:rFonts w:hint="eastAsia" w:ascii="仿宋" w:hAnsi="仿宋" w:eastAsia="仿宋" w:cs="仿宋"/>
          <w:color w:val="auto"/>
          <w:kern w:val="0"/>
          <w:sz w:val="24"/>
          <w:szCs w:val="24"/>
          <w:highlight w:val="none"/>
        </w:rPr>
      </w:pPr>
    </w:p>
    <w:p w14:paraId="0AF30BFF">
      <w:pPr>
        <w:widowControl/>
        <w:adjustRightInd w:val="0"/>
        <w:snapToGrid w:val="0"/>
        <w:spacing w:line="336" w:lineRule="auto"/>
        <w:jc w:val="left"/>
        <w:rPr>
          <w:rFonts w:hint="eastAsia" w:ascii="仿宋" w:hAnsi="仿宋" w:eastAsia="仿宋" w:cs="仿宋"/>
          <w:color w:val="auto"/>
          <w:kern w:val="0"/>
          <w:sz w:val="24"/>
          <w:szCs w:val="24"/>
          <w:highlight w:val="none"/>
        </w:rPr>
      </w:pPr>
    </w:p>
    <w:p w14:paraId="076CD7B8">
      <w:pPr>
        <w:widowControl/>
        <w:adjustRightInd w:val="0"/>
        <w:snapToGrid w:val="0"/>
        <w:spacing w:line="336" w:lineRule="auto"/>
        <w:jc w:val="left"/>
        <w:rPr>
          <w:rFonts w:hint="eastAsia" w:ascii="仿宋" w:hAnsi="仿宋" w:eastAsia="仿宋" w:cs="仿宋"/>
          <w:color w:val="auto"/>
          <w:kern w:val="0"/>
          <w:sz w:val="24"/>
          <w:szCs w:val="24"/>
          <w:highlight w:val="none"/>
        </w:rPr>
      </w:pPr>
    </w:p>
    <w:p w14:paraId="4FAC070B">
      <w:pPr>
        <w:widowControl/>
        <w:adjustRightInd w:val="0"/>
        <w:snapToGrid w:val="0"/>
        <w:spacing w:line="336" w:lineRule="auto"/>
        <w:jc w:val="left"/>
        <w:rPr>
          <w:rFonts w:hint="eastAsia" w:ascii="仿宋" w:hAnsi="仿宋" w:eastAsia="仿宋" w:cs="仿宋"/>
          <w:color w:val="auto"/>
          <w:kern w:val="0"/>
          <w:sz w:val="24"/>
          <w:szCs w:val="24"/>
          <w:highlight w:val="none"/>
        </w:rPr>
      </w:pPr>
    </w:p>
    <w:p w14:paraId="070094E7">
      <w:pPr>
        <w:widowControl/>
        <w:adjustRightInd w:val="0"/>
        <w:snapToGrid w:val="0"/>
        <w:spacing w:line="336" w:lineRule="auto"/>
        <w:jc w:val="left"/>
        <w:rPr>
          <w:rFonts w:hint="eastAsia" w:ascii="仿宋" w:hAnsi="仿宋" w:eastAsia="仿宋" w:cs="仿宋"/>
          <w:color w:val="auto"/>
          <w:kern w:val="0"/>
          <w:sz w:val="24"/>
          <w:szCs w:val="24"/>
          <w:highlight w:val="none"/>
        </w:rPr>
      </w:pPr>
    </w:p>
    <w:p w14:paraId="561ADA5F">
      <w:pPr>
        <w:widowControl/>
        <w:adjustRightInd w:val="0"/>
        <w:snapToGrid w:val="0"/>
        <w:spacing w:line="336" w:lineRule="auto"/>
        <w:jc w:val="left"/>
        <w:rPr>
          <w:rFonts w:hint="eastAsia" w:ascii="仿宋" w:hAnsi="仿宋" w:eastAsia="仿宋" w:cs="仿宋"/>
          <w:color w:val="auto"/>
          <w:kern w:val="0"/>
          <w:sz w:val="24"/>
          <w:szCs w:val="24"/>
          <w:highlight w:val="none"/>
        </w:rPr>
      </w:pPr>
    </w:p>
    <w:p w14:paraId="05A9DD2C">
      <w:pPr>
        <w:widowControl/>
        <w:adjustRightInd w:val="0"/>
        <w:snapToGrid w:val="0"/>
        <w:spacing w:line="336" w:lineRule="auto"/>
        <w:jc w:val="left"/>
        <w:rPr>
          <w:rFonts w:hint="eastAsia" w:ascii="仿宋" w:hAnsi="仿宋" w:eastAsia="仿宋" w:cs="仿宋"/>
          <w:color w:val="auto"/>
          <w:kern w:val="0"/>
          <w:sz w:val="24"/>
          <w:szCs w:val="24"/>
          <w:highlight w:val="none"/>
        </w:rPr>
      </w:pPr>
    </w:p>
    <w:p w14:paraId="37319D5D">
      <w:pPr>
        <w:widowControl/>
        <w:adjustRightInd w:val="0"/>
        <w:snapToGrid w:val="0"/>
        <w:spacing w:line="336" w:lineRule="auto"/>
        <w:jc w:val="left"/>
        <w:rPr>
          <w:rFonts w:hint="eastAsia" w:ascii="仿宋" w:hAnsi="仿宋" w:eastAsia="仿宋" w:cs="仿宋"/>
          <w:color w:val="auto"/>
          <w:kern w:val="0"/>
          <w:sz w:val="24"/>
          <w:szCs w:val="24"/>
          <w:highlight w:val="none"/>
        </w:rPr>
      </w:pPr>
    </w:p>
    <w:p w14:paraId="184B99DB">
      <w:pPr>
        <w:widowControl/>
        <w:adjustRightInd w:val="0"/>
        <w:snapToGrid w:val="0"/>
        <w:spacing w:line="336"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附件1</w:t>
      </w:r>
    </w:p>
    <w:p w14:paraId="1FA1E254">
      <w:pPr>
        <w:widowControl/>
        <w:wordWrap w:val="0"/>
        <w:spacing w:line="6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考核评分表</w:t>
      </w:r>
    </w:p>
    <w:p w14:paraId="0A0F5B72">
      <w:pPr>
        <w:widowControl/>
        <w:wordWrap w:val="0"/>
        <w:spacing w:line="200" w:lineRule="exact"/>
        <w:jc w:val="center"/>
        <w:rPr>
          <w:rFonts w:hint="eastAsia" w:ascii="仿宋" w:hAnsi="仿宋" w:eastAsia="仿宋" w:cs="仿宋"/>
          <w:color w:val="auto"/>
          <w:kern w:val="0"/>
          <w:sz w:val="24"/>
          <w:szCs w:val="24"/>
          <w:highlight w:val="none"/>
        </w:rPr>
      </w:pPr>
    </w:p>
    <w:tbl>
      <w:tblPr>
        <w:tblStyle w:val="63"/>
        <w:tblW w:w="0" w:type="auto"/>
        <w:jc w:val="center"/>
        <w:tblLayout w:type="fixed"/>
        <w:tblCellMar>
          <w:top w:w="0" w:type="dxa"/>
          <w:left w:w="108" w:type="dxa"/>
          <w:bottom w:w="0" w:type="dxa"/>
          <w:right w:w="108" w:type="dxa"/>
        </w:tblCellMar>
      </w:tblPr>
      <w:tblGrid>
        <w:gridCol w:w="1118"/>
        <w:gridCol w:w="973"/>
        <w:gridCol w:w="1229"/>
        <w:gridCol w:w="2824"/>
        <w:gridCol w:w="1389"/>
        <w:gridCol w:w="1410"/>
      </w:tblGrid>
      <w:tr w14:paraId="5EEBBF5F">
        <w:tblPrEx>
          <w:tblCellMar>
            <w:top w:w="0" w:type="dxa"/>
            <w:left w:w="108" w:type="dxa"/>
            <w:bottom w:w="0" w:type="dxa"/>
            <w:right w:w="108" w:type="dxa"/>
          </w:tblCellMar>
        </w:tblPrEx>
        <w:trPr>
          <w:trHeight w:val="626"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14:paraId="0B1C60F5">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2202" w:type="dxa"/>
            <w:gridSpan w:val="2"/>
            <w:tcBorders>
              <w:top w:val="single" w:color="auto" w:sz="4" w:space="0"/>
              <w:left w:val="nil"/>
              <w:bottom w:val="single" w:color="auto" w:sz="4" w:space="0"/>
              <w:right w:val="single" w:color="auto" w:sz="4" w:space="0"/>
            </w:tcBorders>
            <w:noWrap w:val="0"/>
            <w:vAlign w:val="center"/>
          </w:tcPr>
          <w:p w14:paraId="77F09FA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考核内容</w:t>
            </w:r>
          </w:p>
        </w:tc>
        <w:tc>
          <w:tcPr>
            <w:tcW w:w="2824" w:type="dxa"/>
            <w:tcBorders>
              <w:top w:val="single" w:color="auto" w:sz="4" w:space="0"/>
              <w:left w:val="nil"/>
              <w:bottom w:val="single" w:color="auto" w:sz="4" w:space="0"/>
              <w:right w:val="single" w:color="auto" w:sz="4" w:space="0"/>
            </w:tcBorders>
            <w:noWrap w:val="0"/>
            <w:vAlign w:val="center"/>
          </w:tcPr>
          <w:p w14:paraId="2077F5C8">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具体项目</w:t>
            </w:r>
          </w:p>
        </w:tc>
        <w:tc>
          <w:tcPr>
            <w:tcW w:w="1389" w:type="dxa"/>
            <w:tcBorders>
              <w:top w:val="single" w:color="auto" w:sz="4" w:space="0"/>
              <w:left w:val="nil"/>
              <w:bottom w:val="single" w:color="auto" w:sz="4" w:space="0"/>
              <w:right w:val="single" w:color="auto" w:sz="4" w:space="0"/>
            </w:tcBorders>
            <w:noWrap w:val="0"/>
            <w:vAlign w:val="center"/>
          </w:tcPr>
          <w:p w14:paraId="3E542D5F">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评分标准</w:t>
            </w:r>
          </w:p>
        </w:tc>
        <w:tc>
          <w:tcPr>
            <w:tcW w:w="1410" w:type="dxa"/>
            <w:tcBorders>
              <w:top w:val="single" w:color="auto" w:sz="4" w:space="0"/>
              <w:left w:val="nil"/>
              <w:bottom w:val="single" w:color="auto" w:sz="4" w:space="0"/>
              <w:right w:val="single" w:color="auto" w:sz="4" w:space="0"/>
            </w:tcBorders>
            <w:noWrap w:val="0"/>
            <w:vAlign w:val="center"/>
          </w:tcPr>
          <w:p w14:paraId="5709A9E3">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r>
      <w:tr w14:paraId="7A7CF423">
        <w:tblPrEx>
          <w:tblCellMar>
            <w:top w:w="0" w:type="dxa"/>
            <w:left w:w="108" w:type="dxa"/>
            <w:bottom w:w="0" w:type="dxa"/>
            <w:right w:w="108" w:type="dxa"/>
          </w:tblCellMar>
        </w:tblPrEx>
        <w:trPr>
          <w:trHeight w:val="626" w:hRule="atLeast"/>
          <w:jc w:val="center"/>
        </w:trPr>
        <w:tc>
          <w:tcPr>
            <w:tcW w:w="1118" w:type="dxa"/>
            <w:tcBorders>
              <w:top w:val="nil"/>
              <w:left w:val="single" w:color="auto" w:sz="4" w:space="0"/>
              <w:bottom w:val="single" w:color="auto" w:sz="4" w:space="0"/>
              <w:right w:val="single" w:color="auto" w:sz="4" w:space="0"/>
            </w:tcBorders>
            <w:noWrap w:val="0"/>
            <w:vAlign w:val="center"/>
          </w:tcPr>
          <w:p w14:paraId="061C20B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202"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14:paraId="2E2461D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服务内容</w:t>
            </w:r>
          </w:p>
        </w:tc>
        <w:tc>
          <w:tcPr>
            <w:tcW w:w="2824" w:type="dxa"/>
            <w:tcBorders>
              <w:top w:val="nil"/>
              <w:left w:val="nil"/>
              <w:bottom w:val="single" w:color="auto" w:sz="4" w:space="0"/>
              <w:right w:val="single" w:color="auto" w:sz="4" w:space="0"/>
            </w:tcBorders>
            <w:noWrap w:val="0"/>
            <w:vAlign w:val="center"/>
          </w:tcPr>
          <w:p w14:paraId="71460252">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紧急呼叫服务处理情况</w:t>
            </w:r>
          </w:p>
        </w:tc>
        <w:tc>
          <w:tcPr>
            <w:tcW w:w="1389" w:type="dxa"/>
            <w:tcBorders>
              <w:top w:val="nil"/>
              <w:left w:val="nil"/>
              <w:bottom w:val="single" w:color="auto" w:sz="4" w:space="0"/>
              <w:right w:val="single" w:color="auto" w:sz="4" w:space="0"/>
            </w:tcBorders>
            <w:noWrap w:val="0"/>
            <w:vAlign w:val="center"/>
          </w:tcPr>
          <w:p w14:paraId="4A5229C0">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及时性、规范性</w:t>
            </w:r>
          </w:p>
        </w:tc>
        <w:tc>
          <w:tcPr>
            <w:tcW w:w="1410" w:type="dxa"/>
            <w:tcBorders>
              <w:top w:val="nil"/>
              <w:left w:val="nil"/>
              <w:bottom w:val="single" w:color="auto" w:sz="4" w:space="0"/>
              <w:right w:val="single" w:color="auto" w:sz="4" w:space="0"/>
            </w:tcBorders>
            <w:noWrap w:val="0"/>
            <w:vAlign w:val="center"/>
          </w:tcPr>
          <w:p w14:paraId="0803509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r>
      <w:tr w14:paraId="777AB1EA">
        <w:tblPrEx>
          <w:tblCellMar>
            <w:top w:w="0" w:type="dxa"/>
            <w:left w:w="108" w:type="dxa"/>
            <w:bottom w:w="0" w:type="dxa"/>
            <w:right w:w="108" w:type="dxa"/>
          </w:tblCellMar>
        </w:tblPrEx>
        <w:trPr>
          <w:trHeight w:val="626" w:hRule="atLeast"/>
          <w:jc w:val="center"/>
        </w:trPr>
        <w:tc>
          <w:tcPr>
            <w:tcW w:w="1118" w:type="dxa"/>
            <w:tcBorders>
              <w:top w:val="nil"/>
              <w:left w:val="single" w:color="auto" w:sz="4" w:space="0"/>
              <w:bottom w:val="single" w:color="auto" w:sz="4" w:space="0"/>
              <w:right w:val="single" w:color="auto" w:sz="4" w:space="0"/>
            </w:tcBorders>
            <w:noWrap w:val="0"/>
            <w:vAlign w:val="center"/>
          </w:tcPr>
          <w:p w14:paraId="499A1C4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202" w:type="dxa"/>
            <w:gridSpan w:val="2"/>
            <w:vMerge w:val="continue"/>
            <w:tcBorders>
              <w:top w:val="nil"/>
              <w:left w:val="single" w:color="auto" w:sz="4" w:space="0"/>
              <w:bottom w:val="single" w:color="auto" w:sz="4" w:space="0"/>
              <w:right w:val="single" w:color="auto" w:sz="4" w:space="0"/>
            </w:tcBorders>
            <w:noWrap w:val="0"/>
            <w:vAlign w:val="center"/>
          </w:tcPr>
          <w:p w14:paraId="3081A200">
            <w:pPr>
              <w:widowControl/>
              <w:jc w:val="left"/>
              <w:rPr>
                <w:rFonts w:hint="eastAsia" w:ascii="仿宋" w:hAnsi="仿宋" w:eastAsia="仿宋" w:cs="仿宋"/>
                <w:color w:val="auto"/>
                <w:kern w:val="0"/>
                <w:sz w:val="24"/>
                <w:szCs w:val="24"/>
                <w:highlight w:val="none"/>
              </w:rPr>
            </w:pPr>
          </w:p>
        </w:tc>
        <w:tc>
          <w:tcPr>
            <w:tcW w:w="2824" w:type="dxa"/>
            <w:tcBorders>
              <w:top w:val="nil"/>
              <w:left w:val="nil"/>
              <w:bottom w:val="single" w:color="auto" w:sz="4" w:space="0"/>
              <w:right w:val="single" w:color="auto" w:sz="4" w:space="0"/>
            </w:tcBorders>
            <w:noWrap w:val="0"/>
            <w:vAlign w:val="center"/>
          </w:tcPr>
          <w:p w14:paraId="064F1218">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主动关怀服务完成情况</w:t>
            </w:r>
          </w:p>
        </w:tc>
        <w:tc>
          <w:tcPr>
            <w:tcW w:w="1389" w:type="dxa"/>
            <w:tcBorders>
              <w:top w:val="nil"/>
              <w:left w:val="nil"/>
              <w:bottom w:val="single" w:color="auto" w:sz="4" w:space="0"/>
              <w:right w:val="single" w:color="auto" w:sz="4" w:space="0"/>
            </w:tcBorders>
            <w:noWrap w:val="0"/>
            <w:vAlign w:val="center"/>
          </w:tcPr>
          <w:p w14:paraId="67062CEB">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每月履约率</w:t>
            </w:r>
          </w:p>
        </w:tc>
        <w:tc>
          <w:tcPr>
            <w:tcW w:w="1410" w:type="dxa"/>
            <w:tcBorders>
              <w:top w:val="nil"/>
              <w:left w:val="nil"/>
              <w:bottom w:val="single" w:color="auto" w:sz="4" w:space="0"/>
              <w:right w:val="single" w:color="auto" w:sz="4" w:space="0"/>
            </w:tcBorders>
            <w:noWrap w:val="0"/>
            <w:vAlign w:val="center"/>
          </w:tcPr>
          <w:p w14:paraId="26EB17E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w:t>
            </w:r>
          </w:p>
        </w:tc>
      </w:tr>
      <w:tr w14:paraId="1F492BE8">
        <w:tblPrEx>
          <w:tblCellMar>
            <w:top w:w="0" w:type="dxa"/>
            <w:left w:w="108" w:type="dxa"/>
            <w:bottom w:w="0" w:type="dxa"/>
            <w:right w:w="108" w:type="dxa"/>
          </w:tblCellMar>
        </w:tblPrEx>
        <w:trPr>
          <w:trHeight w:val="626" w:hRule="atLeast"/>
          <w:jc w:val="center"/>
        </w:trPr>
        <w:tc>
          <w:tcPr>
            <w:tcW w:w="1118" w:type="dxa"/>
            <w:tcBorders>
              <w:top w:val="nil"/>
              <w:left w:val="single" w:color="auto" w:sz="4" w:space="0"/>
              <w:bottom w:val="single" w:color="auto" w:sz="4" w:space="0"/>
              <w:right w:val="single" w:color="auto" w:sz="4" w:space="0"/>
            </w:tcBorders>
            <w:noWrap w:val="0"/>
            <w:vAlign w:val="center"/>
          </w:tcPr>
          <w:p w14:paraId="17D2050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202" w:type="dxa"/>
            <w:gridSpan w:val="2"/>
            <w:vMerge w:val="continue"/>
            <w:tcBorders>
              <w:top w:val="nil"/>
              <w:left w:val="single" w:color="auto" w:sz="4" w:space="0"/>
              <w:bottom w:val="single" w:color="auto" w:sz="4" w:space="0"/>
              <w:right w:val="single" w:color="auto" w:sz="4" w:space="0"/>
            </w:tcBorders>
            <w:noWrap w:val="0"/>
            <w:vAlign w:val="center"/>
          </w:tcPr>
          <w:p w14:paraId="109A7706">
            <w:pPr>
              <w:widowControl/>
              <w:jc w:val="left"/>
              <w:rPr>
                <w:rFonts w:hint="eastAsia" w:ascii="仿宋" w:hAnsi="仿宋" w:eastAsia="仿宋" w:cs="仿宋"/>
                <w:color w:val="auto"/>
                <w:kern w:val="0"/>
                <w:sz w:val="24"/>
                <w:szCs w:val="24"/>
                <w:highlight w:val="none"/>
              </w:rPr>
            </w:pPr>
          </w:p>
        </w:tc>
        <w:tc>
          <w:tcPr>
            <w:tcW w:w="2824" w:type="dxa"/>
            <w:tcBorders>
              <w:top w:val="nil"/>
              <w:left w:val="nil"/>
              <w:bottom w:val="single" w:color="auto" w:sz="4" w:space="0"/>
              <w:right w:val="single" w:color="auto" w:sz="4" w:space="0"/>
            </w:tcBorders>
            <w:noWrap w:val="0"/>
            <w:vAlign w:val="center"/>
          </w:tcPr>
          <w:p w14:paraId="334226B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特殊助急服务处理情况</w:t>
            </w:r>
          </w:p>
        </w:tc>
        <w:tc>
          <w:tcPr>
            <w:tcW w:w="1389" w:type="dxa"/>
            <w:tcBorders>
              <w:top w:val="nil"/>
              <w:left w:val="nil"/>
              <w:bottom w:val="single" w:color="auto" w:sz="4" w:space="0"/>
              <w:right w:val="single" w:color="auto" w:sz="4" w:space="0"/>
            </w:tcBorders>
            <w:noWrap w:val="0"/>
            <w:vAlign w:val="center"/>
          </w:tcPr>
          <w:p w14:paraId="5718638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及时性、规范性</w:t>
            </w:r>
          </w:p>
        </w:tc>
        <w:tc>
          <w:tcPr>
            <w:tcW w:w="1410" w:type="dxa"/>
            <w:tcBorders>
              <w:top w:val="nil"/>
              <w:left w:val="nil"/>
              <w:bottom w:val="single" w:color="auto" w:sz="4" w:space="0"/>
              <w:right w:val="single" w:color="auto" w:sz="4" w:space="0"/>
            </w:tcBorders>
            <w:noWrap w:val="0"/>
            <w:vAlign w:val="center"/>
          </w:tcPr>
          <w:p w14:paraId="61A1653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r>
      <w:tr w14:paraId="294DA890">
        <w:tblPrEx>
          <w:tblCellMar>
            <w:top w:w="0" w:type="dxa"/>
            <w:left w:w="108" w:type="dxa"/>
            <w:bottom w:w="0" w:type="dxa"/>
            <w:right w:w="108" w:type="dxa"/>
          </w:tblCellMar>
        </w:tblPrEx>
        <w:trPr>
          <w:trHeight w:val="626" w:hRule="atLeast"/>
          <w:jc w:val="center"/>
        </w:trPr>
        <w:tc>
          <w:tcPr>
            <w:tcW w:w="1118" w:type="dxa"/>
            <w:tcBorders>
              <w:top w:val="nil"/>
              <w:left w:val="single" w:color="auto" w:sz="4" w:space="0"/>
              <w:bottom w:val="single" w:color="auto" w:sz="4" w:space="0"/>
              <w:right w:val="single" w:color="auto" w:sz="4" w:space="0"/>
            </w:tcBorders>
            <w:noWrap w:val="0"/>
            <w:vAlign w:val="center"/>
          </w:tcPr>
          <w:p w14:paraId="31A6E87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　</w:t>
            </w:r>
          </w:p>
        </w:tc>
        <w:tc>
          <w:tcPr>
            <w:tcW w:w="2202" w:type="dxa"/>
            <w:gridSpan w:val="2"/>
            <w:vMerge w:val="continue"/>
            <w:tcBorders>
              <w:top w:val="nil"/>
              <w:left w:val="single" w:color="auto" w:sz="4" w:space="0"/>
              <w:bottom w:val="single" w:color="auto" w:sz="4" w:space="0"/>
              <w:right w:val="single" w:color="auto" w:sz="4" w:space="0"/>
            </w:tcBorders>
            <w:noWrap w:val="0"/>
            <w:vAlign w:val="center"/>
          </w:tcPr>
          <w:p w14:paraId="46665927">
            <w:pPr>
              <w:widowControl/>
              <w:jc w:val="left"/>
              <w:rPr>
                <w:rFonts w:hint="eastAsia" w:ascii="仿宋" w:hAnsi="仿宋" w:eastAsia="仿宋" w:cs="仿宋"/>
                <w:color w:val="auto"/>
                <w:kern w:val="0"/>
                <w:sz w:val="24"/>
                <w:szCs w:val="24"/>
                <w:highlight w:val="none"/>
              </w:rPr>
            </w:pPr>
          </w:p>
        </w:tc>
        <w:tc>
          <w:tcPr>
            <w:tcW w:w="2824" w:type="dxa"/>
            <w:tcBorders>
              <w:top w:val="nil"/>
              <w:left w:val="nil"/>
              <w:bottom w:val="single" w:color="auto" w:sz="4" w:space="0"/>
              <w:right w:val="single" w:color="auto" w:sz="4" w:space="0"/>
            </w:tcBorders>
            <w:noWrap w:val="0"/>
            <w:vAlign w:val="center"/>
          </w:tcPr>
          <w:p w14:paraId="2FCC8EF1">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rPr>
              <w:t>“七助”服务、区域内政府购买服务及公益服务</w:t>
            </w:r>
          </w:p>
        </w:tc>
        <w:tc>
          <w:tcPr>
            <w:tcW w:w="1389" w:type="dxa"/>
            <w:tcBorders>
              <w:top w:val="nil"/>
              <w:left w:val="nil"/>
              <w:bottom w:val="single" w:color="auto" w:sz="4" w:space="0"/>
              <w:right w:val="single" w:color="auto" w:sz="4" w:space="0"/>
            </w:tcBorders>
            <w:noWrap w:val="0"/>
            <w:vAlign w:val="center"/>
          </w:tcPr>
          <w:p w14:paraId="3D22888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w:t>
            </w:r>
          </w:p>
        </w:tc>
        <w:tc>
          <w:tcPr>
            <w:tcW w:w="1410" w:type="dxa"/>
            <w:tcBorders>
              <w:top w:val="nil"/>
              <w:left w:val="nil"/>
              <w:bottom w:val="single" w:color="auto" w:sz="4" w:space="0"/>
              <w:right w:val="single" w:color="auto" w:sz="4" w:space="0"/>
            </w:tcBorders>
            <w:noWrap w:val="0"/>
            <w:vAlign w:val="center"/>
          </w:tcPr>
          <w:p w14:paraId="2E673FCE">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0</w:t>
            </w:r>
          </w:p>
        </w:tc>
      </w:tr>
      <w:tr w14:paraId="0D413E31">
        <w:tblPrEx>
          <w:tblCellMar>
            <w:top w:w="0" w:type="dxa"/>
            <w:left w:w="108" w:type="dxa"/>
            <w:bottom w:w="0" w:type="dxa"/>
            <w:right w:w="108" w:type="dxa"/>
          </w:tblCellMar>
        </w:tblPrEx>
        <w:trPr>
          <w:trHeight w:val="626" w:hRule="atLeast"/>
          <w:jc w:val="center"/>
        </w:trPr>
        <w:tc>
          <w:tcPr>
            <w:tcW w:w="1118" w:type="dxa"/>
            <w:vMerge w:val="restart"/>
            <w:tcBorders>
              <w:top w:val="nil"/>
              <w:left w:val="single" w:color="auto" w:sz="4" w:space="0"/>
              <w:bottom w:val="single" w:color="auto" w:sz="4" w:space="0"/>
              <w:right w:val="single" w:color="auto" w:sz="4" w:space="0"/>
            </w:tcBorders>
            <w:noWrap w:val="0"/>
            <w:vAlign w:val="center"/>
          </w:tcPr>
          <w:p w14:paraId="5D7EDE35">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973" w:type="dxa"/>
            <w:vMerge w:val="restart"/>
            <w:tcBorders>
              <w:top w:val="nil"/>
              <w:left w:val="nil"/>
              <w:right w:val="single" w:color="auto" w:sz="4" w:space="0"/>
            </w:tcBorders>
            <w:noWrap w:val="0"/>
            <w:vAlign w:val="center"/>
          </w:tcPr>
          <w:p w14:paraId="08C276D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w:t>
            </w:r>
          </w:p>
          <w:p w14:paraId="35CD7EAE">
            <w:pPr>
              <w:widowControl/>
              <w:jc w:val="center"/>
              <w:rPr>
                <w:rFonts w:hint="eastAsia" w:ascii="仿宋" w:hAnsi="仿宋" w:eastAsia="仿宋" w:cs="仿宋"/>
                <w:color w:val="auto"/>
                <w:kern w:val="0"/>
                <w:sz w:val="24"/>
                <w:szCs w:val="24"/>
                <w:highlight w:val="none"/>
              </w:rPr>
            </w:pPr>
          </w:p>
          <w:p w14:paraId="4A0B4E8F">
            <w:pPr>
              <w:widowControl/>
              <w:jc w:val="center"/>
              <w:rPr>
                <w:rFonts w:hint="eastAsia" w:ascii="仿宋" w:hAnsi="仿宋" w:eastAsia="仿宋" w:cs="仿宋"/>
                <w:color w:val="auto"/>
                <w:kern w:val="0"/>
                <w:sz w:val="24"/>
                <w:szCs w:val="24"/>
                <w:highlight w:val="none"/>
              </w:rPr>
            </w:pPr>
          </w:p>
          <w:p w14:paraId="19564CB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务</w:t>
            </w:r>
          </w:p>
          <w:p w14:paraId="5091C32B">
            <w:pPr>
              <w:widowControl/>
              <w:jc w:val="center"/>
              <w:rPr>
                <w:rFonts w:hint="eastAsia" w:ascii="仿宋" w:hAnsi="仿宋" w:eastAsia="仿宋" w:cs="仿宋"/>
                <w:color w:val="auto"/>
                <w:kern w:val="0"/>
                <w:sz w:val="24"/>
                <w:szCs w:val="24"/>
                <w:highlight w:val="none"/>
              </w:rPr>
            </w:pPr>
          </w:p>
          <w:p w14:paraId="3BDAF730">
            <w:pPr>
              <w:widowControl/>
              <w:jc w:val="center"/>
              <w:rPr>
                <w:rFonts w:hint="eastAsia" w:ascii="仿宋" w:hAnsi="仿宋" w:eastAsia="仿宋" w:cs="仿宋"/>
                <w:color w:val="auto"/>
                <w:kern w:val="0"/>
                <w:sz w:val="24"/>
                <w:szCs w:val="24"/>
                <w:highlight w:val="none"/>
              </w:rPr>
            </w:pPr>
          </w:p>
          <w:p w14:paraId="10C55EB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w:t>
            </w:r>
          </w:p>
          <w:p w14:paraId="5F9CDD9E">
            <w:pPr>
              <w:widowControl/>
              <w:jc w:val="center"/>
              <w:rPr>
                <w:rFonts w:hint="eastAsia" w:ascii="仿宋" w:hAnsi="仿宋" w:eastAsia="仿宋" w:cs="仿宋"/>
                <w:color w:val="auto"/>
                <w:kern w:val="0"/>
                <w:sz w:val="24"/>
                <w:szCs w:val="24"/>
                <w:highlight w:val="none"/>
              </w:rPr>
            </w:pPr>
          </w:p>
          <w:p w14:paraId="404D3AD4">
            <w:pPr>
              <w:widowControl/>
              <w:jc w:val="center"/>
              <w:rPr>
                <w:rFonts w:hint="eastAsia" w:ascii="仿宋" w:hAnsi="仿宋" w:eastAsia="仿宋" w:cs="仿宋"/>
                <w:color w:val="auto"/>
                <w:kern w:val="0"/>
                <w:sz w:val="24"/>
                <w:szCs w:val="24"/>
                <w:highlight w:val="none"/>
              </w:rPr>
            </w:pPr>
          </w:p>
          <w:p w14:paraId="31B03D5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量</w:t>
            </w:r>
          </w:p>
          <w:p w14:paraId="0F1C2577">
            <w:pPr>
              <w:widowControl/>
              <w:jc w:val="left"/>
              <w:rPr>
                <w:rFonts w:hint="eastAsia" w:ascii="仿宋" w:hAnsi="仿宋" w:eastAsia="仿宋" w:cs="仿宋"/>
                <w:color w:val="auto"/>
                <w:kern w:val="0"/>
                <w:sz w:val="24"/>
                <w:szCs w:val="24"/>
                <w:highlight w:val="none"/>
              </w:rPr>
            </w:pPr>
          </w:p>
        </w:tc>
        <w:tc>
          <w:tcPr>
            <w:tcW w:w="1229" w:type="dxa"/>
            <w:vMerge w:val="restart"/>
            <w:tcBorders>
              <w:top w:val="nil"/>
              <w:left w:val="nil"/>
              <w:right w:val="single" w:color="auto" w:sz="4" w:space="0"/>
            </w:tcBorders>
            <w:noWrap w:val="0"/>
            <w:vAlign w:val="center"/>
          </w:tcPr>
          <w:p w14:paraId="3CDDBEC5">
            <w:pPr>
              <w:widowControl/>
              <w:jc w:val="center"/>
              <w:rPr>
                <w:rFonts w:hint="eastAsia" w:ascii="仿宋" w:hAnsi="仿宋" w:eastAsia="仿宋" w:cs="仿宋"/>
                <w:color w:val="auto"/>
                <w:kern w:val="0"/>
                <w:sz w:val="24"/>
                <w:szCs w:val="24"/>
                <w:highlight w:val="none"/>
              </w:rPr>
            </w:pPr>
          </w:p>
          <w:p w14:paraId="65B2DFD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 务</w:t>
            </w:r>
          </w:p>
          <w:p w14:paraId="2C7E3BFD">
            <w:pPr>
              <w:widowControl/>
              <w:jc w:val="center"/>
              <w:rPr>
                <w:rFonts w:hint="eastAsia" w:ascii="仿宋" w:hAnsi="仿宋" w:eastAsia="仿宋" w:cs="仿宋"/>
                <w:color w:val="auto"/>
                <w:kern w:val="0"/>
                <w:sz w:val="24"/>
                <w:szCs w:val="24"/>
                <w:highlight w:val="none"/>
              </w:rPr>
            </w:pPr>
          </w:p>
          <w:p w14:paraId="5055CF33">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满意率</w:t>
            </w:r>
          </w:p>
        </w:tc>
        <w:tc>
          <w:tcPr>
            <w:tcW w:w="2824" w:type="dxa"/>
            <w:tcBorders>
              <w:top w:val="nil"/>
              <w:left w:val="nil"/>
              <w:bottom w:val="single" w:color="auto" w:sz="4" w:space="0"/>
              <w:right w:val="single" w:color="auto" w:sz="4" w:space="0"/>
            </w:tcBorders>
            <w:noWrap w:val="0"/>
            <w:vAlign w:val="center"/>
          </w:tcPr>
          <w:p w14:paraId="05D98F7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紧急呼叫服务</w:t>
            </w:r>
          </w:p>
        </w:tc>
        <w:tc>
          <w:tcPr>
            <w:tcW w:w="1389" w:type="dxa"/>
            <w:vMerge w:val="restart"/>
            <w:tcBorders>
              <w:top w:val="nil"/>
              <w:left w:val="single" w:color="auto" w:sz="4" w:space="0"/>
              <w:bottom w:val="single" w:color="auto" w:sz="4" w:space="0"/>
              <w:right w:val="single" w:color="auto" w:sz="4" w:space="0"/>
            </w:tcBorders>
            <w:noWrap w:val="0"/>
            <w:vAlign w:val="center"/>
          </w:tcPr>
          <w:p w14:paraId="564727F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满意率</w:t>
            </w:r>
          </w:p>
        </w:tc>
        <w:tc>
          <w:tcPr>
            <w:tcW w:w="1410" w:type="dxa"/>
            <w:vMerge w:val="restart"/>
            <w:tcBorders>
              <w:top w:val="single" w:color="auto" w:sz="4" w:space="0"/>
              <w:left w:val="single" w:color="auto" w:sz="4" w:space="0"/>
              <w:bottom w:val="single" w:color="auto" w:sz="4" w:space="0"/>
              <w:right w:val="single" w:color="auto" w:sz="4" w:space="0"/>
            </w:tcBorders>
            <w:noWrap w:val="0"/>
            <w:vAlign w:val="center"/>
          </w:tcPr>
          <w:p w14:paraId="1168B72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r>
      <w:tr w14:paraId="72EDA7EF">
        <w:tblPrEx>
          <w:tblCellMar>
            <w:top w:w="0" w:type="dxa"/>
            <w:left w:w="108" w:type="dxa"/>
            <w:bottom w:w="0" w:type="dxa"/>
            <w:right w:w="108" w:type="dxa"/>
          </w:tblCellMar>
        </w:tblPrEx>
        <w:trPr>
          <w:trHeight w:val="626" w:hRule="atLeast"/>
          <w:jc w:val="center"/>
        </w:trPr>
        <w:tc>
          <w:tcPr>
            <w:tcW w:w="1118" w:type="dxa"/>
            <w:vMerge w:val="continue"/>
            <w:tcBorders>
              <w:top w:val="nil"/>
              <w:left w:val="single" w:color="auto" w:sz="4" w:space="0"/>
              <w:bottom w:val="single" w:color="auto" w:sz="4" w:space="0"/>
              <w:right w:val="single" w:color="auto" w:sz="4" w:space="0"/>
            </w:tcBorders>
            <w:noWrap w:val="0"/>
            <w:vAlign w:val="center"/>
          </w:tcPr>
          <w:p w14:paraId="3FA9F94F">
            <w:pPr>
              <w:widowControl/>
              <w:jc w:val="left"/>
              <w:rPr>
                <w:rFonts w:hint="eastAsia" w:ascii="仿宋" w:hAnsi="仿宋" w:eastAsia="仿宋" w:cs="仿宋"/>
                <w:color w:val="auto"/>
                <w:kern w:val="0"/>
                <w:sz w:val="24"/>
                <w:szCs w:val="24"/>
                <w:highlight w:val="none"/>
              </w:rPr>
            </w:pPr>
          </w:p>
        </w:tc>
        <w:tc>
          <w:tcPr>
            <w:tcW w:w="973" w:type="dxa"/>
            <w:vMerge w:val="continue"/>
            <w:tcBorders>
              <w:left w:val="nil"/>
              <w:right w:val="single" w:color="auto" w:sz="4" w:space="0"/>
            </w:tcBorders>
            <w:noWrap w:val="0"/>
            <w:vAlign w:val="center"/>
          </w:tcPr>
          <w:p w14:paraId="7687776D">
            <w:pPr>
              <w:jc w:val="left"/>
              <w:rPr>
                <w:rFonts w:hint="eastAsia" w:ascii="仿宋" w:hAnsi="仿宋" w:eastAsia="仿宋" w:cs="仿宋"/>
                <w:color w:val="auto"/>
                <w:kern w:val="0"/>
                <w:sz w:val="24"/>
                <w:szCs w:val="24"/>
                <w:highlight w:val="none"/>
              </w:rPr>
            </w:pPr>
          </w:p>
        </w:tc>
        <w:tc>
          <w:tcPr>
            <w:tcW w:w="1229" w:type="dxa"/>
            <w:vMerge w:val="continue"/>
            <w:tcBorders>
              <w:left w:val="nil"/>
              <w:right w:val="single" w:color="auto" w:sz="4" w:space="0"/>
            </w:tcBorders>
            <w:noWrap w:val="0"/>
            <w:vAlign w:val="center"/>
          </w:tcPr>
          <w:p w14:paraId="37C7DEE5">
            <w:pPr>
              <w:jc w:val="center"/>
              <w:rPr>
                <w:rFonts w:hint="eastAsia" w:ascii="仿宋" w:hAnsi="仿宋" w:eastAsia="仿宋" w:cs="仿宋"/>
                <w:color w:val="auto"/>
                <w:kern w:val="0"/>
                <w:sz w:val="24"/>
                <w:szCs w:val="24"/>
                <w:highlight w:val="none"/>
              </w:rPr>
            </w:pPr>
          </w:p>
        </w:tc>
        <w:tc>
          <w:tcPr>
            <w:tcW w:w="2824" w:type="dxa"/>
            <w:tcBorders>
              <w:top w:val="nil"/>
              <w:left w:val="nil"/>
              <w:bottom w:val="single" w:color="auto" w:sz="4" w:space="0"/>
              <w:right w:val="single" w:color="auto" w:sz="4" w:space="0"/>
            </w:tcBorders>
            <w:noWrap w:val="0"/>
            <w:vAlign w:val="center"/>
          </w:tcPr>
          <w:p w14:paraId="4362A89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主动关怀服务</w:t>
            </w:r>
          </w:p>
        </w:tc>
        <w:tc>
          <w:tcPr>
            <w:tcW w:w="1389" w:type="dxa"/>
            <w:vMerge w:val="continue"/>
            <w:tcBorders>
              <w:top w:val="nil"/>
              <w:left w:val="single" w:color="auto" w:sz="4" w:space="0"/>
              <w:bottom w:val="single" w:color="auto" w:sz="4" w:space="0"/>
              <w:right w:val="single" w:color="auto" w:sz="4" w:space="0"/>
            </w:tcBorders>
            <w:noWrap w:val="0"/>
            <w:vAlign w:val="center"/>
          </w:tcPr>
          <w:p w14:paraId="228CE140">
            <w:pPr>
              <w:widowControl/>
              <w:jc w:val="left"/>
              <w:rPr>
                <w:rFonts w:hint="eastAsia" w:ascii="仿宋" w:hAnsi="仿宋" w:eastAsia="仿宋" w:cs="仿宋"/>
                <w:color w:val="auto"/>
                <w:kern w:val="0"/>
                <w:sz w:val="24"/>
                <w:szCs w:val="24"/>
                <w:highlight w:val="none"/>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2424C8AB">
            <w:pPr>
              <w:widowControl/>
              <w:jc w:val="center"/>
              <w:rPr>
                <w:rFonts w:hint="eastAsia" w:ascii="仿宋" w:hAnsi="仿宋" w:eastAsia="仿宋" w:cs="仿宋"/>
                <w:color w:val="auto"/>
                <w:kern w:val="0"/>
                <w:sz w:val="24"/>
                <w:szCs w:val="24"/>
                <w:highlight w:val="none"/>
              </w:rPr>
            </w:pPr>
          </w:p>
        </w:tc>
      </w:tr>
      <w:tr w14:paraId="00279FE0">
        <w:tblPrEx>
          <w:tblCellMar>
            <w:top w:w="0" w:type="dxa"/>
            <w:left w:w="108" w:type="dxa"/>
            <w:bottom w:w="0" w:type="dxa"/>
            <w:right w:w="108" w:type="dxa"/>
          </w:tblCellMar>
        </w:tblPrEx>
        <w:trPr>
          <w:trHeight w:val="626" w:hRule="atLeast"/>
          <w:jc w:val="center"/>
        </w:trPr>
        <w:tc>
          <w:tcPr>
            <w:tcW w:w="1118" w:type="dxa"/>
            <w:vMerge w:val="continue"/>
            <w:tcBorders>
              <w:top w:val="nil"/>
              <w:left w:val="single" w:color="auto" w:sz="4" w:space="0"/>
              <w:bottom w:val="single" w:color="auto" w:sz="4" w:space="0"/>
              <w:right w:val="single" w:color="auto" w:sz="4" w:space="0"/>
            </w:tcBorders>
            <w:noWrap w:val="0"/>
            <w:vAlign w:val="center"/>
          </w:tcPr>
          <w:p w14:paraId="584409C0">
            <w:pPr>
              <w:widowControl/>
              <w:jc w:val="left"/>
              <w:rPr>
                <w:rFonts w:hint="eastAsia" w:ascii="仿宋" w:hAnsi="仿宋" w:eastAsia="仿宋" w:cs="仿宋"/>
                <w:color w:val="auto"/>
                <w:kern w:val="0"/>
                <w:sz w:val="24"/>
                <w:szCs w:val="24"/>
                <w:highlight w:val="none"/>
              </w:rPr>
            </w:pPr>
          </w:p>
        </w:tc>
        <w:tc>
          <w:tcPr>
            <w:tcW w:w="973" w:type="dxa"/>
            <w:vMerge w:val="continue"/>
            <w:tcBorders>
              <w:left w:val="nil"/>
              <w:right w:val="single" w:color="auto" w:sz="4" w:space="0"/>
            </w:tcBorders>
            <w:noWrap w:val="0"/>
            <w:vAlign w:val="center"/>
          </w:tcPr>
          <w:p w14:paraId="7D8A9C21">
            <w:pPr>
              <w:jc w:val="left"/>
              <w:rPr>
                <w:rFonts w:hint="eastAsia" w:ascii="仿宋" w:hAnsi="仿宋" w:eastAsia="仿宋" w:cs="仿宋"/>
                <w:color w:val="auto"/>
                <w:kern w:val="0"/>
                <w:sz w:val="24"/>
                <w:szCs w:val="24"/>
                <w:highlight w:val="none"/>
              </w:rPr>
            </w:pPr>
          </w:p>
        </w:tc>
        <w:tc>
          <w:tcPr>
            <w:tcW w:w="1229" w:type="dxa"/>
            <w:vMerge w:val="continue"/>
            <w:tcBorders>
              <w:left w:val="nil"/>
              <w:right w:val="single" w:color="auto" w:sz="4" w:space="0"/>
            </w:tcBorders>
            <w:noWrap w:val="0"/>
            <w:vAlign w:val="center"/>
          </w:tcPr>
          <w:p w14:paraId="633BE463">
            <w:pPr>
              <w:jc w:val="center"/>
              <w:rPr>
                <w:rFonts w:hint="eastAsia" w:ascii="仿宋" w:hAnsi="仿宋" w:eastAsia="仿宋" w:cs="仿宋"/>
                <w:color w:val="auto"/>
                <w:kern w:val="0"/>
                <w:sz w:val="24"/>
                <w:szCs w:val="24"/>
                <w:highlight w:val="none"/>
              </w:rPr>
            </w:pPr>
          </w:p>
        </w:tc>
        <w:tc>
          <w:tcPr>
            <w:tcW w:w="2824" w:type="dxa"/>
            <w:tcBorders>
              <w:top w:val="nil"/>
              <w:left w:val="nil"/>
              <w:bottom w:val="single" w:color="auto" w:sz="4" w:space="0"/>
              <w:right w:val="single" w:color="auto" w:sz="4" w:space="0"/>
            </w:tcBorders>
            <w:noWrap w:val="0"/>
            <w:vAlign w:val="center"/>
          </w:tcPr>
          <w:p w14:paraId="063B169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特殊助急服务</w:t>
            </w:r>
          </w:p>
        </w:tc>
        <w:tc>
          <w:tcPr>
            <w:tcW w:w="1389" w:type="dxa"/>
            <w:vMerge w:val="continue"/>
            <w:tcBorders>
              <w:top w:val="nil"/>
              <w:left w:val="single" w:color="auto" w:sz="4" w:space="0"/>
              <w:bottom w:val="single" w:color="auto" w:sz="4" w:space="0"/>
              <w:right w:val="single" w:color="auto" w:sz="4" w:space="0"/>
            </w:tcBorders>
            <w:noWrap w:val="0"/>
            <w:vAlign w:val="center"/>
          </w:tcPr>
          <w:p w14:paraId="202207AC">
            <w:pPr>
              <w:widowControl/>
              <w:jc w:val="left"/>
              <w:rPr>
                <w:rFonts w:hint="eastAsia" w:ascii="仿宋" w:hAnsi="仿宋" w:eastAsia="仿宋" w:cs="仿宋"/>
                <w:color w:val="auto"/>
                <w:kern w:val="0"/>
                <w:sz w:val="24"/>
                <w:szCs w:val="24"/>
                <w:highlight w:val="none"/>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3DCA01DA">
            <w:pPr>
              <w:widowControl/>
              <w:jc w:val="center"/>
              <w:rPr>
                <w:rFonts w:hint="eastAsia" w:ascii="仿宋" w:hAnsi="仿宋" w:eastAsia="仿宋" w:cs="仿宋"/>
                <w:color w:val="auto"/>
                <w:kern w:val="0"/>
                <w:sz w:val="24"/>
                <w:szCs w:val="24"/>
                <w:highlight w:val="none"/>
              </w:rPr>
            </w:pPr>
          </w:p>
        </w:tc>
      </w:tr>
      <w:tr w14:paraId="0E30D903">
        <w:tblPrEx>
          <w:tblCellMar>
            <w:top w:w="0" w:type="dxa"/>
            <w:left w:w="108" w:type="dxa"/>
            <w:bottom w:w="0" w:type="dxa"/>
            <w:right w:w="108" w:type="dxa"/>
          </w:tblCellMar>
        </w:tblPrEx>
        <w:trPr>
          <w:trHeight w:val="626" w:hRule="atLeast"/>
          <w:jc w:val="center"/>
        </w:trPr>
        <w:tc>
          <w:tcPr>
            <w:tcW w:w="1118" w:type="dxa"/>
            <w:vMerge w:val="continue"/>
            <w:tcBorders>
              <w:top w:val="nil"/>
              <w:left w:val="single" w:color="auto" w:sz="4" w:space="0"/>
              <w:bottom w:val="single" w:color="auto" w:sz="4" w:space="0"/>
              <w:right w:val="single" w:color="auto" w:sz="4" w:space="0"/>
            </w:tcBorders>
            <w:noWrap w:val="0"/>
            <w:vAlign w:val="center"/>
          </w:tcPr>
          <w:p w14:paraId="63D27EAE">
            <w:pPr>
              <w:widowControl/>
              <w:jc w:val="left"/>
              <w:rPr>
                <w:rFonts w:hint="eastAsia" w:ascii="仿宋" w:hAnsi="仿宋" w:eastAsia="仿宋" w:cs="仿宋"/>
                <w:color w:val="auto"/>
                <w:kern w:val="0"/>
                <w:sz w:val="24"/>
                <w:szCs w:val="24"/>
                <w:highlight w:val="none"/>
              </w:rPr>
            </w:pPr>
          </w:p>
        </w:tc>
        <w:tc>
          <w:tcPr>
            <w:tcW w:w="973" w:type="dxa"/>
            <w:vMerge w:val="continue"/>
            <w:tcBorders>
              <w:left w:val="nil"/>
              <w:right w:val="single" w:color="auto" w:sz="4" w:space="0"/>
            </w:tcBorders>
            <w:noWrap w:val="0"/>
            <w:vAlign w:val="center"/>
          </w:tcPr>
          <w:p w14:paraId="0F385C05">
            <w:pPr>
              <w:jc w:val="left"/>
              <w:rPr>
                <w:rFonts w:hint="eastAsia" w:ascii="仿宋" w:hAnsi="仿宋" w:eastAsia="仿宋" w:cs="仿宋"/>
                <w:color w:val="auto"/>
                <w:kern w:val="0"/>
                <w:sz w:val="24"/>
                <w:szCs w:val="24"/>
                <w:highlight w:val="none"/>
              </w:rPr>
            </w:pPr>
          </w:p>
        </w:tc>
        <w:tc>
          <w:tcPr>
            <w:tcW w:w="1229" w:type="dxa"/>
            <w:vMerge w:val="continue"/>
            <w:tcBorders>
              <w:left w:val="nil"/>
              <w:right w:val="single" w:color="auto" w:sz="4" w:space="0"/>
            </w:tcBorders>
            <w:noWrap w:val="0"/>
            <w:vAlign w:val="center"/>
          </w:tcPr>
          <w:p w14:paraId="3367F990">
            <w:pPr>
              <w:jc w:val="center"/>
              <w:rPr>
                <w:rFonts w:hint="eastAsia" w:ascii="仿宋" w:hAnsi="仿宋" w:eastAsia="仿宋" w:cs="仿宋"/>
                <w:color w:val="auto"/>
                <w:kern w:val="0"/>
                <w:sz w:val="24"/>
                <w:szCs w:val="24"/>
                <w:highlight w:val="none"/>
              </w:rPr>
            </w:pPr>
          </w:p>
        </w:tc>
        <w:tc>
          <w:tcPr>
            <w:tcW w:w="2824" w:type="dxa"/>
            <w:tcBorders>
              <w:top w:val="nil"/>
              <w:left w:val="nil"/>
              <w:bottom w:val="single" w:color="auto" w:sz="4" w:space="0"/>
              <w:right w:val="single" w:color="auto" w:sz="4" w:space="0"/>
            </w:tcBorders>
            <w:noWrap w:val="0"/>
            <w:vAlign w:val="center"/>
          </w:tcPr>
          <w:p w14:paraId="2B0CFEB9">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rPr>
              <w:t>“七助”服务、区域内政府购买服务及公益服务</w:t>
            </w:r>
          </w:p>
        </w:tc>
        <w:tc>
          <w:tcPr>
            <w:tcW w:w="1389" w:type="dxa"/>
            <w:vMerge w:val="continue"/>
            <w:tcBorders>
              <w:top w:val="nil"/>
              <w:left w:val="single" w:color="auto" w:sz="4" w:space="0"/>
              <w:bottom w:val="single" w:color="auto" w:sz="4" w:space="0"/>
              <w:right w:val="single" w:color="auto" w:sz="4" w:space="0"/>
            </w:tcBorders>
            <w:noWrap w:val="0"/>
            <w:vAlign w:val="center"/>
          </w:tcPr>
          <w:p w14:paraId="1C021D16">
            <w:pPr>
              <w:widowControl/>
              <w:jc w:val="left"/>
              <w:rPr>
                <w:rFonts w:hint="eastAsia" w:ascii="仿宋" w:hAnsi="仿宋" w:eastAsia="仿宋" w:cs="仿宋"/>
                <w:color w:val="auto"/>
                <w:kern w:val="0"/>
                <w:sz w:val="24"/>
                <w:szCs w:val="24"/>
                <w:highlight w:val="none"/>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7DEA903C">
            <w:pPr>
              <w:widowControl/>
              <w:jc w:val="center"/>
              <w:rPr>
                <w:rFonts w:hint="eastAsia" w:ascii="仿宋" w:hAnsi="仿宋" w:eastAsia="仿宋" w:cs="仿宋"/>
                <w:color w:val="auto"/>
                <w:kern w:val="0"/>
                <w:sz w:val="24"/>
                <w:szCs w:val="24"/>
                <w:highlight w:val="none"/>
              </w:rPr>
            </w:pPr>
          </w:p>
        </w:tc>
      </w:tr>
      <w:tr w14:paraId="67EA8C77">
        <w:tblPrEx>
          <w:tblCellMar>
            <w:top w:w="0" w:type="dxa"/>
            <w:left w:w="108" w:type="dxa"/>
            <w:bottom w:w="0" w:type="dxa"/>
            <w:right w:w="108" w:type="dxa"/>
          </w:tblCellMar>
        </w:tblPrEx>
        <w:trPr>
          <w:trHeight w:val="626" w:hRule="atLeast"/>
          <w:jc w:val="center"/>
        </w:trPr>
        <w:tc>
          <w:tcPr>
            <w:tcW w:w="1118" w:type="dxa"/>
            <w:vMerge w:val="continue"/>
            <w:tcBorders>
              <w:top w:val="nil"/>
              <w:left w:val="single" w:color="auto" w:sz="4" w:space="0"/>
              <w:bottom w:val="single" w:color="auto" w:sz="4" w:space="0"/>
              <w:right w:val="single" w:color="auto" w:sz="4" w:space="0"/>
            </w:tcBorders>
            <w:noWrap w:val="0"/>
            <w:vAlign w:val="center"/>
          </w:tcPr>
          <w:p w14:paraId="728D1E63">
            <w:pPr>
              <w:widowControl/>
              <w:jc w:val="left"/>
              <w:rPr>
                <w:rFonts w:hint="eastAsia" w:ascii="仿宋" w:hAnsi="仿宋" w:eastAsia="仿宋" w:cs="仿宋"/>
                <w:color w:val="auto"/>
                <w:kern w:val="0"/>
                <w:sz w:val="24"/>
                <w:szCs w:val="24"/>
                <w:highlight w:val="none"/>
              </w:rPr>
            </w:pPr>
          </w:p>
        </w:tc>
        <w:tc>
          <w:tcPr>
            <w:tcW w:w="973" w:type="dxa"/>
            <w:vMerge w:val="continue"/>
            <w:tcBorders>
              <w:left w:val="nil"/>
              <w:right w:val="single" w:color="auto" w:sz="4" w:space="0"/>
            </w:tcBorders>
            <w:noWrap w:val="0"/>
            <w:vAlign w:val="center"/>
          </w:tcPr>
          <w:p w14:paraId="6297C7B4">
            <w:pPr>
              <w:jc w:val="left"/>
              <w:rPr>
                <w:rFonts w:hint="eastAsia" w:ascii="仿宋" w:hAnsi="仿宋" w:eastAsia="仿宋" w:cs="仿宋"/>
                <w:color w:val="auto"/>
                <w:kern w:val="0"/>
                <w:sz w:val="24"/>
                <w:szCs w:val="24"/>
                <w:highlight w:val="none"/>
              </w:rPr>
            </w:pPr>
          </w:p>
        </w:tc>
        <w:tc>
          <w:tcPr>
            <w:tcW w:w="1229" w:type="dxa"/>
            <w:vMerge w:val="continue"/>
            <w:tcBorders>
              <w:left w:val="nil"/>
              <w:bottom w:val="single" w:color="auto" w:sz="4" w:space="0"/>
              <w:right w:val="single" w:color="auto" w:sz="4" w:space="0"/>
            </w:tcBorders>
            <w:noWrap w:val="0"/>
            <w:vAlign w:val="center"/>
          </w:tcPr>
          <w:p w14:paraId="0835DA51">
            <w:pPr>
              <w:widowControl/>
              <w:jc w:val="center"/>
              <w:rPr>
                <w:rFonts w:hint="eastAsia" w:ascii="仿宋" w:hAnsi="仿宋" w:eastAsia="仿宋" w:cs="仿宋"/>
                <w:color w:val="auto"/>
                <w:kern w:val="0"/>
                <w:sz w:val="24"/>
                <w:szCs w:val="24"/>
                <w:highlight w:val="none"/>
              </w:rPr>
            </w:pPr>
          </w:p>
        </w:tc>
        <w:tc>
          <w:tcPr>
            <w:tcW w:w="2824" w:type="dxa"/>
            <w:tcBorders>
              <w:top w:val="nil"/>
              <w:left w:val="nil"/>
              <w:bottom w:val="single" w:color="auto" w:sz="4" w:space="0"/>
              <w:right w:val="single" w:color="auto" w:sz="4" w:space="0"/>
            </w:tcBorders>
            <w:noWrap w:val="0"/>
            <w:vAlign w:val="center"/>
          </w:tcPr>
          <w:p w14:paraId="32EA6441">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服务相关方</w:t>
            </w:r>
          </w:p>
        </w:tc>
        <w:tc>
          <w:tcPr>
            <w:tcW w:w="1389" w:type="dxa"/>
            <w:vMerge w:val="continue"/>
            <w:tcBorders>
              <w:top w:val="nil"/>
              <w:left w:val="single" w:color="auto" w:sz="4" w:space="0"/>
              <w:bottom w:val="single" w:color="auto" w:sz="4" w:space="0"/>
              <w:right w:val="single" w:color="auto" w:sz="4" w:space="0"/>
            </w:tcBorders>
            <w:noWrap w:val="0"/>
            <w:vAlign w:val="center"/>
          </w:tcPr>
          <w:p w14:paraId="5E4F16F4">
            <w:pPr>
              <w:widowControl/>
              <w:jc w:val="left"/>
              <w:rPr>
                <w:rFonts w:hint="eastAsia" w:ascii="仿宋" w:hAnsi="仿宋" w:eastAsia="仿宋" w:cs="仿宋"/>
                <w:color w:val="auto"/>
                <w:kern w:val="0"/>
                <w:sz w:val="24"/>
                <w:szCs w:val="24"/>
                <w:highlight w:val="none"/>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5D2566D9">
            <w:pPr>
              <w:widowControl/>
              <w:jc w:val="center"/>
              <w:rPr>
                <w:rFonts w:hint="eastAsia" w:ascii="仿宋" w:hAnsi="仿宋" w:eastAsia="仿宋" w:cs="仿宋"/>
                <w:color w:val="auto"/>
                <w:kern w:val="0"/>
                <w:sz w:val="24"/>
                <w:szCs w:val="24"/>
                <w:highlight w:val="none"/>
              </w:rPr>
            </w:pPr>
          </w:p>
        </w:tc>
      </w:tr>
      <w:tr w14:paraId="52E545AE">
        <w:tblPrEx>
          <w:tblCellMar>
            <w:top w:w="0" w:type="dxa"/>
            <w:left w:w="108" w:type="dxa"/>
            <w:bottom w:w="0" w:type="dxa"/>
            <w:right w:w="108" w:type="dxa"/>
          </w:tblCellMar>
        </w:tblPrEx>
        <w:trPr>
          <w:trHeight w:val="626" w:hRule="atLeast"/>
          <w:jc w:val="center"/>
        </w:trPr>
        <w:tc>
          <w:tcPr>
            <w:tcW w:w="1118" w:type="dxa"/>
            <w:vMerge w:val="restart"/>
            <w:tcBorders>
              <w:top w:val="nil"/>
              <w:left w:val="single" w:color="auto" w:sz="4" w:space="0"/>
              <w:right w:val="single" w:color="auto" w:sz="4" w:space="0"/>
            </w:tcBorders>
            <w:noWrap w:val="0"/>
            <w:vAlign w:val="center"/>
          </w:tcPr>
          <w:p w14:paraId="5B328675">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973" w:type="dxa"/>
            <w:vMerge w:val="continue"/>
            <w:tcBorders>
              <w:left w:val="nil"/>
              <w:right w:val="single" w:color="auto" w:sz="4" w:space="0"/>
            </w:tcBorders>
            <w:noWrap w:val="0"/>
            <w:vAlign w:val="center"/>
          </w:tcPr>
          <w:p w14:paraId="6BB40802">
            <w:pPr>
              <w:jc w:val="left"/>
              <w:rPr>
                <w:rFonts w:hint="eastAsia" w:ascii="仿宋" w:hAnsi="仿宋" w:eastAsia="仿宋" w:cs="仿宋"/>
                <w:color w:val="auto"/>
                <w:kern w:val="0"/>
                <w:sz w:val="24"/>
                <w:szCs w:val="24"/>
                <w:highlight w:val="none"/>
              </w:rPr>
            </w:pPr>
          </w:p>
        </w:tc>
        <w:tc>
          <w:tcPr>
            <w:tcW w:w="1229" w:type="dxa"/>
            <w:vMerge w:val="restart"/>
            <w:tcBorders>
              <w:top w:val="nil"/>
              <w:left w:val="nil"/>
              <w:right w:val="single" w:color="auto" w:sz="4" w:space="0"/>
            </w:tcBorders>
            <w:noWrap w:val="0"/>
            <w:vAlign w:val="center"/>
          </w:tcPr>
          <w:p w14:paraId="261FFC6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平 台</w:t>
            </w:r>
          </w:p>
          <w:p w14:paraId="02EA9058">
            <w:pPr>
              <w:widowControl/>
              <w:jc w:val="center"/>
              <w:rPr>
                <w:rFonts w:hint="eastAsia" w:ascii="仿宋" w:hAnsi="仿宋" w:eastAsia="仿宋" w:cs="仿宋"/>
                <w:color w:val="auto"/>
                <w:kern w:val="0"/>
                <w:sz w:val="24"/>
                <w:szCs w:val="24"/>
                <w:highlight w:val="none"/>
              </w:rPr>
            </w:pPr>
          </w:p>
          <w:p w14:paraId="38D8C14C">
            <w:pPr>
              <w:widowControl/>
              <w:jc w:val="center"/>
              <w:rPr>
                <w:rFonts w:hint="eastAsia" w:ascii="仿宋" w:hAnsi="仿宋" w:eastAsia="仿宋" w:cs="仿宋"/>
                <w:color w:val="auto"/>
                <w:kern w:val="0"/>
                <w:sz w:val="24"/>
                <w:szCs w:val="24"/>
                <w:highlight w:val="none"/>
              </w:rPr>
            </w:pPr>
          </w:p>
          <w:p w14:paraId="6CCCA16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服务商</w:t>
            </w:r>
          </w:p>
          <w:p w14:paraId="318830B4">
            <w:pPr>
              <w:widowControl/>
              <w:jc w:val="center"/>
              <w:rPr>
                <w:rFonts w:hint="eastAsia" w:ascii="仿宋" w:hAnsi="仿宋" w:eastAsia="仿宋" w:cs="仿宋"/>
                <w:color w:val="auto"/>
                <w:kern w:val="0"/>
                <w:sz w:val="24"/>
                <w:szCs w:val="24"/>
                <w:highlight w:val="none"/>
              </w:rPr>
            </w:pPr>
          </w:p>
          <w:p w14:paraId="3F72375B">
            <w:pPr>
              <w:widowControl/>
              <w:jc w:val="center"/>
              <w:rPr>
                <w:rFonts w:hint="eastAsia" w:ascii="仿宋" w:hAnsi="仿宋" w:eastAsia="仿宋" w:cs="仿宋"/>
                <w:color w:val="auto"/>
                <w:kern w:val="0"/>
                <w:sz w:val="24"/>
                <w:szCs w:val="24"/>
                <w:highlight w:val="none"/>
              </w:rPr>
            </w:pPr>
          </w:p>
          <w:p w14:paraId="06DAD01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诚信度</w:t>
            </w:r>
          </w:p>
          <w:p w14:paraId="389765C9">
            <w:pPr>
              <w:jc w:val="left"/>
              <w:rPr>
                <w:rFonts w:hint="eastAsia" w:ascii="仿宋" w:hAnsi="仿宋" w:eastAsia="仿宋" w:cs="仿宋"/>
                <w:color w:val="auto"/>
                <w:kern w:val="0"/>
                <w:sz w:val="24"/>
                <w:szCs w:val="24"/>
                <w:highlight w:val="none"/>
              </w:rPr>
            </w:pPr>
          </w:p>
        </w:tc>
        <w:tc>
          <w:tcPr>
            <w:tcW w:w="2824" w:type="dxa"/>
            <w:tcBorders>
              <w:top w:val="nil"/>
              <w:left w:val="nil"/>
              <w:bottom w:val="single" w:color="auto" w:sz="4" w:space="0"/>
              <w:right w:val="single" w:color="auto" w:sz="4" w:space="0"/>
            </w:tcBorders>
            <w:noWrap w:val="0"/>
            <w:vAlign w:val="center"/>
          </w:tcPr>
          <w:p w14:paraId="1D174835">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服务终端发放、开通情况</w:t>
            </w:r>
          </w:p>
        </w:tc>
        <w:tc>
          <w:tcPr>
            <w:tcW w:w="1389" w:type="dxa"/>
            <w:vMerge w:val="restart"/>
            <w:tcBorders>
              <w:top w:val="nil"/>
              <w:left w:val="single" w:color="auto" w:sz="4" w:space="0"/>
              <w:right w:val="single" w:color="auto" w:sz="4" w:space="0"/>
            </w:tcBorders>
            <w:noWrap w:val="0"/>
            <w:vAlign w:val="center"/>
          </w:tcPr>
          <w:p w14:paraId="54CF7F6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及时性、有效性</w:t>
            </w:r>
          </w:p>
        </w:tc>
        <w:tc>
          <w:tcPr>
            <w:tcW w:w="1410" w:type="dxa"/>
            <w:vMerge w:val="restart"/>
            <w:tcBorders>
              <w:top w:val="single" w:color="auto" w:sz="4" w:space="0"/>
              <w:left w:val="single" w:color="auto" w:sz="4" w:space="0"/>
              <w:bottom w:val="single" w:color="auto" w:sz="4" w:space="0"/>
              <w:right w:val="single" w:color="auto" w:sz="4" w:space="0"/>
            </w:tcBorders>
            <w:noWrap w:val="0"/>
            <w:vAlign w:val="center"/>
          </w:tcPr>
          <w:p w14:paraId="01EB228D">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25</w:t>
            </w:r>
          </w:p>
          <w:p w14:paraId="40F41123">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无扣分上限</w:t>
            </w:r>
            <w:r>
              <w:rPr>
                <w:rFonts w:hint="eastAsia" w:ascii="仿宋" w:hAnsi="仿宋" w:eastAsia="仿宋" w:cs="仿宋"/>
                <w:color w:val="auto"/>
                <w:kern w:val="0"/>
                <w:sz w:val="24"/>
                <w:szCs w:val="24"/>
                <w:highlight w:val="none"/>
                <w:lang w:eastAsia="zh-CN"/>
              </w:rPr>
              <w:t>）</w:t>
            </w:r>
          </w:p>
        </w:tc>
      </w:tr>
      <w:tr w14:paraId="256DCD77">
        <w:tblPrEx>
          <w:tblCellMar>
            <w:top w:w="0" w:type="dxa"/>
            <w:left w:w="108" w:type="dxa"/>
            <w:bottom w:w="0" w:type="dxa"/>
            <w:right w:w="108" w:type="dxa"/>
          </w:tblCellMar>
        </w:tblPrEx>
        <w:trPr>
          <w:trHeight w:val="626" w:hRule="atLeast"/>
          <w:jc w:val="center"/>
        </w:trPr>
        <w:tc>
          <w:tcPr>
            <w:tcW w:w="1118" w:type="dxa"/>
            <w:vMerge w:val="continue"/>
            <w:tcBorders>
              <w:left w:val="single" w:color="auto" w:sz="4" w:space="0"/>
              <w:right w:val="single" w:color="auto" w:sz="4" w:space="0"/>
            </w:tcBorders>
            <w:noWrap w:val="0"/>
            <w:vAlign w:val="center"/>
          </w:tcPr>
          <w:p w14:paraId="62DE2FC7">
            <w:pPr>
              <w:widowControl/>
              <w:jc w:val="center"/>
              <w:rPr>
                <w:rFonts w:hint="eastAsia" w:ascii="仿宋" w:hAnsi="仿宋" w:eastAsia="仿宋" w:cs="仿宋"/>
                <w:color w:val="auto"/>
                <w:kern w:val="0"/>
                <w:sz w:val="24"/>
                <w:szCs w:val="24"/>
                <w:highlight w:val="none"/>
              </w:rPr>
            </w:pPr>
          </w:p>
        </w:tc>
        <w:tc>
          <w:tcPr>
            <w:tcW w:w="973" w:type="dxa"/>
            <w:vMerge w:val="continue"/>
            <w:tcBorders>
              <w:left w:val="nil"/>
              <w:right w:val="single" w:color="auto" w:sz="4" w:space="0"/>
            </w:tcBorders>
            <w:noWrap w:val="0"/>
            <w:vAlign w:val="center"/>
          </w:tcPr>
          <w:p w14:paraId="0D36E993">
            <w:pPr>
              <w:jc w:val="left"/>
              <w:rPr>
                <w:rFonts w:hint="eastAsia" w:ascii="仿宋" w:hAnsi="仿宋" w:eastAsia="仿宋" w:cs="仿宋"/>
                <w:color w:val="auto"/>
                <w:kern w:val="0"/>
                <w:sz w:val="24"/>
                <w:szCs w:val="24"/>
                <w:highlight w:val="none"/>
              </w:rPr>
            </w:pPr>
          </w:p>
        </w:tc>
        <w:tc>
          <w:tcPr>
            <w:tcW w:w="1229" w:type="dxa"/>
            <w:vMerge w:val="continue"/>
            <w:tcBorders>
              <w:left w:val="nil"/>
              <w:right w:val="single" w:color="auto" w:sz="4" w:space="0"/>
            </w:tcBorders>
            <w:noWrap w:val="0"/>
            <w:vAlign w:val="center"/>
          </w:tcPr>
          <w:p w14:paraId="6E98B528">
            <w:pPr>
              <w:jc w:val="left"/>
              <w:rPr>
                <w:rFonts w:hint="eastAsia" w:ascii="仿宋" w:hAnsi="仿宋" w:eastAsia="仿宋" w:cs="仿宋"/>
                <w:color w:val="auto"/>
                <w:kern w:val="0"/>
                <w:sz w:val="24"/>
                <w:szCs w:val="24"/>
                <w:highlight w:val="none"/>
              </w:rPr>
            </w:pPr>
          </w:p>
        </w:tc>
        <w:tc>
          <w:tcPr>
            <w:tcW w:w="2824" w:type="dxa"/>
            <w:tcBorders>
              <w:top w:val="nil"/>
              <w:left w:val="nil"/>
              <w:bottom w:val="single" w:color="auto" w:sz="4" w:space="0"/>
              <w:right w:val="single" w:color="auto" w:sz="4" w:space="0"/>
            </w:tcBorders>
            <w:noWrap w:val="0"/>
            <w:vAlign w:val="center"/>
          </w:tcPr>
          <w:p w14:paraId="172E4456">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售后服务情况</w:t>
            </w:r>
          </w:p>
        </w:tc>
        <w:tc>
          <w:tcPr>
            <w:tcW w:w="1389" w:type="dxa"/>
            <w:vMerge w:val="continue"/>
            <w:tcBorders>
              <w:left w:val="single" w:color="auto" w:sz="4" w:space="0"/>
              <w:bottom w:val="single" w:color="auto" w:sz="4" w:space="0"/>
              <w:right w:val="single" w:color="auto" w:sz="4" w:space="0"/>
            </w:tcBorders>
            <w:noWrap w:val="0"/>
            <w:vAlign w:val="center"/>
          </w:tcPr>
          <w:p w14:paraId="02082549">
            <w:pPr>
              <w:widowControl/>
              <w:jc w:val="center"/>
              <w:rPr>
                <w:rFonts w:hint="eastAsia" w:ascii="仿宋" w:hAnsi="仿宋" w:eastAsia="仿宋" w:cs="仿宋"/>
                <w:color w:val="auto"/>
                <w:kern w:val="0"/>
                <w:sz w:val="24"/>
                <w:szCs w:val="24"/>
                <w:highlight w:val="none"/>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015F7BC0">
            <w:pPr>
              <w:widowControl/>
              <w:jc w:val="center"/>
              <w:rPr>
                <w:rFonts w:hint="eastAsia" w:ascii="仿宋" w:hAnsi="仿宋" w:eastAsia="仿宋" w:cs="仿宋"/>
                <w:color w:val="auto"/>
                <w:kern w:val="0"/>
                <w:sz w:val="24"/>
                <w:szCs w:val="24"/>
                <w:highlight w:val="none"/>
              </w:rPr>
            </w:pPr>
          </w:p>
        </w:tc>
      </w:tr>
      <w:tr w14:paraId="0DAAF932">
        <w:tblPrEx>
          <w:tblCellMar>
            <w:top w:w="0" w:type="dxa"/>
            <w:left w:w="108" w:type="dxa"/>
            <w:bottom w:w="0" w:type="dxa"/>
            <w:right w:w="108" w:type="dxa"/>
          </w:tblCellMar>
        </w:tblPrEx>
        <w:trPr>
          <w:trHeight w:val="626" w:hRule="atLeast"/>
          <w:jc w:val="center"/>
        </w:trPr>
        <w:tc>
          <w:tcPr>
            <w:tcW w:w="1118" w:type="dxa"/>
            <w:vMerge w:val="continue"/>
            <w:tcBorders>
              <w:left w:val="single" w:color="auto" w:sz="4" w:space="0"/>
              <w:right w:val="single" w:color="auto" w:sz="4" w:space="0"/>
            </w:tcBorders>
            <w:noWrap w:val="0"/>
            <w:vAlign w:val="center"/>
          </w:tcPr>
          <w:p w14:paraId="05088931">
            <w:pPr>
              <w:widowControl/>
              <w:jc w:val="left"/>
              <w:rPr>
                <w:rFonts w:hint="eastAsia" w:ascii="仿宋" w:hAnsi="仿宋" w:eastAsia="仿宋" w:cs="仿宋"/>
                <w:color w:val="auto"/>
                <w:kern w:val="0"/>
                <w:sz w:val="24"/>
                <w:szCs w:val="24"/>
                <w:highlight w:val="none"/>
              </w:rPr>
            </w:pPr>
          </w:p>
        </w:tc>
        <w:tc>
          <w:tcPr>
            <w:tcW w:w="973" w:type="dxa"/>
            <w:vMerge w:val="continue"/>
            <w:tcBorders>
              <w:left w:val="nil"/>
              <w:right w:val="single" w:color="auto" w:sz="4" w:space="0"/>
            </w:tcBorders>
            <w:noWrap w:val="0"/>
            <w:vAlign w:val="center"/>
          </w:tcPr>
          <w:p w14:paraId="5977E164">
            <w:pPr>
              <w:jc w:val="left"/>
              <w:rPr>
                <w:rFonts w:hint="eastAsia" w:ascii="仿宋" w:hAnsi="仿宋" w:eastAsia="仿宋" w:cs="仿宋"/>
                <w:color w:val="auto"/>
                <w:kern w:val="0"/>
                <w:sz w:val="24"/>
                <w:szCs w:val="24"/>
                <w:highlight w:val="none"/>
              </w:rPr>
            </w:pPr>
          </w:p>
        </w:tc>
        <w:tc>
          <w:tcPr>
            <w:tcW w:w="1229" w:type="dxa"/>
            <w:vMerge w:val="continue"/>
            <w:tcBorders>
              <w:left w:val="nil"/>
              <w:right w:val="single" w:color="auto" w:sz="4" w:space="0"/>
            </w:tcBorders>
            <w:noWrap w:val="0"/>
            <w:vAlign w:val="center"/>
          </w:tcPr>
          <w:p w14:paraId="1C1D6D11">
            <w:pPr>
              <w:jc w:val="left"/>
              <w:rPr>
                <w:rFonts w:hint="eastAsia" w:ascii="仿宋" w:hAnsi="仿宋" w:eastAsia="仿宋" w:cs="仿宋"/>
                <w:color w:val="auto"/>
                <w:kern w:val="0"/>
                <w:sz w:val="24"/>
                <w:szCs w:val="24"/>
                <w:highlight w:val="none"/>
              </w:rPr>
            </w:pPr>
          </w:p>
        </w:tc>
        <w:tc>
          <w:tcPr>
            <w:tcW w:w="2824" w:type="dxa"/>
            <w:tcBorders>
              <w:top w:val="nil"/>
              <w:left w:val="nil"/>
              <w:bottom w:val="single" w:color="auto" w:sz="4" w:space="0"/>
              <w:right w:val="single" w:color="auto" w:sz="4" w:space="0"/>
            </w:tcBorders>
            <w:noWrap w:val="0"/>
            <w:vAlign w:val="center"/>
          </w:tcPr>
          <w:p w14:paraId="73BA8D5C">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签约老人信息质量</w:t>
            </w:r>
          </w:p>
        </w:tc>
        <w:tc>
          <w:tcPr>
            <w:tcW w:w="1389" w:type="dxa"/>
            <w:vMerge w:val="restart"/>
            <w:tcBorders>
              <w:top w:val="nil"/>
              <w:left w:val="single" w:color="auto" w:sz="4" w:space="0"/>
              <w:right w:val="single" w:color="auto" w:sz="4" w:space="0"/>
            </w:tcBorders>
            <w:noWrap w:val="0"/>
            <w:vAlign w:val="center"/>
          </w:tcPr>
          <w:p w14:paraId="15772A3B">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真实性、完整性</w:t>
            </w: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0A791A81">
            <w:pPr>
              <w:widowControl/>
              <w:jc w:val="left"/>
              <w:rPr>
                <w:rFonts w:hint="eastAsia" w:ascii="仿宋" w:hAnsi="仿宋" w:eastAsia="仿宋" w:cs="仿宋"/>
                <w:color w:val="auto"/>
                <w:kern w:val="0"/>
                <w:sz w:val="24"/>
                <w:szCs w:val="24"/>
                <w:highlight w:val="none"/>
              </w:rPr>
            </w:pPr>
          </w:p>
        </w:tc>
      </w:tr>
      <w:tr w14:paraId="178D4960">
        <w:tblPrEx>
          <w:tblCellMar>
            <w:top w:w="0" w:type="dxa"/>
            <w:left w:w="108" w:type="dxa"/>
            <w:bottom w:w="0" w:type="dxa"/>
            <w:right w:w="108" w:type="dxa"/>
          </w:tblCellMar>
        </w:tblPrEx>
        <w:trPr>
          <w:trHeight w:val="626" w:hRule="atLeast"/>
          <w:jc w:val="center"/>
        </w:trPr>
        <w:tc>
          <w:tcPr>
            <w:tcW w:w="1118" w:type="dxa"/>
            <w:vMerge w:val="continue"/>
            <w:tcBorders>
              <w:left w:val="single" w:color="auto" w:sz="4" w:space="0"/>
              <w:right w:val="single" w:color="auto" w:sz="4" w:space="0"/>
            </w:tcBorders>
            <w:noWrap w:val="0"/>
            <w:vAlign w:val="center"/>
          </w:tcPr>
          <w:p w14:paraId="3BC438CC">
            <w:pPr>
              <w:widowControl/>
              <w:jc w:val="left"/>
              <w:rPr>
                <w:rFonts w:hint="eastAsia" w:ascii="仿宋" w:hAnsi="仿宋" w:eastAsia="仿宋" w:cs="仿宋"/>
                <w:color w:val="auto"/>
                <w:kern w:val="0"/>
                <w:sz w:val="24"/>
                <w:szCs w:val="24"/>
                <w:highlight w:val="none"/>
              </w:rPr>
            </w:pPr>
          </w:p>
        </w:tc>
        <w:tc>
          <w:tcPr>
            <w:tcW w:w="973" w:type="dxa"/>
            <w:vMerge w:val="continue"/>
            <w:tcBorders>
              <w:left w:val="nil"/>
              <w:right w:val="single" w:color="auto" w:sz="4" w:space="0"/>
            </w:tcBorders>
            <w:noWrap w:val="0"/>
            <w:vAlign w:val="center"/>
          </w:tcPr>
          <w:p w14:paraId="644C9CC9">
            <w:pPr>
              <w:jc w:val="left"/>
              <w:rPr>
                <w:rFonts w:hint="eastAsia" w:ascii="仿宋" w:hAnsi="仿宋" w:eastAsia="仿宋" w:cs="仿宋"/>
                <w:color w:val="auto"/>
                <w:kern w:val="0"/>
                <w:sz w:val="24"/>
                <w:szCs w:val="24"/>
                <w:highlight w:val="none"/>
              </w:rPr>
            </w:pPr>
          </w:p>
        </w:tc>
        <w:tc>
          <w:tcPr>
            <w:tcW w:w="1229" w:type="dxa"/>
            <w:vMerge w:val="continue"/>
            <w:tcBorders>
              <w:left w:val="nil"/>
              <w:right w:val="single" w:color="auto" w:sz="4" w:space="0"/>
            </w:tcBorders>
            <w:noWrap w:val="0"/>
            <w:vAlign w:val="center"/>
          </w:tcPr>
          <w:p w14:paraId="4FABC221">
            <w:pPr>
              <w:jc w:val="left"/>
              <w:rPr>
                <w:rFonts w:hint="eastAsia" w:ascii="仿宋" w:hAnsi="仿宋" w:eastAsia="仿宋" w:cs="仿宋"/>
                <w:color w:val="auto"/>
                <w:kern w:val="0"/>
                <w:sz w:val="24"/>
                <w:szCs w:val="24"/>
                <w:highlight w:val="none"/>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14:paraId="53F668D5">
            <w:pPr>
              <w:widowControl/>
              <w:jc w:val="left"/>
              <w:rPr>
                <w:rFonts w:hint="eastAsia" w:ascii="仿宋" w:hAnsi="仿宋" w:eastAsia="仿宋" w:cs="仿宋"/>
                <w:color w:val="auto"/>
                <w:kern w:val="0"/>
                <w:sz w:val="24"/>
                <w:szCs w:val="24"/>
                <w:highlight w:val="none"/>
              </w:rPr>
            </w:pPr>
          </w:p>
          <w:p w14:paraId="757CB5FA">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服务商平台</w:t>
            </w:r>
            <w:r>
              <w:rPr>
                <w:rFonts w:hint="eastAsia" w:ascii="仿宋" w:hAnsi="仿宋" w:eastAsia="仿宋" w:cs="仿宋"/>
                <w:color w:val="auto"/>
                <w:kern w:val="0"/>
                <w:sz w:val="24"/>
                <w:szCs w:val="24"/>
                <w:highlight w:val="none"/>
              </w:rPr>
              <w:t>数据质量</w:t>
            </w:r>
          </w:p>
          <w:p w14:paraId="0B151358">
            <w:pPr>
              <w:widowControl/>
              <w:rPr>
                <w:rFonts w:hint="eastAsia" w:ascii="仿宋" w:hAnsi="仿宋" w:eastAsia="仿宋" w:cs="仿宋"/>
                <w:color w:val="auto"/>
                <w:kern w:val="0"/>
                <w:sz w:val="24"/>
                <w:szCs w:val="24"/>
                <w:highlight w:val="none"/>
              </w:rPr>
            </w:pPr>
          </w:p>
        </w:tc>
        <w:tc>
          <w:tcPr>
            <w:tcW w:w="1389" w:type="dxa"/>
            <w:vMerge w:val="continue"/>
            <w:tcBorders>
              <w:left w:val="single" w:color="auto" w:sz="4" w:space="0"/>
              <w:right w:val="single" w:color="auto" w:sz="4" w:space="0"/>
            </w:tcBorders>
            <w:noWrap w:val="0"/>
            <w:vAlign w:val="center"/>
          </w:tcPr>
          <w:p w14:paraId="06F92712">
            <w:pPr>
              <w:widowControl/>
              <w:jc w:val="left"/>
              <w:rPr>
                <w:rFonts w:hint="eastAsia" w:ascii="仿宋" w:hAnsi="仿宋" w:eastAsia="仿宋" w:cs="仿宋"/>
                <w:color w:val="auto"/>
                <w:kern w:val="0"/>
                <w:sz w:val="24"/>
                <w:szCs w:val="24"/>
                <w:highlight w:val="none"/>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0743C02B">
            <w:pPr>
              <w:widowControl/>
              <w:jc w:val="left"/>
              <w:rPr>
                <w:rFonts w:hint="eastAsia" w:ascii="仿宋" w:hAnsi="仿宋" w:eastAsia="仿宋" w:cs="仿宋"/>
                <w:color w:val="auto"/>
                <w:kern w:val="0"/>
                <w:sz w:val="24"/>
                <w:szCs w:val="24"/>
                <w:highlight w:val="none"/>
                <w:lang w:val="en-US" w:eastAsia="zh-CN"/>
              </w:rPr>
            </w:pPr>
          </w:p>
        </w:tc>
      </w:tr>
      <w:tr w14:paraId="12C2EC2F">
        <w:tblPrEx>
          <w:tblCellMar>
            <w:top w:w="0" w:type="dxa"/>
            <w:left w:w="108" w:type="dxa"/>
            <w:bottom w:w="0" w:type="dxa"/>
            <w:right w:w="108" w:type="dxa"/>
          </w:tblCellMar>
        </w:tblPrEx>
        <w:trPr>
          <w:trHeight w:val="626" w:hRule="atLeast"/>
          <w:jc w:val="center"/>
        </w:trPr>
        <w:tc>
          <w:tcPr>
            <w:tcW w:w="1118" w:type="dxa"/>
            <w:vMerge w:val="continue"/>
            <w:tcBorders>
              <w:left w:val="single" w:color="auto" w:sz="4" w:space="0"/>
              <w:right w:val="single" w:color="auto" w:sz="4" w:space="0"/>
            </w:tcBorders>
            <w:noWrap w:val="0"/>
            <w:vAlign w:val="center"/>
          </w:tcPr>
          <w:p w14:paraId="610DAC94">
            <w:pPr>
              <w:widowControl/>
              <w:jc w:val="left"/>
              <w:rPr>
                <w:rFonts w:hint="eastAsia" w:ascii="仿宋" w:hAnsi="仿宋" w:eastAsia="仿宋" w:cs="仿宋"/>
                <w:color w:val="auto"/>
                <w:kern w:val="0"/>
                <w:sz w:val="24"/>
                <w:szCs w:val="24"/>
                <w:highlight w:val="none"/>
              </w:rPr>
            </w:pPr>
          </w:p>
        </w:tc>
        <w:tc>
          <w:tcPr>
            <w:tcW w:w="973" w:type="dxa"/>
            <w:vMerge w:val="continue"/>
            <w:tcBorders>
              <w:left w:val="nil"/>
              <w:right w:val="single" w:color="auto" w:sz="4" w:space="0"/>
            </w:tcBorders>
            <w:noWrap w:val="0"/>
            <w:vAlign w:val="center"/>
          </w:tcPr>
          <w:p w14:paraId="4915A054">
            <w:pPr>
              <w:widowControl/>
              <w:jc w:val="left"/>
              <w:rPr>
                <w:rFonts w:hint="eastAsia" w:ascii="仿宋" w:hAnsi="仿宋" w:eastAsia="仿宋" w:cs="仿宋"/>
                <w:color w:val="auto"/>
                <w:kern w:val="0"/>
                <w:sz w:val="24"/>
                <w:szCs w:val="24"/>
                <w:highlight w:val="none"/>
              </w:rPr>
            </w:pPr>
          </w:p>
        </w:tc>
        <w:tc>
          <w:tcPr>
            <w:tcW w:w="1229" w:type="dxa"/>
            <w:vMerge w:val="continue"/>
            <w:tcBorders>
              <w:left w:val="nil"/>
              <w:right w:val="single" w:color="auto" w:sz="4" w:space="0"/>
            </w:tcBorders>
            <w:noWrap w:val="0"/>
            <w:vAlign w:val="center"/>
          </w:tcPr>
          <w:p w14:paraId="3EA7A25A">
            <w:pPr>
              <w:widowControl/>
              <w:jc w:val="left"/>
              <w:rPr>
                <w:rFonts w:hint="eastAsia" w:ascii="仿宋" w:hAnsi="仿宋" w:eastAsia="仿宋" w:cs="仿宋"/>
                <w:color w:val="auto"/>
                <w:kern w:val="0"/>
                <w:sz w:val="24"/>
                <w:szCs w:val="24"/>
                <w:highlight w:val="none"/>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14:paraId="7955DE56">
            <w:pPr>
              <w:widowControl/>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rPr>
              <w:t>“七助”服务、走失老人找回服务数据质量</w:t>
            </w:r>
          </w:p>
        </w:tc>
        <w:tc>
          <w:tcPr>
            <w:tcW w:w="1389" w:type="dxa"/>
            <w:vMerge w:val="continue"/>
            <w:tcBorders>
              <w:left w:val="single" w:color="auto" w:sz="4" w:space="0"/>
              <w:right w:val="single" w:color="auto" w:sz="4" w:space="0"/>
            </w:tcBorders>
            <w:noWrap w:val="0"/>
            <w:vAlign w:val="center"/>
          </w:tcPr>
          <w:p w14:paraId="2112D615">
            <w:pPr>
              <w:widowControl/>
              <w:jc w:val="left"/>
              <w:rPr>
                <w:rFonts w:hint="eastAsia" w:ascii="仿宋" w:hAnsi="仿宋" w:eastAsia="仿宋" w:cs="仿宋"/>
                <w:color w:val="auto"/>
                <w:kern w:val="0"/>
                <w:sz w:val="24"/>
                <w:szCs w:val="24"/>
                <w:highlight w:val="none"/>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0E1B1928">
            <w:pPr>
              <w:widowControl/>
              <w:jc w:val="left"/>
              <w:rPr>
                <w:rFonts w:hint="eastAsia" w:ascii="仿宋" w:hAnsi="仿宋" w:eastAsia="仿宋" w:cs="仿宋"/>
                <w:color w:val="auto"/>
                <w:kern w:val="0"/>
                <w:sz w:val="24"/>
                <w:szCs w:val="24"/>
                <w:highlight w:val="none"/>
              </w:rPr>
            </w:pPr>
          </w:p>
        </w:tc>
      </w:tr>
      <w:tr w14:paraId="775C369D">
        <w:tblPrEx>
          <w:tblCellMar>
            <w:top w:w="0" w:type="dxa"/>
            <w:left w:w="108" w:type="dxa"/>
            <w:bottom w:w="0" w:type="dxa"/>
            <w:right w:w="108" w:type="dxa"/>
          </w:tblCellMar>
        </w:tblPrEx>
        <w:trPr>
          <w:trHeight w:val="626" w:hRule="atLeast"/>
          <w:jc w:val="center"/>
        </w:trPr>
        <w:tc>
          <w:tcPr>
            <w:tcW w:w="1118" w:type="dxa"/>
            <w:vMerge w:val="continue"/>
            <w:tcBorders>
              <w:left w:val="single" w:color="auto" w:sz="4" w:space="0"/>
              <w:bottom w:val="single" w:color="auto" w:sz="4" w:space="0"/>
              <w:right w:val="single" w:color="auto" w:sz="4" w:space="0"/>
            </w:tcBorders>
            <w:noWrap w:val="0"/>
            <w:vAlign w:val="center"/>
          </w:tcPr>
          <w:p w14:paraId="2F56A9B3">
            <w:pPr>
              <w:widowControl/>
              <w:jc w:val="left"/>
              <w:rPr>
                <w:rFonts w:hint="eastAsia" w:ascii="仿宋" w:hAnsi="仿宋" w:eastAsia="仿宋" w:cs="仿宋"/>
                <w:color w:val="auto"/>
                <w:kern w:val="0"/>
                <w:sz w:val="24"/>
                <w:szCs w:val="24"/>
                <w:highlight w:val="none"/>
              </w:rPr>
            </w:pPr>
          </w:p>
        </w:tc>
        <w:tc>
          <w:tcPr>
            <w:tcW w:w="973" w:type="dxa"/>
            <w:vMerge w:val="continue"/>
            <w:tcBorders>
              <w:left w:val="nil"/>
              <w:bottom w:val="single" w:color="auto" w:sz="4" w:space="0"/>
              <w:right w:val="single" w:color="auto" w:sz="4" w:space="0"/>
            </w:tcBorders>
            <w:noWrap w:val="0"/>
            <w:vAlign w:val="center"/>
          </w:tcPr>
          <w:p w14:paraId="1F97A259">
            <w:pPr>
              <w:widowControl/>
              <w:jc w:val="left"/>
              <w:rPr>
                <w:rFonts w:hint="eastAsia" w:ascii="仿宋" w:hAnsi="仿宋" w:eastAsia="仿宋" w:cs="仿宋"/>
                <w:color w:val="auto"/>
                <w:kern w:val="0"/>
                <w:sz w:val="24"/>
                <w:szCs w:val="24"/>
                <w:highlight w:val="none"/>
              </w:rPr>
            </w:pPr>
          </w:p>
        </w:tc>
        <w:tc>
          <w:tcPr>
            <w:tcW w:w="1229" w:type="dxa"/>
            <w:vMerge w:val="continue"/>
            <w:tcBorders>
              <w:left w:val="nil"/>
              <w:bottom w:val="single" w:color="auto" w:sz="4" w:space="0"/>
              <w:right w:val="single" w:color="auto" w:sz="4" w:space="0"/>
            </w:tcBorders>
            <w:noWrap w:val="0"/>
            <w:vAlign w:val="center"/>
          </w:tcPr>
          <w:p w14:paraId="7554E2D4">
            <w:pPr>
              <w:widowControl/>
              <w:jc w:val="left"/>
              <w:rPr>
                <w:rFonts w:hint="eastAsia" w:ascii="仿宋" w:hAnsi="仿宋" w:eastAsia="仿宋" w:cs="仿宋"/>
                <w:color w:val="auto"/>
                <w:kern w:val="0"/>
                <w:sz w:val="24"/>
                <w:szCs w:val="24"/>
                <w:highlight w:val="none"/>
              </w:rPr>
            </w:pPr>
          </w:p>
        </w:tc>
        <w:tc>
          <w:tcPr>
            <w:tcW w:w="2824" w:type="dxa"/>
            <w:tcBorders>
              <w:top w:val="single" w:color="auto" w:sz="4" w:space="0"/>
              <w:left w:val="single" w:color="auto" w:sz="4" w:space="0"/>
              <w:bottom w:val="single" w:color="auto" w:sz="4" w:space="0"/>
              <w:right w:val="single" w:color="auto" w:sz="4" w:space="0"/>
            </w:tcBorders>
            <w:noWrap w:val="0"/>
            <w:vAlign w:val="center"/>
          </w:tcPr>
          <w:p w14:paraId="65F79246">
            <w:pPr>
              <w:widowControl/>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有效投诉</w:t>
            </w:r>
          </w:p>
        </w:tc>
        <w:tc>
          <w:tcPr>
            <w:tcW w:w="1389" w:type="dxa"/>
            <w:vMerge w:val="continue"/>
            <w:tcBorders>
              <w:left w:val="single" w:color="auto" w:sz="4" w:space="0"/>
              <w:bottom w:val="single" w:color="auto" w:sz="4" w:space="0"/>
              <w:right w:val="single" w:color="auto" w:sz="4" w:space="0"/>
            </w:tcBorders>
            <w:noWrap w:val="0"/>
            <w:vAlign w:val="center"/>
          </w:tcPr>
          <w:p w14:paraId="3322A139">
            <w:pPr>
              <w:widowControl/>
              <w:jc w:val="left"/>
              <w:rPr>
                <w:rFonts w:hint="eastAsia" w:ascii="仿宋" w:hAnsi="仿宋" w:eastAsia="仿宋" w:cs="仿宋"/>
                <w:color w:val="auto"/>
                <w:kern w:val="0"/>
                <w:sz w:val="24"/>
                <w:szCs w:val="24"/>
                <w:highlight w:val="none"/>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14:paraId="59826B41">
            <w:pPr>
              <w:widowControl/>
              <w:jc w:val="left"/>
              <w:rPr>
                <w:rFonts w:hint="eastAsia" w:ascii="仿宋" w:hAnsi="仿宋" w:eastAsia="仿宋" w:cs="仿宋"/>
                <w:color w:val="auto"/>
                <w:kern w:val="0"/>
                <w:sz w:val="24"/>
                <w:szCs w:val="24"/>
                <w:highlight w:val="none"/>
              </w:rPr>
            </w:pPr>
          </w:p>
        </w:tc>
      </w:tr>
    </w:tbl>
    <w:p w14:paraId="644A729A">
      <w:pPr>
        <w:widowControl/>
        <w:wordWrap w:val="0"/>
        <w:spacing w:line="600" w:lineRule="exact"/>
        <w:jc w:val="left"/>
        <w:rPr>
          <w:rFonts w:hint="eastAsia" w:ascii="仿宋" w:hAnsi="仿宋" w:eastAsia="仿宋" w:cs="仿宋"/>
          <w:color w:val="auto"/>
          <w:kern w:val="0"/>
          <w:sz w:val="24"/>
          <w:szCs w:val="24"/>
          <w:highlight w:val="none"/>
        </w:rPr>
      </w:pPr>
    </w:p>
    <w:p w14:paraId="2E5076A1">
      <w:pPr>
        <w:widowControl/>
        <w:wordWrap w:val="0"/>
        <w:spacing w:line="600" w:lineRule="exact"/>
        <w:jc w:val="left"/>
        <w:rPr>
          <w:rFonts w:hint="eastAsia" w:ascii="仿宋" w:hAnsi="仿宋" w:eastAsia="仿宋" w:cs="仿宋"/>
          <w:color w:val="auto"/>
          <w:kern w:val="0"/>
          <w:sz w:val="24"/>
          <w:szCs w:val="24"/>
          <w:highlight w:val="none"/>
        </w:rPr>
      </w:pPr>
    </w:p>
    <w:p w14:paraId="05AA4DB2">
      <w:pPr>
        <w:widowControl/>
        <w:wordWrap w:val="0"/>
        <w:spacing w:line="600" w:lineRule="exact"/>
        <w:jc w:val="left"/>
        <w:rPr>
          <w:rFonts w:hint="eastAsia" w:ascii="仿宋" w:hAnsi="仿宋" w:eastAsia="仿宋" w:cs="仿宋"/>
          <w:color w:val="auto"/>
          <w:kern w:val="0"/>
          <w:sz w:val="24"/>
          <w:szCs w:val="24"/>
          <w:highlight w:val="none"/>
        </w:rPr>
      </w:pPr>
    </w:p>
    <w:p w14:paraId="0BDF1E86">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30F9C820">
      <w:pPr>
        <w:widowControl/>
        <w:wordWrap w:val="0"/>
        <w:spacing w:line="6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附件2</w:t>
      </w:r>
    </w:p>
    <w:p w14:paraId="3920C734">
      <w:pPr>
        <w:widowControl/>
        <w:wordWrap w:val="0"/>
        <w:spacing w:line="6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智慧养老二类、三类服务积分表</w:t>
      </w:r>
    </w:p>
    <w:tbl>
      <w:tblPr>
        <w:tblStyle w:val="63"/>
        <w:tblpPr w:leftFromText="180" w:rightFromText="180" w:vertAnchor="text" w:horzAnchor="page" w:tblpX="1981" w:tblpY="213"/>
        <w:tblOverlap w:val="never"/>
        <w:tblW w:w="0" w:type="auto"/>
        <w:tblInd w:w="0" w:type="dxa"/>
        <w:tblLayout w:type="fixed"/>
        <w:tblCellMar>
          <w:top w:w="0" w:type="dxa"/>
          <w:left w:w="108" w:type="dxa"/>
          <w:bottom w:w="0" w:type="dxa"/>
          <w:right w:w="108" w:type="dxa"/>
        </w:tblCellMar>
      </w:tblPr>
      <w:tblGrid>
        <w:gridCol w:w="1080"/>
        <w:gridCol w:w="2660"/>
        <w:gridCol w:w="3220"/>
        <w:gridCol w:w="1180"/>
      </w:tblGrid>
      <w:tr w14:paraId="43BEEE70">
        <w:tblPrEx>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E7B7DE0">
            <w:pPr>
              <w:widowControl/>
              <w:spacing w:line="36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2660" w:type="dxa"/>
            <w:tcBorders>
              <w:top w:val="single" w:color="auto" w:sz="4" w:space="0"/>
              <w:left w:val="nil"/>
              <w:bottom w:val="single" w:color="auto" w:sz="4" w:space="0"/>
              <w:right w:val="single" w:color="auto" w:sz="4" w:space="0"/>
            </w:tcBorders>
            <w:noWrap w:val="0"/>
            <w:vAlign w:val="center"/>
          </w:tcPr>
          <w:p w14:paraId="754BA086">
            <w:pPr>
              <w:widowControl/>
              <w:spacing w:line="36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服务类型</w:t>
            </w:r>
          </w:p>
        </w:tc>
        <w:tc>
          <w:tcPr>
            <w:tcW w:w="3220" w:type="dxa"/>
            <w:tcBorders>
              <w:top w:val="single" w:color="auto" w:sz="4" w:space="0"/>
              <w:left w:val="nil"/>
              <w:bottom w:val="single" w:color="auto" w:sz="4" w:space="0"/>
              <w:right w:val="single" w:color="auto" w:sz="4" w:space="0"/>
            </w:tcBorders>
            <w:noWrap w:val="0"/>
            <w:vAlign w:val="center"/>
          </w:tcPr>
          <w:p w14:paraId="79F2E8DE">
            <w:pPr>
              <w:widowControl/>
              <w:spacing w:line="36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服务内容</w:t>
            </w:r>
          </w:p>
        </w:tc>
        <w:tc>
          <w:tcPr>
            <w:tcW w:w="1180" w:type="dxa"/>
            <w:tcBorders>
              <w:top w:val="single" w:color="auto" w:sz="4" w:space="0"/>
              <w:left w:val="nil"/>
              <w:bottom w:val="single" w:color="auto" w:sz="4" w:space="0"/>
              <w:right w:val="single" w:color="auto" w:sz="4" w:space="0"/>
            </w:tcBorders>
            <w:noWrap w:val="0"/>
            <w:vAlign w:val="center"/>
          </w:tcPr>
          <w:p w14:paraId="49935C51">
            <w:pPr>
              <w:widowControl/>
              <w:spacing w:line="36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r>
      <w:tr w14:paraId="4FF4E7C7">
        <w:tblPrEx>
          <w:tblCellMar>
            <w:top w:w="0" w:type="dxa"/>
            <w:left w:w="108" w:type="dxa"/>
            <w:bottom w:w="0" w:type="dxa"/>
            <w:right w:w="108" w:type="dxa"/>
          </w:tblCellMar>
        </w:tblPrEx>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0B09EAB3">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660" w:type="dxa"/>
            <w:vMerge w:val="restart"/>
            <w:tcBorders>
              <w:top w:val="nil"/>
              <w:left w:val="single" w:color="auto" w:sz="4" w:space="0"/>
              <w:right w:val="single" w:color="auto" w:sz="4" w:space="0"/>
            </w:tcBorders>
            <w:noWrap w:val="0"/>
            <w:vAlign w:val="center"/>
          </w:tcPr>
          <w:p w14:paraId="4F622550">
            <w:pPr>
              <w:widowControl/>
              <w:spacing w:line="360" w:lineRule="exact"/>
              <w:jc w:val="center"/>
              <w:rPr>
                <w:rFonts w:hint="eastAsia" w:ascii="仿宋" w:hAnsi="仿宋" w:eastAsia="仿宋" w:cs="仿宋"/>
                <w:color w:val="auto"/>
                <w:kern w:val="0"/>
                <w:sz w:val="24"/>
                <w:szCs w:val="24"/>
                <w:highlight w:val="none"/>
              </w:rPr>
            </w:pPr>
          </w:p>
          <w:p w14:paraId="2E7DA7F0">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助急服务</w:t>
            </w:r>
          </w:p>
          <w:p w14:paraId="732B8526">
            <w:pPr>
              <w:widowControl/>
              <w:spacing w:line="360" w:lineRule="exact"/>
              <w:jc w:val="center"/>
              <w:rPr>
                <w:rFonts w:hint="eastAsia" w:ascii="仿宋" w:hAnsi="仿宋" w:eastAsia="仿宋" w:cs="仿宋"/>
                <w:color w:val="auto"/>
                <w:kern w:val="0"/>
                <w:sz w:val="24"/>
                <w:szCs w:val="24"/>
                <w:highlight w:val="none"/>
                <w:lang w:val="en-US" w:eastAsia="zh-CN" w:bidi="ar-SA"/>
              </w:rPr>
            </w:pPr>
          </w:p>
        </w:tc>
        <w:tc>
          <w:tcPr>
            <w:tcW w:w="3220" w:type="dxa"/>
            <w:tcBorders>
              <w:top w:val="nil"/>
              <w:left w:val="nil"/>
              <w:bottom w:val="single" w:color="auto" w:sz="4" w:space="0"/>
              <w:right w:val="single" w:color="auto" w:sz="4" w:space="0"/>
            </w:tcBorders>
            <w:noWrap w:val="0"/>
            <w:vAlign w:val="center"/>
          </w:tcPr>
          <w:p w14:paraId="74E8CDC4">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家电维修(每次）</w:t>
            </w:r>
          </w:p>
        </w:tc>
        <w:tc>
          <w:tcPr>
            <w:tcW w:w="1180" w:type="dxa"/>
            <w:tcBorders>
              <w:top w:val="nil"/>
              <w:left w:val="nil"/>
              <w:bottom w:val="single" w:color="auto" w:sz="4" w:space="0"/>
              <w:right w:val="single" w:color="auto" w:sz="4" w:space="0"/>
            </w:tcBorders>
            <w:noWrap w:val="0"/>
            <w:vAlign w:val="center"/>
          </w:tcPr>
          <w:p w14:paraId="22127436">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r>
      <w:tr w14:paraId="1D141020">
        <w:tblPrEx>
          <w:tblCellMar>
            <w:top w:w="0" w:type="dxa"/>
            <w:left w:w="108" w:type="dxa"/>
            <w:bottom w:w="0" w:type="dxa"/>
            <w:right w:w="108" w:type="dxa"/>
          </w:tblCellMar>
        </w:tblPrEx>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0FD4D6F8">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660" w:type="dxa"/>
            <w:vMerge w:val="continue"/>
            <w:tcBorders>
              <w:left w:val="single" w:color="auto" w:sz="4" w:space="0"/>
              <w:right w:val="single" w:color="auto" w:sz="4" w:space="0"/>
            </w:tcBorders>
            <w:noWrap w:val="0"/>
            <w:vAlign w:val="center"/>
          </w:tcPr>
          <w:p w14:paraId="1EE39EAB">
            <w:pPr>
              <w:widowControl/>
              <w:spacing w:line="360" w:lineRule="exact"/>
              <w:jc w:val="left"/>
              <w:rPr>
                <w:rFonts w:hint="eastAsia" w:ascii="仿宋" w:hAnsi="仿宋" w:eastAsia="仿宋" w:cs="仿宋"/>
                <w:color w:val="auto"/>
                <w:kern w:val="0"/>
                <w:sz w:val="24"/>
                <w:szCs w:val="24"/>
                <w:highlight w:val="none"/>
              </w:rPr>
            </w:pPr>
          </w:p>
        </w:tc>
        <w:tc>
          <w:tcPr>
            <w:tcW w:w="3220" w:type="dxa"/>
            <w:tcBorders>
              <w:top w:val="nil"/>
              <w:left w:val="nil"/>
              <w:bottom w:val="single" w:color="auto" w:sz="4" w:space="0"/>
              <w:right w:val="single" w:color="auto" w:sz="4" w:space="0"/>
            </w:tcBorders>
            <w:noWrap w:val="0"/>
            <w:vAlign w:val="center"/>
          </w:tcPr>
          <w:p w14:paraId="6E6E3C77">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开锁修锁(每次）</w:t>
            </w:r>
          </w:p>
        </w:tc>
        <w:tc>
          <w:tcPr>
            <w:tcW w:w="1180" w:type="dxa"/>
            <w:tcBorders>
              <w:top w:val="nil"/>
              <w:left w:val="nil"/>
              <w:bottom w:val="single" w:color="auto" w:sz="4" w:space="0"/>
              <w:right w:val="single" w:color="auto" w:sz="4" w:space="0"/>
            </w:tcBorders>
            <w:noWrap w:val="0"/>
            <w:vAlign w:val="center"/>
          </w:tcPr>
          <w:p w14:paraId="4DE4AC4D">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r>
      <w:tr w14:paraId="31B9CF05">
        <w:tblPrEx>
          <w:tblCellMar>
            <w:top w:w="0" w:type="dxa"/>
            <w:left w:w="108" w:type="dxa"/>
            <w:bottom w:w="0" w:type="dxa"/>
            <w:right w:w="108" w:type="dxa"/>
          </w:tblCellMar>
        </w:tblPrEx>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3349DD52">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660" w:type="dxa"/>
            <w:vMerge w:val="continue"/>
            <w:tcBorders>
              <w:left w:val="single" w:color="auto" w:sz="4" w:space="0"/>
              <w:right w:val="single" w:color="auto" w:sz="4" w:space="0"/>
            </w:tcBorders>
            <w:noWrap w:val="0"/>
            <w:vAlign w:val="center"/>
          </w:tcPr>
          <w:p w14:paraId="5141EDF1">
            <w:pPr>
              <w:widowControl/>
              <w:spacing w:line="360" w:lineRule="exact"/>
              <w:jc w:val="left"/>
              <w:rPr>
                <w:rFonts w:hint="eastAsia" w:ascii="仿宋" w:hAnsi="仿宋" w:eastAsia="仿宋" w:cs="仿宋"/>
                <w:color w:val="auto"/>
                <w:kern w:val="0"/>
                <w:sz w:val="24"/>
                <w:szCs w:val="24"/>
                <w:highlight w:val="none"/>
              </w:rPr>
            </w:pPr>
          </w:p>
        </w:tc>
        <w:tc>
          <w:tcPr>
            <w:tcW w:w="3220" w:type="dxa"/>
            <w:tcBorders>
              <w:top w:val="nil"/>
              <w:left w:val="nil"/>
              <w:bottom w:val="single" w:color="auto" w:sz="4" w:space="0"/>
              <w:right w:val="single" w:color="auto" w:sz="4" w:space="0"/>
            </w:tcBorders>
            <w:noWrap w:val="0"/>
            <w:vAlign w:val="center"/>
          </w:tcPr>
          <w:p w14:paraId="34CB17EB">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管道疏通(每次）</w:t>
            </w:r>
          </w:p>
        </w:tc>
        <w:tc>
          <w:tcPr>
            <w:tcW w:w="1180" w:type="dxa"/>
            <w:tcBorders>
              <w:top w:val="nil"/>
              <w:left w:val="nil"/>
              <w:bottom w:val="single" w:color="auto" w:sz="4" w:space="0"/>
              <w:right w:val="single" w:color="auto" w:sz="4" w:space="0"/>
            </w:tcBorders>
            <w:noWrap w:val="0"/>
            <w:vAlign w:val="center"/>
          </w:tcPr>
          <w:p w14:paraId="1FA3638F">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r>
      <w:tr w14:paraId="35025A22">
        <w:tblPrEx>
          <w:tblCellMar>
            <w:top w:w="0" w:type="dxa"/>
            <w:left w:w="108" w:type="dxa"/>
            <w:bottom w:w="0" w:type="dxa"/>
            <w:right w:w="108" w:type="dxa"/>
          </w:tblCellMar>
        </w:tblPrEx>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57139FC7">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660" w:type="dxa"/>
            <w:vMerge w:val="continue"/>
            <w:tcBorders>
              <w:left w:val="single" w:color="auto" w:sz="4" w:space="0"/>
              <w:right w:val="single" w:color="auto" w:sz="4" w:space="0"/>
            </w:tcBorders>
            <w:noWrap w:val="0"/>
            <w:vAlign w:val="center"/>
          </w:tcPr>
          <w:p w14:paraId="381269CC">
            <w:pPr>
              <w:widowControl/>
              <w:spacing w:line="360" w:lineRule="exact"/>
              <w:jc w:val="left"/>
              <w:rPr>
                <w:rFonts w:hint="eastAsia" w:ascii="仿宋" w:hAnsi="仿宋" w:eastAsia="仿宋" w:cs="仿宋"/>
                <w:color w:val="auto"/>
                <w:kern w:val="0"/>
                <w:sz w:val="24"/>
                <w:szCs w:val="24"/>
                <w:highlight w:val="none"/>
              </w:rPr>
            </w:pPr>
          </w:p>
        </w:tc>
        <w:tc>
          <w:tcPr>
            <w:tcW w:w="3220" w:type="dxa"/>
            <w:tcBorders>
              <w:top w:val="nil"/>
              <w:left w:val="nil"/>
              <w:bottom w:val="single" w:color="auto" w:sz="4" w:space="0"/>
              <w:right w:val="single" w:color="auto" w:sz="4" w:space="0"/>
            </w:tcBorders>
            <w:noWrap w:val="0"/>
            <w:vAlign w:val="center"/>
          </w:tcPr>
          <w:p w14:paraId="7C09DE8E">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水电维修(每次）</w:t>
            </w:r>
          </w:p>
        </w:tc>
        <w:tc>
          <w:tcPr>
            <w:tcW w:w="1180" w:type="dxa"/>
            <w:tcBorders>
              <w:top w:val="nil"/>
              <w:left w:val="nil"/>
              <w:bottom w:val="single" w:color="auto" w:sz="4" w:space="0"/>
              <w:right w:val="single" w:color="auto" w:sz="4" w:space="0"/>
            </w:tcBorders>
            <w:noWrap w:val="0"/>
            <w:vAlign w:val="center"/>
          </w:tcPr>
          <w:p w14:paraId="439EF910">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r>
      <w:tr w14:paraId="6AAEA735">
        <w:tblPrEx>
          <w:tblCellMar>
            <w:top w:w="0" w:type="dxa"/>
            <w:left w:w="108" w:type="dxa"/>
            <w:bottom w:w="0" w:type="dxa"/>
            <w:right w:w="108" w:type="dxa"/>
          </w:tblCellMar>
        </w:tblPrEx>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7EC21CD6">
            <w:pPr>
              <w:widowControl/>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2660" w:type="dxa"/>
            <w:vMerge w:val="continue"/>
            <w:tcBorders>
              <w:left w:val="single" w:color="auto" w:sz="4" w:space="0"/>
              <w:bottom w:val="single" w:color="auto" w:sz="4" w:space="0"/>
              <w:right w:val="single" w:color="auto" w:sz="4" w:space="0"/>
            </w:tcBorders>
            <w:noWrap w:val="0"/>
            <w:vAlign w:val="center"/>
          </w:tcPr>
          <w:p w14:paraId="4788DB09">
            <w:pPr>
              <w:widowControl/>
              <w:spacing w:line="360" w:lineRule="exact"/>
              <w:jc w:val="center"/>
              <w:rPr>
                <w:rFonts w:hint="eastAsia" w:ascii="仿宋" w:hAnsi="仿宋" w:eastAsia="仿宋" w:cs="仿宋"/>
                <w:color w:val="auto"/>
                <w:kern w:val="0"/>
                <w:sz w:val="24"/>
                <w:szCs w:val="24"/>
                <w:highlight w:val="none"/>
                <w:lang w:val="en-US" w:eastAsia="zh-CN" w:bidi="ar-SA"/>
              </w:rPr>
            </w:pPr>
          </w:p>
        </w:tc>
        <w:tc>
          <w:tcPr>
            <w:tcW w:w="3220" w:type="dxa"/>
            <w:tcBorders>
              <w:top w:val="nil"/>
              <w:left w:val="nil"/>
              <w:bottom w:val="single" w:color="auto" w:sz="4" w:space="0"/>
              <w:right w:val="single" w:color="auto" w:sz="4" w:space="0"/>
            </w:tcBorders>
            <w:noWrap w:val="0"/>
            <w:vAlign w:val="center"/>
          </w:tcPr>
          <w:p w14:paraId="12A26DEA">
            <w:pPr>
              <w:widowControl/>
              <w:spacing w:line="3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走失老人找回(每次）</w:t>
            </w:r>
          </w:p>
        </w:tc>
        <w:tc>
          <w:tcPr>
            <w:tcW w:w="1180" w:type="dxa"/>
            <w:tcBorders>
              <w:top w:val="nil"/>
              <w:left w:val="nil"/>
              <w:bottom w:val="single" w:color="auto" w:sz="4" w:space="0"/>
              <w:right w:val="single" w:color="auto" w:sz="4" w:space="0"/>
            </w:tcBorders>
            <w:noWrap w:val="0"/>
            <w:vAlign w:val="center"/>
          </w:tcPr>
          <w:p w14:paraId="20CB9769">
            <w:pPr>
              <w:widowControl/>
              <w:spacing w:line="3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10</w:t>
            </w:r>
          </w:p>
        </w:tc>
      </w:tr>
      <w:tr w14:paraId="3BA754B4">
        <w:tblPrEx>
          <w:tblCellMar>
            <w:top w:w="0" w:type="dxa"/>
            <w:left w:w="108" w:type="dxa"/>
            <w:bottom w:w="0" w:type="dxa"/>
            <w:right w:w="108" w:type="dxa"/>
          </w:tblCellMar>
        </w:tblPrEx>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4641A5C7">
            <w:pPr>
              <w:widowControl/>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2660" w:type="dxa"/>
            <w:vMerge w:val="restart"/>
            <w:tcBorders>
              <w:top w:val="nil"/>
              <w:left w:val="single" w:color="auto" w:sz="4" w:space="0"/>
              <w:bottom w:val="single" w:color="auto" w:sz="4" w:space="0"/>
              <w:right w:val="single" w:color="auto" w:sz="4" w:space="0"/>
            </w:tcBorders>
            <w:noWrap w:val="0"/>
            <w:vAlign w:val="center"/>
          </w:tcPr>
          <w:p w14:paraId="6911AA4B">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助洁服务</w:t>
            </w:r>
          </w:p>
        </w:tc>
        <w:tc>
          <w:tcPr>
            <w:tcW w:w="3220" w:type="dxa"/>
            <w:tcBorders>
              <w:top w:val="nil"/>
              <w:left w:val="nil"/>
              <w:bottom w:val="single" w:color="auto" w:sz="4" w:space="0"/>
              <w:right w:val="single" w:color="auto" w:sz="4" w:space="0"/>
            </w:tcBorders>
            <w:noWrap w:val="0"/>
            <w:vAlign w:val="center"/>
          </w:tcPr>
          <w:p w14:paraId="6ACC1AA0">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居室清洁(每小时）</w:t>
            </w:r>
          </w:p>
        </w:tc>
        <w:tc>
          <w:tcPr>
            <w:tcW w:w="1180" w:type="dxa"/>
            <w:tcBorders>
              <w:top w:val="nil"/>
              <w:left w:val="nil"/>
              <w:bottom w:val="single" w:color="auto" w:sz="4" w:space="0"/>
              <w:right w:val="single" w:color="auto" w:sz="4" w:space="0"/>
            </w:tcBorders>
            <w:noWrap w:val="0"/>
            <w:vAlign w:val="center"/>
          </w:tcPr>
          <w:p w14:paraId="71C740AB">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r>
      <w:tr w14:paraId="10514F09">
        <w:tblPrEx>
          <w:tblCellMar>
            <w:top w:w="0" w:type="dxa"/>
            <w:left w:w="108" w:type="dxa"/>
            <w:bottom w:w="0" w:type="dxa"/>
            <w:right w:w="108" w:type="dxa"/>
          </w:tblCellMar>
        </w:tblPrEx>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5FB1582E">
            <w:pPr>
              <w:widowControl/>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7</w:t>
            </w:r>
          </w:p>
        </w:tc>
        <w:tc>
          <w:tcPr>
            <w:tcW w:w="2660" w:type="dxa"/>
            <w:vMerge w:val="continue"/>
            <w:tcBorders>
              <w:top w:val="nil"/>
              <w:left w:val="single" w:color="auto" w:sz="4" w:space="0"/>
              <w:bottom w:val="single" w:color="auto" w:sz="4" w:space="0"/>
              <w:right w:val="single" w:color="auto" w:sz="4" w:space="0"/>
            </w:tcBorders>
            <w:noWrap w:val="0"/>
            <w:vAlign w:val="center"/>
          </w:tcPr>
          <w:p w14:paraId="398C7FAC">
            <w:pPr>
              <w:widowControl/>
              <w:spacing w:line="360" w:lineRule="exact"/>
              <w:jc w:val="left"/>
              <w:rPr>
                <w:rFonts w:hint="eastAsia" w:ascii="仿宋" w:hAnsi="仿宋" w:eastAsia="仿宋" w:cs="仿宋"/>
                <w:color w:val="auto"/>
                <w:kern w:val="0"/>
                <w:sz w:val="24"/>
                <w:szCs w:val="24"/>
                <w:highlight w:val="none"/>
              </w:rPr>
            </w:pPr>
          </w:p>
        </w:tc>
        <w:tc>
          <w:tcPr>
            <w:tcW w:w="3220" w:type="dxa"/>
            <w:tcBorders>
              <w:top w:val="nil"/>
              <w:left w:val="nil"/>
              <w:bottom w:val="single" w:color="auto" w:sz="4" w:space="0"/>
              <w:right w:val="single" w:color="auto" w:sz="4" w:space="0"/>
            </w:tcBorders>
            <w:noWrap w:val="0"/>
            <w:vAlign w:val="center"/>
          </w:tcPr>
          <w:p w14:paraId="2E6263CB">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衣物洗涤(每小时）</w:t>
            </w:r>
          </w:p>
        </w:tc>
        <w:tc>
          <w:tcPr>
            <w:tcW w:w="1180" w:type="dxa"/>
            <w:tcBorders>
              <w:top w:val="nil"/>
              <w:left w:val="nil"/>
              <w:bottom w:val="single" w:color="auto" w:sz="4" w:space="0"/>
              <w:right w:val="single" w:color="auto" w:sz="4" w:space="0"/>
            </w:tcBorders>
            <w:noWrap w:val="0"/>
            <w:vAlign w:val="center"/>
          </w:tcPr>
          <w:p w14:paraId="5B8BE6EC">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r>
      <w:tr w14:paraId="186F0EC5">
        <w:tblPrEx>
          <w:tblCellMar>
            <w:top w:w="0" w:type="dxa"/>
            <w:left w:w="108" w:type="dxa"/>
            <w:bottom w:w="0" w:type="dxa"/>
            <w:right w:w="108" w:type="dxa"/>
          </w:tblCellMar>
        </w:tblPrEx>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165484BC">
            <w:pPr>
              <w:widowControl/>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8</w:t>
            </w:r>
          </w:p>
        </w:tc>
        <w:tc>
          <w:tcPr>
            <w:tcW w:w="2660" w:type="dxa"/>
            <w:vMerge w:val="continue"/>
            <w:tcBorders>
              <w:top w:val="nil"/>
              <w:left w:val="single" w:color="auto" w:sz="4" w:space="0"/>
              <w:bottom w:val="single" w:color="auto" w:sz="4" w:space="0"/>
              <w:right w:val="single" w:color="auto" w:sz="4" w:space="0"/>
            </w:tcBorders>
            <w:noWrap w:val="0"/>
            <w:vAlign w:val="center"/>
          </w:tcPr>
          <w:p w14:paraId="500A723A">
            <w:pPr>
              <w:widowControl/>
              <w:spacing w:line="360" w:lineRule="exact"/>
              <w:jc w:val="left"/>
              <w:rPr>
                <w:rFonts w:hint="eastAsia" w:ascii="仿宋" w:hAnsi="仿宋" w:eastAsia="仿宋" w:cs="仿宋"/>
                <w:color w:val="auto"/>
                <w:kern w:val="0"/>
                <w:sz w:val="24"/>
                <w:szCs w:val="24"/>
                <w:highlight w:val="none"/>
              </w:rPr>
            </w:pPr>
          </w:p>
        </w:tc>
        <w:tc>
          <w:tcPr>
            <w:tcW w:w="3220" w:type="dxa"/>
            <w:tcBorders>
              <w:top w:val="nil"/>
              <w:left w:val="nil"/>
              <w:bottom w:val="single" w:color="auto" w:sz="4" w:space="0"/>
              <w:right w:val="single" w:color="auto" w:sz="4" w:space="0"/>
            </w:tcBorders>
            <w:noWrap w:val="0"/>
            <w:vAlign w:val="center"/>
          </w:tcPr>
          <w:p w14:paraId="7F4D2E59">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理发修面(每次）</w:t>
            </w:r>
          </w:p>
        </w:tc>
        <w:tc>
          <w:tcPr>
            <w:tcW w:w="1180" w:type="dxa"/>
            <w:tcBorders>
              <w:top w:val="nil"/>
              <w:left w:val="nil"/>
              <w:bottom w:val="single" w:color="auto" w:sz="4" w:space="0"/>
              <w:right w:val="single" w:color="auto" w:sz="4" w:space="0"/>
            </w:tcBorders>
            <w:noWrap w:val="0"/>
            <w:vAlign w:val="center"/>
          </w:tcPr>
          <w:p w14:paraId="1F7E7E30">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r>
      <w:tr w14:paraId="60F63298">
        <w:tblPrEx>
          <w:tblCellMar>
            <w:top w:w="0" w:type="dxa"/>
            <w:left w:w="108" w:type="dxa"/>
            <w:bottom w:w="0" w:type="dxa"/>
            <w:right w:w="108" w:type="dxa"/>
          </w:tblCellMar>
        </w:tblPrEx>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7A4F9FAA">
            <w:pPr>
              <w:widowControl/>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9</w:t>
            </w:r>
          </w:p>
        </w:tc>
        <w:tc>
          <w:tcPr>
            <w:tcW w:w="2660" w:type="dxa"/>
            <w:vMerge w:val="restart"/>
            <w:tcBorders>
              <w:top w:val="nil"/>
              <w:left w:val="single" w:color="auto" w:sz="4" w:space="0"/>
              <w:bottom w:val="single" w:color="auto" w:sz="4" w:space="0"/>
              <w:right w:val="single" w:color="auto" w:sz="4" w:space="0"/>
            </w:tcBorders>
            <w:noWrap w:val="0"/>
            <w:vAlign w:val="center"/>
          </w:tcPr>
          <w:p w14:paraId="069E664F">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助餐服务</w:t>
            </w:r>
          </w:p>
        </w:tc>
        <w:tc>
          <w:tcPr>
            <w:tcW w:w="3220" w:type="dxa"/>
            <w:tcBorders>
              <w:top w:val="nil"/>
              <w:left w:val="nil"/>
              <w:bottom w:val="single" w:color="auto" w:sz="4" w:space="0"/>
              <w:right w:val="single" w:color="auto" w:sz="4" w:space="0"/>
            </w:tcBorders>
            <w:noWrap w:val="0"/>
            <w:vAlign w:val="center"/>
          </w:tcPr>
          <w:p w14:paraId="1BF3F4D5">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上门送餐(每次）</w:t>
            </w:r>
          </w:p>
        </w:tc>
        <w:tc>
          <w:tcPr>
            <w:tcW w:w="1180" w:type="dxa"/>
            <w:tcBorders>
              <w:top w:val="nil"/>
              <w:left w:val="nil"/>
              <w:bottom w:val="single" w:color="auto" w:sz="4" w:space="0"/>
              <w:right w:val="single" w:color="auto" w:sz="4" w:space="0"/>
            </w:tcBorders>
            <w:noWrap w:val="0"/>
            <w:vAlign w:val="center"/>
          </w:tcPr>
          <w:p w14:paraId="224F7787">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r>
      <w:tr w14:paraId="4D93F4CE">
        <w:tblPrEx>
          <w:tblCellMar>
            <w:top w:w="0" w:type="dxa"/>
            <w:left w:w="108" w:type="dxa"/>
            <w:bottom w:w="0" w:type="dxa"/>
            <w:right w:w="108" w:type="dxa"/>
          </w:tblCellMar>
        </w:tblPrEx>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5D35CACC">
            <w:pPr>
              <w:widowControl/>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2660" w:type="dxa"/>
            <w:vMerge w:val="continue"/>
            <w:tcBorders>
              <w:top w:val="nil"/>
              <w:left w:val="single" w:color="auto" w:sz="4" w:space="0"/>
              <w:bottom w:val="single" w:color="auto" w:sz="4" w:space="0"/>
              <w:right w:val="single" w:color="auto" w:sz="4" w:space="0"/>
            </w:tcBorders>
            <w:noWrap w:val="0"/>
            <w:vAlign w:val="center"/>
          </w:tcPr>
          <w:p w14:paraId="4CE04464">
            <w:pPr>
              <w:widowControl/>
              <w:spacing w:line="360" w:lineRule="exact"/>
              <w:jc w:val="left"/>
              <w:rPr>
                <w:rFonts w:hint="eastAsia" w:ascii="仿宋" w:hAnsi="仿宋" w:eastAsia="仿宋" w:cs="仿宋"/>
                <w:color w:val="auto"/>
                <w:kern w:val="0"/>
                <w:sz w:val="24"/>
                <w:szCs w:val="24"/>
                <w:highlight w:val="none"/>
              </w:rPr>
            </w:pPr>
          </w:p>
        </w:tc>
        <w:tc>
          <w:tcPr>
            <w:tcW w:w="3220" w:type="dxa"/>
            <w:tcBorders>
              <w:top w:val="nil"/>
              <w:left w:val="nil"/>
              <w:bottom w:val="single" w:color="auto" w:sz="4" w:space="0"/>
              <w:right w:val="single" w:color="auto" w:sz="4" w:space="0"/>
            </w:tcBorders>
            <w:noWrap w:val="0"/>
            <w:vAlign w:val="center"/>
          </w:tcPr>
          <w:p w14:paraId="30C510C9">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代购菜品和米面佐料(每次）</w:t>
            </w:r>
          </w:p>
        </w:tc>
        <w:tc>
          <w:tcPr>
            <w:tcW w:w="1180" w:type="dxa"/>
            <w:tcBorders>
              <w:top w:val="nil"/>
              <w:left w:val="nil"/>
              <w:bottom w:val="single" w:color="auto" w:sz="4" w:space="0"/>
              <w:right w:val="single" w:color="auto" w:sz="4" w:space="0"/>
            </w:tcBorders>
            <w:noWrap w:val="0"/>
            <w:vAlign w:val="center"/>
          </w:tcPr>
          <w:p w14:paraId="6D505D63">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r>
      <w:tr w14:paraId="2882A6BA">
        <w:tblPrEx>
          <w:tblCellMar>
            <w:top w:w="0" w:type="dxa"/>
            <w:left w:w="108" w:type="dxa"/>
            <w:bottom w:w="0" w:type="dxa"/>
            <w:right w:w="108" w:type="dxa"/>
          </w:tblCellMar>
        </w:tblPrEx>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46375F7C">
            <w:pPr>
              <w:widowControl/>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w:t>
            </w:r>
          </w:p>
        </w:tc>
        <w:tc>
          <w:tcPr>
            <w:tcW w:w="2660" w:type="dxa"/>
            <w:vMerge w:val="restart"/>
            <w:tcBorders>
              <w:top w:val="nil"/>
              <w:left w:val="single" w:color="auto" w:sz="4" w:space="0"/>
              <w:bottom w:val="single" w:color="auto" w:sz="4" w:space="0"/>
              <w:right w:val="single" w:color="auto" w:sz="4" w:space="0"/>
            </w:tcBorders>
            <w:noWrap w:val="0"/>
            <w:vAlign w:val="center"/>
          </w:tcPr>
          <w:p w14:paraId="029164A6">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助医服务</w:t>
            </w:r>
          </w:p>
        </w:tc>
        <w:tc>
          <w:tcPr>
            <w:tcW w:w="3220" w:type="dxa"/>
            <w:tcBorders>
              <w:top w:val="nil"/>
              <w:left w:val="nil"/>
              <w:bottom w:val="single" w:color="auto" w:sz="4" w:space="0"/>
              <w:right w:val="single" w:color="auto" w:sz="4" w:space="0"/>
            </w:tcBorders>
            <w:noWrap w:val="0"/>
            <w:vAlign w:val="center"/>
          </w:tcPr>
          <w:p w14:paraId="6D415340">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家庭诊疗(每次）</w:t>
            </w:r>
          </w:p>
        </w:tc>
        <w:tc>
          <w:tcPr>
            <w:tcW w:w="1180" w:type="dxa"/>
            <w:tcBorders>
              <w:top w:val="nil"/>
              <w:left w:val="nil"/>
              <w:bottom w:val="single" w:color="auto" w:sz="4" w:space="0"/>
              <w:right w:val="single" w:color="auto" w:sz="4" w:space="0"/>
            </w:tcBorders>
            <w:noWrap w:val="0"/>
            <w:vAlign w:val="center"/>
          </w:tcPr>
          <w:p w14:paraId="4FAC4A01">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r>
      <w:tr w14:paraId="3BC8F5A4">
        <w:tblPrEx>
          <w:tblCellMar>
            <w:top w:w="0" w:type="dxa"/>
            <w:left w:w="108" w:type="dxa"/>
            <w:bottom w:w="0" w:type="dxa"/>
            <w:right w:w="108" w:type="dxa"/>
          </w:tblCellMar>
        </w:tblPrEx>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668C7926">
            <w:pPr>
              <w:widowControl/>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p>
        </w:tc>
        <w:tc>
          <w:tcPr>
            <w:tcW w:w="2660" w:type="dxa"/>
            <w:vMerge w:val="continue"/>
            <w:tcBorders>
              <w:top w:val="nil"/>
              <w:left w:val="single" w:color="auto" w:sz="4" w:space="0"/>
              <w:bottom w:val="single" w:color="auto" w:sz="4" w:space="0"/>
              <w:right w:val="single" w:color="auto" w:sz="4" w:space="0"/>
            </w:tcBorders>
            <w:noWrap w:val="0"/>
            <w:vAlign w:val="center"/>
          </w:tcPr>
          <w:p w14:paraId="790DF775">
            <w:pPr>
              <w:widowControl/>
              <w:spacing w:line="360" w:lineRule="exact"/>
              <w:jc w:val="left"/>
              <w:rPr>
                <w:rFonts w:hint="eastAsia" w:ascii="仿宋" w:hAnsi="仿宋" w:eastAsia="仿宋" w:cs="仿宋"/>
                <w:color w:val="auto"/>
                <w:kern w:val="0"/>
                <w:sz w:val="24"/>
                <w:szCs w:val="24"/>
                <w:highlight w:val="none"/>
              </w:rPr>
            </w:pPr>
          </w:p>
        </w:tc>
        <w:tc>
          <w:tcPr>
            <w:tcW w:w="3220" w:type="dxa"/>
            <w:tcBorders>
              <w:top w:val="nil"/>
              <w:left w:val="nil"/>
              <w:bottom w:val="single" w:color="auto" w:sz="4" w:space="0"/>
              <w:right w:val="single" w:color="auto" w:sz="4" w:space="0"/>
            </w:tcBorders>
            <w:noWrap w:val="0"/>
            <w:vAlign w:val="center"/>
          </w:tcPr>
          <w:p w14:paraId="47C23AE3">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陪医就诊(每次）</w:t>
            </w:r>
          </w:p>
        </w:tc>
        <w:tc>
          <w:tcPr>
            <w:tcW w:w="1180" w:type="dxa"/>
            <w:tcBorders>
              <w:top w:val="nil"/>
              <w:left w:val="nil"/>
              <w:bottom w:val="single" w:color="auto" w:sz="4" w:space="0"/>
              <w:right w:val="single" w:color="auto" w:sz="4" w:space="0"/>
            </w:tcBorders>
            <w:noWrap w:val="0"/>
            <w:vAlign w:val="center"/>
          </w:tcPr>
          <w:p w14:paraId="1C60F485">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r>
      <w:tr w14:paraId="47C5BCA9">
        <w:tblPrEx>
          <w:tblCellMar>
            <w:top w:w="0" w:type="dxa"/>
            <w:left w:w="108" w:type="dxa"/>
            <w:bottom w:w="0" w:type="dxa"/>
            <w:right w:w="108" w:type="dxa"/>
          </w:tblCellMar>
        </w:tblPrEx>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77C09009">
            <w:pPr>
              <w:widowControl/>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3</w:t>
            </w:r>
          </w:p>
        </w:tc>
        <w:tc>
          <w:tcPr>
            <w:tcW w:w="2660" w:type="dxa"/>
            <w:vMerge w:val="continue"/>
            <w:tcBorders>
              <w:top w:val="nil"/>
              <w:left w:val="single" w:color="auto" w:sz="4" w:space="0"/>
              <w:bottom w:val="single" w:color="auto" w:sz="4" w:space="0"/>
              <w:right w:val="single" w:color="auto" w:sz="4" w:space="0"/>
            </w:tcBorders>
            <w:noWrap w:val="0"/>
            <w:vAlign w:val="center"/>
          </w:tcPr>
          <w:p w14:paraId="48B5150A">
            <w:pPr>
              <w:widowControl/>
              <w:spacing w:line="360" w:lineRule="exact"/>
              <w:jc w:val="left"/>
              <w:rPr>
                <w:rFonts w:hint="eastAsia" w:ascii="仿宋" w:hAnsi="仿宋" w:eastAsia="仿宋" w:cs="仿宋"/>
                <w:color w:val="auto"/>
                <w:kern w:val="0"/>
                <w:sz w:val="24"/>
                <w:szCs w:val="24"/>
                <w:highlight w:val="none"/>
              </w:rPr>
            </w:pPr>
          </w:p>
        </w:tc>
        <w:tc>
          <w:tcPr>
            <w:tcW w:w="3220" w:type="dxa"/>
            <w:tcBorders>
              <w:top w:val="nil"/>
              <w:left w:val="nil"/>
              <w:bottom w:val="single" w:color="auto" w:sz="4" w:space="0"/>
              <w:right w:val="single" w:color="auto" w:sz="4" w:space="0"/>
            </w:tcBorders>
            <w:noWrap w:val="0"/>
            <w:vAlign w:val="center"/>
          </w:tcPr>
          <w:p w14:paraId="72878328">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康复护理(每小时）</w:t>
            </w:r>
          </w:p>
        </w:tc>
        <w:tc>
          <w:tcPr>
            <w:tcW w:w="1180" w:type="dxa"/>
            <w:tcBorders>
              <w:top w:val="nil"/>
              <w:left w:val="nil"/>
              <w:bottom w:val="single" w:color="auto" w:sz="4" w:space="0"/>
              <w:right w:val="single" w:color="auto" w:sz="4" w:space="0"/>
            </w:tcBorders>
            <w:noWrap w:val="0"/>
            <w:vAlign w:val="center"/>
          </w:tcPr>
          <w:p w14:paraId="0D9B2933">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r>
      <w:tr w14:paraId="41A239DC">
        <w:tblPrEx>
          <w:tblCellMar>
            <w:top w:w="0" w:type="dxa"/>
            <w:left w:w="108" w:type="dxa"/>
            <w:bottom w:w="0" w:type="dxa"/>
            <w:right w:w="108" w:type="dxa"/>
          </w:tblCellMar>
        </w:tblPrEx>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7E336BC3">
            <w:pPr>
              <w:widowControl/>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4</w:t>
            </w:r>
          </w:p>
        </w:tc>
        <w:tc>
          <w:tcPr>
            <w:tcW w:w="2660" w:type="dxa"/>
            <w:vMerge w:val="restart"/>
            <w:tcBorders>
              <w:top w:val="nil"/>
              <w:left w:val="single" w:color="auto" w:sz="4" w:space="0"/>
              <w:bottom w:val="single" w:color="auto" w:sz="4" w:space="0"/>
              <w:right w:val="single" w:color="auto" w:sz="4" w:space="0"/>
            </w:tcBorders>
            <w:noWrap w:val="0"/>
            <w:vAlign w:val="center"/>
          </w:tcPr>
          <w:p w14:paraId="358B8C27">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助浴服务</w:t>
            </w:r>
          </w:p>
        </w:tc>
        <w:tc>
          <w:tcPr>
            <w:tcW w:w="3220" w:type="dxa"/>
            <w:tcBorders>
              <w:top w:val="nil"/>
              <w:left w:val="nil"/>
              <w:bottom w:val="single" w:color="auto" w:sz="4" w:space="0"/>
              <w:right w:val="single" w:color="auto" w:sz="4" w:space="0"/>
            </w:tcBorders>
            <w:noWrap w:val="0"/>
            <w:vAlign w:val="center"/>
          </w:tcPr>
          <w:p w14:paraId="4B8B1228">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辅助洗浴(每次）</w:t>
            </w:r>
          </w:p>
        </w:tc>
        <w:tc>
          <w:tcPr>
            <w:tcW w:w="1180" w:type="dxa"/>
            <w:tcBorders>
              <w:top w:val="nil"/>
              <w:left w:val="nil"/>
              <w:bottom w:val="single" w:color="auto" w:sz="4" w:space="0"/>
              <w:right w:val="single" w:color="auto" w:sz="4" w:space="0"/>
            </w:tcBorders>
            <w:noWrap w:val="0"/>
            <w:vAlign w:val="center"/>
          </w:tcPr>
          <w:p w14:paraId="5FB46E4B">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r>
      <w:tr w14:paraId="4529FDFE">
        <w:tblPrEx>
          <w:tblCellMar>
            <w:top w:w="0" w:type="dxa"/>
            <w:left w:w="108" w:type="dxa"/>
            <w:bottom w:w="0" w:type="dxa"/>
            <w:right w:w="108" w:type="dxa"/>
          </w:tblCellMar>
        </w:tblPrEx>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5AD8593E">
            <w:pPr>
              <w:widowControl/>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5</w:t>
            </w:r>
          </w:p>
        </w:tc>
        <w:tc>
          <w:tcPr>
            <w:tcW w:w="2660" w:type="dxa"/>
            <w:vMerge w:val="continue"/>
            <w:tcBorders>
              <w:top w:val="nil"/>
              <w:left w:val="single" w:color="auto" w:sz="4" w:space="0"/>
              <w:bottom w:val="single" w:color="auto" w:sz="4" w:space="0"/>
              <w:right w:val="single" w:color="auto" w:sz="4" w:space="0"/>
            </w:tcBorders>
            <w:noWrap w:val="0"/>
            <w:vAlign w:val="center"/>
          </w:tcPr>
          <w:p w14:paraId="1A7C3482">
            <w:pPr>
              <w:widowControl/>
              <w:spacing w:line="360" w:lineRule="exact"/>
              <w:jc w:val="left"/>
              <w:rPr>
                <w:rFonts w:hint="eastAsia" w:ascii="仿宋" w:hAnsi="仿宋" w:eastAsia="仿宋" w:cs="仿宋"/>
                <w:color w:val="auto"/>
                <w:kern w:val="0"/>
                <w:sz w:val="24"/>
                <w:szCs w:val="24"/>
                <w:highlight w:val="none"/>
              </w:rPr>
            </w:pPr>
          </w:p>
        </w:tc>
        <w:tc>
          <w:tcPr>
            <w:tcW w:w="3220" w:type="dxa"/>
            <w:tcBorders>
              <w:top w:val="nil"/>
              <w:left w:val="nil"/>
              <w:bottom w:val="single" w:color="auto" w:sz="4" w:space="0"/>
              <w:right w:val="single" w:color="auto" w:sz="4" w:space="0"/>
            </w:tcBorders>
            <w:noWrap w:val="0"/>
            <w:vAlign w:val="center"/>
          </w:tcPr>
          <w:p w14:paraId="47A5527B">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足部护理(每次）</w:t>
            </w:r>
          </w:p>
        </w:tc>
        <w:tc>
          <w:tcPr>
            <w:tcW w:w="1180" w:type="dxa"/>
            <w:tcBorders>
              <w:top w:val="nil"/>
              <w:left w:val="nil"/>
              <w:bottom w:val="single" w:color="auto" w:sz="4" w:space="0"/>
              <w:right w:val="single" w:color="auto" w:sz="4" w:space="0"/>
            </w:tcBorders>
            <w:noWrap w:val="0"/>
            <w:vAlign w:val="center"/>
          </w:tcPr>
          <w:p w14:paraId="34E30B39">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r>
      <w:tr w14:paraId="5E03A712">
        <w:tblPrEx>
          <w:tblCellMar>
            <w:top w:w="0" w:type="dxa"/>
            <w:left w:w="108" w:type="dxa"/>
            <w:bottom w:w="0" w:type="dxa"/>
            <w:right w:w="108" w:type="dxa"/>
          </w:tblCellMar>
        </w:tblPrEx>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075F3B4D">
            <w:pPr>
              <w:widowControl/>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6</w:t>
            </w:r>
          </w:p>
        </w:tc>
        <w:tc>
          <w:tcPr>
            <w:tcW w:w="2660" w:type="dxa"/>
            <w:vMerge w:val="restart"/>
            <w:tcBorders>
              <w:top w:val="nil"/>
              <w:left w:val="single" w:color="auto" w:sz="4" w:space="0"/>
              <w:bottom w:val="single" w:color="auto" w:sz="4" w:space="0"/>
              <w:right w:val="single" w:color="auto" w:sz="4" w:space="0"/>
            </w:tcBorders>
            <w:noWrap w:val="0"/>
            <w:vAlign w:val="center"/>
          </w:tcPr>
          <w:p w14:paraId="497ADBFD">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助行服务</w:t>
            </w:r>
          </w:p>
        </w:tc>
        <w:tc>
          <w:tcPr>
            <w:tcW w:w="3220" w:type="dxa"/>
            <w:tcBorders>
              <w:top w:val="nil"/>
              <w:left w:val="nil"/>
              <w:bottom w:val="single" w:color="auto" w:sz="4" w:space="0"/>
              <w:right w:val="single" w:color="auto" w:sz="4" w:space="0"/>
            </w:tcBorders>
            <w:noWrap w:val="0"/>
            <w:vAlign w:val="center"/>
          </w:tcPr>
          <w:p w14:paraId="33D7FA3E">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陪同购物(每小时）</w:t>
            </w:r>
          </w:p>
        </w:tc>
        <w:tc>
          <w:tcPr>
            <w:tcW w:w="1180" w:type="dxa"/>
            <w:tcBorders>
              <w:top w:val="nil"/>
              <w:left w:val="nil"/>
              <w:bottom w:val="single" w:color="auto" w:sz="4" w:space="0"/>
              <w:right w:val="single" w:color="auto" w:sz="4" w:space="0"/>
            </w:tcBorders>
            <w:noWrap w:val="0"/>
            <w:vAlign w:val="center"/>
          </w:tcPr>
          <w:p w14:paraId="52BE8AF4">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r>
      <w:tr w14:paraId="705D1E21">
        <w:tblPrEx>
          <w:tblCellMar>
            <w:top w:w="0" w:type="dxa"/>
            <w:left w:w="108" w:type="dxa"/>
            <w:bottom w:w="0" w:type="dxa"/>
            <w:right w:w="108" w:type="dxa"/>
          </w:tblCellMar>
        </w:tblPrEx>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7A19BE57">
            <w:pPr>
              <w:widowControl/>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p>
        </w:tc>
        <w:tc>
          <w:tcPr>
            <w:tcW w:w="2660" w:type="dxa"/>
            <w:vMerge w:val="continue"/>
            <w:tcBorders>
              <w:top w:val="nil"/>
              <w:left w:val="single" w:color="auto" w:sz="4" w:space="0"/>
              <w:bottom w:val="single" w:color="auto" w:sz="4" w:space="0"/>
              <w:right w:val="single" w:color="auto" w:sz="4" w:space="0"/>
            </w:tcBorders>
            <w:noWrap w:val="0"/>
            <w:vAlign w:val="center"/>
          </w:tcPr>
          <w:p w14:paraId="4939D8EB">
            <w:pPr>
              <w:widowControl/>
              <w:spacing w:line="360" w:lineRule="exact"/>
              <w:jc w:val="left"/>
              <w:rPr>
                <w:rFonts w:hint="eastAsia" w:ascii="仿宋" w:hAnsi="仿宋" w:eastAsia="仿宋" w:cs="仿宋"/>
                <w:color w:val="auto"/>
                <w:kern w:val="0"/>
                <w:sz w:val="24"/>
                <w:szCs w:val="24"/>
                <w:highlight w:val="none"/>
              </w:rPr>
            </w:pPr>
          </w:p>
        </w:tc>
        <w:tc>
          <w:tcPr>
            <w:tcW w:w="3220" w:type="dxa"/>
            <w:tcBorders>
              <w:top w:val="nil"/>
              <w:left w:val="nil"/>
              <w:bottom w:val="single" w:color="auto" w:sz="4" w:space="0"/>
              <w:right w:val="single" w:color="auto" w:sz="4" w:space="0"/>
            </w:tcBorders>
            <w:noWrap w:val="0"/>
            <w:vAlign w:val="center"/>
          </w:tcPr>
          <w:p w14:paraId="525ED7D0">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陪同散步(每小时）</w:t>
            </w:r>
          </w:p>
        </w:tc>
        <w:tc>
          <w:tcPr>
            <w:tcW w:w="1180" w:type="dxa"/>
            <w:tcBorders>
              <w:top w:val="nil"/>
              <w:left w:val="nil"/>
              <w:bottom w:val="single" w:color="auto" w:sz="4" w:space="0"/>
              <w:right w:val="single" w:color="auto" w:sz="4" w:space="0"/>
            </w:tcBorders>
            <w:noWrap w:val="0"/>
            <w:vAlign w:val="center"/>
          </w:tcPr>
          <w:p w14:paraId="547A8837">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r>
      <w:tr w14:paraId="51E89D4F">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7A2EB4AD">
            <w:pPr>
              <w:widowControl/>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8</w:t>
            </w:r>
          </w:p>
        </w:tc>
        <w:tc>
          <w:tcPr>
            <w:tcW w:w="2660" w:type="dxa"/>
            <w:vMerge w:val="continue"/>
            <w:tcBorders>
              <w:top w:val="nil"/>
              <w:left w:val="single" w:color="auto" w:sz="4" w:space="0"/>
              <w:bottom w:val="single" w:color="auto" w:sz="4" w:space="0"/>
              <w:right w:val="single" w:color="auto" w:sz="4" w:space="0"/>
            </w:tcBorders>
            <w:noWrap w:val="0"/>
            <w:vAlign w:val="center"/>
          </w:tcPr>
          <w:p w14:paraId="31383929">
            <w:pPr>
              <w:widowControl/>
              <w:spacing w:line="360" w:lineRule="exact"/>
              <w:jc w:val="left"/>
              <w:rPr>
                <w:rFonts w:hint="eastAsia" w:ascii="仿宋" w:hAnsi="仿宋" w:eastAsia="仿宋" w:cs="仿宋"/>
                <w:color w:val="auto"/>
                <w:kern w:val="0"/>
                <w:sz w:val="24"/>
                <w:szCs w:val="24"/>
                <w:highlight w:val="none"/>
              </w:rPr>
            </w:pPr>
          </w:p>
        </w:tc>
        <w:tc>
          <w:tcPr>
            <w:tcW w:w="3220" w:type="dxa"/>
            <w:tcBorders>
              <w:top w:val="nil"/>
              <w:left w:val="nil"/>
              <w:bottom w:val="single" w:color="auto" w:sz="4" w:space="0"/>
              <w:right w:val="single" w:color="auto" w:sz="4" w:space="0"/>
            </w:tcBorders>
            <w:noWrap w:val="0"/>
            <w:vAlign w:val="center"/>
          </w:tcPr>
          <w:p w14:paraId="37524DDC">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物品代购(每小时）</w:t>
            </w:r>
          </w:p>
        </w:tc>
        <w:tc>
          <w:tcPr>
            <w:tcW w:w="1180" w:type="dxa"/>
            <w:tcBorders>
              <w:top w:val="nil"/>
              <w:left w:val="nil"/>
              <w:bottom w:val="single" w:color="auto" w:sz="4" w:space="0"/>
              <w:right w:val="single" w:color="auto" w:sz="4" w:space="0"/>
            </w:tcBorders>
            <w:noWrap w:val="0"/>
            <w:vAlign w:val="center"/>
          </w:tcPr>
          <w:p w14:paraId="2E0804FB">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r>
      <w:tr w14:paraId="01950FDD">
        <w:tblPrEx>
          <w:tblCellMar>
            <w:top w:w="0" w:type="dxa"/>
            <w:left w:w="108" w:type="dxa"/>
            <w:bottom w:w="0" w:type="dxa"/>
            <w:right w:w="108" w:type="dxa"/>
          </w:tblCellMar>
        </w:tblPrEx>
        <w:trPr>
          <w:trHeight w:val="476" w:hRule="atLeast"/>
        </w:trPr>
        <w:tc>
          <w:tcPr>
            <w:tcW w:w="1080" w:type="dxa"/>
            <w:tcBorders>
              <w:top w:val="nil"/>
              <w:left w:val="single" w:color="auto" w:sz="4" w:space="0"/>
              <w:bottom w:val="single" w:color="auto" w:sz="4" w:space="0"/>
              <w:right w:val="single" w:color="auto" w:sz="4" w:space="0"/>
            </w:tcBorders>
            <w:noWrap w:val="0"/>
            <w:vAlign w:val="center"/>
          </w:tcPr>
          <w:p w14:paraId="39231ACB">
            <w:pPr>
              <w:widowControl/>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p>
        </w:tc>
        <w:tc>
          <w:tcPr>
            <w:tcW w:w="2660" w:type="dxa"/>
            <w:vMerge w:val="restart"/>
            <w:tcBorders>
              <w:top w:val="nil"/>
              <w:left w:val="single" w:color="auto" w:sz="4" w:space="0"/>
              <w:right w:val="single" w:color="auto" w:sz="4" w:space="0"/>
            </w:tcBorders>
            <w:noWrap w:val="0"/>
            <w:vAlign w:val="center"/>
          </w:tcPr>
          <w:p w14:paraId="7C2B566C">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助聊服务</w:t>
            </w:r>
          </w:p>
        </w:tc>
        <w:tc>
          <w:tcPr>
            <w:tcW w:w="3220" w:type="dxa"/>
            <w:tcBorders>
              <w:top w:val="nil"/>
              <w:left w:val="nil"/>
              <w:bottom w:val="single" w:color="auto" w:sz="4" w:space="0"/>
              <w:right w:val="single" w:color="auto" w:sz="4" w:space="0"/>
            </w:tcBorders>
            <w:noWrap w:val="0"/>
            <w:vAlign w:val="center"/>
          </w:tcPr>
          <w:p w14:paraId="503528DF">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读书读报(每小时）</w:t>
            </w:r>
          </w:p>
        </w:tc>
        <w:tc>
          <w:tcPr>
            <w:tcW w:w="1180" w:type="dxa"/>
            <w:tcBorders>
              <w:top w:val="nil"/>
              <w:left w:val="nil"/>
              <w:bottom w:val="single" w:color="auto" w:sz="4" w:space="0"/>
              <w:right w:val="single" w:color="auto" w:sz="4" w:space="0"/>
            </w:tcBorders>
            <w:noWrap w:val="0"/>
            <w:vAlign w:val="center"/>
          </w:tcPr>
          <w:p w14:paraId="09E8BCE5">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r>
      <w:tr w14:paraId="6847C1DD">
        <w:tblPrEx>
          <w:tblCellMar>
            <w:top w:w="0" w:type="dxa"/>
            <w:left w:w="108" w:type="dxa"/>
            <w:bottom w:w="0" w:type="dxa"/>
            <w:right w:w="108" w:type="dxa"/>
          </w:tblCellMar>
        </w:tblPrEx>
        <w:trPr>
          <w:trHeight w:val="535" w:hRule="atLeast"/>
        </w:trPr>
        <w:tc>
          <w:tcPr>
            <w:tcW w:w="1080" w:type="dxa"/>
            <w:tcBorders>
              <w:top w:val="nil"/>
              <w:left w:val="single" w:color="auto" w:sz="4" w:space="0"/>
              <w:bottom w:val="single" w:color="auto" w:sz="4" w:space="0"/>
              <w:right w:val="single" w:color="auto" w:sz="4" w:space="0"/>
            </w:tcBorders>
            <w:noWrap w:val="0"/>
            <w:vAlign w:val="center"/>
          </w:tcPr>
          <w:p w14:paraId="29987579">
            <w:pPr>
              <w:widowControl/>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2660" w:type="dxa"/>
            <w:vMerge w:val="continue"/>
            <w:tcBorders>
              <w:left w:val="single" w:color="auto" w:sz="4" w:space="0"/>
              <w:bottom w:val="single" w:color="auto" w:sz="4" w:space="0"/>
              <w:right w:val="single" w:color="auto" w:sz="4" w:space="0"/>
            </w:tcBorders>
            <w:noWrap w:val="0"/>
            <w:vAlign w:val="center"/>
          </w:tcPr>
          <w:p w14:paraId="255B398A">
            <w:pPr>
              <w:widowControl/>
              <w:spacing w:line="360" w:lineRule="exact"/>
              <w:jc w:val="center"/>
              <w:rPr>
                <w:rFonts w:hint="eastAsia" w:ascii="仿宋" w:hAnsi="仿宋" w:eastAsia="仿宋" w:cs="仿宋"/>
                <w:color w:val="auto"/>
                <w:kern w:val="0"/>
                <w:sz w:val="24"/>
                <w:szCs w:val="24"/>
                <w:highlight w:val="none"/>
              </w:rPr>
            </w:pPr>
          </w:p>
        </w:tc>
        <w:tc>
          <w:tcPr>
            <w:tcW w:w="3220" w:type="dxa"/>
            <w:tcBorders>
              <w:top w:val="nil"/>
              <w:left w:val="nil"/>
              <w:bottom w:val="single" w:color="auto" w:sz="4" w:space="0"/>
              <w:right w:val="single" w:color="auto" w:sz="4" w:space="0"/>
            </w:tcBorders>
            <w:noWrap w:val="0"/>
            <w:vAlign w:val="center"/>
          </w:tcPr>
          <w:p w14:paraId="68B06D80">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心理慰藉</w:t>
            </w:r>
            <w:r>
              <w:rPr>
                <w:rFonts w:hint="eastAsia" w:ascii="仿宋" w:hAnsi="仿宋" w:eastAsia="仿宋" w:cs="仿宋"/>
                <w:color w:val="auto"/>
                <w:kern w:val="0"/>
                <w:sz w:val="24"/>
                <w:szCs w:val="24"/>
                <w:highlight w:val="none"/>
              </w:rPr>
              <w:t>(每</w:t>
            </w:r>
            <w:r>
              <w:rPr>
                <w:rFonts w:hint="eastAsia" w:ascii="仿宋" w:hAnsi="仿宋" w:eastAsia="仿宋" w:cs="仿宋"/>
                <w:color w:val="auto"/>
                <w:kern w:val="0"/>
                <w:sz w:val="24"/>
                <w:szCs w:val="24"/>
                <w:highlight w:val="none"/>
                <w:lang w:val="en-US" w:eastAsia="zh-CN"/>
              </w:rPr>
              <w:t>小时</w:t>
            </w:r>
            <w:r>
              <w:rPr>
                <w:rFonts w:hint="eastAsia" w:ascii="仿宋" w:hAnsi="仿宋" w:eastAsia="仿宋" w:cs="仿宋"/>
                <w:color w:val="auto"/>
                <w:kern w:val="0"/>
                <w:sz w:val="24"/>
                <w:szCs w:val="24"/>
                <w:highlight w:val="none"/>
              </w:rPr>
              <w:t>）</w:t>
            </w:r>
          </w:p>
        </w:tc>
        <w:tc>
          <w:tcPr>
            <w:tcW w:w="1180" w:type="dxa"/>
            <w:tcBorders>
              <w:top w:val="nil"/>
              <w:left w:val="nil"/>
              <w:bottom w:val="single" w:color="auto" w:sz="4" w:space="0"/>
              <w:right w:val="single" w:color="auto" w:sz="4" w:space="0"/>
            </w:tcBorders>
            <w:noWrap w:val="0"/>
            <w:vAlign w:val="center"/>
          </w:tcPr>
          <w:p w14:paraId="42C364BD">
            <w:pPr>
              <w:widowControl/>
              <w:spacing w:line="3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r>
    </w:tbl>
    <w:p w14:paraId="3009EC10">
      <w:pPr>
        <w:rPr>
          <w:color w:val="auto"/>
          <w:highlight w:val="none"/>
        </w:rPr>
      </w:pPr>
    </w:p>
    <w:p w14:paraId="3BFECE50">
      <w:pPr>
        <w:pStyle w:val="3"/>
        <w:ind w:left="0" w:leftChars="0" w:firstLine="0" w:firstLineChars="0"/>
        <w:rPr>
          <w:rFonts w:hint="eastAsia" w:ascii="仿宋" w:hAnsi="仿宋" w:eastAsia="仿宋" w:cs="仿宋"/>
          <w:b/>
          <w:color w:val="auto"/>
          <w:sz w:val="36"/>
          <w:szCs w:val="20"/>
          <w:highlight w:val="none"/>
        </w:rPr>
      </w:pPr>
    </w:p>
    <w:p w14:paraId="0E7A652C">
      <w:pPr>
        <w:rPr>
          <w:rFonts w:hint="eastAsia" w:ascii="仿宋" w:hAnsi="仿宋" w:eastAsia="仿宋" w:cs="仿宋"/>
          <w:b/>
          <w:color w:val="auto"/>
          <w:sz w:val="36"/>
          <w:szCs w:val="20"/>
          <w:highlight w:val="none"/>
        </w:rPr>
      </w:pPr>
    </w:p>
    <w:p w14:paraId="308055EE">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0896E06">
      <w:pPr>
        <w:snapToGrid w:val="0"/>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w:t>
      </w:r>
      <w:r>
        <w:rPr>
          <w:rFonts w:hint="eastAsia" w:ascii="仿宋" w:hAnsi="仿宋" w:eastAsia="仿宋" w:cs="仿宋"/>
          <w:b/>
          <w:color w:val="auto"/>
          <w:sz w:val="36"/>
          <w:szCs w:val="20"/>
          <w:highlight w:val="none"/>
          <w:lang w:val="en-US" w:eastAsia="zh-CN"/>
        </w:rPr>
        <w:t>七</w:t>
      </w:r>
      <w:r>
        <w:rPr>
          <w:rFonts w:hint="eastAsia" w:ascii="仿宋" w:hAnsi="仿宋" w:eastAsia="仿宋" w:cs="仿宋"/>
          <w:b/>
          <w:color w:val="auto"/>
          <w:sz w:val="36"/>
          <w:szCs w:val="20"/>
          <w:highlight w:val="none"/>
        </w:rPr>
        <w:t>部分</w:t>
      </w:r>
      <w:bookmarkEnd w:id="379"/>
      <w:r>
        <w:rPr>
          <w:rFonts w:hint="eastAsia" w:ascii="仿宋" w:hAnsi="仿宋" w:eastAsia="仿宋" w:cs="仿宋"/>
          <w:b/>
          <w:color w:val="auto"/>
          <w:sz w:val="36"/>
          <w:szCs w:val="20"/>
          <w:highlight w:val="none"/>
        </w:rPr>
        <w:t xml:space="preserve"> </w:t>
      </w:r>
      <w:bookmarkEnd w:id="380"/>
      <w:r>
        <w:rPr>
          <w:rFonts w:hint="eastAsia" w:ascii="仿宋" w:hAnsi="仿宋" w:eastAsia="仿宋" w:cs="仿宋"/>
          <w:b/>
          <w:color w:val="auto"/>
          <w:sz w:val="36"/>
          <w:szCs w:val="20"/>
          <w:highlight w:val="none"/>
        </w:rPr>
        <w:t>应提交的有关格式范例</w:t>
      </w:r>
    </w:p>
    <w:p w14:paraId="1848E051">
      <w:pPr>
        <w:spacing w:line="360" w:lineRule="auto"/>
        <w:jc w:val="center"/>
        <w:outlineLvl w:val="0"/>
        <w:rPr>
          <w:rFonts w:ascii="仿宋" w:hAnsi="仿宋" w:eastAsia="仿宋" w:cs="仿宋"/>
          <w:b/>
          <w:color w:val="auto"/>
          <w:kern w:val="0"/>
          <w:sz w:val="36"/>
          <w:szCs w:val="36"/>
          <w:highlight w:val="none"/>
        </w:rPr>
      </w:pPr>
    </w:p>
    <w:p w14:paraId="07AAA3CC">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73992A5">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A201E4E">
      <w:pPr>
        <w:spacing w:line="360" w:lineRule="auto"/>
        <w:jc w:val="center"/>
        <w:outlineLvl w:val="0"/>
        <w:rPr>
          <w:rFonts w:ascii="仿宋" w:hAnsi="仿宋" w:eastAsia="仿宋" w:cs="仿宋"/>
          <w:b/>
          <w:color w:val="auto"/>
          <w:kern w:val="0"/>
          <w:sz w:val="36"/>
          <w:szCs w:val="36"/>
          <w:highlight w:val="none"/>
        </w:rPr>
      </w:pPr>
    </w:p>
    <w:p w14:paraId="38DC95B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59EB7FE">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54E0283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A6CE65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A81CE4E">
      <w:pPr>
        <w:snapToGrid w:val="0"/>
        <w:spacing w:line="360" w:lineRule="auto"/>
        <w:ind w:firstLine="480" w:firstLineChars="200"/>
        <w:rPr>
          <w:rFonts w:ascii="仿宋" w:hAnsi="仿宋" w:eastAsia="仿宋" w:cs="仿宋"/>
          <w:color w:val="auto"/>
          <w:sz w:val="24"/>
          <w:highlight w:val="none"/>
        </w:rPr>
      </w:pPr>
    </w:p>
    <w:p w14:paraId="08F13559">
      <w:pPr>
        <w:spacing w:line="360" w:lineRule="auto"/>
        <w:ind w:firstLine="480" w:firstLineChars="200"/>
        <w:rPr>
          <w:rFonts w:ascii="仿宋" w:hAnsi="仿宋" w:eastAsia="仿宋" w:cs="仿宋"/>
          <w:color w:val="auto"/>
          <w:sz w:val="24"/>
          <w:highlight w:val="none"/>
        </w:rPr>
      </w:pPr>
    </w:p>
    <w:p w14:paraId="1F205208">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562C15F">
      <w:pPr>
        <w:snapToGrid w:val="0"/>
        <w:spacing w:line="360" w:lineRule="auto"/>
        <w:rPr>
          <w:rFonts w:ascii="仿宋" w:hAnsi="仿宋" w:eastAsia="仿宋" w:cs="仿宋"/>
          <w:color w:val="auto"/>
          <w:sz w:val="24"/>
          <w:highlight w:val="none"/>
        </w:rPr>
      </w:pPr>
    </w:p>
    <w:p w14:paraId="48FC975B">
      <w:pPr>
        <w:shd w:val="clear" w:color="auto" w:fill="FFFFFF"/>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杭州市滨江区民政局</w:t>
      </w:r>
      <w:r>
        <w:rPr>
          <w:rFonts w:hint="eastAsia" w:ascii="仿宋" w:hAnsi="仿宋" w:eastAsia="仿宋" w:cs="仿宋"/>
          <w:color w:val="auto"/>
          <w:sz w:val="24"/>
          <w:highlight w:val="none"/>
        </w:rPr>
        <w:t>、杭州博实招标代理有限公司：</w:t>
      </w:r>
    </w:p>
    <w:p w14:paraId="0102A5D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杭州市滨江区智慧养老呼叫综合服务项目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BSZB2025-CQZC007</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6E04DCCA">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（一）具备《中华人民共和国政府采购法》第二十二条规定的条件：</w:t>
      </w:r>
    </w:p>
    <w:p w14:paraId="0860C19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CD797A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899186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32A4B6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E60AC9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B8B9FA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64C568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065731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766459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2E459F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8EE4D19">
      <w:pPr>
        <w:snapToGrid w:val="0"/>
        <w:spacing w:line="360" w:lineRule="auto"/>
        <w:ind w:firstLine="4560" w:firstLineChars="1900"/>
        <w:rPr>
          <w:rFonts w:ascii="仿宋" w:hAnsi="仿宋" w:eastAsia="仿宋" w:cs="仿宋"/>
          <w:color w:val="auto"/>
          <w:sz w:val="24"/>
          <w:highlight w:val="none"/>
        </w:rPr>
      </w:pPr>
    </w:p>
    <w:p w14:paraId="4317CB1D">
      <w:pPr>
        <w:snapToGrid w:val="0"/>
        <w:spacing w:line="360" w:lineRule="auto"/>
        <w:ind w:firstLine="4560" w:firstLineChars="1900"/>
        <w:rPr>
          <w:rFonts w:ascii="仿宋" w:hAnsi="仿宋" w:eastAsia="仿宋" w:cs="仿宋"/>
          <w:color w:val="auto"/>
          <w:sz w:val="24"/>
          <w:highlight w:val="none"/>
        </w:rPr>
      </w:pPr>
    </w:p>
    <w:p w14:paraId="1D33C11F">
      <w:pPr>
        <w:snapToGrid w:val="0"/>
        <w:spacing w:line="360" w:lineRule="auto"/>
        <w:ind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4A25BBA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55E94AE8">
      <w:pPr>
        <w:widowControl/>
        <w:spacing w:line="360" w:lineRule="auto"/>
        <w:ind w:firstLine="482" w:firstLineChars="200"/>
        <w:jc w:val="center"/>
        <w:rPr>
          <w:rFonts w:ascii="仿宋" w:hAnsi="仿宋" w:eastAsia="仿宋" w:cs="仿宋"/>
          <w:b/>
          <w:color w:val="auto"/>
          <w:kern w:val="0"/>
          <w:sz w:val="24"/>
          <w:highlight w:val="none"/>
        </w:rPr>
      </w:pPr>
    </w:p>
    <w:p w14:paraId="58AB2F82">
      <w:pPr>
        <w:widowControl/>
        <w:spacing w:line="360" w:lineRule="auto"/>
        <w:ind w:firstLine="643" w:firstLineChars="200"/>
        <w:jc w:val="center"/>
        <w:rPr>
          <w:rFonts w:ascii="仿宋" w:hAnsi="仿宋" w:eastAsia="仿宋" w:cs="仿宋"/>
          <w:b/>
          <w:color w:val="auto"/>
          <w:kern w:val="0"/>
          <w:sz w:val="32"/>
          <w:szCs w:val="32"/>
          <w:highlight w:val="none"/>
        </w:rPr>
      </w:pPr>
    </w:p>
    <w:p w14:paraId="3740E362">
      <w:pPr>
        <w:widowControl/>
        <w:spacing w:line="360" w:lineRule="auto"/>
        <w:ind w:firstLine="643" w:firstLineChars="200"/>
        <w:jc w:val="center"/>
        <w:rPr>
          <w:rFonts w:ascii="仿宋" w:hAnsi="仿宋" w:eastAsia="仿宋" w:cs="仿宋"/>
          <w:b/>
          <w:color w:val="auto"/>
          <w:kern w:val="0"/>
          <w:sz w:val="32"/>
          <w:szCs w:val="32"/>
          <w:highlight w:val="none"/>
        </w:rPr>
      </w:pPr>
    </w:p>
    <w:p w14:paraId="5C62350E">
      <w:pPr>
        <w:widowControl/>
        <w:spacing w:line="360" w:lineRule="auto"/>
        <w:ind w:firstLine="643" w:firstLineChars="200"/>
        <w:jc w:val="center"/>
        <w:rPr>
          <w:rFonts w:ascii="仿宋" w:hAnsi="仿宋" w:eastAsia="仿宋" w:cs="仿宋"/>
          <w:b/>
          <w:color w:val="auto"/>
          <w:kern w:val="0"/>
          <w:sz w:val="32"/>
          <w:szCs w:val="32"/>
          <w:highlight w:val="none"/>
        </w:rPr>
      </w:pPr>
    </w:p>
    <w:p w14:paraId="05E5FCCA">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6E28659">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A50BCAF">
      <w:pPr>
        <w:spacing w:line="360" w:lineRule="auto"/>
        <w:jc w:val="center"/>
        <w:rPr>
          <w:rFonts w:ascii="仿宋" w:hAnsi="仿宋" w:eastAsia="仿宋" w:cs="仿宋_GB2312"/>
          <w:b/>
          <w:color w:val="auto"/>
          <w:sz w:val="32"/>
          <w:szCs w:val="32"/>
          <w:highlight w:val="none"/>
        </w:rPr>
      </w:pPr>
    </w:p>
    <w:p w14:paraId="29F87BB5">
      <w:pPr>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[以联合体形式参与的，提供联合协议（附件5）；本项目不接受联合体或者供应商不以联合体形式投参与的，则不需要提供]</w:t>
      </w:r>
    </w:p>
    <w:p w14:paraId="1EBE0830">
      <w:pPr>
        <w:snapToGrid w:val="0"/>
        <w:spacing w:line="360" w:lineRule="auto"/>
        <w:ind w:right="480"/>
        <w:jc w:val="center"/>
        <w:rPr>
          <w:rFonts w:ascii="宋体" w:hAnsi="宋体" w:cs="宋体"/>
          <w:b/>
          <w:color w:val="auto"/>
          <w:kern w:val="0"/>
          <w:sz w:val="32"/>
          <w:szCs w:val="32"/>
          <w:highlight w:val="none"/>
        </w:rPr>
        <w:sectPr>
          <w:footerReference r:id="rId12" w:type="first"/>
          <w:headerReference r:id="rId10" w:type="default"/>
          <w:footerReference r:id="rId11" w:type="default"/>
          <w:pgSz w:w="11906" w:h="16838"/>
          <w:pgMar w:top="1134" w:right="1417" w:bottom="1134" w:left="1417" w:header="851" w:footer="992" w:gutter="0"/>
          <w:pgNumType w:fmt="decimal"/>
          <w:cols w:space="720" w:num="1"/>
          <w:titlePg/>
          <w:docGrid w:linePitch="312" w:charSpace="0"/>
        </w:sectPr>
      </w:pPr>
    </w:p>
    <w:p w14:paraId="6B20EE58">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2B76C9BA">
      <w:pPr>
        <w:rPr>
          <w:rFonts w:ascii="仿宋" w:hAnsi="仿宋" w:eastAsia="仿宋" w:cs="仿宋"/>
          <w:color w:val="auto"/>
          <w:highlight w:val="none"/>
        </w:rPr>
      </w:pPr>
    </w:p>
    <w:p w14:paraId="565585C7">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14:paraId="0EA84CC1">
      <w:pPr>
        <w:spacing w:line="360" w:lineRule="auto"/>
        <w:rPr>
          <w:rFonts w:ascii="仿宋" w:hAnsi="仿宋" w:eastAsia="仿宋"/>
          <w:color w:val="auto"/>
          <w:highlight w:val="none"/>
        </w:rPr>
      </w:pPr>
    </w:p>
    <w:p w14:paraId="72D173AC">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rPr>
        <w:t>（请填写：单位名称）</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rPr>
        <w:t>的（请填写：项目名称）</w:t>
      </w:r>
      <w:r>
        <w:rPr>
          <w:rFonts w:hint="eastAsia" w:ascii="仿宋" w:hAnsi="仿宋" w:eastAsia="仿宋"/>
          <w:color w:val="auto"/>
          <w:sz w:val="24"/>
          <w:highlight w:val="none"/>
        </w:rPr>
        <w:t>采购活动，服务全部由符合政策要求的中小企业承接。相关企业的具体情况如下：</w:t>
      </w:r>
    </w:p>
    <w:p w14:paraId="586855C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 </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eastAsia="zh-CN"/>
        </w:rPr>
        <w:t>请选择：</w:t>
      </w:r>
      <w:r>
        <w:rPr>
          <w:rFonts w:ascii="仿宋" w:hAnsi="仿宋" w:eastAsia="仿宋"/>
          <w:b/>
          <w:bCs/>
          <w:color w:val="auto"/>
          <w:sz w:val="24"/>
          <w:highlight w:val="none"/>
          <w:u w:val="single"/>
        </w:rPr>
        <w:t xml:space="preserve">中型企业、小型企业、微型企业） </w:t>
      </w:r>
      <w:r>
        <w:rPr>
          <w:rFonts w:hint="eastAsia" w:ascii="仿宋" w:hAnsi="仿宋" w:eastAsia="仿宋"/>
          <w:color w:val="auto"/>
          <w:sz w:val="24"/>
          <w:highlight w:val="none"/>
        </w:rPr>
        <w:t>；</w:t>
      </w:r>
    </w:p>
    <w:p w14:paraId="54A1FB7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 </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eastAsia="zh-CN"/>
        </w:rPr>
        <w:t>请选择：</w:t>
      </w:r>
      <w:r>
        <w:rPr>
          <w:rFonts w:ascii="仿宋" w:hAnsi="仿宋" w:eastAsia="仿宋"/>
          <w:b/>
          <w:bCs/>
          <w:color w:val="auto"/>
          <w:sz w:val="24"/>
          <w:highlight w:val="none"/>
          <w:u w:val="single"/>
        </w:rPr>
        <w:t xml:space="preserve">中型企业、小型企业、微型企业） </w:t>
      </w:r>
      <w:r>
        <w:rPr>
          <w:rFonts w:hint="eastAsia" w:ascii="仿宋" w:hAnsi="仿宋" w:eastAsia="仿宋"/>
          <w:color w:val="auto"/>
          <w:sz w:val="24"/>
          <w:highlight w:val="none"/>
        </w:rPr>
        <w:t>；</w:t>
      </w:r>
    </w:p>
    <w:p w14:paraId="64F3997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p>
    <w:p w14:paraId="04B29CB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14:paraId="4A67AF6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766465E9">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lang w:val="en-US" w:eastAsia="zh-CN"/>
        </w:rPr>
        <w:t>供应商</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14:paraId="50C350C5">
      <w:pPr>
        <w:spacing w:line="360" w:lineRule="auto"/>
        <w:ind w:right="1120" w:firstLine="5160" w:firstLineChars="2150"/>
        <w:rPr>
          <w:rFonts w:ascii="仿宋" w:hAnsi="仿宋" w:eastAsia="仿宋"/>
          <w:color w:val="auto"/>
          <w:sz w:val="24"/>
          <w:highlight w:val="none"/>
        </w:rPr>
      </w:pPr>
      <w:r>
        <w:rPr>
          <w:rFonts w:hint="eastAsia" w:ascii="仿宋" w:hAnsi="仿宋" w:eastAsia="仿宋"/>
          <w:color w:val="auto"/>
          <w:sz w:val="24"/>
          <w:highlight w:val="none"/>
        </w:rPr>
        <w:t>日</w:t>
      </w:r>
      <w:r>
        <w:rPr>
          <w:rFonts w:ascii="仿宋" w:hAnsi="仿宋" w:eastAsia="仿宋"/>
          <w:color w:val="auto"/>
          <w:sz w:val="24"/>
          <w:highlight w:val="none"/>
        </w:rPr>
        <w:t xml:space="preserve"> </w:t>
      </w:r>
      <w:r>
        <w:rPr>
          <w:rFonts w:hint="eastAsia" w:ascii="仿宋" w:hAnsi="仿宋" w:eastAsia="仿宋"/>
          <w:color w:val="auto"/>
          <w:sz w:val="24"/>
          <w:highlight w:val="none"/>
        </w:rPr>
        <w:t>期：</w:t>
      </w:r>
    </w:p>
    <w:p w14:paraId="7D4D930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1、填写要求：</w:t>
      </w:r>
    </w:p>
    <w:p w14:paraId="220EE44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①从业人员、营业收入、资产总额填报上一年度数据，无上一年度数据的新成立企业可不填报；</w:t>
      </w:r>
    </w:p>
    <w:p w14:paraId="6169B26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②中型企业、小型企业、微型企业等3种企业类型，结合以上数据，依据《中小企业划型标准规定》（工信部联企业〔2011〕300号）确定；</w:t>
      </w:r>
    </w:p>
    <w:p w14:paraId="37C10D98">
      <w:pPr>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u w:val="single"/>
        </w:rPr>
        <w:t>本项目</w:t>
      </w:r>
      <w:r>
        <w:rPr>
          <w:rFonts w:hint="eastAsia" w:ascii="仿宋" w:hAnsi="仿宋" w:eastAsia="仿宋"/>
          <w:b/>
          <w:bCs/>
          <w:color w:val="auto"/>
          <w:sz w:val="24"/>
          <w:highlight w:val="none"/>
          <w:u w:val="single"/>
          <w:lang w:val="en-US" w:eastAsia="zh-CN"/>
        </w:rPr>
        <w:t>标的：杭州市滨江区智慧养老呼叫综合服务项目</w:t>
      </w:r>
      <w:r>
        <w:rPr>
          <w:rFonts w:hint="eastAsia" w:ascii="仿宋" w:hAnsi="仿宋" w:eastAsia="仿宋"/>
          <w:b/>
          <w:bCs/>
          <w:color w:val="auto"/>
          <w:sz w:val="24"/>
          <w:highlight w:val="none"/>
          <w:u w:val="single"/>
        </w:rPr>
        <w:t>，属于【</w:t>
      </w:r>
      <w:r>
        <w:rPr>
          <w:rFonts w:hint="eastAsia" w:ascii="仿宋" w:hAnsi="仿宋" w:eastAsia="仿宋"/>
          <w:b/>
          <w:bCs/>
          <w:color w:val="auto"/>
          <w:sz w:val="24"/>
          <w:highlight w:val="none"/>
          <w:u w:val="single"/>
          <w:lang w:val="en-US" w:eastAsia="zh-CN"/>
        </w:rPr>
        <w:t>其他未列明</w:t>
      </w:r>
      <w:r>
        <w:rPr>
          <w:rFonts w:hint="eastAsia" w:ascii="仿宋" w:hAnsi="仿宋" w:eastAsia="仿宋" w:cs="仿宋"/>
          <w:b/>
          <w:bCs/>
          <w:color w:val="auto"/>
          <w:kern w:val="0"/>
          <w:sz w:val="24"/>
          <w:highlight w:val="none"/>
          <w:u w:val="single"/>
        </w:rPr>
        <w:t>行业</w:t>
      </w:r>
      <w:r>
        <w:rPr>
          <w:rFonts w:hint="eastAsia" w:ascii="仿宋" w:hAnsi="仿宋" w:eastAsia="仿宋"/>
          <w:b/>
          <w:bCs/>
          <w:color w:val="auto"/>
          <w:sz w:val="24"/>
          <w:highlight w:val="none"/>
          <w:u w:val="single"/>
        </w:rPr>
        <w:t>】</w:t>
      </w:r>
      <w:r>
        <w:rPr>
          <w:rFonts w:hint="eastAsia" w:ascii="仿宋" w:hAnsi="仿宋" w:eastAsia="仿宋"/>
          <w:b/>
          <w:bCs/>
          <w:color w:val="auto"/>
          <w:sz w:val="24"/>
          <w:highlight w:val="none"/>
          <w:u w:val="single"/>
          <w:lang w:eastAsia="zh-CN"/>
        </w:rPr>
        <w:t>。</w:t>
      </w:r>
      <w:r>
        <w:rPr>
          <w:rFonts w:hint="eastAsia" w:ascii="仿宋" w:hAnsi="仿宋" w:eastAsia="仿宋"/>
          <w:b/>
          <w:bCs/>
          <w:color w:val="auto"/>
          <w:sz w:val="24"/>
          <w:highlight w:val="none"/>
        </w:rPr>
        <w:t>业人员300人以下的为中小微型企业。其中，从业人员100人及以上的为中型企业；从业人员10人及以上的为小型企业；从业人员10人以下的为微型企业。</w:t>
      </w:r>
    </w:p>
    <w:p w14:paraId="4189B28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③投标人提供的《中小企业声明函》与实际情况不符的或者未按以上要求填写的，中小企业声明函无效，不享受中小企业扶持政策。声明内容不实的，属于提供虚假材料谋取中标、成交的，依法承担法律责任。</w:t>
      </w:r>
    </w:p>
    <w:p w14:paraId="5FB65A0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4A3894A">
      <w:pPr>
        <w:jc w:val="center"/>
        <w:rPr>
          <w:rFonts w:ascii="仿宋" w:hAnsi="仿宋" w:eastAsia="仿宋" w:cs="仿宋"/>
          <w:b/>
          <w:color w:val="auto"/>
          <w:kern w:val="0"/>
          <w:sz w:val="32"/>
          <w:szCs w:val="32"/>
          <w:highlight w:val="none"/>
        </w:rPr>
      </w:pPr>
    </w:p>
    <w:p w14:paraId="4C050994">
      <w:pPr>
        <w:jc w:val="center"/>
        <w:rPr>
          <w:rFonts w:ascii="仿宋" w:hAnsi="仿宋" w:eastAsia="仿宋" w:cs="仿宋"/>
          <w:b/>
          <w:color w:val="auto"/>
          <w:kern w:val="0"/>
          <w:sz w:val="32"/>
          <w:szCs w:val="32"/>
          <w:highlight w:val="none"/>
        </w:rPr>
      </w:pPr>
    </w:p>
    <w:p w14:paraId="64E5D3E7">
      <w:pPr>
        <w:jc w:val="center"/>
        <w:rPr>
          <w:rFonts w:ascii="仿宋" w:hAnsi="仿宋" w:eastAsia="仿宋" w:cs="仿宋"/>
          <w:b/>
          <w:color w:val="auto"/>
          <w:kern w:val="0"/>
          <w:sz w:val="32"/>
          <w:szCs w:val="32"/>
          <w:highlight w:val="none"/>
        </w:rPr>
      </w:pPr>
    </w:p>
    <w:p w14:paraId="04D27247">
      <w:pPr>
        <w:jc w:val="center"/>
        <w:rPr>
          <w:rFonts w:ascii="仿宋" w:hAnsi="仿宋" w:eastAsia="仿宋" w:cs="仿宋"/>
          <w:b/>
          <w:color w:val="auto"/>
          <w:kern w:val="0"/>
          <w:sz w:val="32"/>
          <w:szCs w:val="32"/>
          <w:highlight w:val="none"/>
        </w:rPr>
      </w:pPr>
    </w:p>
    <w:p w14:paraId="662BEF3D">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DB12700">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F026862">
      <w:pPr>
        <w:spacing w:line="360" w:lineRule="auto"/>
        <w:jc w:val="center"/>
        <w:rPr>
          <w:rFonts w:ascii="仿宋" w:hAnsi="仿宋" w:eastAsia="仿宋" w:cs="仿宋"/>
          <w:color w:val="auto"/>
          <w:sz w:val="24"/>
          <w:highlight w:val="none"/>
        </w:rPr>
      </w:pPr>
    </w:p>
    <w:p w14:paraId="440D04F5">
      <w:pPr>
        <w:rPr>
          <w:rFonts w:ascii="仿宋" w:hAnsi="仿宋" w:eastAsia="仿宋" w:cs="仿宋"/>
          <w:color w:val="auto"/>
          <w:highlight w:val="none"/>
        </w:rPr>
      </w:pPr>
    </w:p>
    <w:p w14:paraId="4DB08963">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无</w:t>
      </w:r>
    </w:p>
    <w:p w14:paraId="4BAAB758">
      <w:pPr>
        <w:snapToGrid w:val="0"/>
        <w:spacing w:line="360" w:lineRule="auto"/>
        <w:ind w:right="480"/>
        <w:jc w:val="center"/>
        <w:rPr>
          <w:rFonts w:ascii="仿宋" w:hAnsi="仿宋" w:eastAsia="仿宋" w:cs="仿宋"/>
          <w:b/>
          <w:color w:val="auto"/>
          <w:kern w:val="0"/>
          <w:sz w:val="32"/>
          <w:szCs w:val="32"/>
          <w:highlight w:val="none"/>
        </w:rPr>
        <w:sectPr>
          <w:headerReference r:id="rId14" w:type="first"/>
          <w:footerReference r:id="rId16" w:type="first"/>
          <w:headerReference r:id="rId13" w:type="default"/>
          <w:footerReference r:id="rId15" w:type="default"/>
          <w:pgSz w:w="11906" w:h="16838"/>
          <w:pgMar w:top="1134" w:right="1417" w:bottom="1134" w:left="1417" w:header="851" w:footer="992" w:gutter="0"/>
          <w:pgNumType w:fmt="decimal"/>
          <w:cols w:space="720" w:num="1"/>
          <w:titlePg/>
          <w:docGrid w:linePitch="312" w:charSpace="0"/>
        </w:sectPr>
      </w:pPr>
    </w:p>
    <w:p w14:paraId="07C0C1DF">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F2992ED">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07C2FE6">
      <w:pPr>
        <w:numPr>
          <w:ilvl w:val="255"/>
          <w:numId w:val="0"/>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（1）响应函………………………………………………………………………（页码）</w:t>
      </w:r>
    </w:p>
    <w:p w14:paraId="6C295797">
      <w:pPr>
        <w:numPr>
          <w:ilvl w:val="255"/>
          <w:numId w:val="0"/>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14:paraId="35B1D63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14:paraId="02549BA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4C4458B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（5）评审标准相应的商务技术资料……………………………………………（页码）</w:t>
      </w:r>
    </w:p>
    <w:p w14:paraId="1AD6C71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（6）投标标的清单………………………………………………………………（页码）</w:t>
      </w:r>
    </w:p>
    <w:p w14:paraId="37DF155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（7）商务技术偏离表……………………………………………………………（页码）</w:t>
      </w:r>
    </w:p>
    <w:p w14:paraId="047937E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03F7F3D0">
      <w:pPr>
        <w:snapToGrid w:val="0"/>
        <w:spacing w:line="360" w:lineRule="auto"/>
        <w:jc w:val="center"/>
        <w:rPr>
          <w:rFonts w:ascii="仿宋" w:hAnsi="仿宋" w:eastAsia="仿宋" w:cs="仿宋"/>
          <w:b/>
          <w:color w:val="auto"/>
          <w:kern w:val="0"/>
          <w:sz w:val="24"/>
          <w:szCs w:val="32"/>
          <w:highlight w:val="none"/>
          <w:lang w:val="zh-CN"/>
        </w:rPr>
        <w:sectPr>
          <w:pgSz w:w="11906" w:h="16838"/>
          <w:pgMar w:top="1134" w:right="1417" w:bottom="1134" w:left="1417" w:header="851" w:footer="992" w:gutter="0"/>
          <w:pgNumType w:fmt="decimal"/>
          <w:cols w:space="720" w:num="1"/>
          <w:titlePg/>
          <w:docGrid w:linePitch="312" w:charSpace="0"/>
        </w:sectPr>
      </w:pPr>
    </w:p>
    <w:p w14:paraId="37F7BB3E">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一、响应函</w:t>
      </w:r>
    </w:p>
    <w:p w14:paraId="5B906950">
      <w:pPr>
        <w:snapToGrid w:val="0"/>
        <w:spacing w:line="360" w:lineRule="auto"/>
        <w:rPr>
          <w:rFonts w:ascii="仿宋" w:hAnsi="仿宋" w:eastAsia="仿宋" w:cs="仿宋"/>
          <w:color w:val="auto"/>
          <w:sz w:val="24"/>
          <w:highlight w:val="none"/>
        </w:rPr>
      </w:pPr>
    </w:p>
    <w:p w14:paraId="14462F42">
      <w:pPr>
        <w:shd w:val="clear" w:color="auto" w:fill="FFFFFF"/>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4"/>
          <w:highlight w:val="none"/>
          <w:lang w:eastAsia="zh-CN"/>
        </w:rPr>
        <w:t>杭州市滨江区民政局</w:t>
      </w:r>
      <w:r>
        <w:rPr>
          <w:rFonts w:hint="eastAsia" w:ascii="仿宋" w:hAnsi="仿宋" w:eastAsia="仿宋" w:cs="仿宋"/>
          <w:color w:val="auto"/>
          <w:sz w:val="24"/>
          <w:highlight w:val="none"/>
        </w:rPr>
        <w:t>、杭州博实招标代理有限公司：</w:t>
      </w:r>
    </w:p>
    <w:p w14:paraId="786A575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我方参与你方组织的</w:t>
      </w:r>
      <w:r>
        <w:rPr>
          <w:rFonts w:hint="eastAsia" w:ascii="仿宋" w:hAnsi="仿宋" w:eastAsia="仿宋" w:cs="仿宋"/>
          <w:color w:val="auto"/>
          <w:sz w:val="24"/>
          <w:highlight w:val="none"/>
          <w:u w:val="single"/>
          <w:lang w:eastAsia="zh-CN"/>
        </w:rPr>
        <w:t>杭州市滨江区智慧养老呼叫综合服务项目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BSZB2025-CQZC007</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采购的有关活动，并对此项目提交响应文件及报价。为此：</w:t>
      </w:r>
    </w:p>
    <w:p w14:paraId="02A5D42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1、我方承诺响应文件有效期从提交响应文件的截止之日起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本响应文件在响应文件有效期满之前均具有约束力。</w:t>
      </w:r>
    </w:p>
    <w:p w14:paraId="62CA127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38B5FAA0">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74C47A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15840F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132DABD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3141E0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7026EE0">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0C6505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2.2.1响应函；</w:t>
      </w:r>
      <w:r>
        <w:rPr>
          <w:rFonts w:hint="eastAsia" w:ascii="仿宋" w:hAnsi="仿宋" w:eastAsia="仿宋" w:cs="仿宋"/>
          <w:color w:val="auto"/>
          <w:sz w:val="24"/>
          <w:highlight w:val="none"/>
          <w:lang w:val="zh-CN"/>
        </w:rPr>
        <w:t xml:space="preserve"> </w:t>
      </w:r>
    </w:p>
    <w:p w14:paraId="21A0128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60E4CA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0AD7CE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E8F224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2.2.5评审标准相应的商务技术资料；</w:t>
      </w:r>
    </w:p>
    <w:p w14:paraId="1D5312B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EBABBE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F67727F">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7EDBEF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7F16BE3A">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2.3.1</w:t>
      </w:r>
      <w:r>
        <w:rPr>
          <w:rFonts w:hint="eastAsia" w:ascii="仿宋" w:hAnsi="仿宋" w:eastAsia="仿宋" w:cs="仿宋"/>
          <w:color w:val="auto"/>
          <w:sz w:val="24"/>
          <w:highlight w:val="none"/>
        </w:rPr>
        <w:t>报价单</w:t>
      </w:r>
      <w:r>
        <w:rPr>
          <w:rFonts w:hint="eastAsia" w:ascii="仿宋" w:hAnsi="仿宋" w:eastAsia="仿宋" w:cs="仿宋"/>
          <w:color w:val="auto"/>
          <w:sz w:val="24"/>
          <w:highlight w:val="none"/>
          <w:lang w:val="zh-CN"/>
        </w:rPr>
        <w:t>；</w:t>
      </w:r>
    </w:p>
    <w:p w14:paraId="1002B369">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2.3.2</w:t>
      </w:r>
      <w:r>
        <w:rPr>
          <w:rFonts w:hint="eastAsia" w:ascii="仿宋" w:hAnsi="仿宋" w:eastAsia="仿宋" w:cs="仿宋"/>
          <w:color w:val="auto"/>
          <w:sz w:val="24"/>
          <w:highlight w:val="none"/>
        </w:rPr>
        <w:t>分项报价表</w:t>
      </w:r>
      <w:r>
        <w:rPr>
          <w:rFonts w:hint="eastAsia" w:ascii="仿宋" w:hAnsi="仿宋" w:eastAsia="仿宋" w:cs="仿宋"/>
          <w:color w:val="auto"/>
          <w:sz w:val="24"/>
          <w:highlight w:val="none"/>
          <w:lang w:val="zh-CN"/>
        </w:rPr>
        <w:t>；</w:t>
      </w:r>
    </w:p>
    <w:p w14:paraId="7E816A8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14:paraId="37B5DB0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3、我方承诺除商务技术偏离表列出的偏离外，我方响应采购文件的全部要求。对</w:t>
      </w:r>
      <w:r>
        <w:rPr>
          <w:rFonts w:hint="eastAsia" w:ascii="仿宋" w:hAnsi="仿宋" w:eastAsia="仿宋" w:cs="仿宋"/>
          <w:color w:val="auto"/>
          <w:sz w:val="24"/>
          <w:highlight w:val="none"/>
          <w:lang w:val="en-US" w:eastAsia="zh-CN"/>
        </w:rPr>
        <w:t>磋商响应</w:t>
      </w:r>
      <w:r>
        <w:rPr>
          <w:rFonts w:hint="eastAsia" w:ascii="仿宋" w:hAnsi="仿宋" w:eastAsia="仿宋" w:cs="仿宋"/>
          <w:color w:val="auto"/>
          <w:sz w:val="24"/>
          <w:highlight w:val="none"/>
        </w:rPr>
        <w:t>文件中材料的真实性、合法性负责。</w:t>
      </w:r>
    </w:p>
    <w:p w14:paraId="565DC3A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60A5B590">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21C49F5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F12EC8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14:paraId="34AE9659">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0CA0C0F">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DF4DB0C">
      <w:pPr>
        <w:snapToGrid w:val="0"/>
        <w:spacing w:line="360" w:lineRule="auto"/>
        <w:ind w:firstLine="4560" w:firstLineChars="1900"/>
        <w:rPr>
          <w:rFonts w:ascii="仿宋" w:hAnsi="仿宋" w:eastAsia="仿宋" w:cs="仿宋"/>
          <w:color w:val="auto"/>
          <w:sz w:val="24"/>
          <w:highlight w:val="none"/>
        </w:rPr>
      </w:pPr>
    </w:p>
    <w:p w14:paraId="0C406156">
      <w:pPr>
        <w:snapToGrid w:val="0"/>
        <w:spacing w:line="360" w:lineRule="auto"/>
        <w:ind w:firstLine="4560" w:firstLineChars="1900"/>
        <w:rPr>
          <w:rFonts w:ascii="仿宋" w:hAnsi="仿宋" w:eastAsia="仿宋" w:cs="仿宋"/>
          <w:color w:val="auto"/>
          <w:sz w:val="24"/>
          <w:highlight w:val="none"/>
        </w:rPr>
      </w:pPr>
    </w:p>
    <w:p w14:paraId="3A17B6D9">
      <w:pPr>
        <w:snapToGrid w:val="0"/>
        <w:spacing w:line="360" w:lineRule="auto"/>
        <w:ind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4912129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7AAC63E2">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19935FA0">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898BE22">
      <w:pPr>
        <w:snapToGrid w:val="0"/>
        <w:spacing w:line="360" w:lineRule="auto"/>
        <w:jc w:val="center"/>
        <w:rPr>
          <w:rFonts w:ascii="仿宋" w:hAnsi="仿宋" w:eastAsia="仿宋" w:cs="仿宋"/>
          <w:b/>
          <w:color w:val="auto"/>
          <w:kern w:val="0"/>
          <w:sz w:val="32"/>
          <w:szCs w:val="32"/>
          <w:highlight w:val="none"/>
        </w:rPr>
      </w:pPr>
    </w:p>
    <w:p w14:paraId="57E29DF4">
      <w:pPr>
        <w:snapToGrid w:val="0"/>
        <w:spacing w:line="360" w:lineRule="auto"/>
        <w:rPr>
          <w:rFonts w:ascii="仿宋" w:hAnsi="仿宋" w:eastAsia="仿宋" w:cs="仿宋"/>
          <w:color w:val="auto"/>
          <w:sz w:val="24"/>
          <w:highlight w:val="none"/>
        </w:rPr>
      </w:pPr>
    </w:p>
    <w:p w14:paraId="6EA33C1B">
      <w:pPr>
        <w:jc w:val="center"/>
        <w:rPr>
          <w:rFonts w:ascii="仿宋" w:hAnsi="仿宋" w:eastAsia="仿宋" w:cs="仿宋"/>
          <w:b/>
          <w:color w:val="auto"/>
          <w:kern w:val="0"/>
          <w:sz w:val="32"/>
          <w:szCs w:val="32"/>
          <w:highlight w:val="none"/>
        </w:rPr>
      </w:pPr>
    </w:p>
    <w:p w14:paraId="3261C09A">
      <w:pPr>
        <w:jc w:val="center"/>
        <w:rPr>
          <w:rFonts w:ascii="仿宋" w:hAnsi="仿宋" w:eastAsia="仿宋" w:cs="仿宋"/>
          <w:b/>
          <w:color w:val="auto"/>
          <w:kern w:val="0"/>
          <w:sz w:val="32"/>
          <w:szCs w:val="32"/>
          <w:highlight w:val="none"/>
        </w:rPr>
        <w:sectPr>
          <w:pgSz w:w="11906" w:h="16838"/>
          <w:pgMar w:top="1134" w:right="1417" w:bottom="1134" w:left="1417" w:header="851" w:footer="992" w:gutter="0"/>
          <w:pgNumType w:fmt="decimal"/>
          <w:cols w:space="720" w:num="1"/>
          <w:titlePg/>
          <w:docGrid w:linePitch="312" w:charSpace="0"/>
        </w:sectPr>
      </w:pPr>
    </w:p>
    <w:p w14:paraId="680810A0">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二、授权委托书或法定代表人（单位负责人、自然人本人）身份证明</w:t>
      </w:r>
    </w:p>
    <w:p w14:paraId="3E00A82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63B5480">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授权委托书（适用于非联合体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6615E937">
      <w:pPr>
        <w:snapToGrid w:val="0"/>
        <w:spacing w:line="360" w:lineRule="auto"/>
        <w:rPr>
          <w:rFonts w:ascii="仿宋" w:hAnsi="仿宋" w:eastAsia="仿宋" w:cs="仿宋"/>
          <w:color w:val="auto"/>
          <w:sz w:val="24"/>
          <w:highlight w:val="none"/>
        </w:rPr>
      </w:pPr>
    </w:p>
    <w:p w14:paraId="60713593">
      <w:pPr>
        <w:shd w:val="clear" w:color="auto" w:fill="FFFFFF"/>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杭州市滨江区民政局</w:t>
      </w:r>
      <w:r>
        <w:rPr>
          <w:rFonts w:hint="eastAsia" w:ascii="仿宋" w:hAnsi="仿宋" w:eastAsia="仿宋" w:cs="仿宋"/>
          <w:color w:val="auto"/>
          <w:sz w:val="24"/>
          <w:highlight w:val="none"/>
        </w:rPr>
        <w:t>、杭州博实招标代理有限公司：</w:t>
      </w:r>
    </w:p>
    <w:p w14:paraId="1D2878B6">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zh-CN"/>
        </w:rPr>
        <w:t>，</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杭州市滨江区智慧养老呼叫综合服务项目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BSZB2025-CQZC007</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4F8BA5F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157AC2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D60A08B">
      <w:pPr>
        <w:snapToGrid w:val="0"/>
        <w:spacing w:line="360" w:lineRule="auto"/>
        <w:ind w:left="4549" w:leftChars="2166"/>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7913ED1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6A4F1885">
      <w:pPr>
        <w:snapToGrid w:val="0"/>
        <w:spacing w:line="360" w:lineRule="auto"/>
        <w:rPr>
          <w:rFonts w:ascii="仿宋" w:hAnsi="仿宋" w:eastAsia="仿宋" w:cs="仿宋"/>
          <w:color w:val="auto"/>
          <w:kern w:val="0"/>
          <w:sz w:val="24"/>
          <w:highlight w:val="none"/>
          <w:lang w:val="zh-CN"/>
        </w:rPr>
      </w:pPr>
    </w:p>
    <w:p w14:paraId="1EEE6A5C">
      <w:pPr>
        <w:snapToGrid w:val="0"/>
        <w:spacing w:line="360" w:lineRule="auto"/>
        <w:rPr>
          <w:rFonts w:ascii="仿宋" w:hAnsi="仿宋" w:eastAsia="仿宋" w:cs="仿宋"/>
          <w:color w:val="auto"/>
          <w:sz w:val="24"/>
          <w:highlight w:val="none"/>
        </w:rPr>
      </w:pPr>
    </w:p>
    <w:p w14:paraId="1DBF748F">
      <w:pPr>
        <w:snapToGrid w:val="0"/>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5112905B">
      <w:pPr>
        <w:snapToGrid w:val="0"/>
        <w:spacing w:line="360" w:lineRule="auto"/>
        <w:rPr>
          <w:rFonts w:ascii="仿宋" w:hAnsi="仿宋" w:eastAsia="仿宋" w:cs="仿宋"/>
          <w:color w:val="auto"/>
          <w:sz w:val="24"/>
          <w:highlight w:val="none"/>
        </w:rPr>
      </w:pPr>
    </w:p>
    <w:p w14:paraId="0CCE90E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D39A92F">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319E36A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CE4195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424CDC2">
      <w:pPr>
        <w:jc w:val="center"/>
        <w:rPr>
          <w:rFonts w:ascii="仿宋" w:hAnsi="仿宋" w:eastAsia="仿宋" w:cs="仿宋"/>
          <w:b/>
          <w:color w:val="auto"/>
          <w:kern w:val="0"/>
          <w:sz w:val="32"/>
          <w:szCs w:val="32"/>
          <w:highlight w:val="none"/>
        </w:rPr>
      </w:pPr>
    </w:p>
    <w:p w14:paraId="37C1D4E1">
      <w:pPr>
        <w:rPr>
          <w:rFonts w:ascii="仿宋" w:hAnsi="仿宋" w:eastAsia="仿宋" w:cs="仿宋"/>
          <w:color w:val="auto"/>
          <w:highlight w:val="none"/>
        </w:rPr>
      </w:pPr>
    </w:p>
    <w:p w14:paraId="09F80D06">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D4966E6">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BA3EC5D">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87FE13E">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8BDB152">
      <w:pPr>
        <w:snapToGrid w:val="0"/>
        <w:jc w:val="center"/>
        <w:rPr>
          <w:rFonts w:ascii="仿宋" w:hAnsi="仿宋" w:eastAsia="仿宋" w:cs="仿宋"/>
          <w:b/>
          <w:bCs/>
          <w:color w:val="auto"/>
          <w:sz w:val="32"/>
          <w:szCs w:val="32"/>
          <w:highlight w:val="none"/>
          <w:lang w:val="zh-CN"/>
        </w:rPr>
      </w:pPr>
    </w:p>
    <w:p w14:paraId="6EC5BEDF">
      <w:pPr>
        <w:snapToGrid w:val="0"/>
        <w:jc w:val="center"/>
        <w:rPr>
          <w:rFonts w:ascii="仿宋" w:hAnsi="仿宋" w:eastAsia="仿宋" w:cs="仿宋"/>
          <w:b/>
          <w:bCs/>
          <w:color w:val="auto"/>
          <w:sz w:val="32"/>
          <w:szCs w:val="32"/>
          <w:highlight w:val="none"/>
          <w:lang w:val="zh-CN"/>
        </w:rPr>
      </w:pPr>
    </w:p>
    <w:p w14:paraId="68D1C619">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法定代表人、单位负责人或自然人本人</w:t>
      </w:r>
      <w:r>
        <w:rPr>
          <w:rFonts w:hint="eastAsia" w:ascii="仿宋" w:hAnsi="仿宋" w:eastAsia="仿宋" w:cs="仿宋"/>
          <w:b/>
          <w:bCs/>
          <w:color w:val="auto"/>
          <w:sz w:val="32"/>
          <w:szCs w:val="32"/>
          <w:highlight w:val="none"/>
        </w:rPr>
        <w:t>的身份证明（适用于法定代表人、单位负责人或者自然人本人代表供应商参加响应）</w:t>
      </w:r>
    </w:p>
    <w:p w14:paraId="177B7756">
      <w:pPr>
        <w:pStyle w:val="152"/>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E9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847EFC">
            <w:pPr>
              <w:pStyle w:val="152"/>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C1F97F0">
            <w:pPr>
              <w:pStyle w:val="152"/>
              <w:adjustRightInd w:val="0"/>
              <w:spacing w:line="360" w:lineRule="auto"/>
              <w:rPr>
                <w:rFonts w:ascii="仿宋" w:hAnsi="仿宋" w:eastAsia="仿宋" w:cs="仿宋"/>
                <w:bCs/>
                <w:color w:val="auto"/>
                <w:sz w:val="24"/>
                <w:highlight w:val="none"/>
              </w:rPr>
            </w:pPr>
          </w:p>
        </w:tc>
      </w:tr>
    </w:tbl>
    <w:p w14:paraId="28F64778">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5F308E7">
      <w:pPr>
        <w:snapToGrid w:val="0"/>
        <w:spacing w:line="360" w:lineRule="auto"/>
        <w:ind w:firstLine="4560" w:firstLineChars="1900"/>
        <w:rPr>
          <w:rFonts w:ascii="仿宋" w:hAnsi="仿宋" w:eastAsia="仿宋" w:cs="仿宋"/>
          <w:color w:val="auto"/>
          <w:sz w:val="24"/>
          <w:highlight w:val="none"/>
        </w:rPr>
      </w:pPr>
    </w:p>
    <w:p w14:paraId="6BF56D53">
      <w:pPr>
        <w:snapToGrid w:val="0"/>
        <w:spacing w:line="360" w:lineRule="auto"/>
        <w:ind w:firstLine="4560" w:firstLineChars="1900"/>
        <w:rPr>
          <w:rFonts w:ascii="仿宋" w:hAnsi="仿宋" w:eastAsia="仿宋" w:cs="仿宋"/>
          <w:color w:val="auto"/>
          <w:sz w:val="24"/>
          <w:highlight w:val="none"/>
        </w:rPr>
      </w:pPr>
    </w:p>
    <w:p w14:paraId="78A5AA56">
      <w:pPr>
        <w:snapToGrid w:val="0"/>
        <w:spacing w:line="360" w:lineRule="auto"/>
        <w:ind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44C7039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0A7AC39B">
      <w:pPr>
        <w:spacing w:line="360" w:lineRule="auto"/>
        <w:jc w:val="center"/>
        <w:rPr>
          <w:rFonts w:ascii="仿宋" w:hAnsi="仿宋" w:eastAsia="仿宋" w:cs="仿宋"/>
          <w:color w:val="auto"/>
          <w:kern w:val="0"/>
          <w:sz w:val="24"/>
          <w:highlight w:val="none"/>
          <w:lang w:val="zh-CN"/>
        </w:rPr>
      </w:pPr>
    </w:p>
    <w:p w14:paraId="6F0A110E">
      <w:pPr>
        <w:jc w:val="center"/>
        <w:rPr>
          <w:rFonts w:ascii="仿宋" w:hAnsi="仿宋" w:eastAsia="仿宋" w:cs="仿宋"/>
          <w:b/>
          <w:color w:val="auto"/>
          <w:kern w:val="0"/>
          <w:sz w:val="32"/>
          <w:szCs w:val="32"/>
          <w:highlight w:val="none"/>
        </w:rPr>
      </w:pPr>
    </w:p>
    <w:p w14:paraId="320DCE10">
      <w:pPr>
        <w:jc w:val="center"/>
        <w:rPr>
          <w:rFonts w:ascii="仿宋" w:hAnsi="仿宋" w:eastAsia="仿宋" w:cs="仿宋"/>
          <w:b/>
          <w:color w:val="auto"/>
          <w:kern w:val="0"/>
          <w:sz w:val="32"/>
          <w:szCs w:val="32"/>
          <w:highlight w:val="none"/>
        </w:rPr>
      </w:pPr>
    </w:p>
    <w:p w14:paraId="08F7A40A">
      <w:pPr>
        <w:jc w:val="center"/>
        <w:rPr>
          <w:rFonts w:ascii="仿宋" w:hAnsi="仿宋" w:eastAsia="仿宋" w:cs="仿宋"/>
          <w:b/>
          <w:color w:val="auto"/>
          <w:kern w:val="0"/>
          <w:sz w:val="32"/>
          <w:szCs w:val="32"/>
          <w:highlight w:val="none"/>
        </w:rPr>
      </w:pPr>
    </w:p>
    <w:p w14:paraId="3625B407">
      <w:pPr>
        <w:jc w:val="center"/>
        <w:rPr>
          <w:rFonts w:ascii="仿宋" w:hAnsi="仿宋" w:eastAsia="仿宋" w:cs="仿宋"/>
          <w:b/>
          <w:color w:val="auto"/>
          <w:kern w:val="0"/>
          <w:sz w:val="32"/>
          <w:szCs w:val="32"/>
          <w:highlight w:val="none"/>
        </w:rPr>
      </w:pPr>
    </w:p>
    <w:p w14:paraId="1883244F">
      <w:pPr>
        <w:jc w:val="center"/>
        <w:rPr>
          <w:rFonts w:ascii="仿宋" w:hAnsi="仿宋" w:eastAsia="仿宋" w:cs="仿宋"/>
          <w:b/>
          <w:color w:val="auto"/>
          <w:kern w:val="0"/>
          <w:sz w:val="32"/>
          <w:szCs w:val="32"/>
          <w:highlight w:val="none"/>
        </w:rPr>
      </w:pPr>
    </w:p>
    <w:p w14:paraId="13CAB48B">
      <w:pPr>
        <w:jc w:val="center"/>
        <w:rPr>
          <w:rFonts w:ascii="仿宋" w:hAnsi="仿宋" w:eastAsia="仿宋" w:cs="仿宋"/>
          <w:b/>
          <w:color w:val="auto"/>
          <w:kern w:val="0"/>
          <w:sz w:val="32"/>
          <w:szCs w:val="32"/>
          <w:highlight w:val="none"/>
        </w:rPr>
      </w:pPr>
    </w:p>
    <w:p w14:paraId="24A49EB9">
      <w:pPr>
        <w:jc w:val="center"/>
        <w:rPr>
          <w:rFonts w:ascii="仿宋" w:hAnsi="仿宋" w:eastAsia="仿宋" w:cs="仿宋"/>
          <w:b/>
          <w:color w:val="auto"/>
          <w:kern w:val="0"/>
          <w:sz w:val="32"/>
          <w:szCs w:val="32"/>
          <w:highlight w:val="none"/>
        </w:rPr>
      </w:pPr>
    </w:p>
    <w:p w14:paraId="65CD5BC6">
      <w:pPr>
        <w:jc w:val="center"/>
        <w:rPr>
          <w:rFonts w:ascii="仿宋" w:hAnsi="仿宋" w:eastAsia="仿宋" w:cs="仿宋"/>
          <w:b/>
          <w:color w:val="auto"/>
          <w:kern w:val="0"/>
          <w:sz w:val="32"/>
          <w:szCs w:val="32"/>
          <w:highlight w:val="none"/>
        </w:rPr>
      </w:pPr>
    </w:p>
    <w:p w14:paraId="25021809">
      <w:pPr>
        <w:jc w:val="center"/>
        <w:rPr>
          <w:rFonts w:ascii="仿宋" w:hAnsi="仿宋" w:eastAsia="仿宋" w:cs="仿宋"/>
          <w:b/>
          <w:color w:val="auto"/>
          <w:kern w:val="0"/>
          <w:sz w:val="32"/>
          <w:szCs w:val="32"/>
          <w:highlight w:val="none"/>
        </w:rPr>
      </w:pPr>
    </w:p>
    <w:p w14:paraId="0F6912C0">
      <w:pPr>
        <w:jc w:val="center"/>
        <w:rPr>
          <w:rFonts w:ascii="仿宋" w:hAnsi="仿宋" w:eastAsia="仿宋" w:cs="仿宋"/>
          <w:b/>
          <w:color w:val="auto"/>
          <w:kern w:val="0"/>
          <w:sz w:val="32"/>
          <w:szCs w:val="32"/>
          <w:highlight w:val="none"/>
        </w:rPr>
      </w:pPr>
    </w:p>
    <w:p w14:paraId="48E80125">
      <w:pPr>
        <w:snapToGrid w:val="0"/>
        <w:spacing w:line="360" w:lineRule="auto"/>
        <w:ind w:right="480"/>
        <w:rPr>
          <w:rFonts w:ascii="仿宋" w:hAnsi="仿宋" w:eastAsia="仿宋" w:cs="仿宋"/>
          <w:b/>
          <w:color w:val="auto"/>
          <w:kern w:val="0"/>
          <w:sz w:val="32"/>
          <w:szCs w:val="32"/>
          <w:highlight w:val="none"/>
        </w:rPr>
        <w:sectPr>
          <w:pgSz w:w="11906" w:h="16838"/>
          <w:pgMar w:top="1134" w:right="1417" w:bottom="1134" w:left="1417" w:header="851" w:footer="992" w:gutter="0"/>
          <w:pgNumType w:fmt="decimal"/>
          <w:cols w:space="720" w:num="1"/>
          <w:titlePg/>
          <w:docGrid w:linePitch="312" w:charSpace="0"/>
        </w:sectPr>
      </w:pPr>
    </w:p>
    <w:p w14:paraId="2E087695">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三、分包意向协议</w:t>
      </w:r>
    </w:p>
    <w:p w14:paraId="006FEB29">
      <w:pPr>
        <w:widowControl/>
        <w:spacing w:line="360" w:lineRule="auto"/>
        <w:ind w:firstLine="120" w:firstLineChars="50"/>
        <w:jc w:val="left"/>
        <w:rPr>
          <w:rFonts w:ascii="仿宋" w:hAnsi="仿宋" w:eastAsia="仿宋" w:cs="仿宋"/>
          <w:color w:val="auto"/>
          <w:sz w:val="24"/>
          <w:highlight w:val="none"/>
        </w:rPr>
      </w:pPr>
      <w:bookmarkStart w:id="381" w:name="_Hlk101169080"/>
    </w:p>
    <w:p w14:paraId="4810B4CD">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成交后以分包方式履行合同的，提供分包意向协议(附件6)；采购人不同意分包或者供应商成交后不以分包方式履行合同的，则不需要提供。</w:t>
      </w:r>
      <w:r>
        <w:rPr>
          <w:rFonts w:hint="eastAsia" w:ascii="仿宋" w:hAnsi="仿宋" w:eastAsia="仿宋" w:cs="仿宋"/>
          <w:color w:val="auto"/>
          <w:sz w:val="24"/>
          <w:highlight w:val="none"/>
        </w:rPr>
        <w:t>]</w:t>
      </w:r>
    </w:p>
    <w:bookmarkEnd w:id="381"/>
    <w:p w14:paraId="068FE026">
      <w:pPr>
        <w:snapToGrid w:val="0"/>
        <w:spacing w:line="360" w:lineRule="auto"/>
        <w:rPr>
          <w:rFonts w:ascii="仿宋" w:hAnsi="仿宋" w:eastAsia="仿宋" w:cs="仿宋"/>
          <w:color w:val="auto"/>
          <w:kern w:val="0"/>
          <w:sz w:val="24"/>
          <w:highlight w:val="none"/>
        </w:rPr>
      </w:pPr>
    </w:p>
    <w:p w14:paraId="012931CC">
      <w:pPr>
        <w:snapToGrid w:val="0"/>
        <w:jc w:val="center"/>
        <w:rPr>
          <w:rFonts w:ascii="仿宋" w:hAnsi="仿宋" w:eastAsia="仿宋" w:cs="仿宋"/>
          <w:b/>
          <w:bCs/>
          <w:color w:val="auto"/>
          <w:sz w:val="32"/>
          <w:szCs w:val="32"/>
          <w:highlight w:val="none"/>
        </w:rPr>
      </w:pPr>
    </w:p>
    <w:p w14:paraId="0EB139B1">
      <w:pPr>
        <w:snapToGrid w:val="0"/>
        <w:jc w:val="center"/>
        <w:rPr>
          <w:rFonts w:ascii="仿宋" w:hAnsi="仿宋" w:eastAsia="仿宋" w:cs="仿宋"/>
          <w:b/>
          <w:bCs/>
          <w:color w:val="auto"/>
          <w:sz w:val="32"/>
          <w:szCs w:val="32"/>
          <w:highlight w:val="none"/>
        </w:rPr>
      </w:pPr>
    </w:p>
    <w:p w14:paraId="3999CB7D">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四、符合性审查资料</w:t>
      </w:r>
    </w:p>
    <w:p w14:paraId="16766D63">
      <w:pPr>
        <w:jc w:val="center"/>
        <w:rPr>
          <w:rFonts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27"/>
        <w:gridCol w:w="2693"/>
        <w:gridCol w:w="2240"/>
      </w:tblGrid>
      <w:tr w14:paraId="03B9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70DD0B">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序号</w:t>
            </w:r>
          </w:p>
        </w:tc>
        <w:tc>
          <w:tcPr>
            <w:tcW w:w="4027" w:type="dxa"/>
            <w:vAlign w:val="center"/>
          </w:tcPr>
          <w:p w14:paraId="756B398E">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实质性要求</w:t>
            </w:r>
          </w:p>
        </w:tc>
        <w:tc>
          <w:tcPr>
            <w:tcW w:w="2693" w:type="dxa"/>
            <w:vAlign w:val="center"/>
          </w:tcPr>
          <w:p w14:paraId="540CCAEF">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需要提供的符合性审查资料</w:t>
            </w:r>
          </w:p>
        </w:tc>
        <w:tc>
          <w:tcPr>
            <w:tcW w:w="2240" w:type="dxa"/>
            <w:vAlign w:val="center"/>
          </w:tcPr>
          <w:p w14:paraId="74D5E3E2">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磋商响应中的</w:t>
            </w:r>
          </w:p>
          <w:p w14:paraId="24C98483">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页码位置</w:t>
            </w:r>
          </w:p>
        </w:tc>
      </w:tr>
      <w:tr w14:paraId="3112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DA2C0F">
            <w:pPr>
              <w:spacing w:line="360" w:lineRule="auto"/>
              <w:jc w:val="center"/>
              <w:rPr>
                <w:rFonts w:ascii="仿宋" w:hAnsi="仿宋" w:eastAsia="仿宋"/>
                <w:color w:val="auto"/>
                <w:sz w:val="24"/>
                <w:szCs w:val="28"/>
                <w:highlight w:val="none"/>
              </w:rPr>
            </w:pPr>
            <w:r>
              <w:rPr>
                <w:rFonts w:ascii="仿宋" w:hAnsi="仿宋" w:eastAsia="仿宋"/>
                <w:color w:val="auto"/>
                <w:sz w:val="24"/>
                <w:szCs w:val="28"/>
                <w:highlight w:val="none"/>
              </w:rPr>
              <w:t>1</w:t>
            </w:r>
          </w:p>
        </w:tc>
        <w:tc>
          <w:tcPr>
            <w:tcW w:w="4027" w:type="dxa"/>
          </w:tcPr>
          <w:p w14:paraId="52D07B4B">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磋商响应文件按照磋商文件要求签署、盖章。</w:t>
            </w:r>
          </w:p>
        </w:tc>
        <w:tc>
          <w:tcPr>
            <w:tcW w:w="2693" w:type="dxa"/>
            <w:vAlign w:val="center"/>
          </w:tcPr>
          <w:p w14:paraId="171BE4B7">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需要使用电子签名或者签字盖章的磋商响应文件的组成部分</w:t>
            </w:r>
          </w:p>
        </w:tc>
        <w:tc>
          <w:tcPr>
            <w:tcW w:w="2240" w:type="dxa"/>
          </w:tcPr>
          <w:p w14:paraId="38C6F169">
            <w:pPr>
              <w:spacing w:line="360" w:lineRule="auto"/>
              <w:jc w:val="center"/>
              <w:rPr>
                <w:rFonts w:ascii="仿宋" w:hAnsi="仿宋" w:eastAsia="仿宋"/>
                <w:color w:val="auto"/>
                <w:sz w:val="24"/>
                <w:szCs w:val="28"/>
                <w:highlight w:val="none"/>
              </w:rPr>
            </w:pPr>
          </w:p>
          <w:p w14:paraId="2C545E78">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见磋商响应文件</w:t>
            </w:r>
          </w:p>
          <w:p w14:paraId="7BD936B4">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第</w:t>
            </w:r>
            <w:r>
              <w:rPr>
                <w:rFonts w:ascii="仿宋" w:hAnsi="仿宋" w:eastAsia="仿宋"/>
                <w:color w:val="auto"/>
                <w:sz w:val="24"/>
                <w:szCs w:val="28"/>
                <w:highlight w:val="none"/>
                <w:u w:val="single"/>
              </w:rPr>
              <w:t xml:space="preserve">  </w:t>
            </w:r>
            <w:r>
              <w:rPr>
                <w:rFonts w:hint="eastAsia" w:ascii="仿宋" w:hAnsi="仿宋" w:eastAsia="仿宋"/>
                <w:color w:val="auto"/>
                <w:sz w:val="24"/>
                <w:szCs w:val="28"/>
                <w:highlight w:val="none"/>
              </w:rPr>
              <w:t>页</w:t>
            </w:r>
          </w:p>
        </w:tc>
      </w:tr>
      <w:tr w14:paraId="665B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EDEE52">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2</w:t>
            </w:r>
          </w:p>
        </w:tc>
        <w:tc>
          <w:tcPr>
            <w:tcW w:w="4027" w:type="dxa"/>
          </w:tcPr>
          <w:p w14:paraId="11CC3589">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磋商响应文件中承诺的投标有效期不少于磋商文件中载明的投标有效期。</w:t>
            </w:r>
          </w:p>
        </w:tc>
        <w:tc>
          <w:tcPr>
            <w:tcW w:w="2693" w:type="dxa"/>
            <w:vAlign w:val="center"/>
          </w:tcPr>
          <w:p w14:paraId="0394CA5B">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响应函</w:t>
            </w:r>
          </w:p>
        </w:tc>
        <w:tc>
          <w:tcPr>
            <w:tcW w:w="2240" w:type="dxa"/>
          </w:tcPr>
          <w:p w14:paraId="678CB64B">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见磋商响应文件</w:t>
            </w:r>
          </w:p>
          <w:p w14:paraId="1BF90529">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第</w:t>
            </w:r>
            <w:r>
              <w:rPr>
                <w:rFonts w:ascii="仿宋" w:hAnsi="仿宋" w:eastAsia="仿宋"/>
                <w:color w:val="auto"/>
                <w:sz w:val="24"/>
                <w:szCs w:val="28"/>
                <w:highlight w:val="none"/>
                <w:u w:val="single"/>
              </w:rPr>
              <w:t xml:space="preserve">  </w:t>
            </w:r>
            <w:r>
              <w:rPr>
                <w:rFonts w:hint="eastAsia" w:ascii="仿宋" w:hAnsi="仿宋" w:eastAsia="仿宋"/>
                <w:color w:val="auto"/>
                <w:sz w:val="24"/>
                <w:szCs w:val="28"/>
                <w:highlight w:val="none"/>
              </w:rPr>
              <w:t>页</w:t>
            </w:r>
          </w:p>
        </w:tc>
      </w:tr>
      <w:tr w14:paraId="11F3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8368C6">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3</w:t>
            </w:r>
          </w:p>
        </w:tc>
        <w:tc>
          <w:tcPr>
            <w:tcW w:w="4027" w:type="dxa"/>
          </w:tcPr>
          <w:p w14:paraId="7A1C17E0">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磋商响应文件满足磋商文件的其它实质性要求。</w:t>
            </w:r>
          </w:p>
        </w:tc>
        <w:tc>
          <w:tcPr>
            <w:tcW w:w="2693" w:type="dxa"/>
            <w:vAlign w:val="center"/>
          </w:tcPr>
          <w:p w14:paraId="71B53A3A">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磋商文件其它实质性要求相应的材料（“▲”</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rPr>
              <w:t>系指实质性要求条款，招标文件无其它实质性要求的，无需提供）</w:t>
            </w:r>
          </w:p>
        </w:tc>
        <w:tc>
          <w:tcPr>
            <w:tcW w:w="2240" w:type="dxa"/>
          </w:tcPr>
          <w:p w14:paraId="0C308860">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见磋商响应文件</w:t>
            </w:r>
          </w:p>
          <w:p w14:paraId="6C77E618">
            <w:pPr>
              <w:spacing w:line="360" w:lineRule="auto"/>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第</w:t>
            </w:r>
            <w:r>
              <w:rPr>
                <w:rFonts w:ascii="仿宋" w:hAnsi="仿宋" w:eastAsia="仿宋"/>
                <w:color w:val="auto"/>
                <w:sz w:val="24"/>
                <w:szCs w:val="28"/>
                <w:highlight w:val="none"/>
                <w:u w:val="single"/>
              </w:rPr>
              <w:t xml:space="preserve">  </w:t>
            </w:r>
            <w:r>
              <w:rPr>
                <w:rFonts w:hint="eastAsia" w:ascii="仿宋" w:hAnsi="仿宋" w:eastAsia="仿宋"/>
                <w:color w:val="auto"/>
                <w:sz w:val="24"/>
                <w:szCs w:val="28"/>
                <w:highlight w:val="none"/>
              </w:rPr>
              <w:t>页</w:t>
            </w:r>
          </w:p>
        </w:tc>
      </w:tr>
    </w:tbl>
    <w:p w14:paraId="6196BD46">
      <w:pPr>
        <w:spacing w:line="360" w:lineRule="auto"/>
        <w:ind w:right="420"/>
        <w:rPr>
          <w:rFonts w:hint="eastAsia" w:ascii="仿宋" w:hAnsi="仿宋" w:eastAsia="仿宋" w:cs="仿宋"/>
          <w:color w:val="auto"/>
          <w:sz w:val="24"/>
          <w:highlight w:val="none"/>
        </w:rPr>
      </w:pPr>
    </w:p>
    <w:p w14:paraId="31CFEE0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E8884AD">
      <w:pPr>
        <w:jc w:val="center"/>
        <w:rPr>
          <w:rFonts w:ascii="仿宋" w:hAnsi="仿宋" w:eastAsia="仿宋" w:cs="仿宋"/>
          <w:b/>
          <w:color w:val="auto"/>
          <w:kern w:val="0"/>
          <w:sz w:val="32"/>
          <w:szCs w:val="32"/>
          <w:highlight w:val="none"/>
        </w:rPr>
      </w:pPr>
    </w:p>
    <w:p w14:paraId="0D8C2BF4">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6A04D11E">
      <w:pPr>
        <w:jc w:val="center"/>
        <w:rPr>
          <w:rFonts w:ascii="仿宋" w:hAnsi="仿宋" w:eastAsia="仿宋" w:cs="仿宋"/>
          <w:b/>
          <w:color w:val="auto"/>
          <w:kern w:val="0"/>
          <w:sz w:val="32"/>
          <w:szCs w:val="32"/>
          <w:highlight w:val="none"/>
        </w:rPr>
      </w:pPr>
    </w:p>
    <w:p w14:paraId="379AAA62">
      <w:pPr>
        <w:jc w:val="center"/>
        <w:rPr>
          <w:rFonts w:ascii="仿宋" w:hAnsi="仿宋" w:eastAsia="仿宋" w:cs="仿宋"/>
          <w:b/>
          <w:color w:val="auto"/>
          <w:kern w:val="0"/>
          <w:sz w:val="32"/>
          <w:szCs w:val="32"/>
          <w:highlight w:val="none"/>
        </w:rPr>
      </w:pPr>
    </w:p>
    <w:p w14:paraId="33F19F37">
      <w:pPr>
        <w:jc w:val="center"/>
        <w:rPr>
          <w:rFonts w:ascii="仿宋" w:hAnsi="仿宋" w:eastAsia="仿宋" w:cs="仿宋"/>
          <w:b/>
          <w:color w:val="auto"/>
          <w:kern w:val="0"/>
          <w:sz w:val="32"/>
          <w:szCs w:val="32"/>
          <w:highlight w:val="none"/>
        </w:rPr>
      </w:pPr>
    </w:p>
    <w:p w14:paraId="57274A94">
      <w:pPr>
        <w:jc w:val="center"/>
        <w:rPr>
          <w:rFonts w:ascii="仿宋" w:hAnsi="仿宋" w:eastAsia="仿宋" w:cs="仿宋"/>
          <w:b/>
          <w:color w:val="auto"/>
          <w:kern w:val="0"/>
          <w:sz w:val="32"/>
          <w:szCs w:val="32"/>
          <w:highlight w:val="none"/>
        </w:rPr>
      </w:pPr>
    </w:p>
    <w:p w14:paraId="091ECA0B">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86ECA38">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五、评审标准相应的商务技术资料</w:t>
      </w:r>
    </w:p>
    <w:p w14:paraId="07F79CF2">
      <w:pPr>
        <w:snapToGrid w:val="0"/>
        <w:spacing w:line="360" w:lineRule="auto"/>
        <w:jc w:val="left"/>
        <w:rPr>
          <w:rFonts w:ascii="仿宋" w:hAnsi="仿宋" w:eastAsia="仿宋" w:cs="仿宋"/>
          <w:b/>
          <w:color w:val="auto"/>
          <w:sz w:val="24"/>
          <w:highlight w:val="none"/>
        </w:rPr>
      </w:pPr>
    </w:p>
    <w:p w14:paraId="56C41C3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（按磋商文件第五部分评审办法提供资料）</w:t>
      </w:r>
    </w:p>
    <w:p w14:paraId="36230B0C">
      <w:pPr>
        <w:snapToGrid w:val="0"/>
        <w:spacing w:line="360" w:lineRule="auto"/>
        <w:jc w:val="center"/>
        <w:rPr>
          <w:rFonts w:hint="eastAsia" w:ascii="仿宋" w:hAnsi="仿宋" w:eastAsia="仿宋" w:cs="仿宋"/>
          <w:b/>
          <w:color w:val="auto"/>
          <w:sz w:val="24"/>
          <w:highlight w:val="none"/>
        </w:rPr>
      </w:pPr>
    </w:p>
    <w:p w14:paraId="0EBB8682">
      <w:pPr>
        <w:snapToGrid w:val="0"/>
        <w:spacing w:line="360" w:lineRule="auto"/>
        <w:jc w:val="center"/>
        <w:rPr>
          <w:rFonts w:hint="eastAsia" w:ascii="仿宋" w:hAnsi="仿宋" w:eastAsia="仿宋" w:cs="仿宋"/>
          <w:b/>
          <w:color w:val="auto"/>
          <w:sz w:val="24"/>
          <w:highlight w:val="none"/>
        </w:rPr>
      </w:pPr>
    </w:p>
    <w:p w14:paraId="42563917">
      <w:pPr>
        <w:snapToGrid w:val="0"/>
        <w:spacing w:line="360" w:lineRule="auto"/>
        <w:jc w:val="center"/>
        <w:rPr>
          <w:rFonts w:hint="eastAsia" w:ascii="仿宋" w:hAnsi="仿宋" w:eastAsia="仿宋" w:cs="仿宋"/>
          <w:b/>
          <w:color w:val="auto"/>
          <w:sz w:val="24"/>
          <w:highlight w:val="none"/>
        </w:rPr>
      </w:pPr>
    </w:p>
    <w:p w14:paraId="785EDE10">
      <w:pPr>
        <w:snapToGrid w:val="0"/>
        <w:spacing w:line="360" w:lineRule="auto"/>
        <w:jc w:val="center"/>
        <w:rPr>
          <w:rFonts w:hint="eastAsia" w:ascii="仿宋" w:hAnsi="仿宋" w:eastAsia="仿宋" w:cs="仿宋"/>
          <w:b/>
          <w:color w:val="auto"/>
          <w:sz w:val="24"/>
          <w:highlight w:val="none"/>
        </w:rPr>
      </w:pPr>
    </w:p>
    <w:p w14:paraId="034EFDCF">
      <w:pPr>
        <w:snapToGrid w:val="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六、投标标的清单</w:t>
      </w:r>
    </w:p>
    <w:p w14:paraId="1398690D">
      <w:pPr>
        <w:pStyle w:val="82"/>
        <w:ind w:firstLine="0" w:firstLineChars="0"/>
        <w:rPr>
          <w:color w:val="auto"/>
          <w:highlight w:val="none"/>
        </w:rPr>
      </w:pPr>
    </w:p>
    <w:tbl>
      <w:tblPr>
        <w:tblStyle w:val="63"/>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078"/>
        <w:gridCol w:w="1290"/>
        <w:gridCol w:w="1726"/>
        <w:gridCol w:w="1376"/>
        <w:gridCol w:w="1424"/>
        <w:gridCol w:w="1613"/>
      </w:tblGrid>
      <w:tr w14:paraId="6132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17" w:type="dxa"/>
            <w:vAlign w:val="center"/>
          </w:tcPr>
          <w:p w14:paraId="12A5F58A">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1078" w:type="dxa"/>
            <w:vAlign w:val="center"/>
          </w:tcPr>
          <w:p w14:paraId="4147E007">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名称</w:t>
            </w:r>
          </w:p>
        </w:tc>
        <w:tc>
          <w:tcPr>
            <w:tcW w:w="1290" w:type="dxa"/>
            <w:vAlign w:val="center"/>
          </w:tcPr>
          <w:p w14:paraId="66E819C3">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服务范围</w:t>
            </w:r>
          </w:p>
        </w:tc>
        <w:tc>
          <w:tcPr>
            <w:tcW w:w="1726" w:type="dxa"/>
            <w:vAlign w:val="center"/>
          </w:tcPr>
          <w:p w14:paraId="556F0ABA">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服务要求</w:t>
            </w:r>
          </w:p>
        </w:tc>
        <w:tc>
          <w:tcPr>
            <w:tcW w:w="1376" w:type="dxa"/>
            <w:vAlign w:val="center"/>
          </w:tcPr>
          <w:p w14:paraId="3A997680">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服务时间</w:t>
            </w:r>
          </w:p>
        </w:tc>
        <w:tc>
          <w:tcPr>
            <w:tcW w:w="1424" w:type="dxa"/>
            <w:vAlign w:val="center"/>
          </w:tcPr>
          <w:p w14:paraId="05A79221">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服务标准</w:t>
            </w:r>
          </w:p>
        </w:tc>
        <w:tc>
          <w:tcPr>
            <w:tcW w:w="1613" w:type="dxa"/>
            <w:vAlign w:val="center"/>
          </w:tcPr>
          <w:p w14:paraId="30540F47">
            <w:pPr>
              <w:spacing w:line="360" w:lineRule="auto"/>
              <w:jc w:val="center"/>
              <w:rPr>
                <w:rFonts w:hint="eastAsia" w:ascii="仿宋" w:hAnsi="仿宋" w:eastAsia="仿宋"/>
                <w:b/>
                <w:bCs/>
                <w:color w:val="auto"/>
                <w:sz w:val="24"/>
                <w:highlight w:val="none"/>
              </w:rPr>
            </w:pPr>
            <w:r>
              <w:rPr>
                <w:rFonts w:hint="eastAsia" w:ascii="仿宋" w:hAnsi="仿宋" w:eastAsia="仿宋"/>
                <w:b/>
                <w:bCs/>
                <w:color w:val="auto"/>
                <w:sz w:val="24"/>
                <w:highlight w:val="none"/>
              </w:rPr>
              <w:t>备注</w:t>
            </w:r>
          </w:p>
          <w:p w14:paraId="5404809F">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（如果有）</w:t>
            </w:r>
          </w:p>
        </w:tc>
      </w:tr>
      <w:tr w14:paraId="368A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17" w:type="dxa"/>
          </w:tcPr>
          <w:p w14:paraId="6BEBFEDE">
            <w:pPr>
              <w:spacing w:line="360" w:lineRule="auto"/>
              <w:jc w:val="center"/>
              <w:rPr>
                <w:rFonts w:ascii="仿宋" w:hAnsi="仿宋" w:eastAsia="仿宋"/>
                <w:color w:val="auto"/>
                <w:sz w:val="24"/>
                <w:highlight w:val="none"/>
              </w:rPr>
            </w:pPr>
          </w:p>
        </w:tc>
        <w:tc>
          <w:tcPr>
            <w:tcW w:w="1078" w:type="dxa"/>
          </w:tcPr>
          <w:p w14:paraId="69AB726D">
            <w:pPr>
              <w:spacing w:line="360" w:lineRule="auto"/>
              <w:jc w:val="center"/>
              <w:rPr>
                <w:rFonts w:ascii="仿宋" w:hAnsi="仿宋" w:eastAsia="仿宋"/>
                <w:color w:val="auto"/>
                <w:sz w:val="24"/>
                <w:highlight w:val="none"/>
              </w:rPr>
            </w:pPr>
          </w:p>
        </w:tc>
        <w:tc>
          <w:tcPr>
            <w:tcW w:w="1290" w:type="dxa"/>
          </w:tcPr>
          <w:p w14:paraId="7830F566">
            <w:pPr>
              <w:spacing w:line="360" w:lineRule="auto"/>
              <w:jc w:val="center"/>
              <w:rPr>
                <w:rFonts w:ascii="仿宋" w:hAnsi="仿宋" w:eastAsia="仿宋"/>
                <w:color w:val="auto"/>
                <w:sz w:val="24"/>
                <w:highlight w:val="none"/>
              </w:rPr>
            </w:pPr>
          </w:p>
        </w:tc>
        <w:tc>
          <w:tcPr>
            <w:tcW w:w="1726" w:type="dxa"/>
          </w:tcPr>
          <w:p w14:paraId="02A3F470">
            <w:pPr>
              <w:spacing w:line="360" w:lineRule="auto"/>
              <w:jc w:val="center"/>
              <w:rPr>
                <w:rFonts w:ascii="仿宋" w:hAnsi="仿宋" w:eastAsia="仿宋"/>
                <w:color w:val="auto"/>
                <w:sz w:val="24"/>
                <w:highlight w:val="none"/>
              </w:rPr>
            </w:pPr>
          </w:p>
        </w:tc>
        <w:tc>
          <w:tcPr>
            <w:tcW w:w="1376" w:type="dxa"/>
          </w:tcPr>
          <w:p w14:paraId="134B16D3">
            <w:pPr>
              <w:spacing w:line="360" w:lineRule="auto"/>
              <w:jc w:val="center"/>
              <w:rPr>
                <w:rFonts w:ascii="仿宋" w:hAnsi="仿宋" w:eastAsia="仿宋"/>
                <w:color w:val="auto"/>
                <w:sz w:val="24"/>
                <w:highlight w:val="none"/>
              </w:rPr>
            </w:pPr>
          </w:p>
        </w:tc>
        <w:tc>
          <w:tcPr>
            <w:tcW w:w="1424" w:type="dxa"/>
          </w:tcPr>
          <w:p w14:paraId="1FB8ED79">
            <w:pPr>
              <w:spacing w:line="360" w:lineRule="auto"/>
              <w:jc w:val="center"/>
              <w:rPr>
                <w:rFonts w:ascii="仿宋" w:hAnsi="仿宋" w:eastAsia="仿宋"/>
                <w:color w:val="auto"/>
                <w:sz w:val="24"/>
                <w:highlight w:val="none"/>
              </w:rPr>
            </w:pPr>
          </w:p>
        </w:tc>
        <w:tc>
          <w:tcPr>
            <w:tcW w:w="1613" w:type="dxa"/>
          </w:tcPr>
          <w:p w14:paraId="3BB7A184">
            <w:pPr>
              <w:spacing w:line="360" w:lineRule="auto"/>
              <w:jc w:val="center"/>
              <w:rPr>
                <w:rFonts w:ascii="仿宋" w:hAnsi="仿宋" w:eastAsia="仿宋"/>
                <w:color w:val="auto"/>
                <w:sz w:val="24"/>
                <w:highlight w:val="none"/>
              </w:rPr>
            </w:pPr>
          </w:p>
        </w:tc>
      </w:tr>
      <w:tr w14:paraId="7BF7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17" w:type="dxa"/>
          </w:tcPr>
          <w:p w14:paraId="38DCF85C">
            <w:pPr>
              <w:spacing w:line="360" w:lineRule="auto"/>
              <w:jc w:val="center"/>
              <w:rPr>
                <w:rFonts w:ascii="仿宋" w:hAnsi="仿宋" w:eastAsia="仿宋"/>
                <w:color w:val="auto"/>
                <w:sz w:val="24"/>
                <w:highlight w:val="none"/>
              </w:rPr>
            </w:pPr>
          </w:p>
        </w:tc>
        <w:tc>
          <w:tcPr>
            <w:tcW w:w="1078" w:type="dxa"/>
          </w:tcPr>
          <w:p w14:paraId="47BDE9F7">
            <w:pPr>
              <w:spacing w:line="360" w:lineRule="auto"/>
              <w:jc w:val="center"/>
              <w:rPr>
                <w:rFonts w:ascii="仿宋" w:hAnsi="仿宋" w:eastAsia="仿宋"/>
                <w:color w:val="auto"/>
                <w:sz w:val="24"/>
                <w:highlight w:val="none"/>
              </w:rPr>
            </w:pPr>
          </w:p>
        </w:tc>
        <w:tc>
          <w:tcPr>
            <w:tcW w:w="1290" w:type="dxa"/>
          </w:tcPr>
          <w:p w14:paraId="310B6586">
            <w:pPr>
              <w:spacing w:line="360" w:lineRule="auto"/>
              <w:jc w:val="center"/>
              <w:rPr>
                <w:rFonts w:ascii="仿宋" w:hAnsi="仿宋" w:eastAsia="仿宋"/>
                <w:color w:val="auto"/>
                <w:sz w:val="24"/>
                <w:highlight w:val="none"/>
              </w:rPr>
            </w:pPr>
          </w:p>
        </w:tc>
        <w:tc>
          <w:tcPr>
            <w:tcW w:w="1726" w:type="dxa"/>
          </w:tcPr>
          <w:p w14:paraId="0D9088AF">
            <w:pPr>
              <w:spacing w:line="360" w:lineRule="auto"/>
              <w:jc w:val="center"/>
              <w:rPr>
                <w:rFonts w:ascii="仿宋" w:hAnsi="仿宋" w:eastAsia="仿宋"/>
                <w:color w:val="auto"/>
                <w:sz w:val="24"/>
                <w:highlight w:val="none"/>
              </w:rPr>
            </w:pPr>
          </w:p>
        </w:tc>
        <w:tc>
          <w:tcPr>
            <w:tcW w:w="1376" w:type="dxa"/>
          </w:tcPr>
          <w:p w14:paraId="0CA2920F">
            <w:pPr>
              <w:spacing w:line="360" w:lineRule="auto"/>
              <w:jc w:val="center"/>
              <w:rPr>
                <w:rFonts w:ascii="仿宋" w:hAnsi="仿宋" w:eastAsia="仿宋"/>
                <w:color w:val="auto"/>
                <w:sz w:val="24"/>
                <w:highlight w:val="none"/>
              </w:rPr>
            </w:pPr>
          </w:p>
        </w:tc>
        <w:tc>
          <w:tcPr>
            <w:tcW w:w="1424" w:type="dxa"/>
          </w:tcPr>
          <w:p w14:paraId="4DA749BD">
            <w:pPr>
              <w:spacing w:line="360" w:lineRule="auto"/>
              <w:jc w:val="center"/>
              <w:rPr>
                <w:rFonts w:ascii="仿宋" w:hAnsi="仿宋" w:eastAsia="仿宋"/>
                <w:color w:val="auto"/>
                <w:sz w:val="24"/>
                <w:highlight w:val="none"/>
              </w:rPr>
            </w:pPr>
          </w:p>
        </w:tc>
        <w:tc>
          <w:tcPr>
            <w:tcW w:w="1613" w:type="dxa"/>
          </w:tcPr>
          <w:p w14:paraId="4660E9A1">
            <w:pPr>
              <w:spacing w:line="360" w:lineRule="auto"/>
              <w:jc w:val="center"/>
              <w:rPr>
                <w:rFonts w:ascii="仿宋" w:hAnsi="仿宋" w:eastAsia="仿宋"/>
                <w:color w:val="auto"/>
                <w:sz w:val="24"/>
                <w:highlight w:val="none"/>
              </w:rPr>
            </w:pPr>
          </w:p>
        </w:tc>
      </w:tr>
      <w:tr w14:paraId="21F7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17" w:type="dxa"/>
          </w:tcPr>
          <w:p w14:paraId="366D87D9">
            <w:pPr>
              <w:spacing w:line="360" w:lineRule="auto"/>
              <w:jc w:val="center"/>
              <w:rPr>
                <w:rFonts w:ascii="仿宋" w:hAnsi="仿宋" w:eastAsia="仿宋"/>
                <w:color w:val="auto"/>
                <w:sz w:val="24"/>
                <w:highlight w:val="none"/>
              </w:rPr>
            </w:pPr>
          </w:p>
        </w:tc>
        <w:tc>
          <w:tcPr>
            <w:tcW w:w="1078" w:type="dxa"/>
          </w:tcPr>
          <w:p w14:paraId="34E96F93">
            <w:pPr>
              <w:spacing w:line="360" w:lineRule="auto"/>
              <w:jc w:val="center"/>
              <w:rPr>
                <w:rFonts w:ascii="仿宋" w:hAnsi="仿宋" w:eastAsia="仿宋"/>
                <w:color w:val="auto"/>
                <w:sz w:val="24"/>
                <w:highlight w:val="none"/>
              </w:rPr>
            </w:pPr>
          </w:p>
        </w:tc>
        <w:tc>
          <w:tcPr>
            <w:tcW w:w="1290" w:type="dxa"/>
          </w:tcPr>
          <w:p w14:paraId="352862B2">
            <w:pPr>
              <w:spacing w:line="360" w:lineRule="auto"/>
              <w:jc w:val="center"/>
              <w:rPr>
                <w:rFonts w:ascii="仿宋" w:hAnsi="仿宋" w:eastAsia="仿宋"/>
                <w:color w:val="auto"/>
                <w:sz w:val="24"/>
                <w:highlight w:val="none"/>
              </w:rPr>
            </w:pPr>
          </w:p>
        </w:tc>
        <w:tc>
          <w:tcPr>
            <w:tcW w:w="1726" w:type="dxa"/>
          </w:tcPr>
          <w:p w14:paraId="3169B11B">
            <w:pPr>
              <w:spacing w:line="360" w:lineRule="auto"/>
              <w:jc w:val="center"/>
              <w:rPr>
                <w:rFonts w:ascii="仿宋" w:hAnsi="仿宋" w:eastAsia="仿宋"/>
                <w:color w:val="auto"/>
                <w:sz w:val="24"/>
                <w:highlight w:val="none"/>
              </w:rPr>
            </w:pPr>
          </w:p>
        </w:tc>
        <w:tc>
          <w:tcPr>
            <w:tcW w:w="1376" w:type="dxa"/>
          </w:tcPr>
          <w:p w14:paraId="4254364E">
            <w:pPr>
              <w:spacing w:line="360" w:lineRule="auto"/>
              <w:jc w:val="center"/>
              <w:rPr>
                <w:rFonts w:ascii="仿宋" w:hAnsi="仿宋" w:eastAsia="仿宋"/>
                <w:color w:val="auto"/>
                <w:sz w:val="24"/>
                <w:highlight w:val="none"/>
              </w:rPr>
            </w:pPr>
          </w:p>
        </w:tc>
        <w:tc>
          <w:tcPr>
            <w:tcW w:w="1424" w:type="dxa"/>
          </w:tcPr>
          <w:p w14:paraId="5E8B4D42">
            <w:pPr>
              <w:spacing w:line="360" w:lineRule="auto"/>
              <w:jc w:val="center"/>
              <w:rPr>
                <w:rFonts w:ascii="仿宋" w:hAnsi="仿宋" w:eastAsia="仿宋"/>
                <w:color w:val="auto"/>
                <w:sz w:val="24"/>
                <w:highlight w:val="none"/>
              </w:rPr>
            </w:pPr>
          </w:p>
        </w:tc>
        <w:tc>
          <w:tcPr>
            <w:tcW w:w="1613" w:type="dxa"/>
          </w:tcPr>
          <w:p w14:paraId="639667FF">
            <w:pPr>
              <w:spacing w:line="360" w:lineRule="auto"/>
              <w:jc w:val="center"/>
              <w:rPr>
                <w:rFonts w:ascii="仿宋" w:hAnsi="仿宋" w:eastAsia="仿宋"/>
                <w:color w:val="auto"/>
                <w:sz w:val="24"/>
                <w:highlight w:val="none"/>
              </w:rPr>
            </w:pPr>
          </w:p>
        </w:tc>
      </w:tr>
      <w:tr w14:paraId="50E4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17" w:type="dxa"/>
          </w:tcPr>
          <w:p w14:paraId="3AC74837">
            <w:pPr>
              <w:spacing w:line="360" w:lineRule="auto"/>
              <w:jc w:val="center"/>
              <w:rPr>
                <w:rFonts w:ascii="仿宋" w:hAnsi="仿宋" w:eastAsia="仿宋"/>
                <w:color w:val="auto"/>
                <w:sz w:val="24"/>
                <w:highlight w:val="none"/>
              </w:rPr>
            </w:pPr>
          </w:p>
        </w:tc>
        <w:tc>
          <w:tcPr>
            <w:tcW w:w="1078" w:type="dxa"/>
          </w:tcPr>
          <w:p w14:paraId="66C26513">
            <w:pPr>
              <w:spacing w:line="360" w:lineRule="auto"/>
              <w:jc w:val="center"/>
              <w:rPr>
                <w:rFonts w:ascii="仿宋" w:hAnsi="仿宋" w:eastAsia="仿宋"/>
                <w:color w:val="auto"/>
                <w:sz w:val="24"/>
                <w:highlight w:val="none"/>
              </w:rPr>
            </w:pPr>
          </w:p>
        </w:tc>
        <w:tc>
          <w:tcPr>
            <w:tcW w:w="1290" w:type="dxa"/>
          </w:tcPr>
          <w:p w14:paraId="5A1E90BA">
            <w:pPr>
              <w:spacing w:line="360" w:lineRule="auto"/>
              <w:jc w:val="center"/>
              <w:rPr>
                <w:rFonts w:ascii="仿宋" w:hAnsi="仿宋" w:eastAsia="仿宋"/>
                <w:color w:val="auto"/>
                <w:sz w:val="24"/>
                <w:highlight w:val="none"/>
              </w:rPr>
            </w:pPr>
          </w:p>
        </w:tc>
        <w:tc>
          <w:tcPr>
            <w:tcW w:w="1726" w:type="dxa"/>
          </w:tcPr>
          <w:p w14:paraId="5D8CA1CB">
            <w:pPr>
              <w:spacing w:line="360" w:lineRule="auto"/>
              <w:jc w:val="center"/>
              <w:rPr>
                <w:rFonts w:ascii="仿宋" w:hAnsi="仿宋" w:eastAsia="仿宋"/>
                <w:color w:val="auto"/>
                <w:sz w:val="24"/>
                <w:highlight w:val="none"/>
              </w:rPr>
            </w:pPr>
          </w:p>
        </w:tc>
        <w:tc>
          <w:tcPr>
            <w:tcW w:w="1376" w:type="dxa"/>
          </w:tcPr>
          <w:p w14:paraId="1F70590C">
            <w:pPr>
              <w:spacing w:line="360" w:lineRule="auto"/>
              <w:jc w:val="center"/>
              <w:rPr>
                <w:rFonts w:ascii="仿宋" w:hAnsi="仿宋" w:eastAsia="仿宋"/>
                <w:color w:val="auto"/>
                <w:sz w:val="24"/>
                <w:highlight w:val="none"/>
              </w:rPr>
            </w:pPr>
          </w:p>
        </w:tc>
        <w:tc>
          <w:tcPr>
            <w:tcW w:w="1424" w:type="dxa"/>
          </w:tcPr>
          <w:p w14:paraId="3F8127F5">
            <w:pPr>
              <w:spacing w:line="360" w:lineRule="auto"/>
              <w:jc w:val="center"/>
              <w:rPr>
                <w:rFonts w:ascii="仿宋" w:hAnsi="仿宋" w:eastAsia="仿宋"/>
                <w:color w:val="auto"/>
                <w:sz w:val="24"/>
                <w:highlight w:val="none"/>
              </w:rPr>
            </w:pPr>
          </w:p>
        </w:tc>
        <w:tc>
          <w:tcPr>
            <w:tcW w:w="1613" w:type="dxa"/>
          </w:tcPr>
          <w:p w14:paraId="48A0F70C">
            <w:pPr>
              <w:spacing w:line="360" w:lineRule="auto"/>
              <w:jc w:val="center"/>
              <w:rPr>
                <w:rFonts w:ascii="仿宋" w:hAnsi="仿宋" w:eastAsia="仿宋"/>
                <w:color w:val="auto"/>
                <w:sz w:val="24"/>
                <w:highlight w:val="none"/>
              </w:rPr>
            </w:pPr>
          </w:p>
        </w:tc>
      </w:tr>
      <w:tr w14:paraId="1DD0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17" w:type="dxa"/>
          </w:tcPr>
          <w:p w14:paraId="63CAF2E3">
            <w:pPr>
              <w:spacing w:line="360" w:lineRule="auto"/>
              <w:jc w:val="center"/>
              <w:rPr>
                <w:rFonts w:ascii="仿宋" w:hAnsi="仿宋" w:eastAsia="仿宋"/>
                <w:color w:val="auto"/>
                <w:sz w:val="24"/>
                <w:highlight w:val="none"/>
              </w:rPr>
            </w:pPr>
          </w:p>
        </w:tc>
        <w:tc>
          <w:tcPr>
            <w:tcW w:w="1078" w:type="dxa"/>
          </w:tcPr>
          <w:p w14:paraId="409C7A49">
            <w:pPr>
              <w:spacing w:line="360" w:lineRule="auto"/>
              <w:jc w:val="center"/>
              <w:rPr>
                <w:rFonts w:ascii="仿宋" w:hAnsi="仿宋" w:eastAsia="仿宋"/>
                <w:color w:val="auto"/>
                <w:sz w:val="24"/>
                <w:highlight w:val="none"/>
              </w:rPr>
            </w:pPr>
          </w:p>
        </w:tc>
        <w:tc>
          <w:tcPr>
            <w:tcW w:w="1290" w:type="dxa"/>
          </w:tcPr>
          <w:p w14:paraId="17104A90">
            <w:pPr>
              <w:spacing w:line="360" w:lineRule="auto"/>
              <w:jc w:val="center"/>
              <w:rPr>
                <w:rFonts w:ascii="仿宋" w:hAnsi="仿宋" w:eastAsia="仿宋"/>
                <w:color w:val="auto"/>
                <w:sz w:val="24"/>
                <w:highlight w:val="none"/>
              </w:rPr>
            </w:pPr>
          </w:p>
        </w:tc>
        <w:tc>
          <w:tcPr>
            <w:tcW w:w="1726" w:type="dxa"/>
          </w:tcPr>
          <w:p w14:paraId="374A8771">
            <w:pPr>
              <w:spacing w:line="360" w:lineRule="auto"/>
              <w:jc w:val="center"/>
              <w:rPr>
                <w:rFonts w:ascii="仿宋" w:hAnsi="仿宋" w:eastAsia="仿宋"/>
                <w:color w:val="auto"/>
                <w:sz w:val="24"/>
                <w:highlight w:val="none"/>
              </w:rPr>
            </w:pPr>
          </w:p>
        </w:tc>
        <w:tc>
          <w:tcPr>
            <w:tcW w:w="1376" w:type="dxa"/>
          </w:tcPr>
          <w:p w14:paraId="0E53B4FD">
            <w:pPr>
              <w:spacing w:line="360" w:lineRule="auto"/>
              <w:jc w:val="center"/>
              <w:rPr>
                <w:rFonts w:ascii="仿宋" w:hAnsi="仿宋" w:eastAsia="仿宋"/>
                <w:color w:val="auto"/>
                <w:sz w:val="24"/>
                <w:highlight w:val="none"/>
              </w:rPr>
            </w:pPr>
          </w:p>
        </w:tc>
        <w:tc>
          <w:tcPr>
            <w:tcW w:w="1424" w:type="dxa"/>
          </w:tcPr>
          <w:p w14:paraId="189D87E2">
            <w:pPr>
              <w:spacing w:line="360" w:lineRule="auto"/>
              <w:jc w:val="center"/>
              <w:rPr>
                <w:rFonts w:ascii="仿宋" w:hAnsi="仿宋" w:eastAsia="仿宋"/>
                <w:color w:val="auto"/>
                <w:sz w:val="24"/>
                <w:highlight w:val="none"/>
              </w:rPr>
            </w:pPr>
          </w:p>
        </w:tc>
        <w:tc>
          <w:tcPr>
            <w:tcW w:w="1613" w:type="dxa"/>
          </w:tcPr>
          <w:p w14:paraId="5FE89B03">
            <w:pPr>
              <w:spacing w:line="360" w:lineRule="auto"/>
              <w:jc w:val="center"/>
              <w:rPr>
                <w:rFonts w:ascii="仿宋" w:hAnsi="仿宋" w:eastAsia="仿宋"/>
                <w:color w:val="auto"/>
                <w:sz w:val="24"/>
                <w:highlight w:val="none"/>
              </w:rPr>
            </w:pPr>
          </w:p>
        </w:tc>
      </w:tr>
    </w:tbl>
    <w:p w14:paraId="77466970">
      <w:pPr>
        <w:pStyle w:val="82"/>
        <w:ind w:firstLine="0" w:firstLineChars="0"/>
        <w:rPr>
          <w:color w:val="auto"/>
          <w:highlight w:val="none"/>
        </w:rPr>
      </w:pPr>
    </w:p>
    <w:p w14:paraId="04069663">
      <w:pPr>
        <w:spacing w:line="360" w:lineRule="auto"/>
        <w:jc w:val="left"/>
        <w:rPr>
          <w:rFonts w:ascii="仿宋" w:hAnsi="仿宋" w:eastAsia="仿宋"/>
          <w:b/>
          <w:bCs/>
          <w:color w:val="auto"/>
          <w:sz w:val="24"/>
          <w:highlight w:val="none"/>
        </w:rPr>
      </w:pPr>
      <w:r>
        <w:rPr>
          <w:rFonts w:hint="eastAsia" w:ascii="仿宋" w:hAnsi="仿宋" w:eastAsia="仿宋"/>
          <w:b/>
          <w:bCs/>
          <w:color w:val="auto"/>
          <w:sz w:val="24"/>
          <w:highlight w:val="none"/>
        </w:rPr>
        <w:t>注：按本格式和要求提供。</w:t>
      </w:r>
    </w:p>
    <w:p w14:paraId="7E1072F8">
      <w:pPr>
        <w:pStyle w:val="82"/>
        <w:ind w:firstLine="0" w:firstLineChars="0"/>
        <w:rPr>
          <w:color w:val="auto"/>
          <w:highlight w:val="none"/>
        </w:rPr>
        <w:sectPr>
          <w:footerReference r:id="rId18" w:type="first"/>
          <w:footerReference r:id="rId17" w:type="default"/>
          <w:pgSz w:w="11906" w:h="16838"/>
          <w:pgMar w:top="1134" w:right="1417" w:bottom="1134" w:left="1417" w:header="851" w:footer="992" w:gutter="0"/>
          <w:pgNumType w:fmt="decimal"/>
          <w:cols w:space="0" w:num="1"/>
          <w:titlePg/>
          <w:rtlGutter w:val="0"/>
          <w:docGrid w:linePitch="312" w:charSpace="0"/>
        </w:sectPr>
      </w:pPr>
    </w:p>
    <w:p w14:paraId="00AC8C86">
      <w:pPr>
        <w:snapToGrid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七、商务技术偏离表</w:t>
      </w:r>
    </w:p>
    <w:p w14:paraId="5E8B3643">
      <w:pPr>
        <w:pStyle w:val="62"/>
        <w:ind w:left="840" w:leftChars="400" w:firstLine="0" w:firstLineChars="0"/>
        <w:rPr>
          <w:rFonts w:ascii="仿宋" w:hAnsi="仿宋" w:eastAsia="仿宋" w:cs="仿宋"/>
          <w:color w:val="auto"/>
          <w:highlight w:val="none"/>
        </w:rPr>
      </w:pP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493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58DD99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0616A436">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磋商文件章节及具体内容</w:t>
            </w:r>
          </w:p>
        </w:tc>
        <w:tc>
          <w:tcPr>
            <w:tcW w:w="3546" w:type="dxa"/>
          </w:tcPr>
          <w:p w14:paraId="7B30F828">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磋商响应文件章节及具体内容</w:t>
            </w:r>
          </w:p>
        </w:tc>
        <w:tc>
          <w:tcPr>
            <w:tcW w:w="1276" w:type="dxa"/>
          </w:tcPr>
          <w:p w14:paraId="5AADCBE7">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2E7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CD49DB9">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C705706">
            <w:pPr>
              <w:jc w:val="center"/>
              <w:rPr>
                <w:rFonts w:ascii="仿宋" w:hAnsi="仿宋" w:eastAsia="仿宋" w:cs="仿宋"/>
                <w:b/>
                <w:color w:val="auto"/>
                <w:kern w:val="0"/>
                <w:sz w:val="32"/>
                <w:szCs w:val="32"/>
                <w:highlight w:val="none"/>
              </w:rPr>
            </w:pPr>
          </w:p>
        </w:tc>
        <w:tc>
          <w:tcPr>
            <w:tcW w:w="3546" w:type="dxa"/>
          </w:tcPr>
          <w:p w14:paraId="66A9C092">
            <w:pPr>
              <w:jc w:val="center"/>
              <w:rPr>
                <w:rFonts w:ascii="仿宋" w:hAnsi="仿宋" w:eastAsia="仿宋" w:cs="仿宋"/>
                <w:b/>
                <w:color w:val="auto"/>
                <w:kern w:val="0"/>
                <w:sz w:val="32"/>
                <w:szCs w:val="32"/>
                <w:highlight w:val="none"/>
              </w:rPr>
            </w:pPr>
          </w:p>
        </w:tc>
        <w:tc>
          <w:tcPr>
            <w:tcW w:w="1276" w:type="dxa"/>
          </w:tcPr>
          <w:p w14:paraId="715B23A4">
            <w:pPr>
              <w:jc w:val="center"/>
              <w:rPr>
                <w:rFonts w:ascii="仿宋" w:hAnsi="仿宋" w:eastAsia="仿宋" w:cs="仿宋"/>
                <w:b/>
                <w:color w:val="auto"/>
                <w:kern w:val="0"/>
                <w:sz w:val="32"/>
                <w:szCs w:val="32"/>
                <w:highlight w:val="none"/>
              </w:rPr>
            </w:pPr>
          </w:p>
        </w:tc>
      </w:tr>
      <w:tr w14:paraId="43E4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3177F7F">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382CEAA">
            <w:pPr>
              <w:jc w:val="center"/>
              <w:rPr>
                <w:rFonts w:ascii="仿宋" w:hAnsi="仿宋" w:eastAsia="仿宋" w:cs="仿宋"/>
                <w:b/>
                <w:color w:val="auto"/>
                <w:kern w:val="0"/>
                <w:sz w:val="32"/>
                <w:szCs w:val="32"/>
                <w:highlight w:val="none"/>
              </w:rPr>
            </w:pPr>
          </w:p>
        </w:tc>
        <w:tc>
          <w:tcPr>
            <w:tcW w:w="3546" w:type="dxa"/>
          </w:tcPr>
          <w:p w14:paraId="697F33A8">
            <w:pPr>
              <w:jc w:val="center"/>
              <w:rPr>
                <w:rFonts w:ascii="仿宋" w:hAnsi="仿宋" w:eastAsia="仿宋" w:cs="仿宋"/>
                <w:b/>
                <w:color w:val="auto"/>
                <w:kern w:val="0"/>
                <w:sz w:val="32"/>
                <w:szCs w:val="32"/>
                <w:highlight w:val="none"/>
              </w:rPr>
            </w:pPr>
          </w:p>
        </w:tc>
        <w:tc>
          <w:tcPr>
            <w:tcW w:w="1276" w:type="dxa"/>
          </w:tcPr>
          <w:p w14:paraId="01B61956">
            <w:pPr>
              <w:jc w:val="center"/>
              <w:rPr>
                <w:rFonts w:ascii="仿宋" w:hAnsi="仿宋" w:eastAsia="仿宋" w:cs="仿宋"/>
                <w:b/>
                <w:color w:val="auto"/>
                <w:kern w:val="0"/>
                <w:sz w:val="32"/>
                <w:szCs w:val="32"/>
                <w:highlight w:val="none"/>
              </w:rPr>
            </w:pPr>
          </w:p>
        </w:tc>
      </w:tr>
      <w:tr w14:paraId="047D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1583474">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1B07EAA7">
            <w:pPr>
              <w:jc w:val="center"/>
              <w:rPr>
                <w:rFonts w:ascii="仿宋" w:hAnsi="仿宋" w:eastAsia="仿宋" w:cs="仿宋"/>
                <w:b/>
                <w:color w:val="auto"/>
                <w:kern w:val="0"/>
                <w:sz w:val="32"/>
                <w:szCs w:val="32"/>
                <w:highlight w:val="none"/>
              </w:rPr>
            </w:pPr>
          </w:p>
        </w:tc>
        <w:tc>
          <w:tcPr>
            <w:tcW w:w="3546" w:type="dxa"/>
          </w:tcPr>
          <w:p w14:paraId="53EC99FB">
            <w:pPr>
              <w:jc w:val="center"/>
              <w:rPr>
                <w:rFonts w:ascii="仿宋" w:hAnsi="仿宋" w:eastAsia="仿宋" w:cs="仿宋"/>
                <w:b/>
                <w:color w:val="auto"/>
                <w:kern w:val="0"/>
                <w:sz w:val="32"/>
                <w:szCs w:val="32"/>
                <w:highlight w:val="none"/>
              </w:rPr>
            </w:pPr>
          </w:p>
        </w:tc>
        <w:tc>
          <w:tcPr>
            <w:tcW w:w="1276" w:type="dxa"/>
          </w:tcPr>
          <w:p w14:paraId="4DE3FCF3">
            <w:pPr>
              <w:jc w:val="center"/>
              <w:rPr>
                <w:rFonts w:ascii="仿宋" w:hAnsi="仿宋" w:eastAsia="仿宋" w:cs="仿宋"/>
                <w:b/>
                <w:color w:val="auto"/>
                <w:kern w:val="0"/>
                <w:sz w:val="32"/>
                <w:szCs w:val="32"/>
                <w:highlight w:val="none"/>
              </w:rPr>
            </w:pPr>
          </w:p>
        </w:tc>
      </w:tr>
    </w:tbl>
    <w:p w14:paraId="43811A8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p>
    <w:p w14:paraId="1E94DBA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填表说明：</w:t>
      </w:r>
    </w:p>
    <w:p w14:paraId="47F3C141">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（1）对</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文件有任何偏离（包括正偏离及负偏离）均应汇总并填写在此表中。</w:t>
      </w:r>
    </w:p>
    <w:p w14:paraId="690C52EB">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（2）完全满足</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文件要求的供应商只需填写【完全满足</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文件的全部要求】。</w:t>
      </w:r>
    </w:p>
    <w:p w14:paraId="1B28B737">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（3）若供应商以未在偏离表中列出的负偏离为由，不按</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文件要求签约，采购人有权取消该供应商的成交资格，并按有关规定重新确定成交供应商或另行采购。</w:t>
      </w:r>
    </w:p>
    <w:p w14:paraId="6A42696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响应文件响应内容对</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文件要求如有偏离均应填写偏离表，如不填写，采购人有权视作</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响应文件完全响应</w:t>
      </w:r>
      <w:r>
        <w:rPr>
          <w:rFonts w:hint="eastAsia" w:ascii="仿宋" w:hAnsi="仿宋" w:eastAsia="仿宋" w:cs="仿宋"/>
          <w:color w:val="auto"/>
          <w:sz w:val="24"/>
          <w:highlight w:val="none"/>
        </w:rPr>
        <w:t>磋商</w:t>
      </w:r>
      <w:r>
        <w:rPr>
          <w:rFonts w:hint="eastAsia" w:ascii="仿宋" w:hAnsi="仿宋" w:eastAsia="仿宋" w:cs="仿宋"/>
          <w:color w:val="auto"/>
          <w:kern w:val="0"/>
          <w:sz w:val="24"/>
          <w:highlight w:val="none"/>
          <w:lang w:val="zh-CN"/>
        </w:rPr>
        <w:t>文件要求。</w:t>
      </w:r>
    </w:p>
    <w:p w14:paraId="0FA1F6BA">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5A864AC">
      <w:pPr>
        <w:snapToGrid w:val="0"/>
        <w:jc w:val="center"/>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547C5D7B">
      <w:pPr>
        <w:snapToGrid w:val="0"/>
        <w:spacing w:line="360" w:lineRule="auto"/>
        <w:rPr>
          <w:rFonts w:ascii="仿宋" w:hAnsi="仿宋" w:eastAsia="仿宋" w:cs="仿宋"/>
          <w:color w:val="auto"/>
          <w:sz w:val="24"/>
          <w:highlight w:val="none"/>
        </w:rPr>
      </w:pPr>
    </w:p>
    <w:p w14:paraId="487A503D">
      <w:pPr>
        <w:shd w:val="clear" w:color="auto" w:fill="FFFFFF"/>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杭州市滨江区民政局</w:t>
      </w:r>
      <w:r>
        <w:rPr>
          <w:rFonts w:hint="eastAsia" w:ascii="仿宋" w:hAnsi="仿宋" w:eastAsia="仿宋" w:cs="仿宋"/>
          <w:color w:val="auto"/>
          <w:sz w:val="24"/>
          <w:highlight w:val="none"/>
        </w:rPr>
        <w:t>、杭州博实招标代理有限公司：</w:t>
      </w:r>
    </w:p>
    <w:p w14:paraId="548BE2C4">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EE74DC6">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C2FB85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9BA019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8E0C48B">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D34EE61">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4DA70D21">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996FF6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ascii="仿宋" w:hAnsi="仿宋" w:eastAsia="仿宋" w:cs="仿宋"/>
          <w:color w:val="auto"/>
          <w:kern w:val="0"/>
          <w:sz w:val="24"/>
          <w:highlight w:val="none"/>
          <w:lang w:val="en-US" w:eastAsia="zh-CN"/>
        </w:rPr>
        <w:t>同级监管部门</w:t>
      </w:r>
      <w:r>
        <w:rPr>
          <w:rFonts w:hint="eastAsia" w:ascii="仿宋" w:hAnsi="仿宋" w:eastAsia="仿宋" w:cs="仿宋"/>
          <w:color w:val="auto"/>
          <w:kern w:val="0"/>
          <w:sz w:val="24"/>
          <w:highlight w:val="none"/>
          <w:lang w:val="zh-CN"/>
        </w:rPr>
        <w:t>。由此引起的相应损失均由我单位承担。</w:t>
      </w:r>
    </w:p>
    <w:p w14:paraId="4C4A83BE">
      <w:pPr>
        <w:autoSpaceDE w:val="0"/>
        <w:autoSpaceDN w:val="0"/>
        <w:spacing w:line="360" w:lineRule="auto"/>
        <w:ind w:left="2"/>
        <w:jc w:val="left"/>
        <w:rPr>
          <w:rFonts w:ascii="仿宋" w:hAnsi="仿宋" w:eastAsia="仿宋" w:cs="仿宋"/>
          <w:color w:val="auto"/>
          <w:kern w:val="0"/>
          <w:sz w:val="24"/>
          <w:highlight w:val="none"/>
          <w:lang w:val="zh-CN"/>
        </w:rPr>
      </w:pPr>
    </w:p>
    <w:p w14:paraId="774C1C21">
      <w:pPr>
        <w:autoSpaceDE w:val="0"/>
        <w:autoSpaceDN w:val="0"/>
        <w:spacing w:line="360" w:lineRule="auto"/>
        <w:ind w:left="2"/>
        <w:jc w:val="left"/>
        <w:rPr>
          <w:rFonts w:ascii="仿宋" w:hAnsi="仿宋" w:eastAsia="仿宋" w:cs="仿宋"/>
          <w:color w:val="auto"/>
          <w:kern w:val="0"/>
          <w:sz w:val="24"/>
          <w:highlight w:val="none"/>
          <w:lang w:val="zh-CN"/>
        </w:rPr>
      </w:pPr>
    </w:p>
    <w:p w14:paraId="65670FA7">
      <w:pPr>
        <w:autoSpaceDE w:val="0"/>
        <w:autoSpaceDN w:val="0"/>
        <w:spacing w:line="360" w:lineRule="auto"/>
        <w:ind w:left="2"/>
        <w:jc w:val="left"/>
        <w:rPr>
          <w:rFonts w:ascii="仿宋" w:hAnsi="仿宋" w:eastAsia="仿宋" w:cs="仿宋"/>
          <w:color w:val="auto"/>
          <w:kern w:val="0"/>
          <w:sz w:val="24"/>
          <w:highlight w:val="none"/>
          <w:lang w:val="zh-CN"/>
        </w:rPr>
      </w:pPr>
    </w:p>
    <w:p w14:paraId="514CACB5">
      <w:pPr>
        <w:snapToGrid w:val="0"/>
        <w:spacing w:line="360" w:lineRule="auto"/>
        <w:ind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00D5E94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5E1603EA">
      <w:pPr>
        <w:spacing w:line="360" w:lineRule="auto"/>
        <w:jc w:val="center"/>
        <w:rPr>
          <w:rFonts w:ascii="仿宋" w:hAnsi="仿宋" w:eastAsia="仿宋" w:cs="仿宋"/>
          <w:b/>
          <w:bCs/>
          <w:color w:val="auto"/>
          <w:sz w:val="24"/>
          <w:highlight w:val="none"/>
        </w:rPr>
      </w:pPr>
    </w:p>
    <w:p w14:paraId="29493032">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9CF9E5A">
      <w:pPr>
        <w:spacing w:line="360" w:lineRule="auto"/>
        <w:jc w:val="center"/>
        <w:rPr>
          <w:rFonts w:ascii="仿宋" w:hAnsi="仿宋" w:eastAsia="仿宋" w:cs="仿宋"/>
          <w:b/>
          <w:bCs/>
          <w:color w:val="auto"/>
          <w:sz w:val="24"/>
          <w:highlight w:val="none"/>
        </w:rPr>
        <w:sectPr>
          <w:pgSz w:w="11906" w:h="16838"/>
          <w:pgMar w:top="1134" w:right="1417" w:bottom="1134" w:left="1417" w:header="851" w:footer="992" w:gutter="0"/>
          <w:pgNumType w:fmt="decimal"/>
          <w:cols w:space="720" w:num="1"/>
          <w:titlePg/>
          <w:docGrid w:linePitch="312" w:charSpace="0"/>
        </w:sectPr>
      </w:pPr>
    </w:p>
    <w:p w14:paraId="53762A96">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A463844">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945FC0E">
      <w:pPr>
        <w:spacing w:line="360" w:lineRule="auto"/>
        <w:jc w:val="center"/>
        <w:outlineLvl w:val="0"/>
        <w:rPr>
          <w:rFonts w:ascii="仿宋" w:hAnsi="仿宋" w:eastAsia="仿宋" w:cs="仿宋"/>
          <w:b/>
          <w:color w:val="auto"/>
          <w:kern w:val="0"/>
          <w:sz w:val="36"/>
          <w:szCs w:val="36"/>
          <w:highlight w:val="none"/>
        </w:rPr>
      </w:pPr>
    </w:p>
    <w:p w14:paraId="37D9CAA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（1）报价单…………………………………………………………………………（页码）</w:t>
      </w:r>
    </w:p>
    <w:p w14:paraId="3205177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）中小企业声明函………………………………………………………………（页码）</w:t>
      </w:r>
    </w:p>
    <w:p w14:paraId="6B8A1219">
      <w:pPr>
        <w:snapToGrid w:val="0"/>
        <w:spacing w:line="360" w:lineRule="auto"/>
        <w:ind w:right="480"/>
        <w:jc w:val="center"/>
        <w:rPr>
          <w:rFonts w:ascii="仿宋" w:hAnsi="仿宋" w:eastAsia="仿宋" w:cs="仿宋"/>
          <w:b/>
          <w:color w:val="auto"/>
          <w:kern w:val="0"/>
          <w:sz w:val="32"/>
          <w:szCs w:val="32"/>
          <w:highlight w:val="none"/>
        </w:rPr>
      </w:pPr>
    </w:p>
    <w:p w14:paraId="2993E72E">
      <w:pPr>
        <w:snapToGrid w:val="0"/>
        <w:spacing w:line="360" w:lineRule="auto"/>
        <w:ind w:right="480"/>
        <w:jc w:val="center"/>
        <w:rPr>
          <w:rFonts w:ascii="仿宋" w:hAnsi="仿宋" w:eastAsia="仿宋" w:cs="仿宋"/>
          <w:b/>
          <w:color w:val="auto"/>
          <w:kern w:val="0"/>
          <w:sz w:val="32"/>
          <w:szCs w:val="32"/>
          <w:highlight w:val="none"/>
        </w:rPr>
      </w:pPr>
    </w:p>
    <w:p w14:paraId="15ED2110">
      <w:pPr>
        <w:snapToGrid w:val="0"/>
        <w:spacing w:line="360" w:lineRule="auto"/>
        <w:ind w:right="480"/>
        <w:jc w:val="center"/>
        <w:rPr>
          <w:rFonts w:ascii="仿宋" w:hAnsi="仿宋" w:eastAsia="仿宋" w:cs="仿宋"/>
          <w:b/>
          <w:color w:val="auto"/>
          <w:kern w:val="0"/>
          <w:sz w:val="32"/>
          <w:szCs w:val="32"/>
          <w:highlight w:val="none"/>
        </w:rPr>
      </w:pPr>
    </w:p>
    <w:p w14:paraId="0447A0C5">
      <w:pPr>
        <w:snapToGrid w:val="0"/>
        <w:spacing w:line="360" w:lineRule="auto"/>
        <w:ind w:right="480"/>
        <w:jc w:val="center"/>
        <w:rPr>
          <w:rFonts w:ascii="仿宋" w:hAnsi="仿宋" w:eastAsia="仿宋" w:cs="仿宋"/>
          <w:b/>
          <w:color w:val="auto"/>
          <w:kern w:val="0"/>
          <w:sz w:val="32"/>
          <w:szCs w:val="32"/>
          <w:highlight w:val="none"/>
        </w:rPr>
      </w:pPr>
    </w:p>
    <w:p w14:paraId="65725444">
      <w:pPr>
        <w:snapToGrid w:val="0"/>
        <w:spacing w:line="360" w:lineRule="auto"/>
        <w:ind w:right="480"/>
        <w:jc w:val="center"/>
        <w:rPr>
          <w:rFonts w:ascii="仿宋" w:hAnsi="仿宋" w:eastAsia="仿宋" w:cs="仿宋"/>
          <w:b/>
          <w:color w:val="auto"/>
          <w:kern w:val="0"/>
          <w:sz w:val="32"/>
          <w:szCs w:val="32"/>
          <w:highlight w:val="none"/>
        </w:rPr>
      </w:pPr>
    </w:p>
    <w:p w14:paraId="350CCA8F">
      <w:pPr>
        <w:snapToGrid w:val="0"/>
        <w:spacing w:line="360" w:lineRule="auto"/>
        <w:ind w:right="480"/>
        <w:jc w:val="center"/>
        <w:rPr>
          <w:rFonts w:ascii="仿宋" w:hAnsi="仿宋" w:eastAsia="仿宋" w:cs="仿宋"/>
          <w:b/>
          <w:color w:val="auto"/>
          <w:kern w:val="0"/>
          <w:sz w:val="32"/>
          <w:szCs w:val="32"/>
          <w:highlight w:val="none"/>
        </w:rPr>
      </w:pPr>
    </w:p>
    <w:p w14:paraId="34557371">
      <w:pPr>
        <w:snapToGrid w:val="0"/>
        <w:spacing w:line="360" w:lineRule="auto"/>
        <w:ind w:right="480"/>
        <w:jc w:val="center"/>
        <w:rPr>
          <w:rFonts w:ascii="仿宋" w:hAnsi="仿宋" w:eastAsia="仿宋" w:cs="仿宋"/>
          <w:b/>
          <w:color w:val="auto"/>
          <w:kern w:val="0"/>
          <w:sz w:val="32"/>
          <w:szCs w:val="32"/>
          <w:highlight w:val="none"/>
        </w:rPr>
      </w:pPr>
    </w:p>
    <w:p w14:paraId="79FB5576">
      <w:pPr>
        <w:snapToGrid w:val="0"/>
        <w:spacing w:line="360" w:lineRule="auto"/>
        <w:ind w:right="480"/>
        <w:jc w:val="center"/>
        <w:rPr>
          <w:rFonts w:ascii="仿宋" w:hAnsi="仿宋" w:eastAsia="仿宋" w:cs="仿宋"/>
          <w:b/>
          <w:color w:val="auto"/>
          <w:kern w:val="0"/>
          <w:sz w:val="32"/>
          <w:szCs w:val="32"/>
          <w:highlight w:val="none"/>
        </w:rPr>
      </w:pPr>
    </w:p>
    <w:p w14:paraId="149CCFF5">
      <w:pPr>
        <w:snapToGrid w:val="0"/>
        <w:spacing w:line="360" w:lineRule="auto"/>
        <w:ind w:right="480"/>
        <w:jc w:val="center"/>
        <w:rPr>
          <w:rFonts w:ascii="仿宋" w:hAnsi="仿宋" w:eastAsia="仿宋" w:cs="仿宋"/>
          <w:b/>
          <w:color w:val="auto"/>
          <w:kern w:val="0"/>
          <w:sz w:val="32"/>
          <w:szCs w:val="32"/>
          <w:highlight w:val="none"/>
        </w:rPr>
      </w:pPr>
    </w:p>
    <w:p w14:paraId="2231D61D">
      <w:pPr>
        <w:snapToGrid w:val="0"/>
        <w:spacing w:line="360" w:lineRule="auto"/>
        <w:ind w:right="480"/>
        <w:jc w:val="center"/>
        <w:rPr>
          <w:rFonts w:ascii="仿宋" w:hAnsi="仿宋" w:eastAsia="仿宋" w:cs="仿宋"/>
          <w:b/>
          <w:color w:val="auto"/>
          <w:kern w:val="0"/>
          <w:sz w:val="32"/>
          <w:szCs w:val="32"/>
          <w:highlight w:val="none"/>
        </w:rPr>
      </w:pPr>
    </w:p>
    <w:p w14:paraId="1DA4E1EA">
      <w:pPr>
        <w:snapToGrid w:val="0"/>
        <w:spacing w:line="360" w:lineRule="auto"/>
        <w:ind w:right="480"/>
        <w:jc w:val="center"/>
        <w:rPr>
          <w:rFonts w:ascii="仿宋" w:hAnsi="仿宋" w:eastAsia="仿宋" w:cs="仿宋"/>
          <w:b/>
          <w:color w:val="auto"/>
          <w:kern w:val="0"/>
          <w:sz w:val="32"/>
          <w:szCs w:val="32"/>
          <w:highlight w:val="none"/>
        </w:rPr>
      </w:pPr>
    </w:p>
    <w:p w14:paraId="70DB4F39">
      <w:pPr>
        <w:snapToGrid w:val="0"/>
        <w:spacing w:line="360" w:lineRule="auto"/>
        <w:ind w:right="480"/>
        <w:jc w:val="center"/>
        <w:rPr>
          <w:rFonts w:ascii="仿宋" w:hAnsi="仿宋" w:eastAsia="仿宋" w:cs="仿宋"/>
          <w:b/>
          <w:color w:val="auto"/>
          <w:kern w:val="0"/>
          <w:sz w:val="32"/>
          <w:szCs w:val="32"/>
          <w:highlight w:val="none"/>
        </w:rPr>
      </w:pPr>
    </w:p>
    <w:p w14:paraId="65803E66">
      <w:pPr>
        <w:snapToGrid w:val="0"/>
        <w:spacing w:line="360" w:lineRule="auto"/>
        <w:ind w:right="480"/>
        <w:jc w:val="center"/>
        <w:rPr>
          <w:rFonts w:ascii="仿宋" w:hAnsi="仿宋" w:eastAsia="仿宋" w:cs="仿宋"/>
          <w:b/>
          <w:color w:val="auto"/>
          <w:kern w:val="0"/>
          <w:sz w:val="32"/>
          <w:szCs w:val="32"/>
          <w:highlight w:val="none"/>
        </w:rPr>
      </w:pPr>
    </w:p>
    <w:p w14:paraId="34FA7F5E">
      <w:pPr>
        <w:snapToGrid w:val="0"/>
        <w:spacing w:line="360" w:lineRule="auto"/>
        <w:ind w:right="480"/>
        <w:jc w:val="center"/>
        <w:rPr>
          <w:rFonts w:ascii="仿宋" w:hAnsi="仿宋" w:eastAsia="仿宋" w:cs="仿宋"/>
          <w:b/>
          <w:color w:val="auto"/>
          <w:kern w:val="0"/>
          <w:sz w:val="32"/>
          <w:szCs w:val="32"/>
          <w:highlight w:val="none"/>
        </w:rPr>
      </w:pPr>
    </w:p>
    <w:p w14:paraId="100493E6">
      <w:pPr>
        <w:snapToGrid w:val="0"/>
        <w:spacing w:line="360" w:lineRule="auto"/>
        <w:ind w:right="480"/>
        <w:jc w:val="center"/>
        <w:rPr>
          <w:rFonts w:ascii="仿宋" w:hAnsi="仿宋" w:eastAsia="仿宋" w:cs="仿宋"/>
          <w:b/>
          <w:color w:val="auto"/>
          <w:kern w:val="0"/>
          <w:sz w:val="32"/>
          <w:szCs w:val="32"/>
          <w:highlight w:val="none"/>
        </w:rPr>
      </w:pPr>
    </w:p>
    <w:p w14:paraId="0C843B5D">
      <w:pPr>
        <w:pStyle w:val="696"/>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footerReference r:id="rId21" w:type="first"/>
          <w:headerReference r:id="rId19" w:type="default"/>
          <w:footerReference r:id="rId20" w:type="default"/>
          <w:pgSz w:w="11906" w:h="16838"/>
          <w:pgMar w:top="1134" w:right="1417" w:bottom="1134" w:left="1417" w:header="851" w:footer="992" w:gutter="0"/>
          <w:pgNumType w:fmt="decimal"/>
          <w:cols w:space="720" w:num="1"/>
          <w:titlePg/>
          <w:docGrid w:linePitch="312" w:charSpace="0"/>
        </w:sectPr>
      </w:pPr>
    </w:p>
    <w:p w14:paraId="4CDAF0CC">
      <w:pPr>
        <w:pStyle w:val="696"/>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一、报价单</w:t>
      </w:r>
    </w:p>
    <w:p w14:paraId="115129CA">
      <w:pPr>
        <w:shd w:val="clear" w:color="auto" w:fill="FFFFFF"/>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杭州市滨江区民政局</w:t>
      </w:r>
      <w:r>
        <w:rPr>
          <w:rFonts w:hint="eastAsia" w:ascii="仿宋" w:hAnsi="仿宋" w:eastAsia="仿宋" w:cs="仿宋"/>
          <w:color w:val="auto"/>
          <w:sz w:val="24"/>
          <w:highlight w:val="none"/>
        </w:rPr>
        <w:t>、杭州博实招标代理有限公司：</w:t>
      </w:r>
    </w:p>
    <w:p w14:paraId="7A5F7BE6">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sz w:val="24"/>
          <w:highlight w:val="none"/>
          <w:u w:val="single"/>
          <w:lang w:eastAsia="zh-CN"/>
        </w:rPr>
        <w:t>杭州市滨江区智慧养老呼叫综合服务项目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BSZB2025-CQZC007</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8"/>
        <w:gridCol w:w="7230"/>
      </w:tblGrid>
      <w:tr w14:paraId="52C2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18" w:type="dxa"/>
            <w:noWrap w:val="0"/>
            <w:vAlign w:val="center"/>
          </w:tcPr>
          <w:p w14:paraId="0B808C1F">
            <w:pPr>
              <w:spacing w:line="400" w:lineRule="exac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lang w:val="en-US" w:eastAsia="zh-CN"/>
              </w:rPr>
              <w:t>项目名称</w:t>
            </w:r>
          </w:p>
        </w:tc>
        <w:tc>
          <w:tcPr>
            <w:tcW w:w="7453" w:type="dxa"/>
            <w:noWrap w:val="0"/>
            <w:vAlign w:val="center"/>
          </w:tcPr>
          <w:p w14:paraId="6AB65309">
            <w:pPr>
              <w:spacing w:line="400" w:lineRule="exact"/>
              <w:jc w:val="left"/>
              <w:rPr>
                <w:rFonts w:hint="eastAsia" w:ascii="仿宋" w:hAnsi="仿宋" w:eastAsia="仿宋" w:cs="仿宋"/>
                <w:bCs/>
                <w:color w:val="auto"/>
                <w:sz w:val="24"/>
                <w:szCs w:val="24"/>
                <w:highlight w:val="none"/>
                <w:lang w:val="en-US"/>
              </w:rPr>
            </w:pPr>
            <w:r>
              <w:rPr>
                <w:rFonts w:hint="eastAsia" w:ascii="仿宋" w:hAnsi="仿宋" w:eastAsia="仿宋" w:cs="仿宋"/>
                <w:color w:val="auto"/>
                <w:sz w:val="24"/>
                <w:szCs w:val="24"/>
                <w:highlight w:val="none"/>
                <w:lang w:eastAsia="zh-CN"/>
              </w:rPr>
              <w:t>杭州市滨江区智慧养老呼叫综合服务</w:t>
            </w:r>
            <w:r>
              <w:rPr>
                <w:rFonts w:hint="eastAsia" w:ascii="仿宋" w:hAnsi="仿宋" w:eastAsia="仿宋" w:cs="仿宋"/>
                <w:color w:val="auto"/>
                <w:sz w:val="24"/>
                <w:szCs w:val="24"/>
                <w:highlight w:val="none"/>
                <w:lang w:val="en-US" w:eastAsia="zh-CN"/>
              </w:rPr>
              <w:t>项目</w:t>
            </w:r>
          </w:p>
        </w:tc>
      </w:tr>
      <w:tr w14:paraId="699C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noWrap w:val="0"/>
            <w:vAlign w:val="center"/>
          </w:tcPr>
          <w:p w14:paraId="505BC028">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采购内容</w:t>
            </w:r>
          </w:p>
        </w:tc>
        <w:tc>
          <w:tcPr>
            <w:tcW w:w="7453" w:type="dxa"/>
            <w:noWrap w:val="0"/>
            <w:vAlign w:val="top"/>
          </w:tcPr>
          <w:p w14:paraId="15C80149">
            <w:pPr>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杭州市滨江区智慧养老呼叫综合服务，包括：为签约老年人发放服务终端、搭建信息管理系统及呼叫中心、开发 APP 或微信小程序、组建服务团队，整合社会各界资源为老年人提供《杭州市民政局、杭州市财政局关于提升全市智慧养老综合服务工作的通知》(杭民发[2019]100 号)中规定的一类、二类、三类服务。</w:t>
            </w:r>
          </w:p>
        </w:tc>
      </w:tr>
      <w:tr w14:paraId="0863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18" w:type="dxa"/>
            <w:noWrap w:val="0"/>
            <w:vAlign w:val="center"/>
          </w:tcPr>
          <w:p w14:paraId="1342B1C6">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投标报价</w:t>
            </w:r>
          </w:p>
        </w:tc>
        <w:tc>
          <w:tcPr>
            <w:tcW w:w="7453" w:type="dxa"/>
            <w:noWrap w:val="0"/>
            <w:vAlign w:val="center"/>
          </w:tcPr>
          <w:p w14:paraId="26946470">
            <w:pPr>
              <w:spacing w:line="400" w:lineRule="exac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 元/人/月</w:t>
            </w:r>
          </w:p>
        </w:tc>
      </w:tr>
      <w:tr w14:paraId="57AD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118" w:type="dxa"/>
            <w:noWrap w:val="0"/>
            <w:vAlign w:val="center"/>
          </w:tcPr>
          <w:p w14:paraId="406D6B02">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备注</w:t>
            </w:r>
          </w:p>
        </w:tc>
        <w:tc>
          <w:tcPr>
            <w:tcW w:w="7453" w:type="dxa"/>
            <w:noWrap w:val="0"/>
            <w:vAlign w:val="center"/>
          </w:tcPr>
          <w:p w14:paraId="58EA70E8">
            <w:pPr>
              <w:spacing w:line="400" w:lineRule="exac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没有可不填</w:t>
            </w:r>
          </w:p>
        </w:tc>
      </w:tr>
    </w:tbl>
    <w:p w14:paraId="5803A3B7">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说明：▲本项目报价实行定价报价，定价标准为“20 元/人/月”。 </w:t>
      </w:r>
    </w:p>
    <w:p w14:paraId="42F3BCD5">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单位均为人民币元。</w:t>
      </w:r>
    </w:p>
    <w:p w14:paraId="2AC7A1C8">
      <w:pPr>
        <w:pStyle w:val="696"/>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2813C627">
      <w:pPr>
        <w:pStyle w:val="696"/>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0782AAEE">
      <w:pPr>
        <w:snapToGrid w:val="0"/>
        <w:spacing w:line="360" w:lineRule="auto"/>
        <w:ind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3A2A9DF8">
      <w:pPr>
        <w:snapToGrid w:val="0"/>
        <w:spacing w:line="360" w:lineRule="auto"/>
        <w:rPr>
          <w:rFonts w:ascii="仿宋" w:hAnsi="仿宋" w:eastAsia="仿宋" w:cs="仿宋"/>
          <w:color w:val="auto"/>
          <w:sz w:val="32"/>
          <w:szCs w:val="32"/>
          <w:highlight w:val="none"/>
        </w:rPr>
        <w:sectPr>
          <w:footerReference r:id="rId24" w:type="first"/>
          <w:headerReference r:id="rId22" w:type="default"/>
          <w:footerReference r:id="rId23" w:type="default"/>
          <w:pgSz w:w="11906" w:h="16838"/>
          <w:pgMar w:top="1134" w:right="1417" w:bottom="1134" w:left="1417" w:header="851" w:footer="992" w:gutter="0"/>
          <w:pgNumType w:fmt="decimal"/>
          <w:cols w:space="0" w:num="1"/>
          <w:titlePg/>
          <w:docGrid w:linePitch="312" w:charSpace="0"/>
        </w:sect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日</w:t>
      </w:r>
    </w:p>
    <w:p w14:paraId="770693C6">
      <w:pPr>
        <w:pStyle w:val="696"/>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382" w:name="_Hlk101259491"/>
      <w:r>
        <w:rPr>
          <w:rFonts w:hint="eastAsia" w:ascii="仿宋" w:hAnsi="仿宋" w:eastAsia="仿宋" w:cs="仿宋"/>
          <w:color w:val="auto"/>
          <w:sz w:val="32"/>
          <w:szCs w:val="32"/>
          <w:highlight w:val="none"/>
        </w:rPr>
        <w:t>（如果有）</w:t>
      </w:r>
      <w:bookmarkEnd w:id="382"/>
    </w:p>
    <w:p w14:paraId="252289BF">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BC19D30">
      <w:pPr>
        <w:pStyle w:val="696"/>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3FF08A4D">
      <w:pPr>
        <w:spacing w:line="360" w:lineRule="auto"/>
        <w:ind w:right="420" w:firstLine="3614" w:firstLineChars="1000"/>
        <w:rPr>
          <w:rFonts w:ascii="仿宋" w:hAnsi="仿宋" w:eastAsia="仿宋" w:cs="仿宋"/>
          <w:b/>
          <w:color w:val="auto"/>
          <w:kern w:val="0"/>
          <w:sz w:val="36"/>
          <w:szCs w:val="36"/>
          <w:highlight w:val="none"/>
        </w:rPr>
      </w:pPr>
    </w:p>
    <w:p w14:paraId="3BA59BC4">
      <w:pPr>
        <w:spacing w:line="360" w:lineRule="auto"/>
        <w:ind w:right="420" w:firstLine="3614" w:firstLineChars="1000"/>
        <w:rPr>
          <w:rFonts w:ascii="仿宋" w:hAnsi="仿宋" w:eastAsia="仿宋" w:cs="仿宋"/>
          <w:b/>
          <w:color w:val="auto"/>
          <w:kern w:val="0"/>
          <w:sz w:val="36"/>
          <w:szCs w:val="36"/>
          <w:highlight w:val="none"/>
        </w:rPr>
      </w:pPr>
    </w:p>
    <w:p w14:paraId="01DC55CC">
      <w:pPr>
        <w:spacing w:line="360" w:lineRule="auto"/>
        <w:ind w:right="420" w:firstLine="3614" w:firstLineChars="1000"/>
        <w:rPr>
          <w:rFonts w:ascii="仿宋" w:hAnsi="仿宋" w:eastAsia="仿宋" w:cs="仿宋"/>
          <w:b/>
          <w:color w:val="auto"/>
          <w:kern w:val="0"/>
          <w:sz w:val="36"/>
          <w:szCs w:val="36"/>
          <w:highlight w:val="none"/>
        </w:rPr>
      </w:pPr>
    </w:p>
    <w:p w14:paraId="475B75A4">
      <w:pPr>
        <w:spacing w:line="360" w:lineRule="auto"/>
        <w:ind w:right="420" w:firstLine="3614" w:firstLineChars="1000"/>
        <w:rPr>
          <w:rFonts w:ascii="仿宋" w:hAnsi="仿宋" w:eastAsia="仿宋" w:cs="仿宋"/>
          <w:b/>
          <w:color w:val="auto"/>
          <w:kern w:val="0"/>
          <w:sz w:val="36"/>
          <w:szCs w:val="36"/>
          <w:highlight w:val="none"/>
        </w:rPr>
      </w:pPr>
    </w:p>
    <w:p w14:paraId="6919A485">
      <w:pPr>
        <w:spacing w:line="360" w:lineRule="auto"/>
        <w:ind w:right="420" w:firstLine="3614" w:firstLineChars="1000"/>
        <w:rPr>
          <w:rFonts w:ascii="仿宋" w:hAnsi="仿宋" w:eastAsia="仿宋" w:cs="仿宋"/>
          <w:b/>
          <w:color w:val="auto"/>
          <w:kern w:val="0"/>
          <w:sz w:val="36"/>
          <w:szCs w:val="36"/>
          <w:highlight w:val="none"/>
        </w:rPr>
      </w:pPr>
    </w:p>
    <w:p w14:paraId="0CC5A59D">
      <w:pPr>
        <w:spacing w:line="360" w:lineRule="auto"/>
        <w:ind w:right="420" w:firstLine="3614" w:firstLineChars="1000"/>
        <w:rPr>
          <w:rFonts w:ascii="仿宋" w:hAnsi="仿宋" w:eastAsia="仿宋" w:cs="仿宋"/>
          <w:b/>
          <w:color w:val="auto"/>
          <w:kern w:val="0"/>
          <w:sz w:val="36"/>
          <w:szCs w:val="36"/>
          <w:highlight w:val="none"/>
        </w:rPr>
      </w:pPr>
    </w:p>
    <w:p w14:paraId="20EA2C0B">
      <w:pPr>
        <w:spacing w:line="360" w:lineRule="auto"/>
        <w:ind w:right="420" w:firstLine="3614" w:firstLineChars="1000"/>
        <w:rPr>
          <w:rFonts w:ascii="仿宋" w:hAnsi="仿宋" w:eastAsia="仿宋" w:cs="仿宋"/>
          <w:b/>
          <w:color w:val="auto"/>
          <w:kern w:val="0"/>
          <w:sz w:val="36"/>
          <w:szCs w:val="36"/>
          <w:highlight w:val="none"/>
        </w:rPr>
      </w:pPr>
    </w:p>
    <w:p w14:paraId="783BEB2E">
      <w:pPr>
        <w:spacing w:line="360" w:lineRule="auto"/>
        <w:ind w:right="420" w:firstLine="3614" w:firstLineChars="1000"/>
        <w:rPr>
          <w:rFonts w:ascii="仿宋" w:hAnsi="仿宋" w:eastAsia="仿宋" w:cs="仿宋"/>
          <w:b/>
          <w:color w:val="auto"/>
          <w:kern w:val="0"/>
          <w:sz w:val="36"/>
          <w:szCs w:val="36"/>
          <w:highlight w:val="none"/>
        </w:rPr>
      </w:pPr>
    </w:p>
    <w:p w14:paraId="71FF9545">
      <w:pPr>
        <w:spacing w:line="360" w:lineRule="auto"/>
        <w:ind w:right="420" w:firstLine="3614" w:firstLineChars="1000"/>
        <w:rPr>
          <w:rFonts w:ascii="仿宋" w:hAnsi="仿宋" w:eastAsia="仿宋" w:cs="仿宋"/>
          <w:b/>
          <w:color w:val="auto"/>
          <w:kern w:val="0"/>
          <w:sz w:val="36"/>
          <w:szCs w:val="36"/>
          <w:highlight w:val="none"/>
        </w:rPr>
      </w:pPr>
    </w:p>
    <w:p w14:paraId="5531DAFA">
      <w:pPr>
        <w:spacing w:line="360" w:lineRule="auto"/>
        <w:ind w:right="420" w:firstLine="3614" w:firstLineChars="1000"/>
        <w:rPr>
          <w:rFonts w:ascii="仿宋" w:hAnsi="仿宋" w:eastAsia="仿宋" w:cs="仿宋"/>
          <w:b/>
          <w:color w:val="auto"/>
          <w:kern w:val="0"/>
          <w:sz w:val="36"/>
          <w:szCs w:val="36"/>
          <w:highlight w:val="none"/>
        </w:rPr>
      </w:pPr>
    </w:p>
    <w:p w14:paraId="1B4E1C4C">
      <w:pPr>
        <w:spacing w:line="360" w:lineRule="auto"/>
        <w:ind w:right="420" w:firstLine="3614" w:firstLineChars="1000"/>
        <w:rPr>
          <w:rFonts w:ascii="仿宋" w:hAnsi="仿宋" w:eastAsia="仿宋" w:cs="仿宋"/>
          <w:b/>
          <w:color w:val="auto"/>
          <w:kern w:val="0"/>
          <w:sz w:val="36"/>
          <w:szCs w:val="36"/>
          <w:highlight w:val="none"/>
        </w:rPr>
      </w:pPr>
    </w:p>
    <w:p w14:paraId="04FD5D17">
      <w:pPr>
        <w:spacing w:line="360" w:lineRule="auto"/>
        <w:ind w:right="420" w:firstLine="3614" w:firstLineChars="1000"/>
        <w:rPr>
          <w:rFonts w:ascii="仿宋" w:hAnsi="仿宋" w:eastAsia="仿宋" w:cs="仿宋"/>
          <w:b/>
          <w:color w:val="auto"/>
          <w:kern w:val="0"/>
          <w:sz w:val="36"/>
          <w:szCs w:val="36"/>
          <w:highlight w:val="none"/>
        </w:rPr>
      </w:pPr>
    </w:p>
    <w:p w14:paraId="40346026">
      <w:pPr>
        <w:spacing w:line="360" w:lineRule="auto"/>
        <w:ind w:right="420" w:firstLine="3614" w:firstLineChars="1000"/>
        <w:rPr>
          <w:rFonts w:ascii="仿宋" w:hAnsi="仿宋" w:eastAsia="仿宋" w:cs="仿宋"/>
          <w:b/>
          <w:color w:val="auto"/>
          <w:kern w:val="0"/>
          <w:sz w:val="36"/>
          <w:szCs w:val="36"/>
          <w:highlight w:val="none"/>
        </w:rPr>
      </w:pPr>
    </w:p>
    <w:p w14:paraId="32A40644">
      <w:pPr>
        <w:spacing w:line="360" w:lineRule="auto"/>
        <w:ind w:right="420" w:firstLine="3614" w:firstLineChars="1000"/>
        <w:rPr>
          <w:rFonts w:ascii="仿宋" w:hAnsi="仿宋" w:eastAsia="仿宋" w:cs="仿宋"/>
          <w:b/>
          <w:color w:val="auto"/>
          <w:kern w:val="0"/>
          <w:sz w:val="36"/>
          <w:szCs w:val="36"/>
          <w:highlight w:val="none"/>
        </w:rPr>
      </w:pPr>
    </w:p>
    <w:p w14:paraId="4A545FFB">
      <w:pPr>
        <w:spacing w:line="360" w:lineRule="auto"/>
        <w:ind w:right="420" w:firstLine="3614" w:firstLineChars="1000"/>
        <w:rPr>
          <w:rFonts w:ascii="仿宋" w:hAnsi="仿宋" w:eastAsia="仿宋" w:cs="仿宋"/>
          <w:b/>
          <w:color w:val="auto"/>
          <w:kern w:val="0"/>
          <w:sz w:val="36"/>
          <w:szCs w:val="36"/>
          <w:highlight w:val="none"/>
        </w:rPr>
      </w:pPr>
    </w:p>
    <w:p w14:paraId="56303591">
      <w:pPr>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4DBAAD7">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383" w:name="_Toc465665161"/>
      <w:r>
        <w:rPr>
          <w:rFonts w:hint="eastAsia" w:ascii="仿宋" w:hAnsi="仿宋" w:eastAsia="仿宋" w:cs="仿宋"/>
          <w:color w:val="auto"/>
          <w:highlight w:val="none"/>
        </w:rPr>
        <w:t>附件</w:t>
      </w:r>
      <w:bookmarkEnd w:id="383"/>
    </w:p>
    <w:p w14:paraId="6E5FBF4E">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693BFDA">
      <w:pPr>
        <w:spacing w:line="360" w:lineRule="auto"/>
        <w:jc w:val="center"/>
        <w:rPr>
          <w:rFonts w:ascii="仿宋" w:hAnsi="仿宋" w:eastAsia="仿宋" w:cs="仿宋"/>
          <w:b/>
          <w:color w:val="auto"/>
          <w:spacing w:val="6"/>
          <w:sz w:val="32"/>
          <w:szCs w:val="32"/>
          <w:highlight w:val="none"/>
        </w:rPr>
      </w:pPr>
      <w:bookmarkStart w:id="384" w:name="OLE_LINK14"/>
      <w:bookmarkStart w:id="385" w:name="OLE_LINK13"/>
      <w:r>
        <w:rPr>
          <w:rFonts w:hint="eastAsia" w:ascii="仿宋" w:hAnsi="仿宋" w:eastAsia="仿宋" w:cs="仿宋"/>
          <w:b/>
          <w:color w:val="auto"/>
          <w:spacing w:val="6"/>
          <w:sz w:val="32"/>
          <w:szCs w:val="32"/>
          <w:highlight w:val="none"/>
        </w:rPr>
        <w:t>残疾人福利性单位声明函</w:t>
      </w:r>
    </w:p>
    <w:bookmarkEnd w:id="384"/>
    <w:bookmarkEnd w:id="385"/>
    <w:p w14:paraId="31F85775">
      <w:pPr>
        <w:spacing w:line="360" w:lineRule="auto"/>
        <w:rPr>
          <w:rFonts w:ascii="仿宋" w:hAnsi="仿宋" w:eastAsia="仿宋" w:cs="仿宋"/>
          <w:b/>
          <w:color w:val="auto"/>
          <w:spacing w:val="6"/>
          <w:sz w:val="30"/>
          <w:szCs w:val="30"/>
          <w:highlight w:val="none"/>
        </w:rPr>
      </w:pPr>
    </w:p>
    <w:p w14:paraId="2D3742D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9F198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D713F91">
      <w:pPr>
        <w:spacing w:line="360" w:lineRule="auto"/>
        <w:ind w:firstLine="480" w:firstLineChars="200"/>
        <w:rPr>
          <w:rFonts w:ascii="仿宋" w:hAnsi="仿宋" w:eastAsia="仿宋" w:cs="仿宋"/>
          <w:color w:val="auto"/>
          <w:sz w:val="24"/>
          <w:highlight w:val="none"/>
        </w:rPr>
      </w:pPr>
    </w:p>
    <w:p w14:paraId="0DECFDDA">
      <w:pPr>
        <w:snapToGrid w:val="0"/>
        <w:spacing w:line="360" w:lineRule="auto"/>
        <w:ind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14:paraId="0606365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11EE6B95">
      <w:pPr>
        <w:tabs>
          <w:tab w:val="left" w:pos="4860"/>
        </w:tabs>
        <w:spacing w:line="360" w:lineRule="auto"/>
        <w:ind w:right="1560" w:firstLine="480" w:firstLineChars="200"/>
        <w:jc w:val="center"/>
        <w:rPr>
          <w:rFonts w:ascii="仿宋" w:hAnsi="仿宋" w:eastAsia="仿宋" w:cs="仿宋"/>
          <w:color w:val="auto"/>
          <w:sz w:val="24"/>
          <w:highlight w:val="none"/>
        </w:rPr>
      </w:pPr>
    </w:p>
    <w:p w14:paraId="14C8EB47">
      <w:pPr>
        <w:spacing w:line="360" w:lineRule="auto"/>
        <w:ind w:firstLine="480" w:firstLineChars="200"/>
        <w:rPr>
          <w:rFonts w:ascii="仿宋" w:hAnsi="仿宋" w:eastAsia="仿宋" w:cs="仿宋"/>
          <w:color w:val="auto"/>
          <w:sz w:val="24"/>
          <w:highlight w:val="none"/>
        </w:rPr>
      </w:pPr>
    </w:p>
    <w:p w14:paraId="2F1E2C80">
      <w:pPr>
        <w:spacing w:line="360" w:lineRule="auto"/>
        <w:ind w:firstLine="420" w:firstLineChars="200"/>
        <w:rPr>
          <w:rFonts w:ascii="仿宋" w:hAnsi="仿宋" w:eastAsia="仿宋" w:cs="仿宋"/>
          <w:color w:val="auto"/>
          <w:highlight w:val="none"/>
        </w:rPr>
      </w:pPr>
    </w:p>
    <w:p w14:paraId="1A24CED8">
      <w:pPr>
        <w:spacing w:line="360" w:lineRule="auto"/>
        <w:ind w:firstLine="420" w:firstLineChars="200"/>
        <w:rPr>
          <w:rFonts w:ascii="仿宋" w:hAnsi="仿宋" w:eastAsia="仿宋" w:cs="仿宋"/>
          <w:color w:val="auto"/>
          <w:highlight w:val="none"/>
        </w:rPr>
      </w:pPr>
    </w:p>
    <w:p w14:paraId="2D8E50CE">
      <w:pPr>
        <w:spacing w:line="360" w:lineRule="auto"/>
        <w:ind w:firstLine="420" w:firstLineChars="200"/>
        <w:rPr>
          <w:rFonts w:ascii="仿宋" w:hAnsi="仿宋" w:eastAsia="仿宋" w:cs="仿宋"/>
          <w:color w:val="auto"/>
          <w:highlight w:val="none"/>
        </w:rPr>
      </w:pPr>
    </w:p>
    <w:p w14:paraId="624AEAAD">
      <w:pPr>
        <w:spacing w:line="360" w:lineRule="auto"/>
        <w:ind w:firstLine="420" w:firstLineChars="200"/>
        <w:rPr>
          <w:rFonts w:ascii="仿宋" w:hAnsi="仿宋" w:eastAsia="仿宋" w:cs="仿宋"/>
          <w:color w:val="auto"/>
          <w:highlight w:val="none"/>
        </w:rPr>
      </w:pPr>
    </w:p>
    <w:p w14:paraId="48D11F19">
      <w:pPr>
        <w:spacing w:line="360" w:lineRule="auto"/>
        <w:rPr>
          <w:rFonts w:ascii="仿宋" w:hAnsi="仿宋" w:eastAsia="仿宋" w:cs="仿宋"/>
          <w:b/>
          <w:color w:val="auto"/>
          <w:sz w:val="24"/>
          <w:highlight w:val="none"/>
        </w:rPr>
      </w:pPr>
    </w:p>
    <w:p w14:paraId="6100C14C">
      <w:pPr>
        <w:spacing w:line="360" w:lineRule="auto"/>
        <w:rPr>
          <w:rFonts w:ascii="仿宋" w:hAnsi="仿宋" w:eastAsia="仿宋" w:cs="仿宋"/>
          <w:b/>
          <w:color w:val="auto"/>
          <w:sz w:val="24"/>
          <w:highlight w:val="none"/>
        </w:rPr>
      </w:pPr>
    </w:p>
    <w:p w14:paraId="5D3ADA96">
      <w:pPr>
        <w:spacing w:line="360" w:lineRule="auto"/>
        <w:rPr>
          <w:rFonts w:ascii="仿宋" w:hAnsi="仿宋" w:eastAsia="仿宋" w:cs="仿宋"/>
          <w:b/>
          <w:color w:val="auto"/>
          <w:sz w:val="24"/>
          <w:highlight w:val="none"/>
        </w:rPr>
      </w:pPr>
    </w:p>
    <w:p w14:paraId="7EA22966">
      <w:pPr>
        <w:spacing w:line="360" w:lineRule="auto"/>
        <w:rPr>
          <w:rFonts w:ascii="仿宋" w:hAnsi="仿宋" w:eastAsia="仿宋" w:cs="仿宋"/>
          <w:b/>
          <w:color w:val="auto"/>
          <w:sz w:val="24"/>
          <w:highlight w:val="none"/>
        </w:rPr>
      </w:pPr>
    </w:p>
    <w:p w14:paraId="39A57392">
      <w:pPr>
        <w:spacing w:line="360" w:lineRule="auto"/>
        <w:rPr>
          <w:rFonts w:ascii="仿宋" w:hAnsi="仿宋" w:eastAsia="仿宋" w:cs="仿宋"/>
          <w:b/>
          <w:color w:val="auto"/>
          <w:sz w:val="24"/>
          <w:highlight w:val="none"/>
        </w:rPr>
      </w:pPr>
    </w:p>
    <w:p w14:paraId="09F042A4">
      <w:pPr>
        <w:spacing w:line="360" w:lineRule="auto"/>
        <w:rPr>
          <w:rFonts w:ascii="仿宋" w:hAnsi="仿宋" w:eastAsia="仿宋" w:cs="仿宋"/>
          <w:b/>
          <w:color w:val="auto"/>
          <w:sz w:val="24"/>
          <w:highlight w:val="none"/>
        </w:rPr>
      </w:pPr>
    </w:p>
    <w:p w14:paraId="146FDB97">
      <w:pPr>
        <w:spacing w:line="360" w:lineRule="auto"/>
        <w:rPr>
          <w:rFonts w:ascii="仿宋" w:hAnsi="仿宋" w:eastAsia="仿宋" w:cs="仿宋"/>
          <w:b/>
          <w:color w:val="auto"/>
          <w:sz w:val="24"/>
          <w:highlight w:val="none"/>
        </w:rPr>
      </w:pPr>
    </w:p>
    <w:p w14:paraId="5A518990">
      <w:pPr>
        <w:spacing w:line="360" w:lineRule="auto"/>
        <w:rPr>
          <w:rFonts w:ascii="仿宋" w:hAnsi="仿宋" w:eastAsia="仿宋" w:cs="仿宋"/>
          <w:b/>
          <w:color w:val="auto"/>
          <w:sz w:val="24"/>
          <w:highlight w:val="none"/>
        </w:rPr>
      </w:pPr>
    </w:p>
    <w:p w14:paraId="0FCDFEF8">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A417389">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647B0B64">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CADC0C0">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94BB1B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2B59DA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31D418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E2863C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87EDF7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62E9B7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7249610">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219F99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A30B7C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A25BF8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497343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98DCD1F">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D51170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5E4C99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137D22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66097D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130CBF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800022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740A20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5C8956BF">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3A83DC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E9E4C1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354C19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BC44FD8">
      <w:pPr>
        <w:spacing w:line="360" w:lineRule="auto"/>
        <w:jc w:val="center"/>
        <w:rPr>
          <w:rFonts w:ascii="仿宋" w:hAnsi="仿宋" w:eastAsia="仿宋" w:cs="仿宋"/>
          <w:b/>
          <w:bCs/>
          <w:color w:val="auto"/>
          <w:sz w:val="24"/>
          <w:highlight w:val="none"/>
        </w:rPr>
      </w:pPr>
    </w:p>
    <w:p w14:paraId="6040F24A">
      <w:pPr>
        <w:spacing w:line="360" w:lineRule="auto"/>
        <w:rPr>
          <w:rFonts w:ascii="仿宋" w:hAnsi="仿宋" w:eastAsia="仿宋" w:cs="仿宋"/>
          <w:b/>
          <w:color w:val="auto"/>
          <w:sz w:val="24"/>
          <w:highlight w:val="none"/>
        </w:rPr>
      </w:pPr>
    </w:p>
    <w:p w14:paraId="35602A78">
      <w:pPr>
        <w:spacing w:line="360" w:lineRule="auto"/>
        <w:rPr>
          <w:rFonts w:ascii="仿宋" w:hAnsi="仿宋" w:eastAsia="仿宋" w:cs="仿宋"/>
          <w:b/>
          <w:color w:val="auto"/>
          <w:sz w:val="24"/>
          <w:highlight w:val="none"/>
        </w:rPr>
      </w:pPr>
    </w:p>
    <w:p w14:paraId="6550737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FAB77C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EAD43C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3FF6C9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D74C4A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C861FD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DB3834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EDFC0DB">
      <w:pPr>
        <w:widowControl/>
        <w:spacing w:line="360" w:lineRule="auto"/>
        <w:ind w:firstLine="600" w:firstLineChars="200"/>
        <w:jc w:val="left"/>
        <w:rPr>
          <w:rFonts w:ascii="仿宋" w:hAnsi="仿宋" w:eastAsia="仿宋" w:cs="仿宋"/>
          <w:color w:val="auto"/>
          <w:sz w:val="30"/>
          <w:szCs w:val="30"/>
          <w:highlight w:val="none"/>
        </w:rPr>
      </w:pPr>
    </w:p>
    <w:p w14:paraId="4E55F2CF">
      <w:pPr>
        <w:spacing w:line="360" w:lineRule="auto"/>
        <w:jc w:val="center"/>
        <w:rPr>
          <w:rFonts w:ascii="仿宋" w:hAnsi="仿宋" w:eastAsia="仿宋" w:cs="仿宋"/>
          <w:b/>
          <w:color w:val="auto"/>
          <w:spacing w:val="6"/>
          <w:sz w:val="32"/>
          <w:szCs w:val="32"/>
          <w:highlight w:val="none"/>
        </w:rPr>
      </w:pPr>
    </w:p>
    <w:p w14:paraId="38FCF05D">
      <w:pPr>
        <w:spacing w:line="360" w:lineRule="auto"/>
        <w:jc w:val="center"/>
        <w:rPr>
          <w:rFonts w:ascii="仿宋" w:hAnsi="仿宋" w:eastAsia="仿宋" w:cs="仿宋"/>
          <w:b/>
          <w:color w:val="auto"/>
          <w:spacing w:val="6"/>
          <w:sz w:val="32"/>
          <w:szCs w:val="32"/>
          <w:highlight w:val="none"/>
        </w:rPr>
      </w:pPr>
    </w:p>
    <w:p w14:paraId="5C6CD8F0">
      <w:pPr>
        <w:spacing w:line="360" w:lineRule="auto"/>
        <w:jc w:val="center"/>
        <w:rPr>
          <w:rFonts w:ascii="仿宋" w:hAnsi="仿宋" w:eastAsia="仿宋" w:cs="仿宋"/>
          <w:b/>
          <w:color w:val="auto"/>
          <w:spacing w:val="6"/>
          <w:sz w:val="32"/>
          <w:szCs w:val="32"/>
          <w:highlight w:val="none"/>
        </w:rPr>
      </w:pPr>
    </w:p>
    <w:p w14:paraId="6F153F4B">
      <w:pPr>
        <w:spacing w:line="360" w:lineRule="auto"/>
        <w:jc w:val="center"/>
        <w:rPr>
          <w:rFonts w:ascii="仿宋" w:hAnsi="仿宋" w:eastAsia="仿宋" w:cs="仿宋"/>
          <w:b/>
          <w:color w:val="auto"/>
          <w:spacing w:val="6"/>
          <w:sz w:val="32"/>
          <w:szCs w:val="32"/>
          <w:highlight w:val="none"/>
        </w:rPr>
      </w:pPr>
    </w:p>
    <w:p w14:paraId="535A92F3">
      <w:pPr>
        <w:spacing w:line="360" w:lineRule="auto"/>
        <w:jc w:val="center"/>
        <w:rPr>
          <w:rFonts w:ascii="仿宋" w:hAnsi="仿宋" w:eastAsia="仿宋" w:cs="仿宋"/>
          <w:b/>
          <w:color w:val="auto"/>
          <w:spacing w:val="6"/>
          <w:sz w:val="32"/>
          <w:szCs w:val="32"/>
          <w:highlight w:val="none"/>
        </w:rPr>
      </w:pPr>
    </w:p>
    <w:p w14:paraId="1252DA03">
      <w:pPr>
        <w:spacing w:line="360" w:lineRule="auto"/>
        <w:jc w:val="center"/>
        <w:rPr>
          <w:rFonts w:ascii="仿宋" w:hAnsi="仿宋" w:eastAsia="仿宋" w:cs="仿宋"/>
          <w:b/>
          <w:color w:val="auto"/>
          <w:spacing w:val="6"/>
          <w:sz w:val="32"/>
          <w:szCs w:val="32"/>
          <w:highlight w:val="none"/>
        </w:rPr>
      </w:pPr>
    </w:p>
    <w:p w14:paraId="39FEDFE5">
      <w:pPr>
        <w:spacing w:line="360" w:lineRule="auto"/>
        <w:jc w:val="center"/>
        <w:rPr>
          <w:rFonts w:ascii="仿宋" w:hAnsi="仿宋" w:eastAsia="仿宋" w:cs="仿宋"/>
          <w:b/>
          <w:color w:val="auto"/>
          <w:spacing w:val="6"/>
          <w:sz w:val="32"/>
          <w:szCs w:val="32"/>
          <w:highlight w:val="none"/>
        </w:rPr>
      </w:pPr>
    </w:p>
    <w:p w14:paraId="17DFCD09">
      <w:pPr>
        <w:spacing w:line="360" w:lineRule="auto"/>
        <w:jc w:val="center"/>
        <w:rPr>
          <w:rFonts w:ascii="仿宋" w:hAnsi="仿宋" w:eastAsia="仿宋" w:cs="仿宋"/>
          <w:b/>
          <w:color w:val="auto"/>
          <w:spacing w:val="6"/>
          <w:sz w:val="32"/>
          <w:szCs w:val="32"/>
          <w:highlight w:val="none"/>
        </w:rPr>
      </w:pPr>
    </w:p>
    <w:p w14:paraId="1B79B154">
      <w:pPr>
        <w:spacing w:line="360" w:lineRule="auto"/>
        <w:jc w:val="center"/>
        <w:rPr>
          <w:rFonts w:ascii="仿宋" w:hAnsi="仿宋" w:eastAsia="仿宋" w:cs="仿宋"/>
          <w:b/>
          <w:color w:val="auto"/>
          <w:spacing w:val="6"/>
          <w:sz w:val="32"/>
          <w:szCs w:val="32"/>
          <w:highlight w:val="none"/>
        </w:rPr>
      </w:pPr>
    </w:p>
    <w:p w14:paraId="6BB10F54">
      <w:pPr>
        <w:spacing w:line="360" w:lineRule="auto"/>
        <w:jc w:val="center"/>
        <w:rPr>
          <w:rFonts w:ascii="仿宋" w:hAnsi="仿宋" w:eastAsia="仿宋" w:cs="仿宋"/>
          <w:b/>
          <w:color w:val="auto"/>
          <w:spacing w:val="6"/>
          <w:sz w:val="32"/>
          <w:szCs w:val="32"/>
          <w:highlight w:val="none"/>
        </w:rPr>
      </w:pPr>
    </w:p>
    <w:p w14:paraId="4DB76C03">
      <w:pPr>
        <w:spacing w:line="360" w:lineRule="auto"/>
        <w:jc w:val="center"/>
        <w:rPr>
          <w:rFonts w:ascii="仿宋" w:hAnsi="仿宋" w:eastAsia="仿宋" w:cs="仿宋"/>
          <w:b/>
          <w:color w:val="auto"/>
          <w:spacing w:val="6"/>
          <w:sz w:val="32"/>
          <w:szCs w:val="32"/>
          <w:highlight w:val="none"/>
        </w:rPr>
      </w:pPr>
    </w:p>
    <w:p w14:paraId="044FF057">
      <w:pPr>
        <w:spacing w:line="360" w:lineRule="auto"/>
        <w:jc w:val="center"/>
        <w:rPr>
          <w:rFonts w:ascii="仿宋" w:hAnsi="仿宋" w:eastAsia="仿宋" w:cs="仿宋"/>
          <w:b/>
          <w:color w:val="auto"/>
          <w:spacing w:val="6"/>
          <w:sz w:val="32"/>
          <w:szCs w:val="32"/>
          <w:highlight w:val="none"/>
        </w:rPr>
      </w:pPr>
    </w:p>
    <w:p w14:paraId="2C11DACF">
      <w:pPr>
        <w:spacing w:line="360" w:lineRule="auto"/>
        <w:jc w:val="left"/>
        <w:rPr>
          <w:rFonts w:ascii="仿宋" w:hAnsi="仿宋" w:eastAsia="仿宋" w:cs="仿宋"/>
          <w:b/>
          <w:color w:val="auto"/>
          <w:spacing w:val="6"/>
          <w:sz w:val="32"/>
          <w:szCs w:val="32"/>
          <w:highlight w:val="none"/>
        </w:rPr>
      </w:pPr>
    </w:p>
    <w:p w14:paraId="03E44598">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64A5630">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C57E411">
      <w:pPr>
        <w:spacing w:line="360" w:lineRule="auto"/>
        <w:jc w:val="center"/>
        <w:rPr>
          <w:rFonts w:ascii="仿宋" w:hAnsi="仿宋" w:eastAsia="仿宋" w:cs="仿宋"/>
          <w:b/>
          <w:color w:val="auto"/>
          <w:sz w:val="24"/>
          <w:highlight w:val="none"/>
        </w:rPr>
      </w:pPr>
    </w:p>
    <w:p w14:paraId="01EFD578">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4C0585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4EA7BDC">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96D2CD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196774F">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19817CD">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229041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61DAB2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B22BB6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8F9AC4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21111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65136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B537C7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94D08D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441C9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E83583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0C889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B6A3C5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234F03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EF3096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E26CD7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B04896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72723D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EE030D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4B9B2A4">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245AF5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55EECE9">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4E519F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611E5A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6F3A78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92FFB3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36FA54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F9E197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ACCFDE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6262A6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08AF51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C7B806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E4FE3E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61F77E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B65A7F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94B89EA">
      <w:pPr>
        <w:spacing w:line="360" w:lineRule="auto"/>
        <w:rPr>
          <w:rFonts w:ascii="仿宋" w:hAnsi="仿宋" w:eastAsia="仿宋" w:cs="仿宋"/>
          <w:b/>
          <w:color w:val="auto"/>
          <w:sz w:val="24"/>
          <w:highlight w:val="none"/>
        </w:rPr>
      </w:pPr>
    </w:p>
    <w:p w14:paraId="77C0D3ED">
      <w:pPr>
        <w:spacing w:line="360" w:lineRule="auto"/>
        <w:rPr>
          <w:rFonts w:ascii="仿宋" w:hAnsi="仿宋" w:eastAsia="仿宋" w:cs="仿宋"/>
          <w:b/>
          <w:color w:val="auto"/>
          <w:sz w:val="24"/>
          <w:highlight w:val="none"/>
        </w:rPr>
      </w:pPr>
    </w:p>
    <w:p w14:paraId="6E9D20A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B74AED2">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4F4B4A5">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349EFA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435D05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6C9505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3B3812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03CCDA2">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C2E2686">
      <w:pPr>
        <w:spacing w:line="360" w:lineRule="auto"/>
        <w:rPr>
          <w:rFonts w:ascii="仿宋" w:hAnsi="仿宋" w:eastAsia="仿宋" w:cs="仿宋"/>
          <w:b/>
          <w:color w:val="auto"/>
          <w:sz w:val="24"/>
          <w:highlight w:val="none"/>
        </w:rPr>
      </w:pPr>
    </w:p>
    <w:p w14:paraId="54556309">
      <w:pPr>
        <w:pStyle w:val="82"/>
        <w:rPr>
          <w:rFonts w:ascii="仿宋" w:hAnsi="仿宋" w:eastAsia="仿宋" w:cs="仿宋"/>
          <w:color w:val="auto"/>
          <w:highlight w:val="none"/>
        </w:rPr>
      </w:pPr>
    </w:p>
    <w:p w14:paraId="10C0CB85">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4FD8FFF">
      <w:pPr>
        <w:autoSpaceDE w:val="0"/>
        <w:autoSpaceDN w:val="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54C54D0">
      <w:pPr>
        <w:spacing w:line="360" w:lineRule="auto"/>
        <w:rPr>
          <w:rFonts w:ascii="仿宋" w:hAnsi="仿宋" w:eastAsia="仿宋" w:cs="仿宋"/>
          <w:color w:val="auto"/>
          <w:sz w:val="24"/>
          <w:highlight w:val="none"/>
          <w:u w:val="single"/>
        </w:rPr>
      </w:pPr>
    </w:p>
    <w:p w14:paraId="6AC2137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217BC3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你方组织的（项目名称）项目【项目编号：（采购编号）】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CC1A74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6550E31">
      <w:pPr>
        <w:spacing w:line="360" w:lineRule="auto"/>
        <w:ind w:firstLine="494"/>
        <w:rPr>
          <w:rFonts w:ascii="仿宋" w:hAnsi="仿宋" w:eastAsia="仿宋" w:cs="仿宋"/>
          <w:color w:val="auto"/>
          <w:sz w:val="24"/>
          <w:highlight w:val="none"/>
        </w:rPr>
      </w:pPr>
    </w:p>
    <w:p w14:paraId="7A45E56C">
      <w:pPr>
        <w:spacing w:line="360" w:lineRule="auto"/>
        <w:ind w:firstLine="494"/>
        <w:rPr>
          <w:rFonts w:ascii="仿宋" w:hAnsi="仿宋" w:eastAsia="仿宋" w:cs="仿宋"/>
          <w:color w:val="auto"/>
          <w:sz w:val="24"/>
          <w:highlight w:val="none"/>
        </w:rPr>
      </w:pPr>
    </w:p>
    <w:p w14:paraId="455562DB">
      <w:pPr>
        <w:spacing w:line="360" w:lineRule="auto"/>
        <w:ind w:firstLine="494"/>
        <w:rPr>
          <w:rFonts w:ascii="仿宋" w:hAnsi="仿宋" w:eastAsia="仿宋" w:cs="仿宋"/>
          <w:color w:val="auto"/>
          <w:sz w:val="24"/>
          <w:highlight w:val="none"/>
        </w:rPr>
      </w:pPr>
    </w:p>
    <w:p w14:paraId="4DF39EE4">
      <w:pPr>
        <w:spacing w:line="360" w:lineRule="auto"/>
        <w:ind w:firstLine="494"/>
        <w:rPr>
          <w:rFonts w:ascii="仿宋" w:hAnsi="仿宋" w:eastAsia="仿宋" w:cs="仿宋"/>
          <w:color w:val="auto"/>
          <w:sz w:val="24"/>
          <w:highlight w:val="none"/>
        </w:rPr>
      </w:pPr>
    </w:p>
    <w:p w14:paraId="366CBF31">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6D9E2E2A">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238AE83">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0444E284">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w:t>供应商</w:t>
      </w:r>
      <w:r>
        <w:rPr>
          <w:rFonts w:hint="eastAsia" w:ascii="仿宋" w:hAnsi="仿宋" w:eastAsia="仿宋" w:cs="仿宋"/>
          <w:color w:val="auto"/>
          <w:sz w:val="24"/>
          <w:highlight w:val="none"/>
        </w:rPr>
        <w:t>法定名称章（印模）                供应商“XX专用章”（印模）</w:t>
      </w:r>
    </w:p>
    <w:p w14:paraId="54777E0B">
      <w:pPr>
        <w:autoSpaceDE w:val="0"/>
        <w:autoSpaceDN w:val="0"/>
        <w:jc w:val="center"/>
        <w:rPr>
          <w:rFonts w:ascii="仿宋" w:hAnsi="仿宋" w:eastAsia="仿宋" w:cs="仿宋"/>
          <w:b/>
          <w:color w:val="auto"/>
          <w:spacing w:val="6"/>
          <w:sz w:val="32"/>
          <w:szCs w:val="32"/>
          <w:highlight w:val="none"/>
        </w:rPr>
      </w:pPr>
    </w:p>
    <w:p w14:paraId="0CC27910">
      <w:pPr>
        <w:autoSpaceDE w:val="0"/>
        <w:autoSpaceDN w:val="0"/>
        <w:jc w:val="center"/>
        <w:rPr>
          <w:rFonts w:ascii="仿宋" w:hAnsi="仿宋" w:eastAsia="仿宋" w:cs="仿宋"/>
          <w:b/>
          <w:color w:val="auto"/>
          <w:spacing w:val="6"/>
          <w:sz w:val="32"/>
          <w:szCs w:val="32"/>
          <w:highlight w:val="none"/>
        </w:rPr>
      </w:pPr>
    </w:p>
    <w:p w14:paraId="4AEED220">
      <w:pPr>
        <w:autoSpaceDE w:val="0"/>
        <w:autoSpaceDN w:val="0"/>
        <w:jc w:val="center"/>
        <w:rPr>
          <w:rFonts w:ascii="仿宋" w:hAnsi="仿宋" w:eastAsia="仿宋" w:cs="仿宋"/>
          <w:b/>
          <w:color w:val="auto"/>
          <w:spacing w:val="6"/>
          <w:sz w:val="32"/>
          <w:szCs w:val="32"/>
          <w:highlight w:val="none"/>
        </w:rPr>
      </w:pPr>
    </w:p>
    <w:p w14:paraId="0BB1F9A0">
      <w:pPr>
        <w:autoSpaceDE w:val="0"/>
        <w:autoSpaceDN w:val="0"/>
        <w:jc w:val="center"/>
        <w:rPr>
          <w:rFonts w:ascii="仿宋" w:hAnsi="仿宋" w:eastAsia="仿宋" w:cs="仿宋"/>
          <w:b/>
          <w:color w:val="auto"/>
          <w:spacing w:val="6"/>
          <w:sz w:val="32"/>
          <w:szCs w:val="32"/>
          <w:highlight w:val="none"/>
        </w:rPr>
      </w:pPr>
    </w:p>
    <w:p w14:paraId="23D108A8">
      <w:pPr>
        <w:autoSpaceDE w:val="0"/>
        <w:autoSpaceDN w:val="0"/>
        <w:jc w:val="center"/>
        <w:rPr>
          <w:rFonts w:ascii="仿宋" w:hAnsi="仿宋" w:eastAsia="仿宋" w:cs="仿宋"/>
          <w:b/>
          <w:color w:val="auto"/>
          <w:spacing w:val="6"/>
          <w:sz w:val="32"/>
          <w:szCs w:val="32"/>
          <w:highlight w:val="none"/>
        </w:rPr>
      </w:pPr>
    </w:p>
    <w:p w14:paraId="12365B73">
      <w:pPr>
        <w:autoSpaceDE w:val="0"/>
        <w:autoSpaceDN w:val="0"/>
        <w:jc w:val="center"/>
        <w:rPr>
          <w:rFonts w:ascii="仿宋" w:hAnsi="仿宋" w:eastAsia="仿宋" w:cs="仿宋"/>
          <w:b/>
          <w:color w:val="auto"/>
          <w:spacing w:val="6"/>
          <w:sz w:val="32"/>
          <w:szCs w:val="32"/>
          <w:highlight w:val="none"/>
        </w:rPr>
      </w:pPr>
    </w:p>
    <w:p w14:paraId="2C3252E5">
      <w:pPr>
        <w:autoSpaceDE w:val="0"/>
        <w:autoSpaceDN w:val="0"/>
        <w:jc w:val="center"/>
        <w:rPr>
          <w:rFonts w:ascii="仿宋" w:hAnsi="仿宋" w:eastAsia="仿宋" w:cs="仿宋"/>
          <w:b/>
          <w:color w:val="auto"/>
          <w:spacing w:val="6"/>
          <w:sz w:val="32"/>
          <w:szCs w:val="32"/>
          <w:highlight w:val="none"/>
        </w:rPr>
      </w:pPr>
    </w:p>
    <w:p w14:paraId="56914770">
      <w:pPr>
        <w:autoSpaceDE w:val="0"/>
        <w:autoSpaceDN w:val="0"/>
        <w:jc w:val="center"/>
        <w:rPr>
          <w:rFonts w:ascii="仿宋" w:hAnsi="仿宋" w:eastAsia="仿宋" w:cs="仿宋"/>
          <w:b/>
          <w:color w:val="auto"/>
          <w:spacing w:val="6"/>
          <w:sz w:val="32"/>
          <w:szCs w:val="32"/>
          <w:highlight w:val="none"/>
        </w:rPr>
      </w:pPr>
    </w:p>
    <w:p w14:paraId="61F5CC2E">
      <w:pPr>
        <w:autoSpaceDE w:val="0"/>
        <w:autoSpaceDN w:val="0"/>
        <w:jc w:val="center"/>
        <w:rPr>
          <w:rFonts w:ascii="仿宋" w:hAnsi="仿宋" w:eastAsia="仿宋" w:cs="仿宋"/>
          <w:b/>
          <w:color w:val="auto"/>
          <w:spacing w:val="6"/>
          <w:sz w:val="32"/>
          <w:szCs w:val="32"/>
          <w:highlight w:val="none"/>
        </w:rPr>
      </w:pPr>
    </w:p>
    <w:p w14:paraId="3749DEB1">
      <w:pPr>
        <w:autoSpaceDE w:val="0"/>
        <w:autoSpaceDN w:val="0"/>
        <w:jc w:val="center"/>
        <w:rPr>
          <w:rFonts w:ascii="仿宋" w:hAnsi="仿宋" w:eastAsia="仿宋" w:cs="仿宋"/>
          <w:b/>
          <w:color w:val="auto"/>
          <w:spacing w:val="6"/>
          <w:sz w:val="32"/>
          <w:szCs w:val="32"/>
          <w:highlight w:val="none"/>
        </w:rPr>
      </w:pPr>
    </w:p>
    <w:p w14:paraId="0D48FA37">
      <w:pPr>
        <w:autoSpaceDE w:val="0"/>
        <w:autoSpaceDN w:val="0"/>
        <w:jc w:val="center"/>
        <w:rPr>
          <w:rFonts w:ascii="仿宋" w:hAnsi="仿宋" w:eastAsia="仿宋" w:cs="仿宋"/>
          <w:b/>
          <w:color w:val="auto"/>
          <w:spacing w:val="6"/>
          <w:sz w:val="32"/>
          <w:szCs w:val="32"/>
          <w:highlight w:val="none"/>
        </w:rPr>
      </w:pPr>
    </w:p>
    <w:p w14:paraId="4127D49F">
      <w:pPr>
        <w:autoSpaceDE w:val="0"/>
        <w:autoSpaceDN w:val="0"/>
        <w:jc w:val="center"/>
        <w:rPr>
          <w:rFonts w:ascii="仿宋" w:hAnsi="仿宋" w:eastAsia="仿宋" w:cs="仿宋"/>
          <w:b/>
          <w:color w:val="auto"/>
          <w:spacing w:val="6"/>
          <w:sz w:val="32"/>
          <w:szCs w:val="32"/>
          <w:highlight w:val="none"/>
        </w:rPr>
      </w:pPr>
    </w:p>
    <w:p w14:paraId="07493BDD">
      <w:pPr>
        <w:autoSpaceDE w:val="0"/>
        <w:autoSpaceDN w:val="0"/>
        <w:jc w:val="center"/>
        <w:rPr>
          <w:rFonts w:ascii="仿宋" w:hAnsi="仿宋" w:eastAsia="仿宋" w:cs="仿宋"/>
          <w:b/>
          <w:color w:val="auto"/>
          <w:spacing w:val="6"/>
          <w:sz w:val="32"/>
          <w:szCs w:val="32"/>
          <w:highlight w:val="none"/>
        </w:rPr>
      </w:pPr>
    </w:p>
    <w:p w14:paraId="48D19D0F">
      <w:pPr>
        <w:autoSpaceDE w:val="0"/>
        <w:autoSpaceDN w:val="0"/>
        <w:jc w:val="center"/>
        <w:rPr>
          <w:rFonts w:ascii="仿宋" w:hAnsi="仿宋" w:eastAsia="仿宋" w:cs="仿宋"/>
          <w:b/>
          <w:color w:val="auto"/>
          <w:spacing w:val="6"/>
          <w:sz w:val="32"/>
          <w:szCs w:val="32"/>
          <w:highlight w:val="none"/>
        </w:rPr>
      </w:pPr>
    </w:p>
    <w:p w14:paraId="1D89AF44">
      <w:pPr>
        <w:autoSpaceDE w:val="0"/>
        <w:autoSpaceDN w:val="0"/>
        <w:jc w:val="center"/>
        <w:rPr>
          <w:rFonts w:ascii="仿宋" w:hAnsi="仿宋" w:eastAsia="仿宋" w:cs="仿宋"/>
          <w:b/>
          <w:color w:val="auto"/>
          <w:spacing w:val="6"/>
          <w:sz w:val="32"/>
          <w:szCs w:val="32"/>
          <w:highlight w:val="none"/>
        </w:rPr>
      </w:pPr>
    </w:p>
    <w:p w14:paraId="675B37E7">
      <w:pPr>
        <w:autoSpaceDE w:val="0"/>
        <w:autoSpaceDN w:val="0"/>
        <w:jc w:val="center"/>
        <w:rPr>
          <w:rFonts w:ascii="仿宋" w:hAnsi="仿宋" w:eastAsia="仿宋" w:cs="仿宋"/>
          <w:b/>
          <w:color w:val="auto"/>
          <w:spacing w:val="6"/>
          <w:sz w:val="32"/>
          <w:szCs w:val="32"/>
          <w:highlight w:val="none"/>
        </w:rPr>
      </w:pPr>
    </w:p>
    <w:p w14:paraId="13DCCCFB">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6890BC1">
      <w:pPr>
        <w:autoSpaceDE w:val="0"/>
        <w:autoSpaceDN w:val="0"/>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16071A42">
      <w:pPr>
        <w:spacing w:line="360" w:lineRule="auto"/>
        <w:ind w:firstLine="482" w:firstLineChars="200"/>
        <w:rPr>
          <w:rFonts w:ascii="仿宋" w:hAnsi="仿宋" w:eastAsia="仿宋" w:cs="仿宋"/>
          <w:b/>
          <w:color w:val="auto"/>
          <w:sz w:val="24"/>
          <w:highlight w:val="none"/>
        </w:rPr>
      </w:pPr>
    </w:p>
    <w:p w14:paraId="5843691A">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14:paraId="3E44364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 xml:space="preserve">【项目编号：（采购编号）】响应。 </w:t>
      </w:r>
    </w:p>
    <w:p w14:paraId="61F2D4B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14:paraId="00A189A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0E3464A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14:paraId="4ED44C4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D12CB2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75AAC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45A179E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14:paraId="6411C244">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86" w:name="_Hlk101131882"/>
      <w:r>
        <w:rPr>
          <w:rFonts w:hint="eastAsia" w:ascii="仿宋" w:hAnsi="仿宋" w:eastAsia="仿宋" w:cs="仿宋"/>
          <w:color w:val="auto"/>
          <w:kern w:val="0"/>
          <w:sz w:val="24"/>
          <w:highlight w:val="none"/>
          <w:u w:val="single"/>
        </w:rPr>
        <w:t>联合体成员X,……</w:t>
      </w:r>
      <w:bookmarkEnd w:id="386"/>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87"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87"/>
      <w:r>
        <w:rPr>
          <w:rFonts w:hint="eastAsia" w:ascii="仿宋" w:hAnsi="仿宋" w:eastAsia="仿宋" w:cs="仿宋"/>
          <w:b/>
          <w:color w:val="auto"/>
          <w:kern w:val="0"/>
          <w:sz w:val="24"/>
          <w:highlight w:val="none"/>
          <w:lang w:val="zh-CN"/>
        </w:rPr>
        <w:t>）</w:t>
      </w:r>
    </w:p>
    <w:p w14:paraId="7EA7A09E">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388"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388"/>
    </w:p>
    <w:p w14:paraId="56848A5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66B5FF1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14:paraId="1F7A8C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499D07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125D96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254625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ECFE9F3">
      <w:pPr>
        <w:snapToGrid w:val="0"/>
        <w:spacing w:line="360" w:lineRule="auto"/>
        <w:ind w:firstLine="5040" w:firstLineChars="2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744112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9FAB80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4BB060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1B7A414">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1810F3F">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3EA6D65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7DC3F4F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B93F45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3B625F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0CF0764">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9053904">
      <w:pPr>
        <w:ind w:firstLine="30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color w:val="auto"/>
          <w:kern w:val="0"/>
          <w:sz w:val="24"/>
          <w:highlight w:val="none"/>
          <w:lang w:val="zh-CN"/>
        </w:rPr>
        <w:t>二、分包供应商中小企业合同份额（如果有）</w:t>
      </w:r>
    </w:p>
    <w:p w14:paraId="2D5C2586">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AF93557">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E1A60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C484E3F">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7F1DBD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F91E5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49CEC5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0ED98AD">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3864FAB">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C4F274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4CAC7E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E82019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03B8D0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6706F829">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供应商名称(电子签名)：</w:t>
      </w:r>
    </w:p>
    <w:p w14:paraId="2765F675">
      <w:pPr>
        <w:snapToGrid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分包供应商名称(电子签名/公章)：</w:t>
      </w:r>
    </w:p>
    <w:p w14:paraId="43635A1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1672AB6">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651AA2E">
      <w:pPr>
        <w:autoSpaceDE w:val="0"/>
        <w:autoSpaceDN w:val="0"/>
        <w:jc w:val="center"/>
        <w:rPr>
          <w:rFonts w:ascii="仿宋" w:hAnsi="仿宋" w:eastAsia="仿宋" w:cs="仿宋"/>
          <w:b/>
          <w:color w:val="auto"/>
          <w:spacing w:val="6"/>
          <w:sz w:val="32"/>
          <w:szCs w:val="32"/>
          <w:highlight w:val="none"/>
        </w:rPr>
      </w:pPr>
    </w:p>
    <w:p w14:paraId="2574C52C">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A8DBFA6">
      <w:pPr>
        <w:autoSpaceDE w:val="0"/>
        <w:autoSpaceDN w:val="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2E11B9E1">
      <w:pPr>
        <w:spacing w:line="360" w:lineRule="auto"/>
        <w:jc w:val="center"/>
        <w:rPr>
          <w:rFonts w:ascii="仿宋" w:hAnsi="仿宋" w:eastAsia="仿宋" w:cs="仿宋"/>
          <w:color w:val="auto"/>
          <w:sz w:val="24"/>
          <w:highlight w:val="none"/>
          <w:u w:val="single"/>
        </w:rPr>
      </w:pPr>
    </w:p>
    <w:p w14:paraId="5CB8C9CD">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14:paraId="271E970E">
      <w:pPr>
        <w:spacing w:line="360" w:lineRule="auto"/>
        <w:rPr>
          <w:rFonts w:ascii="仿宋" w:hAnsi="仿宋" w:eastAsia="仿宋"/>
          <w:color w:val="auto"/>
          <w:highlight w:val="none"/>
        </w:rPr>
      </w:pPr>
    </w:p>
    <w:p w14:paraId="2110B108">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rPr>
        <w:t>（请填写：单位名称）</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rPr>
        <w:t>的（请填写：项目名称）</w:t>
      </w:r>
      <w:r>
        <w:rPr>
          <w:rFonts w:hint="eastAsia" w:ascii="仿宋" w:hAnsi="仿宋" w:eastAsia="仿宋"/>
          <w:color w:val="auto"/>
          <w:sz w:val="24"/>
          <w:highlight w:val="none"/>
        </w:rPr>
        <w:t>采购活动，服务全部由符合政策要求的中小企业承接。相关企业的具体情况如下：</w:t>
      </w:r>
    </w:p>
    <w:p w14:paraId="3784201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 </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eastAsia="zh-CN"/>
        </w:rPr>
        <w:t>请选择：</w:t>
      </w:r>
      <w:r>
        <w:rPr>
          <w:rFonts w:ascii="仿宋" w:hAnsi="仿宋" w:eastAsia="仿宋"/>
          <w:b/>
          <w:bCs/>
          <w:color w:val="auto"/>
          <w:sz w:val="24"/>
          <w:highlight w:val="none"/>
          <w:u w:val="single"/>
        </w:rPr>
        <w:t xml:space="preserve">中型企业、小型企业、微型企业） </w:t>
      </w:r>
      <w:r>
        <w:rPr>
          <w:rFonts w:hint="eastAsia" w:ascii="仿宋" w:hAnsi="仿宋" w:eastAsia="仿宋"/>
          <w:color w:val="auto"/>
          <w:sz w:val="24"/>
          <w:highlight w:val="none"/>
        </w:rPr>
        <w:t>；</w:t>
      </w:r>
    </w:p>
    <w:p w14:paraId="1E898FA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 </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eastAsia="zh-CN"/>
        </w:rPr>
        <w:t>请选择：</w:t>
      </w:r>
      <w:r>
        <w:rPr>
          <w:rFonts w:ascii="仿宋" w:hAnsi="仿宋" w:eastAsia="仿宋"/>
          <w:b/>
          <w:bCs/>
          <w:color w:val="auto"/>
          <w:sz w:val="24"/>
          <w:highlight w:val="none"/>
          <w:u w:val="single"/>
        </w:rPr>
        <w:t xml:space="preserve">中型企业、小型企业、微型企业） </w:t>
      </w:r>
      <w:r>
        <w:rPr>
          <w:rFonts w:hint="eastAsia" w:ascii="仿宋" w:hAnsi="仿宋" w:eastAsia="仿宋"/>
          <w:color w:val="auto"/>
          <w:sz w:val="24"/>
          <w:highlight w:val="none"/>
        </w:rPr>
        <w:t>；</w:t>
      </w:r>
    </w:p>
    <w:p w14:paraId="5511C71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p>
    <w:p w14:paraId="5629016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14:paraId="567AA00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654C46BA">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lang w:val="en-US" w:eastAsia="zh-CN"/>
        </w:rPr>
        <w:t>供应商</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14:paraId="57215A24">
      <w:pPr>
        <w:spacing w:line="360" w:lineRule="auto"/>
        <w:ind w:right="1120" w:firstLine="5160" w:firstLineChars="2150"/>
        <w:rPr>
          <w:rFonts w:ascii="仿宋" w:hAnsi="仿宋" w:eastAsia="仿宋"/>
          <w:color w:val="auto"/>
          <w:sz w:val="24"/>
          <w:highlight w:val="none"/>
        </w:rPr>
      </w:pPr>
      <w:r>
        <w:rPr>
          <w:rFonts w:hint="eastAsia" w:ascii="仿宋" w:hAnsi="仿宋" w:eastAsia="仿宋"/>
          <w:color w:val="auto"/>
          <w:sz w:val="24"/>
          <w:highlight w:val="none"/>
        </w:rPr>
        <w:t>日</w:t>
      </w:r>
      <w:r>
        <w:rPr>
          <w:rFonts w:ascii="仿宋" w:hAnsi="仿宋" w:eastAsia="仿宋"/>
          <w:color w:val="auto"/>
          <w:sz w:val="24"/>
          <w:highlight w:val="none"/>
        </w:rPr>
        <w:t xml:space="preserve"> </w:t>
      </w:r>
      <w:r>
        <w:rPr>
          <w:rFonts w:hint="eastAsia" w:ascii="仿宋" w:hAnsi="仿宋" w:eastAsia="仿宋"/>
          <w:color w:val="auto"/>
          <w:sz w:val="24"/>
          <w:highlight w:val="none"/>
        </w:rPr>
        <w:t>期：</w:t>
      </w:r>
    </w:p>
    <w:p w14:paraId="72E3AF3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1、填写要求：</w:t>
      </w:r>
    </w:p>
    <w:p w14:paraId="5F912F6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①从业人员、营业收入、资产总额填报上一年度数据，无上一年度数据的新成立企业可不填报；</w:t>
      </w:r>
    </w:p>
    <w:p w14:paraId="089DE7A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②中型企业、小型企业、微型企业等3种企业类型，结合以上数据，依据《中小企业划型标准规定》（工信部联企业〔2011〕300号）确定；</w:t>
      </w:r>
    </w:p>
    <w:p w14:paraId="6FAAEBDE">
      <w:pPr>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u w:val="single"/>
        </w:rPr>
        <w:t>本项目</w:t>
      </w:r>
      <w:r>
        <w:rPr>
          <w:rFonts w:hint="eastAsia" w:ascii="仿宋" w:hAnsi="仿宋" w:eastAsia="仿宋"/>
          <w:b/>
          <w:bCs/>
          <w:color w:val="auto"/>
          <w:sz w:val="24"/>
          <w:highlight w:val="none"/>
          <w:u w:val="single"/>
          <w:lang w:val="en-US" w:eastAsia="zh-CN"/>
        </w:rPr>
        <w:t>标的：杭州市滨江区智慧养老呼叫综合服务项目</w:t>
      </w:r>
      <w:r>
        <w:rPr>
          <w:rFonts w:hint="eastAsia" w:ascii="仿宋" w:hAnsi="仿宋" w:eastAsia="仿宋"/>
          <w:b/>
          <w:bCs/>
          <w:color w:val="auto"/>
          <w:sz w:val="24"/>
          <w:highlight w:val="none"/>
          <w:u w:val="single"/>
        </w:rPr>
        <w:t>，属于【</w:t>
      </w:r>
      <w:r>
        <w:rPr>
          <w:rFonts w:hint="eastAsia" w:ascii="仿宋" w:hAnsi="仿宋" w:eastAsia="仿宋"/>
          <w:b/>
          <w:bCs/>
          <w:color w:val="auto"/>
          <w:sz w:val="24"/>
          <w:highlight w:val="none"/>
          <w:u w:val="single"/>
          <w:lang w:val="en-US" w:eastAsia="zh-CN"/>
        </w:rPr>
        <w:t>其他未列明</w:t>
      </w:r>
      <w:r>
        <w:rPr>
          <w:rFonts w:hint="eastAsia" w:ascii="仿宋" w:hAnsi="仿宋" w:eastAsia="仿宋" w:cs="仿宋"/>
          <w:b/>
          <w:bCs/>
          <w:color w:val="auto"/>
          <w:kern w:val="0"/>
          <w:sz w:val="24"/>
          <w:highlight w:val="none"/>
          <w:u w:val="single"/>
        </w:rPr>
        <w:t>行业</w:t>
      </w:r>
      <w:r>
        <w:rPr>
          <w:rFonts w:hint="eastAsia" w:ascii="仿宋" w:hAnsi="仿宋" w:eastAsia="仿宋"/>
          <w:b/>
          <w:bCs/>
          <w:color w:val="auto"/>
          <w:sz w:val="24"/>
          <w:highlight w:val="none"/>
          <w:u w:val="single"/>
        </w:rPr>
        <w:t>】</w:t>
      </w:r>
      <w:r>
        <w:rPr>
          <w:rFonts w:hint="eastAsia" w:ascii="仿宋" w:hAnsi="仿宋" w:eastAsia="仿宋"/>
          <w:b/>
          <w:bCs/>
          <w:color w:val="auto"/>
          <w:sz w:val="24"/>
          <w:highlight w:val="none"/>
          <w:u w:val="single"/>
          <w:lang w:eastAsia="zh-CN"/>
        </w:rPr>
        <w:t>。</w:t>
      </w:r>
      <w:r>
        <w:rPr>
          <w:rFonts w:hint="eastAsia" w:ascii="仿宋" w:hAnsi="仿宋" w:eastAsia="仿宋"/>
          <w:b/>
          <w:bCs/>
          <w:color w:val="auto"/>
          <w:sz w:val="24"/>
          <w:highlight w:val="none"/>
        </w:rPr>
        <w:t>业人员300人以下的为中小微型企业。其中，从业人员100人及以上的为中型企业；从业人员10人及以上的为小型企业；从业人员10人以下的为微型企业。</w:t>
      </w:r>
    </w:p>
    <w:p w14:paraId="5201688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③投标人提供的《中小企业声明函》与实际情况不符的或者未按以上要求填写的，中小企业声明函无效，不享受中小企业扶持政策。声明内容不实的，属于提供虚假材料谋取中标、成交的，依法承担法律责任。</w:t>
      </w:r>
    </w:p>
    <w:p w14:paraId="287276C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3E7769">
      <w:pPr>
        <w:spacing w:line="360" w:lineRule="auto"/>
        <w:ind w:left="150"/>
        <w:jc w:val="center"/>
        <w:rPr>
          <w:rFonts w:ascii="仿宋" w:hAnsi="仿宋" w:eastAsia="仿宋" w:cs="仿宋_GB2312"/>
          <w:b/>
          <w:color w:val="auto"/>
          <w:sz w:val="32"/>
          <w:szCs w:val="32"/>
          <w:highlight w:val="none"/>
        </w:rPr>
      </w:pPr>
    </w:p>
    <w:p w14:paraId="3C2A41D0">
      <w:pPr>
        <w:rPr>
          <w:rFonts w:ascii="仿宋" w:hAnsi="仿宋" w:eastAsia="仿宋" w:cs="仿宋"/>
          <w:color w:val="auto"/>
          <w:highlight w:val="none"/>
        </w:rPr>
      </w:pPr>
    </w:p>
    <w:sectPr>
      <w:headerReference r:id="rId26" w:type="first"/>
      <w:footerReference r:id="rId28" w:type="first"/>
      <w:headerReference r:id="rId25" w:type="default"/>
      <w:footerReference r:id="rId27" w:type="default"/>
      <w:pgSz w:w="11906" w:h="16838"/>
      <w:pgMar w:top="1134" w:right="1417" w:bottom="1134"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77B79">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3636D">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C3636D">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1AC1C">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EB68E">
                          <w:pPr>
                            <w:pStyle w:val="40"/>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ACEB68E">
                    <w:pPr>
                      <w:pStyle w:val="40"/>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7930F">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A3D98">
                          <w:pPr>
                            <w:pStyle w:val="4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AEA3D98">
                    <w:pPr>
                      <w:pStyle w:val="4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238BF">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01B7B">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0A01B7B">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EC8E2">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94BE5">
                          <w:pPr>
                            <w:pStyle w:val="40"/>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5194BE5">
                    <w:pPr>
                      <w:pStyle w:val="40"/>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9E6CD">
    <w:pPr>
      <w:pStyle w:val="40"/>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279E2">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0B279E2">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F3D5D">
    <w:pPr>
      <w:pStyle w:val="40"/>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1C143">
                          <w:pPr>
                            <w:pStyle w:val="40"/>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AE1C143">
                    <w:pPr>
                      <w:pStyle w:val="40"/>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E6DC0">
    <w:pPr>
      <w:rPr>
        <w:rFonts w:ascii="仿宋_GB2312" w:eastAsia="仿宋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F7C82">
                          <w:pPr>
                            <w:pStyle w:val="40"/>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4AF7C82">
                    <w:pPr>
                      <w:pStyle w:val="40"/>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1491B">
    <w:pPr>
      <w:rPr>
        <w:rFonts w:ascii="仿宋_GB2312" w:eastAsia="仿宋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CCE57">
                          <w:pPr>
                            <w:pStyle w:val="40"/>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F0CCE57">
                    <w:pPr>
                      <w:pStyle w:val="40"/>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5975B">
    <w:pPr>
      <w:pStyle w:val="40"/>
      <w:framePr w:wrap="around" w:vAnchor="text" w:hAnchor="margin" w:xAlign="right" w:y="1"/>
      <w:rPr>
        <w:rStyle w:val="73"/>
      </w:rPr>
    </w:pPr>
    <w:r>
      <w:fldChar w:fldCharType="begin"/>
    </w:r>
    <w:r>
      <w:rPr>
        <w:rStyle w:val="73"/>
      </w:rPr>
      <w:instrText xml:space="preserve">PAGE  </w:instrText>
    </w:r>
    <w:r>
      <w:fldChar w:fldCharType="end"/>
    </w:r>
  </w:p>
  <w:p w14:paraId="12FEF42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F1693">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CD202">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3CD202">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9CE3">
    <w:pPr>
      <w:pStyle w:val="40"/>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B82E4">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CB82E4">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15C1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75728">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E05E2">
                          <w:pPr>
                            <w:pStyle w:val="4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82E05E2">
                    <w:pPr>
                      <w:pStyle w:val="4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9EBB1">
    <w:pPr>
      <w:pStyle w:val="40"/>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E1D06">
                          <w:pPr>
                            <w:pStyle w:val="40"/>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A7E1D06">
                    <w:pPr>
                      <w:pStyle w:val="40"/>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CDFB7">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8B867">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458B867">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E4E84">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37E71">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6A37E71">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3576E">
    <w:pPr>
      <w:pStyle w:val="42"/>
      <w:pBdr>
        <w:bottom w:val="single" w:color="auto" w:sz="6" w:space="0"/>
      </w:pBdr>
      <w:jc w:val="right"/>
      <w:rPr>
        <w:rFonts w:ascii="仿宋_GB2312" w:eastAsia="仿宋_GB2312"/>
        <w:i/>
        <w:u w:val="single"/>
      </w:rPr>
    </w:pPr>
    <w:r>
      <w:rPr>
        <w:sz w:val="18"/>
        <w:szCs w:val="18"/>
        <w:highlight w:val="none"/>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44749">
    <w:pPr>
      <w:pStyle w:val="42"/>
      <w:pBdr>
        <w:bottom w:val="single" w:color="auto" w:sz="6" w:space="0"/>
      </w:pBdr>
      <w:tabs>
        <w:tab w:val="center" w:pos="4535"/>
        <w:tab w:val="right" w:pos="9070"/>
        <w:tab w:val="clear" w:pos="4153"/>
        <w:tab w:val="clear" w:pos="8306"/>
      </w:tabs>
      <w:jc w:val="right"/>
    </w:pPr>
    <w:r>
      <w:rPr>
        <w:sz w:val="18"/>
        <w:szCs w:val="18"/>
        <w:highlight w:val="none"/>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C188A">
    <w:pPr>
      <w:pStyle w:val="42"/>
      <w:pBdr>
        <w:bottom w:val="single" w:color="auto" w:sz="6" w:space="0"/>
      </w:pBdr>
      <w:jc w:val="right"/>
    </w:pPr>
    <w:r>
      <w:rPr>
        <w:sz w:val="18"/>
        <w:szCs w:val="18"/>
        <w:highlight w:val="none"/>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17469">
    <w:pPr>
      <w:pStyle w:val="42"/>
      <w:pBdr>
        <w:bottom w:val="single" w:color="auto" w:sz="6" w:space="0"/>
      </w:pBdr>
      <w:jc w:val="right"/>
    </w:pPr>
    <w:r>
      <w:rPr>
        <w:sz w:val="18"/>
        <w:szCs w:val="18"/>
        <w:highlight w:val="none"/>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16256">
    <w:pPr>
      <w:pStyle w:val="42"/>
      <w:pBdr>
        <w:bottom w:val="single" w:color="auto" w:sz="6" w:space="0"/>
      </w:pBdr>
      <w:jc w:val="right"/>
    </w:pPr>
    <w:r>
      <w:t></w:t>
    </w:r>
    <w:r>
      <w:rPr>
        <w:sz w:val="18"/>
        <w:szCs w:val="18"/>
        <w:highlight w:val="none"/>
      </w:rPr>
      <w:t>杭州市政府采购</w:t>
    </w:r>
    <w:r>
      <w:rPr>
        <w:rFonts w:hint="eastAsia"/>
        <w:lang w:val="zh-CN"/>
      </w:rPr>
      <w:t>竞争性磋商文件</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589AC">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rPr>
      <w:t>浙江省</w:t>
    </w:r>
    <w:r>
      <w:rPr>
        <w:lang w:val="zh-CN"/>
      </w:rPr>
      <w:t>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3FFB5">
    <w:pPr>
      <w:pStyle w:val="42"/>
    </w:pPr>
    <w:r>
      <w:rPr>
        <w:rFonts w:hint="eastAsia"/>
        <w:sz w:val="18"/>
        <w:szCs w:val="18"/>
        <w:highlight w:val="none"/>
        <w:lang w:val="en-US" w:eastAsia="zh-CN"/>
      </w:rPr>
      <w:t xml:space="preserve">        </w:t>
    </w:r>
    <w:r>
      <w:rPr>
        <w:sz w:val="18"/>
        <w:szCs w:val="18"/>
        <w:highlight w:val="none"/>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22E71">
    <w:pPr>
      <w:pStyle w:val="42"/>
      <w:rPr>
        <w:rFonts w:ascii="仿宋_GB2312" w:eastAsia="仿宋_GB2312"/>
        <w:b/>
        <w:i/>
        <w:u w:val="single"/>
      </w:rPr>
    </w:pPr>
    <w:r>
      <w:rPr>
        <w:rFonts w:hint="eastAsia" w:ascii="仿宋" w:hAnsi="仿宋" w:eastAsia="仿宋" w:cs="仿宋"/>
        <w:lang w:val="en-US" w:eastAsia="zh-CN"/>
      </w:rPr>
      <w:t xml:space="preserve">                                                                      </w:t>
    </w:r>
    <w:r>
      <w:rPr>
        <w:sz w:val="18"/>
        <w:szCs w:val="18"/>
        <w:highlight w:val="none"/>
      </w:rPr>
      <w:t>杭州市政府采购</w:t>
    </w:r>
    <w:r>
      <w:rPr>
        <w:rFonts w:hint="eastAsia"/>
        <w:lang w:val="zh-CN"/>
      </w:rPr>
      <w:t>竞争性磋商文件</w:t>
    </w:r>
    <w:r>
      <w:rPr>
        <w:rFonts w:hint="eastAsia" w:ascii="仿宋" w:hAnsi="仿宋" w:eastAsia="仿宋" w:cs="仿宋"/>
      </w:rPr>
      <w:t xml:space="preserve"> </w:t>
    </w:r>
  </w:p>
  <w:p w14:paraId="391280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61B8F">
    <w:pPr>
      <w:pStyle w:val="42"/>
    </w:pPr>
    <w:r>
      <w:t></w:t>
    </w:r>
    <w:r>
      <w:rPr>
        <w:rFonts w:hint="eastAsia"/>
        <w:lang w:val="en-US" w:eastAsia="zh-CN"/>
      </w:rPr>
      <w:t xml:space="preserve">                                                         </w:t>
    </w:r>
    <w:r>
      <w:rPr>
        <w:sz w:val="18"/>
        <w:szCs w:val="18"/>
        <w:highlight w:val="none"/>
      </w:rPr>
      <w:t>杭州市政府采购</w:t>
    </w:r>
    <w:r>
      <w:rPr>
        <w:rFonts w:hint="eastAsia"/>
        <w:lang w:val="zh-CN"/>
      </w:rPr>
      <w:t>竞争性磋商文件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03"/>
    <w:multiLevelType w:val="multilevel"/>
    <w:tmpl w:val="0000000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
    <w:nsid w:val="00000004"/>
    <w:multiLevelType w:val="multilevel"/>
    <w:tmpl w:val="00000004"/>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TQwYTUzZDNhMjVhNGQzYTY5NDg1ODIzYWJkOGMifQ=="/>
  </w:docVars>
  <w:rsids>
    <w:rsidRoot w:val="00172A27"/>
    <w:rsid w:val="00000451"/>
    <w:rsid w:val="0000108B"/>
    <w:rsid w:val="0000133D"/>
    <w:rsid w:val="00001509"/>
    <w:rsid w:val="000032B2"/>
    <w:rsid w:val="0000363B"/>
    <w:rsid w:val="0000453F"/>
    <w:rsid w:val="0000549C"/>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6B03"/>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C7B"/>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78F"/>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3B2"/>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DBF"/>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7D9"/>
    <w:rsid w:val="003A1804"/>
    <w:rsid w:val="003A1C44"/>
    <w:rsid w:val="003A20D5"/>
    <w:rsid w:val="003A24CC"/>
    <w:rsid w:val="003A2512"/>
    <w:rsid w:val="003A2A53"/>
    <w:rsid w:val="003A2EE8"/>
    <w:rsid w:val="003A373C"/>
    <w:rsid w:val="003A5378"/>
    <w:rsid w:val="003A550C"/>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F31"/>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60"/>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84"/>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BF"/>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6E0"/>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B7F81"/>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0E5"/>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801"/>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73"/>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3E"/>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1F0"/>
    <w:rsid w:val="00861763"/>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DA8"/>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5990"/>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3CE"/>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E64"/>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1D6"/>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B46"/>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241"/>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699"/>
    <w:rsid w:val="00A63EA5"/>
    <w:rsid w:val="00A64545"/>
    <w:rsid w:val="00A645AC"/>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B85"/>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2C49"/>
    <w:rsid w:val="00AD3132"/>
    <w:rsid w:val="00AD3DA6"/>
    <w:rsid w:val="00AD3F3C"/>
    <w:rsid w:val="00AD3F60"/>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0C09"/>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C85"/>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5ED"/>
    <w:rsid w:val="00B478D8"/>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1F3A"/>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A68"/>
    <w:rsid w:val="00B91B61"/>
    <w:rsid w:val="00B9336B"/>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3D3"/>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01F"/>
    <w:rsid w:val="00C0378E"/>
    <w:rsid w:val="00C04314"/>
    <w:rsid w:val="00C04BD0"/>
    <w:rsid w:val="00C05730"/>
    <w:rsid w:val="00C05AF4"/>
    <w:rsid w:val="00C05AFD"/>
    <w:rsid w:val="00C0661C"/>
    <w:rsid w:val="00C0675F"/>
    <w:rsid w:val="00C06ECC"/>
    <w:rsid w:val="00C0702A"/>
    <w:rsid w:val="00C0724C"/>
    <w:rsid w:val="00C0765D"/>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633"/>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C43"/>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CE8"/>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47B"/>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4F28"/>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983"/>
    <w:rsid w:val="00DE0229"/>
    <w:rsid w:val="00DE04E0"/>
    <w:rsid w:val="00DE12F1"/>
    <w:rsid w:val="00DE1A9B"/>
    <w:rsid w:val="00DE1A9D"/>
    <w:rsid w:val="00DE1CB1"/>
    <w:rsid w:val="00DE1EA4"/>
    <w:rsid w:val="00DE2073"/>
    <w:rsid w:val="00DE30AC"/>
    <w:rsid w:val="00DE38D1"/>
    <w:rsid w:val="00DE4106"/>
    <w:rsid w:val="00DE466B"/>
    <w:rsid w:val="00DE48F4"/>
    <w:rsid w:val="00DE53ED"/>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6FFB"/>
    <w:rsid w:val="00E07B8F"/>
    <w:rsid w:val="00E10712"/>
    <w:rsid w:val="00E10DD1"/>
    <w:rsid w:val="00E1224C"/>
    <w:rsid w:val="00E1254C"/>
    <w:rsid w:val="00E12BDF"/>
    <w:rsid w:val="00E13326"/>
    <w:rsid w:val="00E13D07"/>
    <w:rsid w:val="00E13E71"/>
    <w:rsid w:val="00E14356"/>
    <w:rsid w:val="00E14961"/>
    <w:rsid w:val="00E14D76"/>
    <w:rsid w:val="00E15105"/>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42A"/>
    <w:rsid w:val="00E519FE"/>
    <w:rsid w:val="00E5206C"/>
    <w:rsid w:val="00E52A61"/>
    <w:rsid w:val="00E52AAB"/>
    <w:rsid w:val="00E5448E"/>
    <w:rsid w:val="00E54E0D"/>
    <w:rsid w:val="00E55247"/>
    <w:rsid w:val="00E558E5"/>
    <w:rsid w:val="00E55B3C"/>
    <w:rsid w:val="00E5642E"/>
    <w:rsid w:val="00E56795"/>
    <w:rsid w:val="00E56EC6"/>
    <w:rsid w:val="00E57932"/>
    <w:rsid w:val="00E606C4"/>
    <w:rsid w:val="00E60811"/>
    <w:rsid w:val="00E60AB8"/>
    <w:rsid w:val="00E60F75"/>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AF"/>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754"/>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1BA"/>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DBD"/>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558"/>
    <w:rsid w:val="00F10B81"/>
    <w:rsid w:val="00F10BC9"/>
    <w:rsid w:val="00F113C9"/>
    <w:rsid w:val="00F11A84"/>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CC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2D7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58"/>
    <w:rsid w:val="00FB63F6"/>
    <w:rsid w:val="00FB7308"/>
    <w:rsid w:val="00FB7823"/>
    <w:rsid w:val="00FC05B2"/>
    <w:rsid w:val="00FC08B3"/>
    <w:rsid w:val="00FC09D7"/>
    <w:rsid w:val="00FC0ABE"/>
    <w:rsid w:val="00FC1269"/>
    <w:rsid w:val="00FC22D0"/>
    <w:rsid w:val="00FC38D4"/>
    <w:rsid w:val="00FC391E"/>
    <w:rsid w:val="00FC39B3"/>
    <w:rsid w:val="00FC3BB7"/>
    <w:rsid w:val="00FC3D15"/>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76248"/>
    <w:rsid w:val="01654A20"/>
    <w:rsid w:val="016C170E"/>
    <w:rsid w:val="01912AEC"/>
    <w:rsid w:val="01973B44"/>
    <w:rsid w:val="019F1377"/>
    <w:rsid w:val="019F7441"/>
    <w:rsid w:val="01B37585"/>
    <w:rsid w:val="01D55165"/>
    <w:rsid w:val="01DF6BF8"/>
    <w:rsid w:val="01E7687A"/>
    <w:rsid w:val="01EC257A"/>
    <w:rsid w:val="01EC2C57"/>
    <w:rsid w:val="01EC3E90"/>
    <w:rsid w:val="020044B1"/>
    <w:rsid w:val="020F047F"/>
    <w:rsid w:val="024C67A6"/>
    <w:rsid w:val="025F0711"/>
    <w:rsid w:val="02663C42"/>
    <w:rsid w:val="026B2E25"/>
    <w:rsid w:val="02824D4D"/>
    <w:rsid w:val="02AC112D"/>
    <w:rsid w:val="02AF1D34"/>
    <w:rsid w:val="02DC4B10"/>
    <w:rsid w:val="02DD76CE"/>
    <w:rsid w:val="02F36323"/>
    <w:rsid w:val="02F5619C"/>
    <w:rsid w:val="031418F0"/>
    <w:rsid w:val="03253AFD"/>
    <w:rsid w:val="0326446A"/>
    <w:rsid w:val="032D5555"/>
    <w:rsid w:val="036634D2"/>
    <w:rsid w:val="037C523C"/>
    <w:rsid w:val="037E3BD2"/>
    <w:rsid w:val="03860DFF"/>
    <w:rsid w:val="03904403"/>
    <w:rsid w:val="0397458B"/>
    <w:rsid w:val="03DD35E4"/>
    <w:rsid w:val="03DE5A5A"/>
    <w:rsid w:val="03FA6D38"/>
    <w:rsid w:val="04076900"/>
    <w:rsid w:val="040B06F3"/>
    <w:rsid w:val="041A5A3B"/>
    <w:rsid w:val="042311BA"/>
    <w:rsid w:val="042B157A"/>
    <w:rsid w:val="04657F2A"/>
    <w:rsid w:val="048F763B"/>
    <w:rsid w:val="049F330E"/>
    <w:rsid w:val="04AA775C"/>
    <w:rsid w:val="04AF1889"/>
    <w:rsid w:val="04B648BA"/>
    <w:rsid w:val="04C64E6C"/>
    <w:rsid w:val="04F66F48"/>
    <w:rsid w:val="04FC088E"/>
    <w:rsid w:val="05092FAB"/>
    <w:rsid w:val="051A29C5"/>
    <w:rsid w:val="051B364E"/>
    <w:rsid w:val="05251E14"/>
    <w:rsid w:val="0563090D"/>
    <w:rsid w:val="058A40EC"/>
    <w:rsid w:val="05A12B01"/>
    <w:rsid w:val="05A16594"/>
    <w:rsid w:val="05A7762D"/>
    <w:rsid w:val="05F23A3F"/>
    <w:rsid w:val="05FC28AF"/>
    <w:rsid w:val="060E5941"/>
    <w:rsid w:val="06110FAF"/>
    <w:rsid w:val="061E21DC"/>
    <w:rsid w:val="063C6B40"/>
    <w:rsid w:val="06493CA7"/>
    <w:rsid w:val="06520404"/>
    <w:rsid w:val="065538E9"/>
    <w:rsid w:val="065A6178"/>
    <w:rsid w:val="066F1CF3"/>
    <w:rsid w:val="067B1C86"/>
    <w:rsid w:val="067C1BE8"/>
    <w:rsid w:val="068E6580"/>
    <w:rsid w:val="06930BB8"/>
    <w:rsid w:val="06AB5DB6"/>
    <w:rsid w:val="06FA5386"/>
    <w:rsid w:val="07245D42"/>
    <w:rsid w:val="07264C62"/>
    <w:rsid w:val="07283BBC"/>
    <w:rsid w:val="072B28EB"/>
    <w:rsid w:val="07754928"/>
    <w:rsid w:val="0779354C"/>
    <w:rsid w:val="077B25F3"/>
    <w:rsid w:val="078B7CA7"/>
    <w:rsid w:val="07C02047"/>
    <w:rsid w:val="08061376"/>
    <w:rsid w:val="081B102B"/>
    <w:rsid w:val="08206641"/>
    <w:rsid w:val="083E3532"/>
    <w:rsid w:val="08452D77"/>
    <w:rsid w:val="085D1644"/>
    <w:rsid w:val="086401F8"/>
    <w:rsid w:val="08751CAA"/>
    <w:rsid w:val="087E4C40"/>
    <w:rsid w:val="0882554E"/>
    <w:rsid w:val="088678C1"/>
    <w:rsid w:val="08A871D0"/>
    <w:rsid w:val="08D66AD6"/>
    <w:rsid w:val="08DA33A3"/>
    <w:rsid w:val="08E80F13"/>
    <w:rsid w:val="08FF26FB"/>
    <w:rsid w:val="09335624"/>
    <w:rsid w:val="0944690F"/>
    <w:rsid w:val="09535675"/>
    <w:rsid w:val="095F057D"/>
    <w:rsid w:val="09616F12"/>
    <w:rsid w:val="09642282"/>
    <w:rsid w:val="09733572"/>
    <w:rsid w:val="09772C16"/>
    <w:rsid w:val="098353B5"/>
    <w:rsid w:val="09A92330"/>
    <w:rsid w:val="09B06B87"/>
    <w:rsid w:val="09C13146"/>
    <w:rsid w:val="09CB190D"/>
    <w:rsid w:val="09E04166"/>
    <w:rsid w:val="0A1C0718"/>
    <w:rsid w:val="0A3E7710"/>
    <w:rsid w:val="0A4E393A"/>
    <w:rsid w:val="0A4F471E"/>
    <w:rsid w:val="0A530E84"/>
    <w:rsid w:val="0A5569D9"/>
    <w:rsid w:val="0A5B7E63"/>
    <w:rsid w:val="0A6E7EBE"/>
    <w:rsid w:val="0A703465"/>
    <w:rsid w:val="0A936CF7"/>
    <w:rsid w:val="0AA374A5"/>
    <w:rsid w:val="0AAB7649"/>
    <w:rsid w:val="0ABC5606"/>
    <w:rsid w:val="0ABE0AF3"/>
    <w:rsid w:val="0ACC2AB1"/>
    <w:rsid w:val="0AD025A1"/>
    <w:rsid w:val="0AF75B55"/>
    <w:rsid w:val="0B30404E"/>
    <w:rsid w:val="0B3348DE"/>
    <w:rsid w:val="0B3741C1"/>
    <w:rsid w:val="0B444D3D"/>
    <w:rsid w:val="0B4C599F"/>
    <w:rsid w:val="0B4C6C14"/>
    <w:rsid w:val="0B4E34C6"/>
    <w:rsid w:val="0B547599"/>
    <w:rsid w:val="0B5F7EE5"/>
    <w:rsid w:val="0B631A88"/>
    <w:rsid w:val="0B683D45"/>
    <w:rsid w:val="0B7F3F11"/>
    <w:rsid w:val="0B884417"/>
    <w:rsid w:val="0BC1638D"/>
    <w:rsid w:val="0BF6188C"/>
    <w:rsid w:val="0BF73C91"/>
    <w:rsid w:val="0C170175"/>
    <w:rsid w:val="0C196264"/>
    <w:rsid w:val="0C571A41"/>
    <w:rsid w:val="0C5C1171"/>
    <w:rsid w:val="0C5E1CBC"/>
    <w:rsid w:val="0C615B50"/>
    <w:rsid w:val="0C772825"/>
    <w:rsid w:val="0C782EF0"/>
    <w:rsid w:val="0C8445DA"/>
    <w:rsid w:val="0C87121B"/>
    <w:rsid w:val="0CC007F7"/>
    <w:rsid w:val="0CC617AC"/>
    <w:rsid w:val="0CE618DF"/>
    <w:rsid w:val="0CFE707A"/>
    <w:rsid w:val="0D063BDA"/>
    <w:rsid w:val="0D08375F"/>
    <w:rsid w:val="0D184CFB"/>
    <w:rsid w:val="0D490B57"/>
    <w:rsid w:val="0D4A7419"/>
    <w:rsid w:val="0D523741"/>
    <w:rsid w:val="0D6E42F3"/>
    <w:rsid w:val="0D7C6A10"/>
    <w:rsid w:val="0D7F4CA0"/>
    <w:rsid w:val="0D827401"/>
    <w:rsid w:val="0D84094E"/>
    <w:rsid w:val="0D8A00E9"/>
    <w:rsid w:val="0D8D589E"/>
    <w:rsid w:val="0D98311E"/>
    <w:rsid w:val="0D9E6986"/>
    <w:rsid w:val="0DA01C73"/>
    <w:rsid w:val="0DAD015A"/>
    <w:rsid w:val="0DCC3974"/>
    <w:rsid w:val="0DD63300"/>
    <w:rsid w:val="0DEC273E"/>
    <w:rsid w:val="0DF50604"/>
    <w:rsid w:val="0DF702FE"/>
    <w:rsid w:val="0DF8744A"/>
    <w:rsid w:val="0E060E51"/>
    <w:rsid w:val="0E0B6ADF"/>
    <w:rsid w:val="0E5604B2"/>
    <w:rsid w:val="0E6B5A05"/>
    <w:rsid w:val="0E6D5D79"/>
    <w:rsid w:val="0E763AE6"/>
    <w:rsid w:val="0E924011"/>
    <w:rsid w:val="0E9B4C74"/>
    <w:rsid w:val="0E9D0089"/>
    <w:rsid w:val="0EB803EE"/>
    <w:rsid w:val="0EC25C56"/>
    <w:rsid w:val="0EF94D4B"/>
    <w:rsid w:val="0F065A79"/>
    <w:rsid w:val="0F4958DC"/>
    <w:rsid w:val="0F495B91"/>
    <w:rsid w:val="0F515DF7"/>
    <w:rsid w:val="0F596BA8"/>
    <w:rsid w:val="0F6248D2"/>
    <w:rsid w:val="0F693536"/>
    <w:rsid w:val="0F7B0511"/>
    <w:rsid w:val="0F7B76D9"/>
    <w:rsid w:val="0F816ACD"/>
    <w:rsid w:val="0F865924"/>
    <w:rsid w:val="0F9832DB"/>
    <w:rsid w:val="0F9C6EF5"/>
    <w:rsid w:val="0FA072BB"/>
    <w:rsid w:val="0FBF3FD2"/>
    <w:rsid w:val="0FBF7FF3"/>
    <w:rsid w:val="0FFA3C1C"/>
    <w:rsid w:val="10423AF9"/>
    <w:rsid w:val="1045758D"/>
    <w:rsid w:val="10646583"/>
    <w:rsid w:val="106D1B47"/>
    <w:rsid w:val="106F1968"/>
    <w:rsid w:val="10710382"/>
    <w:rsid w:val="107D4B15"/>
    <w:rsid w:val="108A3C80"/>
    <w:rsid w:val="10A50A13"/>
    <w:rsid w:val="10AD0034"/>
    <w:rsid w:val="10B57261"/>
    <w:rsid w:val="10C26171"/>
    <w:rsid w:val="10C50464"/>
    <w:rsid w:val="10D66437"/>
    <w:rsid w:val="10E433F2"/>
    <w:rsid w:val="10F33360"/>
    <w:rsid w:val="10FC16EA"/>
    <w:rsid w:val="10FD54F6"/>
    <w:rsid w:val="110053B7"/>
    <w:rsid w:val="110F1D40"/>
    <w:rsid w:val="11166833"/>
    <w:rsid w:val="11266F33"/>
    <w:rsid w:val="116437BE"/>
    <w:rsid w:val="118963A1"/>
    <w:rsid w:val="11B13894"/>
    <w:rsid w:val="11C6522A"/>
    <w:rsid w:val="11D0062A"/>
    <w:rsid w:val="11E104CC"/>
    <w:rsid w:val="11E20309"/>
    <w:rsid w:val="11E20FE3"/>
    <w:rsid w:val="11F272A1"/>
    <w:rsid w:val="12115118"/>
    <w:rsid w:val="121323EB"/>
    <w:rsid w:val="12152F8F"/>
    <w:rsid w:val="12180655"/>
    <w:rsid w:val="121A5D2A"/>
    <w:rsid w:val="12255233"/>
    <w:rsid w:val="12386C7D"/>
    <w:rsid w:val="123D1F84"/>
    <w:rsid w:val="12530213"/>
    <w:rsid w:val="127723A9"/>
    <w:rsid w:val="127F3D16"/>
    <w:rsid w:val="12862074"/>
    <w:rsid w:val="128819B3"/>
    <w:rsid w:val="12883966"/>
    <w:rsid w:val="12976279"/>
    <w:rsid w:val="129E45B4"/>
    <w:rsid w:val="12C55009"/>
    <w:rsid w:val="12C751DA"/>
    <w:rsid w:val="12D81596"/>
    <w:rsid w:val="12D86639"/>
    <w:rsid w:val="12DB3CF2"/>
    <w:rsid w:val="12E60488"/>
    <w:rsid w:val="13072A44"/>
    <w:rsid w:val="130D1EB8"/>
    <w:rsid w:val="130D3C66"/>
    <w:rsid w:val="132A0E79"/>
    <w:rsid w:val="13373F63"/>
    <w:rsid w:val="135F4BE2"/>
    <w:rsid w:val="1360023A"/>
    <w:rsid w:val="1390516E"/>
    <w:rsid w:val="139B1A0A"/>
    <w:rsid w:val="139D148E"/>
    <w:rsid w:val="139D25C7"/>
    <w:rsid w:val="139F29B9"/>
    <w:rsid w:val="13BF3CE4"/>
    <w:rsid w:val="140E7396"/>
    <w:rsid w:val="141008D8"/>
    <w:rsid w:val="14125FE6"/>
    <w:rsid w:val="142851FC"/>
    <w:rsid w:val="142B0848"/>
    <w:rsid w:val="143B6111"/>
    <w:rsid w:val="144F6201"/>
    <w:rsid w:val="14522278"/>
    <w:rsid w:val="14592A92"/>
    <w:rsid w:val="146D271E"/>
    <w:rsid w:val="14700951"/>
    <w:rsid w:val="14982588"/>
    <w:rsid w:val="149A5AD9"/>
    <w:rsid w:val="14A5684C"/>
    <w:rsid w:val="14A7619D"/>
    <w:rsid w:val="14C842E9"/>
    <w:rsid w:val="14D7452C"/>
    <w:rsid w:val="150536C3"/>
    <w:rsid w:val="150C1963"/>
    <w:rsid w:val="150D2643"/>
    <w:rsid w:val="151447A0"/>
    <w:rsid w:val="15163AA4"/>
    <w:rsid w:val="1518258B"/>
    <w:rsid w:val="152B4878"/>
    <w:rsid w:val="154A6454"/>
    <w:rsid w:val="15610299"/>
    <w:rsid w:val="15762120"/>
    <w:rsid w:val="158E0162"/>
    <w:rsid w:val="159E63FA"/>
    <w:rsid w:val="15C50828"/>
    <w:rsid w:val="15CF3B68"/>
    <w:rsid w:val="15E90228"/>
    <w:rsid w:val="15F829AC"/>
    <w:rsid w:val="16021A7C"/>
    <w:rsid w:val="16353C00"/>
    <w:rsid w:val="164B3423"/>
    <w:rsid w:val="166D5972"/>
    <w:rsid w:val="166F3F97"/>
    <w:rsid w:val="1673639A"/>
    <w:rsid w:val="16A8729C"/>
    <w:rsid w:val="16B33777"/>
    <w:rsid w:val="16BC70A7"/>
    <w:rsid w:val="16C6339E"/>
    <w:rsid w:val="16D72F09"/>
    <w:rsid w:val="170B4961"/>
    <w:rsid w:val="172F2D79"/>
    <w:rsid w:val="17557BEF"/>
    <w:rsid w:val="175A0611"/>
    <w:rsid w:val="17696ABA"/>
    <w:rsid w:val="17717C40"/>
    <w:rsid w:val="17843964"/>
    <w:rsid w:val="179B3570"/>
    <w:rsid w:val="17AE3C6A"/>
    <w:rsid w:val="17C86AF8"/>
    <w:rsid w:val="17D349C1"/>
    <w:rsid w:val="17D36722"/>
    <w:rsid w:val="17F04282"/>
    <w:rsid w:val="17F36BB4"/>
    <w:rsid w:val="1830729E"/>
    <w:rsid w:val="1870062C"/>
    <w:rsid w:val="187369AF"/>
    <w:rsid w:val="18817102"/>
    <w:rsid w:val="18830A15"/>
    <w:rsid w:val="18852B28"/>
    <w:rsid w:val="188B5321"/>
    <w:rsid w:val="189C0982"/>
    <w:rsid w:val="18AE1A47"/>
    <w:rsid w:val="18B602E5"/>
    <w:rsid w:val="18BA2933"/>
    <w:rsid w:val="18F1121F"/>
    <w:rsid w:val="19152B36"/>
    <w:rsid w:val="197F5D6D"/>
    <w:rsid w:val="19932372"/>
    <w:rsid w:val="19A20DD5"/>
    <w:rsid w:val="19A5136D"/>
    <w:rsid w:val="19AE03F1"/>
    <w:rsid w:val="19BE4F9F"/>
    <w:rsid w:val="1A060E9B"/>
    <w:rsid w:val="1A071A03"/>
    <w:rsid w:val="1A1A5B77"/>
    <w:rsid w:val="1A1F16AE"/>
    <w:rsid w:val="1A2E1092"/>
    <w:rsid w:val="1A3B5C77"/>
    <w:rsid w:val="1A656852"/>
    <w:rsid w:val="1A700410"/>
    <w:rsid w:val="1A8618F5"/>
    <w:rsid w:val="1A984BAD"/>
    <w:rsid w:val="1AB8220E"/>
    <w:rsid w:val="1AE4166C"/>
    <w:rsid w:val="1AF06CFB"/>
    <w:rsid w:val="1AF11B8D"/>
    <w:rsid w:val="1B086D83"/>
    <w:rsid w:val="1B11359C"/>
    <w:rsid w:val="1B1C63FE"/>
    <w:rsid w:val="1B226450"/>
    <w:rsid w:val="1B2A271F"/>
    <w:rsid w:val="1B34650D"/>
    <w:rsid w:val="1B391A9C"/>
    <w:rsid w:val="1B530544"/>
    <w:rsid w:val="1B5D33FF"/>
    <w:rsid w:val="1B621F8A"/>
    <w:rsid w:val="1B713184"/>
    <w:rsid w:val="1B735DC4"/>
    <w:rsid w:val="1BA209CF"/>
    <w:rsid w:val="1BB4777D"/>
    <w:rsid w:val="1BD75AB8"/>
    <w:rsid w:val="1C014730"/>
    <w:rsid w:val="1C0459C2"/>
    <w:rsid w:val="1C1B3B4A"/>
    <w:rsid w:val="1C35495A"/>
    <w:rsid w:val="1C4C6EAA"/>
    <w:rsid w:val="1C7725CD"/>
    <w:rsid w:val="1C88086E"/>
    <w:rsid w:val="1C9C1EC1"/>
    <w:rsid w:val="1CBA11FE"/>
    <w:rsid w:val="1CEA091E"/>
    <w:rsid w:val="1CF2315D"/>
    <w:rsid w:val="1CFD5B6F"/>
    <w:rsid w:val="1D010ED2"/>
    <w:rsid w:val="1D266CE1"/>
    <w:rsid w:val="1D3963AF"/>
    <w:rsid w:val="1D3D0FE5"/>
    <w:rsid w:val="1D4F240C"/>
    <w:rsid w:val="1D6A673C"/>
    <w:rsid w:val="1D8F101C"/>
    <w:rsid w:val="1D9247AE"/>
    <w:rsid w:val="1DAC29F3"/>
    <w:rsid w:val="1DB567EC"/>
    <w:rsid w:val="1DB95116"/>
    <w:rsid w:val="1DD51824"/>
    <w:rsid w:val="1DF51A98"/>
    <w:rsid w:val="1E3D060F"/>
    <w:rsid w:val="1E3F7D2E"/>
    <w:rsid w:val="1E4134E4"/>
    <w:rsid w:val="1E5062B3"/>
    <w:rsid w:val="1E523514"/>
    <w:rsid w:val="1E593351"/>
    <w:rsid w:val="1E6028EA"/>
    <w:rsid w:val="1E714A66"/>
    <w:rsid w:val="1E802593"/>
    <w:rsid w:val="1E845724"/>
    <w:rsid w:val="1E8B6156"/>
    <w:rsid w:val="1EA703CC"/>
    <w:rsid w:val="1EB7330C"/>
    <w:rsid w:val="1EBF675C"/>
    <w:rsid w:val="1EE60C30"/>
    <w:rsid w:val="1EE76031"/>
    <w:rsid w:val="1F0A0FF3"/>
    <w:rsid w:val="1F3632E0"/>
    <w:rsid w:val="1F5771FF"/>
    <w:rsid w:val="1F6F0182"/>
    <w:rsid w:val="1F903C55"/>
    <w:rsid w:val="1F904124"/>
    <w:rsid w:val="1FC8536D"/>
    <w:rsid w:val="1FDF3A38"/>
    <w:rsid w:val="1FE521F3"/>
    <w:rsid w:val="1FE868A9"/>
    <w:rsid w:val="1FFF7A15"/>
    <w:rsid w:val="20034907"/>
    <w:rsid w:val="20062169"/>
    <w:rsid w:val="200834C7"/>
    <w:rsid w:val="20173E4B"/>
    <w:rsid w:val="20277AB7"/>
    <w:rsid w:val="203F7626"/>
    <w:rsid w:val="204E48BC"/>
    <w:rsid w:val="204F58BE"/>
    <w:rsid w:val="20580DDC"/>
    <w:rsid w:val="20713A86"/>
    <w:rsid w:val="208921B3"/>
    <w:rsid w:val="20973DEB"/>
    <w:rsid w:val="20B26522"/>
    <w:rsid w:val="20B44310"/>
    <w:rsid w:val="20D06922"/>
    <w:rsid w:val="20EB5A9E"/>
    <w:rsid w:val="210203C2"/>
    <w:rsid w:val="210743EB"/>
    <w:rsid w:val="211116EB"/>
    <w:rsid w:val="21171601"/>
    <w:rsid w:val="21344DAE"/>
    <w:rsid w:val="21444BFD"/>
    <w:rsid w:val="216133FC"/>
    <w:rsid w:val="21921F06"/>
    <w:rsid w:val="219537A4"/>
    <w:rsid w:val="21BD5F41"/>
    <w:rsid w:val="21D56769"/>
    <w:rsid w:val="21E52EF3"/>
    <w:rsid w:val="21FB5D7B"/>
    <w:rsid w:val="22015E94"/>
    <w:rsid w:val="220B1C3D"/>
    <w:rsid w:val="221D1D20"/>
    <w:rsid w:val="222D450D"/>
    <w:rsid w:val="22334A87"/>
    <w:rsid w:val="226E2973"/>
    <w:rsid w:val="228C33C0"/>
    <w:rsid w:val="229B30DD"/>
    <w:rsid w:val="22BE6801"/>
    <w:rsid w:val="22C407E5"/>
    <w:rsid w:val="22C97BAA"/>
    <w:rsid w:val="2306537E"/>
    <w:rsid w:val="233500BF"/>
    <w:rsid w:val="23377FF7"/>
    <w:rsid w:val="23600665"/>
    <w:rsid w:val="236B425F"/>
    <w:rsid w:val="23836192"/>
    <w:rsid w:val="238910E7"/>
    <w:rsid w:val="23901F29"/>
    <w:rsid w:val="239C0061"/>
    <w:rsid w:val="23AA2B1F"/>
    <w:rsid w:val="23B908A4"/>
    <w:rsid w:val="23E95BEF"/>
    <w:rsid w:val="23F05920"/>
    <w:rsid w:val="23FD0064"/>
    <w:rsid w:val="23FE6B29"/>
    <w:rsid w:val="242B2707"/>
    <w:rsid w:val="245375B0"/>
    <w:rsid w:val="24642C0A"/>
    <w:rsid w:val="249F6D50"/>
    <w:rsid w:val="24B22173"/>
    <w:rsid w:val="24B95AD9"/>
    <w:rsid w:val="24BE24DA"/>
    <w:rsid w:val="24CA57DE"/>
    <w:rsid w:val="24CF5825"/>
    <w:rsid w:val="24D663E6"/>
    <w:rsid w:val="24D77F2B"/>
    <w:rsid w:val="24F66673"/>
    <w:rsid w:val="25493224"/>
    <w:rsid w:val="255B4D05"/>
    <w:rsid w:val="258B00E2"/>
    <w:rsid w:val="25A0096A"/>
    <w:rsid w:val="25A917A6"/>
    <w:rsid w:val="25AD5486"/>
    <w:rsid w:val="25BE27CC"/>
    <w:rsid w:val="25C669DF"/>
    <w:rsid w:val="25CD5C2C"/>
    <w:rsid w:val="25CE5956"/>
    <w:rsid w:val="25F74A5C"/>
    <w:rsid w:val="25F969F8"/>
    <w:rsid w:val="25FC2044"/>
    <w:rsid w:val="26123E5C"/>
    <w:rsid w:val="2628662C"/>
    <w:rsid w:val="262D45DE"/>
    <w:rsid w:val="26871DC8"/>
    <w:rsid w:val="26953580"/>
    <w:rsid w:val="26A53EF9"/>
    <w:rsid w:val="26A94201"/>
    <w:rsid w:val="26AC274F"/>
    <w:rsid w:val="26B172D2"/>
    <w:rsid w:val="26E52AD8"/>
    <w:rsid w:val="26EE4083"/>
    <w:rsid w:val="26EE53F5"/>
    <w:rsid w:val="27044A29"/>
    <w:rsid w:val="271A065C"/>
    <w:rsid w:val="271D34C8"/>
    <w:rsid w:val="274F1B15"/>
    <w:rsid w:val="276142BF"/>
    <w:rsid w:val="276328B1"/>
    <w:rsid w:val="27783712"/>
    <w:rsid w:val="27907362"/>
    <w:rsid w:val="279F35CF"/>
    <w:rsid w:val="27D227CD"/>
    <w:rsid w:val="281E08D2"/>
    <w:rsid w:val="28333E1D"/>
    <w:rsid w:val="28425D08"/>
    <w:rsid w:val="28454BD6"/>
    <w:rsid w:val="28455253"/>
    <w:rsid w:val="28551971"/>
    <w:rsid w:val="285B1C53"/>
    <w:rsid w:val="289F7086"/>
    <w:rsid w:val="28C32028"/>
    <w:rsid w:val="28CC490F"/>
    <w:rsid w:val="28DE40AA"/>
    <w:rsid w:val="29050827"/>
    <w:rsid w:val="2913147B"/>
    <w:rsid w:val="2916166F"/>
    <w:rsid w:val="29217781"/>
    <w:rsid w:val="292C0E92"/>
    <w:rsid w:val="29345E77"/>
    <w:rsid w:val="294C65AD"/>
    <w:rsid w:val="29806583"/>
    <w:rsid w:val="298B3C4C"/>
    <w:rsid w:val="299802D6"/>
    <w:rsid w:val="29AF73CD"/>
    <w:rsid w:val="29F26D24"/>
    <w:rsid w:val="2A15033F"/>
    <w:rsid w:val="2A1662C1"/>
    <w:rsid w:val="2A19294A"/>
    <w:rsid w:val="2A1C7367"/>
    <w:rsid w:val="2A2815FA"/>
    <w:rsid w:val="2A6D6092"/>
    <w:rsid w:val="2A7D76B4"/>
    <w:rsid w:val="2A9E4464"/>
    <w:rsid w:val="2AC670C5"/>
    <w:rsid w:val="2AC925F8"/>
    <w:rsid w:val="2B125E66"/>
    <w:rsid w:val="2B437463"/>
    <w:rsid w:val="2B6D742E"/>
    <w:rsid w:val="2B7807EE"/>
    <w:rsid w:val="2BA50BF7"/>
    <w:rsid w:val="2BAA0DB1"/>
    <w:rsid w:val="2BB313F7"/>
    <w:rsid w:val="2BBF00EC"/>
    <w:rsid w:val="2BC37CFD"/>
    <w:rsid w:val="2BD5237F"/>
    <w:rsid w:val="2BE536CE"/>
    <w:rsid w:val="2BE758D9"/>
    <w:rsid w:val="2C066307"/>
    <w:rsid w:val="2C09049E"/>
    <w:rsid w:val="2C0A653C"/>
    <w:rsid w:val="2C191F85"/>
    <w:rsid w:val="2C5B0BCA"/>
    <w:rsid w:val="2C5B74DC"/>
    <w:rsid w:val="2C5E4F2F"/>
    <w:rsid w:val="2CC3566A"/>
    <w:rsid w:val="2CE82D6F"/>
    <w:rsid w:val="2CE8337A"/>
    <w:rsid w:val="2D343236"/>
    <w:rsid w:val="2D504A22"/>
    <w:rsid w:val="2D6E3934"/>
    <w:rsid w:val="2DCF6290"/>
    <w:rsid w:val="2DD15014"/>
    <w:rsid w:val="2DEB64EE"/>
    <w:rsid w:val="2DF45CF7"/>
    <w:rsid w:val="2DF72DE4"/>
    <w:rsid w:val="2DFF6B75"/>
    <w:rsid w:val="2E0220AF"/>
    <w:rsid w:val="2E0803A7"/>
    <w:rsid w:val="2E1343CB"/>
    <w:rsid w:val="2E4B082A"/>
    <w:rsid w:val="2E5B623B"/>
    <w:rsid w:val="2E5D4E86"/>
    <w:rsid w:val="2E5D790B"/>
    <w:rsid w:val="2E6372EF"/>
    <w:rsid w:val="2E6D7F83"/>
    <w:rsid w:val="2E9A3C18"/>
    <w:rsid w:val="2EBB0FEE"/>
    <w:rsid w:val="2EC63002"/>
    <w:rsid w:val="2EF75A9F"/>
    <w:rsid w:val="2EFF3344"/>
    <w:rsid w:val="2F01733F"/>
    <w:rsid w:val="2F0A6B38"/>
    <w:rsid w:val="2F364819"/>
    <w:rsid w:val="2F4C30EE"/>
    <w:rsid w:val="2F5C0E2A"/>
    <w:rsid w:val="2F643FA7"/>
    <w:rsid w:val="2F6A0710"/>
    <w:rsid w:val="2F8A06C1"/>
    <w:rsid w:val="2F946CCB"/>
    <w:rsid w:val="2FC164A9"/>
    <w:rsid w:val="2FC37E47"/>
    <w:rsid w:val="2FD25781"/>
    <w:rsid w:val="2FDC745C"/>
    <w:rsid w:val="2FFD7934"/>
    <w:rsid w:val="300B56C9"/>
    <w:rsid w:val="301D32E3"/>
    <w:rsid w:val="302759D4"/>
    <w:rsid w:val="302D2F25"/>
    <w:rsid w:val="303622EB"/>
    <w:rsid w:val="30406FD1"/>
    <w:rsid w:val="305A4537"/>
    <w:rsid w:val="306D604B"/>
    <w:rsid w:val="30733ACD"/>
    <w:rsid w:val="308C3862"/>
    <w:rsid w:val="309379D8"/>
    <w:rsid w:val="30A270F7"/>
    <w:rsid w:val="30DF1478"/>
    <w:rsid w:val="30EC586F"/>
    <w:rsid w:val="311C7A3E"/>
    <w:rsid w:val="312468F3"/>
    <w:rsid w:val="31307046"/>
    <w:rsid w:val="31594E05"/>
    <w:rsid w:val="3163741B"/>
    <w:rsid w:val="317826B5"/>
    <w:rsid w:val="319C6071"/>
    <w:rsid w:val="31AC537E"/>
    <w:rsid w:val="31E3679B"/>
    <w:rsid w:val="31E732FD"/>
    <w:rsid w:val="32006F18"/>
    <w:rsid w:val="320B1E52"/>
    <w:rsid w:val="32215CC8"/>
    <w:rsid w:val="32305523"/>
    <w:rsid w:val="323177A9"/>
    <w:rsid w:val="32432DA9"/>
    <w:rsid w:val="32517576"/>
    <w:rsid w:val="32596987"/>
    <w:rsid w:val="326C4624"/>
    <w:rsid w:val="326C5384"/>
    <w:rsid w:val="329B179C"/>
    <w:rsid w:val="32BE5C2C"/>
    <w:rsid w:val="32D560F7"/>
    <w:rsid w:val="32D63C1D"/>
    <w:rsid w:val="32D81743"/>
    <w:rsid w:val="32F40620"/>
    <w:rsid w:val="32FB6478"/>
    <w:rsid w:val="332410BB"/>
    <w:rsid w:val="33263B3F"/>
    <w:rsid w:val="332D5F33"/>
    <w:rsid w:val="333029F8"/>
    <w:rsid w:val="33364F52"/>
    <w:rsid w:val="335C56CE"/>
    <w:rsid w:val="336963EB"/>
    <w:rsid w:val="337D2FB7"/>
    <w:rsid w:val="33816EEB"/>
    <w:rsid w:val="33EB55CD"/>
    <w:rsid w:val="33EC4C02"/>
    <w:rsid w:val="33FA153A"/>
    <w:rsid w:val="340D2360"/>
    <w:rsid w:val="3410665D"/>
    <w:rsid w:val="34120C85"/>
    <w:rsid w:val="34211214"/>
    <w:rsid w:val="342E63AB"/>
    <w:rsid w:val="34452E08"/>
    <w:rsid w:val="34687274"/>
    <w:rsid w:val="347B4A7C"/>
    <w:rsid w:val="34936305"/>
    <w:rsid w:val="34950E68"/>
    <w:rsid w:val="34986E94"/>
    <w:rsid w:val="34A16545"/>
    <w:rsid w:val="34AF62C9"/>
    <w:rsid w:val="34BB364C"/>
    <w:rsid w:val="34C042E2"/>
    <w:rsid w:val="34CB4388"/>
    <w:rsid w:val="34DF14AF"/>
    <w:rsid w:val="34FA6E12"/>
    <w:rsid w:val="34FC65EB"/>
    <w:rsid w:val="3537059E"/>
    <w:rsid w:val="353B650D"/>
    <w:rsid w:val="354D7158"/>
    <w:rsid w:val="358D5588"/>
    <w:rsid w:val="358E07DF"/>
    <w:rsid w:val="35D22DC1"/>
    <w:rsid w:val="35EF74CF"/>
    <w:rsid w:val="362645FA"/>
    <w:rsid w:val="363A3B40"/>
    <w:rsid w:val="364917C3"/>
    <w:rsid w:val="364A0BAA"/>
    <w:rsid w:val="365302AE"/>
    <w:rsid w:val="36607A0A"/>
    <w:rsid w:val="366E227C"/>
    <w:rsid w:val="366F2E0D"/>
    <w:rsid w:val="367B6A5C"/>
    <w:rsid w:val="36857E34"/>
    <w:rsid w:val="36A74ADA"/>
    <w:rsid w:val="36AD60D5"/>
    <w:rsid w:val="36B224F9"/>
    <w:rsid w:val="36DD37CC"/>
    <w:rsid w:val="36EC0CC9"/>
    <w:rsid w:val="36ED6946"/>
    <w:rsid w:val="3702772A"/>
    <w:rsid w:val="373C6454"/>
    <w:rsid w:val="373F410B"/>
    <w:rsid w:val="3748158D"/>
    <w:rsid w:val="37742696"/>
    <w:rsid w:val="3776716D"/>
    <w:rsid w:val="378819DC"/>
    <w:rsid w:val="3796051D"/>
    <w:rsid w:val="37A662B4"/>
    <w:rsid w:val="37E8067A"/>
    <w:rsid w:val="37EE7094"/>
    <w:rsid w:val="380F20AB"/>
    <w:rsid w:val="38296C89"/>
    <w:rsid w:val="383002EB"/>
    <w:rsid w:val="38400DD2"/>
    <w:rsid w:val="38417D8A"/>
    <w:rsid w:val="385635BD"/>
    <w:rsid w:val="38586797"/>
    <w:rsid w:val="38612B0B"/>
    <w:rsid w:val="38642D16"/>
    <w:rsid w:val="387E6AA8"/>
    <w:rsid w:val="38BC0149"/>
    <w:rsid w:val="38D14DC4"/>
    <w:rsid w:val="38D87D1C"/>
    <w:rsid w:val="38E075A3"/>
    <w:rsid w:val="390A508C"/>
    <w:rsid w:val="393A4AD4"/>
    <w:rsid w:val="39504729"/>
    <w:rsid w:val="39636459"/>
    <w:rsid w:val="396B7F6C"/>
    <w:rsid w:val="39AF198F"/>
    <w:rsid w:val="39B417A9"/>
    <w:rsid w:val="39EE7A9E"/>
    <w:rsid w:val="39FC5695"/>
    <w:rsid w:val="3A006D8E"/>
    <w:rsid w:val="3A086DB2"/>
    <w:rsid w:val="3A0B0650"/>
    <w:rsid w:val="3A0D2036"/>
    <w:rsid w:val="3A204F94"/>
    <w:rsid w:val="3A3651E5"/>
    <w:rsid w:val="3A744481"/>
    <w:rsid w:val="3A8C7BEF"/>
    <w:rsid w:val="3A906246"/>
    <w:rsid w:val="3AD278A1"/>
    <w:rsid w:val="3AED5FA8"/>
    <w:rsid w:val="3AF13CEA"/>
    <w:rsid w:val="3B2349B7"/>
    <w:rsid w:val="3B2C63B9"/>
    <w:rsid w:val="3B616CFF"/>
    <w:rsid w:val="3B6259F6"/>
    <w:rsid w:val="3B9052B1"/>
    <w:rsid w:val="3B976654"/>
    <w:rsid w:val="3BB85693"/>
    <w:rsid w:val="3BC01EFC"/>
    <w:rsid w:val="3BCA786A"/>
    <w:rsid w:val="3BD16F3E"/>
    <w:rsid w:val="3BD31E2F"/>
    <w:rsid w:val="3BF15831"/>
    <w:rsid w:val="3BFA097C"/>
    <w:rsid w:val="3C015490"/>
    <w:rsid w:val="3C0E4427"/>
    <w:rsid w:val="3C105946"/>
    <w:rsid w:val="3C471448"/>
    <w:rsid w:val="3C513E29"/>
    <w:rsid w:val="3C596FD3"/>
    <w:rsid w:val="3C5F759A"/>
    <w:rsid w:val="3C6C525A"/>
    <w:rsid w:val="3C9E39FD"/>
    <w:rsid w:val="3CB60E05"/>
    <w:rsid w:val="3CCE23CB"/>
    <w:rsid w:val="3CD17D17"/>
    <w:rsid w:val="3CE77152"/>
    <w:rsid w:val="3D3457F8"/>
    <w:rsid w:val="3D3C7F39"/>
    <w:rsid w:val="3D440F09"/>
    <w:rsid w:val="3D4504A0"/>
    <w:rsid w:val="3D496DBA"/>
    <w:rsid w:val="3D5A3DC8"/>
    <w:rsid w:val="3D7D2E07"/>
    <w:rsid w:val="3D820C29"/>
    <w:rsid w:val="3D826E7B"/>
    <w:rsid w:val="3D8734BB"/>
    <w:rsid w:val="3D89645B"/>
    <w:rsid w:val="3D9372DA"/>
    <w:rsid w:val="3D9A11D4"/>
    <w:rsid w:val="3D9B7F3D"/>
    <w:rsid w:val="3DA16D89"/>
    <w:rsid w:val="3DA364BE"/>
    <w:rsid w:val="3DB77CB5"/>
    <w:rsid w:val="3DE041CB"/>
    <w:rsid w:val="3DE51EAF"/>
    <w:rsid w:val="3DED3AC7"/>
    <w:rsid w:val="3E0D48F6"/>
    <w:rsid w:val="3E0F11FF"/>
    <w:rsid w:val="3E1868B4"/>
    <w:rsid w:val="3E1A1A30"/>
    <w:rsid w:val="3E377251"/>
    <w:rsid w:val="3E42664B"/>
    <w:rsid w:val="3E5A7334"/>
    <w:rsid w:val="3E7B5D6B"/>
    <w:rsid w:val="3E843E66"/>
    <w:rsid w:val="3E8F51FE"/>
    <w:rsid w:val="3E926F87"/>
    <w:rsid w:val="3E993E04"/>
    <w:rsid w:val="3E9A59DE"/>
    <w:rsid w:val="3EAF4836"/>
    <w:rsid w:val="3EBD78B1"/>
    <w:rsid w:val="3EC33DFA"/>
    <w:rsid w:val="3ECC0288"/>
    <w:rsid w:val="3EDCB641"/>
    <w:rsid w:val="3F060E16"/>
    <w:rsid w:val="3F146BA5"/>
    <w:rsid w:val="3F1D1096"/>
    <w:rsid w:val="3F2F0234"/>
    <w:rsid w:val="3F3A6EEE"/>
    <w:rsid w:val="3F3B26F7"/>
    <w:rsid w:val="3F4A39C9"/>
    <w:rsid w:val="3F6363FE"/>
    <w:rsid w:val="3F67457A"/>
    <w:rsid w:val="3F756B8F"/>
    <w:rsid w:val="3F835232"/>
    <w:rsid w:val="3F95482B"/>
    <w:rsid w:val="3F9D61EE"/>
    <w:rsid w:val="3FD37E62"/>
    <w:rsid w:val="3FE94F8F"/>
    <w:rsid w:val="3FFF0C57"/>
    <w:rsid w:val="4019356B"/>
    <w:rsid w:val="402B7BE8"/>
    <w:rsid w:val="402D57C2"/>
    <w:rsid w:val="4037194C"/>
    <w:rsid w:val="40516185"/>
    <w:rsid w:val="40592157"/>
    <w:rsid w:val="406E1CAE"/>
    <w:rsid w:val="40A0133A"/>
    <w:rsid w:val="40C31A53"/>
    <w:rsid w:val="40DB5220"/>
    <w:rsid w:val="40FF545D"/>
    <w:rsid w:val="410067C8"/>
    <w:rsid w:val="41165B98"/>
    <w:rsid w:val="416176D3"/>
    <w:rsid w:val="416402A4"/>
    <w:rsid w:val="4172551C"/>
    <w:rsid w:val="41726691"/>
    <w:rsid w:val="418F0D2A"/>
    <w:rsid w:val="41A77DEA"/>
    <w:rsid w:val="41BA3087"/>
    <w:rsid w:val="41D01505"/>
    <w:rsid w:val="41D873D1"/>
    <w:rsid w:val="41F543F2"/>
    <w:rsid w:val="41F72568"/>
    <w:rsid w:val="420814BA"/>
    <w:rsid w:val="422E231A"/>
    <w:rsid w:val="423D5A66"/>
    <w:rsid w:val="42474939"/>
    <w:rsid w:val="424B171D"/>
    <w:rsid w:val="424C3C57"/>
    <w:rsid w:val="42547773"/>
    <w:rsid w:val="425C25C6"/>
    <w:rsid w:val="42613FF3"/>
    <w:rsid w:val="42660D96"/>
    <w:rsid w:val="427A2817"/>
    <w:rsid w:val="428667D2"/>
    <w:rsid w:val="42B065B8"/>
    <w:rsid w:val="42CD1CE0"/>
    <w:rsid w:val="42CF6F28"/>
    <w:rsid w:val="42E1381E"/>
    <w:rsid w:val="42ED6459"/>
    <w:rsid w:val="42F223AD"/>
    <w:rsid w:val="42FE58DD"/>
    <w:rsid w:val="43174B3D"/>
    <w:rsid w:val="432C0A3F"/>
    <w:rsid w:val="43482915"/>
    <w:rsid w:val="434B790E"/>
    <w:rsid w:val="4360274F"/>
    <w:rsid w:val="43747266"/>
    <w:rsid w:val="43823363"/>
    <w:rsid w:val="43977AB6"/>
    <w:rsid w:val="43A3342B"/>
    <w:rsid w:val="43A435A3"/>
    <w:rsid w:val="43AF64F0"/>
    <w:rsid w:val="43BA364A"/>
    <w:rsid w:val="43C755E8"/>
    <w:rsid w:val="43C77C27"/>
    <w:rsid w:val="43CD6976"/>
    <w:rsid w:val="43DE09EE"/>
    <w:rsid w:val="43E50164"/>
    <w:rsid w:val="43E71292"/>
    <w:rsid w:val="43F641B2"/>
    <w:rsid w:val="44002FAD"/>
    <w:rsid w:val="441C37AA"/>
    <w:rsid w:val="44233AED"/>
    <w:rsid w:val="44246774"/>
    <w:rsid w:val="449101DD"/>
    <w:rsid w:val="44C10289"/>
    <w:rsid w:val="44C608CD"/>
    <w:rsid w:val="44DE1391"/>
    <w:rsid w:val="44F73053"/>
    <w:rsid w:val="451B225C"/>
    <w:rsid w:val="452410C9"/>
    <w:rsid w:val="45317DFB"/>
    <w:rsid w:val="453E0776"/>
    <w:rsid w:val="4541586E"/>
    <w:rsid w:val="456D3CE4"/>
    <w:rsid w:val="4579042C"/>
    <w:rsid w:val="457C4AF8"/>
    <w:rsid w:val="457F0571"/>
    <w:rsid w:val="45851176"/>
    <w:rsid w:val="45A1437C"/>
    <w:rsid w:val="45C55BC2"/>
    <w:rsid w:val="45C63B94"/>
    <w:rsid w:val="46004DE1"/>
    <w:rsid w:val="460E7DA5"/>
    <w:rsid w:val="46150595"/>
    <w:rsid w:val="46181591"/>
    <w:rsid w:val="46422483"/>
    <w:rsid w:val="464448CE"/>
    <w:rsid w:val="4659254A"/>
    <w:rsid w:val="465B0637"/>
    <w:rsid w:val="465E3F0D"/>
    <w:rsid w:val="466A16E6"/>
    <w:rsid w:val="46893F2B"/>
    <w:rsid w:val="46C444E6"/>
    <w:rsid w:val="46C4686E"/>
    <w:rsid w:val="46D903A6"/>
    <w:rsid w:val="46E306B8"/>
    <w:rsid w:val="46E75FA1"/>
    <w:rsid w:val="476E4FB5"/>
    <w:rsid w:val="47727437"/>
    <w:rsid w:val="47727F60"/>
    <w:rsid w:val="477B778F"/>
    <w:rsid w:val="478203EC"/>
    <w:rsid w:val="47975C19"/>
    <w:rsid w:val="479C22A8"/>
    <w:rsid w:val="47B025FA"/>
    <w:rsid w:val="47D06A35"/>
    <w:rsid w:val="47EA3F9B"/>
    <w:rsid w:val="47F11C3D"/>
    <w:rsid w:val="4809698F"/>
    <w:rsid w:val="4811697D"/>
    <w:rsid w:val="48221986"/>
    <w:rsid w:val="482F05BB"/>
    <w:rsid w:val="487A3E25"/>
    <w:rsid w:val="488B5503"/>
    <w:rsid w:val="48937E21"/>
    <w:rsid w:val="489A0361"/>
    <w:rsid w:val="48B94FF3"/>
    <w:rsid w:val="48E37AAB"/>
    <w:rsid w:val="48FD4B4C"/>
    <w:rsid w:val="490A68E0"/>
    <w:rsid w:val="491055FE"/>
    <w:rsid w:val="495F5B3E"/>
    <w:rsid w:val="496F77D7"/>
    <w:rsid w:val="497654FD"/>
    <w:rsid w:val="497A7D03"/>
    <w:rsid w:val="49867CF3"/>
    <w:rsid w:val="49B64211"/>
    <w:rsid w:val="49D41AAC"/>
    <w:rsid w:val="49EB32CE"/>
    <w:rsid w:val="49F6167F"/>
    <w:rsid w:val="4A064FA0"/>
    <w:rsid w:val="4A16615C"/>
    <w:rsid w:val="4A221AC2"/>
    <w:rsid w:val="4A35464A"/>
    <w:rsid w:val="4A4424D7"/>
    <w:rsid w:val="4A672607"/>
    <w:rsid w:val="4AA43885"/>
    <w:rsid w:val="4AB82D0F"/>
    <w:rsid w:val="4ABB39CC"/>
    <w:rsid w:val="4AC26B09"/>
    <w:rsid w:val="4AE73F62"/>
    <w:rsid w:val="4AEB7664"/>
    <w:rsid w:val="4AF643C3"/>
    <w:rsid w:val="4AFD7C19"/>
    <w:rsid w:val="4B0567D1"/>
    <w:rsid w:val="4B090BDC"/>
    <w:rsid w:val="4B117371"/>
    <w:rsid w:val="4B236AAE"/>
    <w:rsid w:val="4B2F799D"/>
    <w:rsid w:val="4B4E5AC1"/>
    <w:rsid w:val="4B707271"/>
    <w:rsid w:val="4B9739F7"/>
    <w:rsid w:val="4BA608B0"/>
    <w:rsid w:val="4BC344C3"/>
    <w:rsid w:val="4BCA036B"/>
    <w:rsid w:val="4BE720B4"/>
    <w:rsid w:val="4BEE2503"/>
    <w:rsid w:val="4BF727EA"/>
    <w:rsid w:val="4C231978"/>
    <w:rsid w:val="4C245A30"/>
    <w:rsid w:val="4C3A0C0B"/>
    <w:rsid w:val="4C565449"/>
    <w:rsid w:val="4C567B1E"/>
    <w:rsid w:val="4CB25D57"/>
    <w:rsid w:val="4CB6685F"/>
    <w:rsid w:val="4CC367FE"/>
    <w:rsid w:val="4CEA7E57"/>
    <w:rsid w:val="4D077F3C"/>
    <w:rsid w:val="4D123355"/>
    <w:rsid w:val="4D235058"/>
    <w:rsid w:val="4D2A3B31"/>
    <w:rsid w:val="4D2C295F"/>
    <w:rsid w:val="4D312C52"/>
    <w:rsid w:val="4D654F4A"/>
    <w:rsid w:val="4D673998"/>
    <w:rsid w:val="4D714816"/>
    <w:rsid w:val="4D905305"/>
    <w:rsid w:val="4D964A72"/>
    <w:rsid w:val="4D9C1254"/>
    <w:rsid w:val="4D9C5D37"/>
    <w:rsid w:val="4D9E5B15"/>
    <w:rsid w:val="4DC42D37"/>
    <w:rsid w:val="4DD2749E"/>
    <w:rsid w:val="4DE84AD8"/>
    <w:rsid w:val="4DF711BF"/>
    <w:rsid w:val="4E027920"/>
    <w:rsid w:val="4E121B55"/>
    <w:rsid w:val="4E4F2DA9"/>
    <w:rsid w:val="4E5942B9"/>
    <w:rsid w:val="4E7715CF"/>
    <w:rsid w:val="4E793892"/>
    <w:rsid w:val="4E800872"/>
    <w:rsid w:val="4E8A74FC"/>
    <w:rsid w:val="4EB90223"/>
    <w:rsid w:val="4EC569ED"/>
    <w:rsid w:val="4ED50EA1"/>
    <w:rsid w:val="4ED83FFC"/>
    <w:rsid w:val="4EEC050C"/>
    <w:rsid w:val="4EFE140F"/>
    <w:rsid w:val="4F0A6873"/>
    <w:rsid w:val="4F104EC3"/>
    <w:rsid w:val="4F183DED"/>
    <w:rsid w:val="4F47354A"/>
    <w:rsid w:val="4F604B42"/>
    <w:rsid w:val="4F73010B"/>
    <w:rsid w:val="4F911C54"/>
    <w:rsid w:val="4FBE481F"/>
    <w:rsid w:val="4FD67A1A"/>
    <w:rsid w:val="4FE625E0"/>
    <w:rsid w:val="4FFD6429"/>
    <w:rsid w:val="5021480F"/>
    <w:rsid w:val="502D0A62"/>
    <w:rsid w:val="50485D02"/>
    <w:rsid w:val="5052092F"/>
    <w:rsid w:val="505C301C"/>
    <w:rsid w:val="505C7A00"/>
    <w:rsid w:val="506A5C79"/>
    <w:rsid w:val="507231F6"/>
    <w:rsid w:val="508D49F9"/>
    <w:rsid w:val="50962ECB"/>
    <w:rsid w:val="50A42E38"/>
    <w:rsid w:val="50A4577F"/>
    <w:rsid w:val="50B567D1"/>
    <w:rsid w:val="50B73D1F"/>
    <w:rsid w:val="50BD5BC9"/>
    <w:rsid w:val="50C11EEE"/>
    <w:rsid w:val="50E27F05"/>
    <w:rsid w:val="50E7376D"/>
    <w:rsid w:val="50E97CFC"/>
    <w:rsid w:val="50EA6DB9"/>
    <w:rsid w:val="50F773E6"/>
    <w:rsid w:val="50FA4028"/>
    <w:rsid w:val="510D65B7"/>
    <w:rsid w:val="511157AB"/>
    <w:rsid w:val="512F6AED"/>
    <w:rsid w:val="5142540C"/>
    <w:rsid w:val="51621986"/>
    <w:rsid w:val="5176689F"/>
    <w:rsid w:val="51870AAC"/>
    <w:rsid w:val="518832C8"/>
    <w:rsid w:val="519D3C50"/>
    <w:rsid w:val="51A0432A"/>
    <w:rsid w:val="51A86090"/>
    <w:rsid w:val="51A90514"/>
    <w:rsid w:val="51AE7DE7"/>
    <w:rsid w:val="51B7396D"/>
    <w:rsid w:val="522602C5"/>
    <w:rsid w:val="522E4CC3"/>
    <w:rsid w:val="5244713B"/>
    <w:rsid w:val="525941F7"/>
    <w:rsid w:val="52615633"/>
    <w:rsid w:val="526F4DE4"/>
    <w:rsid w:val="52902B95"/>
    <w:rsid w:val="52915C31"/>
    <w:rsid w:val="52977FD4"/>
    <w:rsid w:val="52A25790"/>
    <w:rsid w:val="52A63D47"/>
    <w:rsid w:val="52A96B6F"/>
    <w:rsid w:val="52B45975"/>
    <w:rsid w:val="52B551A5"/>
    <w:rsid w:val="52CD24EF"/>
    <w:rsid w:val="52D94AA4"/>
    <w:rsid w:val="52EA12F3"/>
    <w:rsid w:val="52EA3A62"/>
    <w:rsid w:val="52F50BB8"/>
    <w:rsid w:val="53097272"/>
    <w:rsid w:val="530E2C43"/>
    <w:rsid w:val="53110DF9"/>
    <w:rsid w:val="53193986"/>
    <w:rsid w:val="531E0F9C"/>
    <w:rsid w:val="534704F3"/>
    <w:rsid w:val="534C1537"/>
    <w:rsid w:val="53544462"/>
    <w:rsid w:val="535A6478"/>
    <w:rsid w:val="535A66C9"/>
    <w:rsid w:val="535E7E67"/>
    <w:rsid w:val="53815C9F"/>
    <w:rsid w:val="5397158E"/>
    <w:rsid w:val="53CB2ED2"/>
    <w:rsid w:val="53D63625"/>
    <w:rsid w:val="54013861"/>
    <w:rsid w:val="54300401"/>
    <w:rsid w:val="54487265"/>
    <w:rsid w:val="544D6070"/>
    <w:rsid w:val="54537B37"/>
    <w:rsid w:val="54605E1E"/>
    <w:rsid w:val="54B14E1F"/>
    <w:rsid w:val="54B3506A"/>
    <w:rsid w:val="54C44FD0"/>
    <w:rsid w:val="54CA0D16"/>
    <w:rsid w:val="54CF254E"/>
    <w:rsid w:val="54D77655"/>
    <w:rsid w:val="54DD4057"/>
    <w:rsid w:val="54E7490F"/>
    <w:rsid w:val="54E8279D"/>
    <w:rsid w:val="55020B76"/>
    <w:rsid w:val="550764A4"/>
    <w:rsid w:val="550B2BF6"/>
    <w:rsid w:val="55214EB5"/>
    <w:rsid w:val="55364EFD"/>
    <w:rsid w:val="553C0AC9"/>
    <w:rsid w:val="555D4828"/>
    <w:rsid w:val="55606EEC"/>
    <w:rsid w:val="55794BB0"/>
    <w:rsid w:val="557A4C8B"/>
    <w:rsid w:val="558931E1"/>
    <w:rsid w:val="55923347"/>
    <w:rsid w:val="55925180"/>
    <w:rsid w:val="55983B1B"/>
    <w:rsid w:val="55A8376B"/>
    <w:rsid w:val="55DC29B6"/>
    <w:rsid w:val="55DD4241"/>
    <w:rsid w:val="560D60D6"/>
    <w:rsid w:val="562B40FC"/>
    <w:rsid w:val="562E599A"/>
    <w:rsid w:val="564D23B7"/>
    <w:rsid w:val="56625EE3"/>
    <w:rsid w:val="566B6D1E"/>
    <w:rsid w:val="568C24CB"/>
    <w:rsid w:val="56955A19"/>
    <w:rsid w:val="56BE36DE"/>
    <w:rsid w:val="56C715AA"/>
    <w:rsid w:val="56EB0A77"/>
    <w:rsid w:val="57007337"/>
    <w:rsid w:val="57032A2C"/>
    <w:rsid w:val="570606C5"/>
    <w:rsid w:val="570F5219"/>
    <w:rsid w:val="572E78E5"/>
    <w:rsid w:val="5739256A"/>
    <w:rsid w:val="5740115A"/>
    <w:rsid w:val="5754560B"/>
    <w:rsid w:val="575D12B5"/>
    <w:rsid w:val="57610A87"/>
    <w:rsid w:val="57633422"/>
    <w:rsid w:val="576C677A"/>
    <w:rsid w:val="57753996"/>
    <w:rsid w:val="577B1140"/>
    <w:rsid w:val="577B7F21"/>
    <w:rsid w:val="577F181B"/>
    <w:rsid w:val="57921984"/>
    <w:rsid w:val="579737F0"/>
    <w:rsid w:val="57982CDF"/>
    <w:rsid w:val="57A148B7"/>
    <w:rsid w:val="57AB7B30"/>
    <w:rsid w:val="57AF5251"/>
    <w:rsid w:val="57B26373"/>
    <w:rsid w:val="57B63F04"/>
    <w:rsid w:val="57CD20C2"/>
    <w:rsid w:val="57D675AB"/>
    <w:rsid w:val="57D95FDD"/>
    <w:rsid w:val="58566B38"/>
    <w:rsid w:val="58837B1F"/>
    <w:rsid w:val="58917D2F"/>
    <w:rsid w:val="5894085C"/>
    <w:rsid w:val="58AE4F0C"/>
    <w:rsid w:val="58B85899"/>
    <w:rsid w:val="58D26E5A"/>
    <w:rsid w:val="58D55ED9"/>
    <w:rsid w:val="58DC11CA"/>
    <w:rsid w:val="58E363A9"/>
    <w:rsid w:val="58EF7663"/>
    <w:rsid w:val="59056607"/>
    <w:rsid w:val="59183525"/>
    <w:rsid w:val="592941F7"/>
    <w:rsid w:val="592F2DC0"/>
    <w:rsid w:val="5943175D"/>
    <w:rsid w:val="59551901"/>
    <w:rsid w:val="595E1678"/>
    <w:rsid w:val="596D5BD4"/>
    <w:rsid w:val="597E3DD8"/>
    <w:rsid w:val="597F386C"/>
    <w:rsid w:val="599054F7"/>
    <w:rsid w:val="59B166C6"/>
    <w:rsid w:val="59B87359"/>
    <w:rsid w:val="59F80043"/>
    <w:rsid w:val="5A09252F"/>
    <w:rsid w:val="5A0A4028"/>
    <w:rsid w:val="5A0B2778"/>
    <w:rsid w:val="5A2A7C7B"/>
    <w:rsid w:val="5A3E2560"/>
    <w:rsid w:val="5A584D94"/>
    <w:rsid w:val="5A5D3B6E"/>
    <w:rsid w:val="5A5E2716"/>
    <w:rsid w:val="5A607463"/>
    <w:rsid w:val="5A637A76"/>
    <w:rsid w:val="5A6D33BA"/>
    <w:rsid w:val="5A792B1F"/>
    <w:rsid w:val="5A81078E"/>
    <w:rsid w:val="5A874767"/>
    <w:rsid w:val="5A8950E2"/>
    <w:rsid w:val="5AA106F0"/>
    <w:rsid w:val="5AA85BE2"/>
    <w:rsid w:val="5AAD6F28"/>
    <w:rsid w:val="5ABE2749"/>
    <w:rsid w:val="5AD308BE"/>
    <w:rsid w:val="5AD63A24"/>
    <w:rsid w:val="5AE51A4D"/>
    <w:rsid w:val="5AF80325"/>
    <w:rsid w:val="5B0D2022"/>
    <w:rsid w:val="5B1C2265"/>
    <w:rsid w:val="5B2E1A1D"/>
    <w:rsid w:val="5B6527AA"/>
    <w:rsid w:val="5B773940"/>
    <w:rsid w:val="5B843A1C"/>
    <w:rsid w:val="5B873E3F"/>
    <w:rsid w:val="5B955B74"/>
    <w:rsid w:val="5B9738C7"/>
    <w:rsid w:val="5BC0738C"/>
    <w:rsid w:val="5BCF7C49"/>
    <w:rsid w:val="5BD05350"/>
    <w:rsid w:val="5BE865EB"/>
    <w:rsid w:val="5C02690E"/>
    <w:rsid w:val="5C196DA7"/>
    <w:rsid w:val="5C205D85"/>
    <w:rsid w:val="5C2A048C"/>
    <w:rsid w:val="5C4D2220"/>
    <w:rsid w:val="5C80234E"/>
    <w:rsid w:val="5C814A76"/>
    <w:rsid w:val="5C88401D"/>
    <w:rsid w:val="5C8A680C"/>
    <w:rsid w:val="5CA51446"/>
    <w:rsid w:val="5CAA7CE3"/>
    <w:rsid w:val="5CC33D54"/>
    <w:rsid w:val="5CD26E28"/>
    <w:rsid w:val="5CD85FA0"/>
    <w:rsid w:val="5D0C4701"/>
    <w:rsid w:val="5D0F0395"/>
    <w:rsid w:val="5D221076"/>
    <w:rsid w:val="5D335D4B"/>
    <w:rsid w:val="5D397964"/>
    <w:rsid w:val="5D487342"/>
    <w:rsid w:val="5D501FF2"/>
    <w:rsid w:val="5D5A391C"/>
    <w:rsid w:val="5D5F10C0"/>
    <w:rsid w:val="5D790E2F"/>
    <w:rsid w:val="5D891B7B"/>
    <w:rsid w:val="5D92680F"/>
    <w:rsid w:val="5DAD38EE"/>
    <w:rsid w:val="5DF43025"/>
    <w:rsid w:val="5DFC4D34"/>
    <w:rsid w:val="5E006862"/>
    <w:rsid w:val="5E0207B9"/>
    <w:rsid w:val="5E0A3496"/>
    <w:rsid w:val="5E1834A1"/>
    <w:rsid w:val="5E2430A7"/>
    <w:rsid w:val="5E261785"/>
    <w:rsid w:val="5E2D6537"/>
    <w:rsid w:val="5E2F405E"/>
    <w:rsid w:val="5E4A7017"/>
    <w:rsid w:val="5E552BBA"/>
    <w:rsid w:val="5E611C10"/>
    <w:rsid w:val="5E7A0F3F"/>
    <w:rsid w:val="5EDD4CF4"/>
    <w:rsid w:val="5EEC77D9"/>
    <w:rsid w:val="5EFC7377"/>
    <w:rsid w:val="5F06174D"/>
    <w:rsid w:val="5F3A3602"/>
    <w:rsid w:val="5F45733B"/>
    <w:rsid w:val="5F472FFB"/>
    <w:rsid w:val="5F4767B2"/>
    <w:rsid w:val="5F6277C6"/>
    <w:rsid w:val="5F6D0B1D"/>
    <w:rsid w:val="5F8959EF"/>
    <w:rsid w:val="5F8D0B82"/>
    <w:rsid w:val="5F954A50"/>
    <w:rsid w:val="5FA32F55"/>
    <w:rsid w:val="5FCC5339"/>
    <w:rsid w:val="5FE34A5B"/>
    <w:rsid w:val="5FFE1E36"/>
    <w:rsid w:val="60232584"/>
    <w:rsid w:val="60521CD9"/>
    <w:rsid w:val="607246D5"/>
    <w:rsid w:val="607330CE"/>
    <w:rsid w:val="6081403D"/>
    <w:rsid w:val="60825176"/>
    <w:rsid w:val="608C30E9"/>
    <w:rsid w:val="608E7761"/>
    <w:rsid w:val="609F2AC4"/>
    <w:rsid w:val="60A56859"/>
    <w:rsid w:val="60B1289D"/>
    <w:rsid w:val="60CE22DD"/>
    <w:rsid w:val="60D64B9B"/>
    <w:rsid w:val="60FA2EE8"/>
    <w:rsid w:val="61054A27"/>
    <w:rsid w:val="610A52BC"/>
    <w:rsid w:val="610A53B4"/>
    <w:rsid w:val="610D059B"/>
    <w:rsid w:val="6110401D"/>
    <w:rsid w:val="611D2366"/>
    <w:rsid w:val="6138383D"/>
    <w:rsid w:val="61421856"/>
    <w:rsid w:val="615227C4"/>
    <w:rsid w:val="6162474A"/>
    <w:rsid w:val="61654E3F"/>
    <w:rsid w:val="6166423A"/>
    <w:rsid w:val="6182292A"/>
    <w:rsid w:val="619511C7"/>
    <w:rsid w:val="619F7F92"/>
    <w:rsid w:val="61AF3E33"/>
    <w:rsid w:val="61B42650"/>
    <w:rsid w:val="61F061FA"/>
    <w:rsid w:val="61F47A98"/>
    <w:rsid w:val="61F94C26"/>
    <w:rsid w:val="62000E56"/>
    <w:rsid w:val="62023ED4"/>
    <w:rsid w:val="62227144"/>
    <w:rsid w:val="622A3845"/>
    <w:rsid w:val="622F3B4F"/>
    <w:rsid w:val="624346B6"/>
    <w:rsid w:val="624F3E49"/>
    <w:rsid w:val="62632286"/>
    <w:rsid w:val="627604AD"/>
    <w:rsid w:val="62885958"/>
    <w:rsid w:val="62944DD7"/>
    <w:rsid w:val="62A35D2C"/>
    <w:rsid w:val="62A50D92"/>
    <w:rsid w:val="62CE3ED5"/>
    <w:rsid w:val="62F40B65"/>
    <w:rsid w:val="62FC2CFE"/>
    <w:rsid w:val="63024505"/>
    <w:rsid w:val="63027F93"/>
    <w:rsid w:val="6334072E"/>
    <w:rsid w:val="63464323"/>
    <w:rsid w:val="635600A5"/>
    <w:rsid w:val="635B1DB5"/>
    <w:rsid w:val="63711FED"/>
    <w:rsid w:val="63880DDC"/>
    <w:rsid w:val="638D750D"/>
    <w:rsid w:val="63AC6CC0"/>
    <w:rsid w:val="63E853DA"/>
    <w:rsid w:val="63FD4460"/>
    <w:rsid w:val="64055776"/>
    <w:rsid w:val="6417181C"/>
    <w:rsid w:val="641F5B67"/>
    <w:rsid w:val="64240056"/>
    <w:rsid w:val="64287985"/>
    <w:rsid w:val="64361F2A"/>
    <w:rsid w:val="643E143A"/>
    <w:rsid w:val="64491666"/>
    <w:rsid w:val="648B6EEF"/>
    <w:rsid w:val="64C158BF"/>
    <w:rsid w:val="64CE2EAA"/>
    <w:rsid w:val="64DC64E6"/>
    <w:rsid w:val="652E740C"/>
    <w:rsid w:val="653B4814"/>
    <w:rsid w:val="653C3090"/>
    <w:rsid w:val="6545420F"/>
    <w:rsid w:val="654A79CF"/>
    <w:rsid w:val="65854376"/>
    <w:rsid w:val="658767BE"/>
    <w:rsid w:val="65892531"/>
    <w:rsid w:val="65B63000"/>
    <w:rsid w:val="65E65D95"/>
    <w:rsid w:val="66030EAB"/>
    <w:rsid w:val="6603120C"/>
    <w:rsid w:val="660F7562"/>
    <w:rsid w:val="66195831"/>
    <w:rsid w:val="661A3845"/>
    <w:rsid w:val="66292B1D"/>
    <w:rsid w:val="662E75B1"/>
    <w:rsid w:val="66321CE5"/>
    <w:rsid w:val="66342C2E"/>
    <w:rsid w:val="663E784C"/>
    <w:rsid w:val="664061F2"/>
    <w:rsid w:val="666A0329"/>
    <w:rsid w:val="668B6A45"/>
    <w:rsid w:val="66CB3E44"/>
    <w:rsid w:val="67022908"/>
    <w:rsid w:val="67081FDE"/>
    <w:rsid w:val="67112C4A"/>
    <w:rsid w:val="67136C12"/>
    <w:rsid w:val="67254DF4"/>
    <w:rsid w:val="672F3F24"/>
    <w:rsid w:val="673B3A73"/>
    <w:rsid w:val="673C6387"/>
    <w:rsid w:val="673E055F"/>
    <w:rsid w:val="674A2EA6"/>
    <w:rsid w:val="67551CE3"/>
    <w:rsid w:val="675C250A"/>
    <w:rsid w:val="6784366C"/>
    <w:rsid w:val="67A22552"/>
    <w:rsid w:val="67B0620F"/>
    <w:rsid w:val="67B22DCC"/>
    <w:rsid w:val="67BD0867"/>
    <w:rsid w:val="67BE71AA"/>
    <w:rsid w:val="67CF7323"/>
    <w:rsid w:val="67D619EE"/>
    <w:rsid w:val="67D90273"/>
    <w:rsid w:val="67DE5875"/>
    <w:rsid w:val="67E55852"/>
    <w:rsid w:val="67EB1AB4"/>
    <w:rsid w:val="67FA1285"/>
    <w:rsid w:val="67FB3202"/>
    <w:rsid w:val="67FE1F27"/>
    <w:rsid w:val="681F351A"/>
    <w:rsid w:val="68243147"/>
    <w:rsid w:val="68364B05"/>
    <w:rsid w:val="684C483F"/>
    <w:rsid w:val="68551F4F"/>
    <w:rsid w:val="68580655"/>
    <w:rsid w:val="687C10C9"/>
    <w:rsid w:val="688001BA"/>
    <w:rsid w:val="68840C16"/>
    <w:rsid w:val="68876EFB"/>
    <w:rsid w:val="68884654"/>
    <w:rsid w:val="68921DB9"/>
    <w:rsid w:val="689F444F"/>
    <w:rsid w:val="68A51AEC"/>
    <w:rsid w:val="68AE38C5"/>
    <w:rsid w:val="68B96DBB"/>
    <w:rsid w:val="68CA2805"/>
    <w:rsid w:val="68D45117"/>
    <w:rsid w:val="68DF14D9"/>
    <w:rsid w:val="68E937A3"/>
    <w:rsid w:val="68EA5751"/>
    <w:rsid w:val="68FB149A"/>
    <w:rsid w:val="693E15D3"/>
    <w:rsid w:val="69627681"/>
    <w:rsid w:val="6977531D"/>
    <w:rsid w:val="69793349"/>
    <w:rsid w:val="69972978"/>
    <w:rsid w:val="69A43B52"/>
    <w:rsid w:val="69C42446"/>
    <w:rsid w:val="69CB5582"/>
    <w:rsid w:val="69CC2BFF"/>
    <w:rsid w:val="69F6774F"/>
    <w:rsid w:val="69FD55B8"/>
    <w:rsid w:val="6A0B1C62"/>
    <w:rsid w:val="6A2406C8"/>
    <w:rsid w:val="6A2E3D63"/>
    <w:rsid w:val="6A446FDE"/>
    <w:rsid w:val="6A86728A"/>
    <w:rsid w:val="6A876FCF"/>
    <w:rsid w:val="6A9A1ADF"/>
    <w:rsid w:val="6AC85574"/>
    <w:rsid w:val="6ADE0BD1"/>
    <w:rsid w:val="6AE81378"/>
    <w:rsid w:val="6AE96859"/>
    <w:rsid w:val="6AF91F57"/>
    <w:rsid w:val="6B0F1276"/>
    <w:rsid w:val="6B146F73"/>
    <w:rsid w:val="6B147746"/>
    <w:rsid w:val="6B1A33A0"/>
    <w:rsid w:val="6B24787C"/>
    <w:rsid w:val="6B304A54"/>
    <w:rsid w:val="6B325362"/>
    <w:rsid w:val="6B361121"/>
    <w:rsid w:val="6B573233"/>
    <w:rsid w:val="6B59096C"/>
    <w:rsid w:val="6B5B6274"/>
    <w:rsid w:val="6B652D6D"/>
    <w:rsid w:val="6B8E2E58"/>
    <w:rsid w:val="6B935D53"/>
    <w:rsid w:val="6BAE4BBD"/>
    <w:rsid w:val="6BF568E6"/>
    <w:rsid w:val="6C0A7EB8"/>
    <w:rsid w:val="6C103F35"/>
    <w:rsid w:val="6C196F71"/>
    <w:rsid w:val="6C226FCB"/>
    <w:rsid w:val="6C31226F"/>
    <w:rsid w:val="6C376EFF"/>
    <w:rsid w:val="6C4E5FC5"/>
    <w:rsid w:val="6C517EC7"/>
    <w:rsid w:val="6C552F0B"/>
    <w:rsid w:val="6C6536EE"/>
    <w:rsid w:val="6C8C67B7"/>
    <w:rsid w:val="6C9D744C"/>
    <w:rsid w:val="6D035033"/>
    <w:rsid w:val="6D167928"/>
    <w:rsid w:val="6D26299B"/>
    <w:rsid w:val="6D4772EC"/>
    <w:rsid w:val="6D623944"/>
    <w:rsid w:val="6D9078AF"/>
    <w:rsid w:val="6DAA3FEF"/>
    <w:rsid w:val="6DC0172B"/>
    <w:rsid w:val="6DCB690C"/>
    <w:rsid w:val="6DD41A5B"/>
    <w:rsid w:val="6DE264EB"/>
    <w:rsid w:val="6DF43C2E"/>
    <w:rsid w:val="6DF51CA3"/>
    <w:rsid w:val="6DF778A7"/>
    <w:rsid w:val="6E0A789D"/>
    <w:rsid w:val="6E6C6C08"/>
    <w:rsid w:val="6E707C67"/>
    <w:rsid w:val="6E7837FF"/>
    <w:rsid w:val="6E8335BD"/>
    <w:rsid w:val="6E870FFB"/>
    <w:rsid w:val="6E8E12EF"/>
    <w:rsid w:val="6E922B12"/>
    <w:rsid w:val="6E972936"/>
    <w:rsid w:val="6EC46A44"/>
    <w:rsid w:val="6ED446C5"/>
    <w:rsid w:val="6EE24C54"/>
    <w:rsid w:val="6F2A2D4B"/>
    <w:rsid w:val="6F2A7D94"/>
    <w:rsid w:val="6F6FA53B"/>
    <w:rsid w:val="6F8331F1"/>
    <w:rsid w:val="6F992AFB"/>
    <w:rsid w:val="6FA90678"/>
    <w:rsid w:val="6FAE1A09"/>
    <w:rsid w:val="6FD75BF8"/>
    <w:rsid w:val="70066C77"/>
    <w:rsid w:val="701A05E4"/>
    <w:rsid w:val="703674CE"/>
    <w:rsid w:val="703A5210"/>
    <w:rsid w:val="704373DA"/>
    <w:rsid w:val="70506BC9"/>
    <w:rsid w:val="705A2706"/>
    <w:rsid w:val="707723D0"/>
    <w:rsid w:val="709B5583"/>
    <w:rsid w:val="709F5073"/>
    <w:rsid w:val="70A43721"/>
    <w:rsid w:val="70AB1C6A"/>
    <w:rsid w:val="70EF0E72"/>
    <w:rsid w:val="70F5661B"/>
    <w:rsid w:val="71153C78"/>
    <w:rsid w:val="71360107"/>
    <w:rsid w:val="71373571"/>
    <w:rsid w:val="713B688E"/>
    <w:rsid w:val="7148279F"/>
    <w:rsid w:val="714B2644"/>
    <w:rsid w:val="717E343F"/>
    <w:rsid w:val="719C7804"/>
    <w:rsid w:val="71D43752"/>
    <w:rsid w:val="71D725A9"/>
    <w:rsid w:val="71E35433"/>
    <w:rsid w:val="71F1796A"/>
    <w:rsid w:val="71F71B70"/>
    <w:rsid w:val="71FB63D5"/>
    <w:rsid w:val="72154626"/>
    <w:rsid w:val="72262B5D"/>
    <w:rsid w:val="72283FF7"/>
    <w:rsid w:val="722E4900"/>
    <w:rsid w:val="722E7212"/>
    <w:rsid w:val="723A0474"/>
    <w:rsid w:val="725923E4"/>
    <w:rsid w:val="72864BF7"/>
    <w:rsid w:val="729023FC"/>
    <w:rsid w:val="72936E59"/>
    <w:rsid w:val="72A9042B"/>
    <w:rsid w:val="72C63853"/>
    <w:rsid w:val="73207DD4"/>
    <w:rsid w:val="733F0D8F"/>
    <w:rsid w:val="7388371F"/>
    <w:rsid w:val="739625BA"/>
    <w:rsid w:val="73966B0A"/>
    <w:rsid w:val="73C0646E"/>
    <w:rsid w:val="73CD73DD"/>
    <w:rsid w:val="73DB0A3C"/>
    <w:rsid w:val="73E77E2D"/>
    <w:rsid w:val="73FF1FC5"/>
    <w:rsid w:val="742222F5"/>
    <w:rsid w:val="743261FE"/>
    <w:rsid w:val="743659A3"/>
    <w:rsid w:val="74476126"/>
    <w:rsid w:val="74706664"/>
    <w:rsid w:val="74732A9E"/>
    <w:rsid w:val="747F3682"/>
    <w:rsid w:val="748408CE"/>
    <w:rsid w:val="749C4185"/>
    <w:rsid w:val="74DB0868"/>
    <w:rsid w:val="75023670"/>
    <w:rsid w:val="75067759"/>
    <w:rsid w:val="752E6DCD"/>
    <w:rsid w:val="7551380D"/>
    <w:rsid w:val="75600BE5"/>
    <w:rsid w:val="7564475C"/>
    <w:rsid w:val="7583797F"/>
    <w:rsid w:val="75C02522"/>
    <w:rsid w:val="75D20F1D"/>
    <w:rsid w:val="75D307FB"/>
    <w:rsid w:val="75DA2C18"/>
    <w:rsid w:val="75F54412"/>
    <w:rsid w:val="761B517D"/>
    <w:rsid w:val="761D08E0"/>
    <w:rsid w:val="762A3C1E"/>
    <w:rsid w:val="765A4E26"/>
    <w:rsid w:val="765D347C"/>
    <w:rsid w:val="766528BB"/>
    <w:rsid w:val="76826699"/>
    <w:rsid w:val="769153C1"/>
    <w:rsid w:val="76C87133"/>
    <w:rsid w:val="76CD08D5"/>
    <w:rsid w:val="76D43165"/>
    <w:rsid w:val="76DB4B92"/>
    <w:rsid w:val="77043FEA"/>
    <w:rsid w:val="77052AA4"/>
    <w:rsid w:val="77136511"/>
    <w:rsid w:val="772E0EFE"/>
    <w:rsid w:val="77316029"/>
    <w:rsid w:val="77340A39"/>
    <w:rsid w:val="77351FD0"/>
    <w:rsid w:val="77472422"/>
    <w:rsid w:val="775F555C"/>
    <w:rsid w:val="777F31F2"/>
    <w:rsid w:val="77862AE9"/>
    <w:rsid w:val="77BC17C0"/>
    <w:rsid w:val="77D1700D"/>
    <w:rsid w:val="77EC04CC"/>
    <w:rsid w:val="78342A30"/>
    <w:rsid w:val="784F0F20"/>
    <w:rsid w:val="78775729"/>
    <w:rsid w:val="787C3EEC"/>
    <w:rsid w:val="78811E44"/>
    <w:rsid w:val="78A42DB0"/>
    <w:rsid w:val="78A656AB"/>
    <w:rsid w:val="78B2245C"/>
    <w:rsid w:val="78DC2336"/>
    <w:rsid w:val="78E172CC"/>
    <w:rsid w:val="78EA1D1F"/>
    <w:rsid w:val="78EB34B7"/>
    <w:rsid w:val="78EE303B"/>
    <w:rsid w:val="78FB54D2"/>
    <w:rsid w:val="79036DC3"/>
    <w:rsid w:val="7904172F"/>
    <w:rsid w:val="790F7E27"/>
    <w:rsid w:val="791B7535"/>
    <w:rsid w:val="792A231A"/>
    <w:rsid w:val="79316829"/>
    <w:rsid w:val="79464C25"/>
    <w:rsid w:val="794A42A0"/>
    <w:rsid w:val="797663BF"/>
    <w:rsid w:val="797E66A9"/>
    <w:rsid w:val="798518A4"/>
    <w:rsid w:val="79A27982"/>
    <w:rsid w:val="79A4194C"/>
    <w:rsid w:val="79A97383"/>
    <w:rsid w:val="79CB6ED9"/>
    <w:rsid w:val="79E27E8B"/>
    <w:rsid w:val="79E90834"/>
    <w:rsid w:val="79F850CE"/>
    <w:rsid w:val="79FD443C"/>
    <w:rsid w:val="7A1D1975"/>
    <w:rsid w:val="7A3656DF"/>
    <w:rsid w:val="7A3E5150"/>
    <w:rsid w:val="7A454EDD"/>
    <w:rsid w:val="7A4670D6"/>
    <w:rsid w:val="7A534B63"/>
    <w:rsid w:val="7A615382"/>
    <w:rsid w:val="7A67303B"/>
    <w:rsid w:val="7AAB1D04"/>
    <w:rsid w:val="7AB21E46"/>
    <w:rsid w:val="7ABA4368"/>
    <w:rsid w:val="7AC878BC"/>
    <w:rsid w:val="7AD05746"/>
    <w:rsid w:val="7ADA73FD"/>
    <w:rsid w:val="7B166879"/>
    <w:rsid w:val="7B257FFD"/>
    <w:rsid w:val="7B343476"/>
    <w:rsid w:val="7B4F41CA"/>
    <w:rsid w:val="7B5A2978"/>
    <w:rsid w:val="7B5A7E4C"/>
    <w:rsid w:val="7B667AF9"/>
    <w:rsid w:val="7B7468F8"/>
    <w:rsid w:val="7BBA2B78"/>
    <w:rsid w:val="7BEE0103"/>
    <w:rsid w:val="7BF16932"/>
    <w:rsid w:val="7BF64034"/>
    <w:rsid w:val="7BF7516B"/>
    <w:rsid w:val="7C0A0FE4"/>
    <w:rsid w:val="7C0E0FC1"/>
    <w:rsid w:val="7C204A41"/>
    <w:rsid w:val="7C254906"/>
    <w:rsid w:val="7C332D0A"/>
    <w:rsid w:val="7C3F595C"/>
    <w:rsid w:val="7C4D0079"/>
    <w:rsid w:val="7C572CA5"/>
    <w:rsid w:val="7C590818"/>
    <w:rsid w:val="7C5E4034"/>
    <w:rsid w:val="7C7C10F6"/>
    <w:rsid w:val="7C853BEA"/>
    <w:rsid w:val="7C881368"/>
    <w:rsid w:val="7CAF4890"/>
    <w:rsid w:val="7CB579CC"/>
    <w:rsid w:val="7CBB1486"/>
    <w:rsid w:val="7CCB71F0"/>
    <w:rsid w:val="7CD31005"/>
    <w:rsid w:val="7CE27788"/>
    <w:rsid w:val="7D0163B1"/>
    <w:rsid w:val="7D0C32F1"/>
    <w:rsid w:val="7D0F408D"/>
    <w:rsid w:val="7D1943FF"/>
    <w:rsid w:val="7D2708CA"/>
    <w:rsid w:val="7D3923AB"/>
    <w:rsid w:val="7D491C6C"/>
    <w:rsid w:val="7D5429C0"/>
    <w:rsid w:val="7D5B5D68"/>
    <w:rsid w:val="7D6E6D43"/>
    <w:rsid w:val="7D8C28A2"/>
    <w:rsid w:val="7D951CD7"/>
    <w:rsid w:val="7DB57A34"/>
    <w:rsid w:val="7DCE6371"/>
    <w:rsid w:val="7DE60973"/>
    <w:rsid w:val="7DEA46F1"/>
    <w:rsid w:val="7DEF0916"/>
    <w:rsid w:val="7E1E5218"/>
    <w:rsid w:val="7E244683"/>
    <w:rsid w:val="7E4B05E8"/>
    <w:rsid w:val="7E503E50"/>
    <w:rsid w:val="7E6C338F"/>
    <w:rsid w:val="7E6C679B"/>
    <w:rsid w:val="7E6E6565"/>
    <w:rsid w:val="7E707F66"/>
    <w:rsid w:val="7E8E6F76"/>
    <w:rsid w:val="7E9A4E1F"/>
    <w:rsid w:val="7EA7723A"/>
    <w:rsid w:val="7EAF2767"/>
    <w:rsid w:val="7EDD618C"/>
    <w:rsid w:val="7EF56FBB"/>
    <w:rsid w:val="7EF649F8"/>
    <w:rsid w:val="7F01339C"/>
    <w:rsid w:val="7F0768EB"/>
    <w:rsid w:val="7F143BEC"/>
    <w:rsid w:val="7F17496E"/>
    <w:rsid w:val="7F701B85"/>
    <w:rsid w:val="7F715AF2"/>
    <w:rsid w:val="7F7B47F9"/>
    <w:rsid w:val="7F886E69"/>
    <w:rsid w:val="7F8C6497"/>
    <w:rsid w:val="7F9901DB"/>
    <w:rsid w:val="7FB977D3"/>
    <w:rsid w:val="7FC04AD7"/>
    <w:rsid w:val="7FFB0F96"/>
    <w:rsid w:val="7FFFA3A9"/>
    <w:rsid w:val="9F73DB3A"/>
    <w:rsid w:val="BB7FA927"/>
    <w:rsid w:val="CFFC69D8"/>
    <w:rsid w:val="D5F791D4"/>
    <w:rsid w:val="DFEF2961"/>
    <w:rsid w:val="EF77E135"/>
    <w:rsid w:val="F5FFD31F"/>
    <w:rsid w:val="FFEFA4C8"/>
    <w:rsid w:val="FFFBA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w:basedOn w:val="1"/>
    <w:next w:val="17"/>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17">
    <w:name w:val="Body Text First Indent"/>
    <w:basedOn w:val="16"/>
    <w:next w:val="1"/>
    <w:link w:val="324"/>
    <w:autoRedefine/>
    <w:qFormat/>
    <w:uiPriority w:val="0"/>
    <w:pPr>
      <w:ind w:firstLine="420"/>
    </w:pPr>
    <w:rPr>
      <w:rFonts w:hAnsi="Calibri" w:cs="Times New Roman"/>
      <w:snapToGrid/>
      <w:szCs w:val="20"/>
    </w:rPr>
  </w:style>
  <w:style w:type="paragraph" w:styleId="18">
    <w:name w:val="caption"/>
    <w:basedOn w:val="1"/>
    <w:next w:val="1"/>
    <w:link w:val="232"/>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5"/>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8"/>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8"/>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 w:val="24"/>
      <w:szCs w:val="21"/>
      <w:lang w:val="zh-CN"/>
    </w:rPr>
  </w:style>
  <w:style w:type="paragraph" w:styleId="37">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6"/>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rPr>
  </w:style>
  <w:style w:type="paragraph" w:styleId="42">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8"/>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5"/>
    <w:autoRedefine/>
    <w:qFormat/>
    <w:uiPriority w:val="0"/>
    <w:pPr>
      <w:spacing w:after="120" w:line="480" w:lineRule="auto"/>
    </w:pPr>
  </w:style>
  <w:style w:type="paragraph" w:styleId="58">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9"/>
    <w:autoRedefine/>
    <w:qFormat/>
    <w:uiPriority w:val="0"/>
    <w:rPr>
      <w:b/>
      <w:bCs/>
    </w:rPr>
  </w:style>
  <w:style w:type="paragraph" w:styleId="62">
    <w:name w:val="Body Text First Indent 2"/>
    <w:basedOn w:val="25"/>
    <w:next w:val="1"/>
    <w:link w:val="124"/>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Normal Indent1"/>
    <w:basedOn w:val="1"/>
    <w:autoRedefine/>
    <w:qFormat/>
    <w:uiPriority w:val="0"/>
    <w:pPr>
      <w:ind w:firstLine="420" w:firstLineChars="200"/>
    </w:pPr>
  </w:style>
  <w:style w:type="paragraph" w:customStyle="1" w:styleId="83">
    <w:name w:val="首行缩进"/>
    <w:basedOn w:val="1"/>
    <w:autoRedefine/>
    <w:qFormat/>
    <w:uiPriority w:val="0"/>
    <w:pPr>
      <w:spacing w:line="360" w:lineRule="auto"/>
      <w:ind w:firstLine="480" w:firstLineChars="200"/>
    </w:pPr>
    <w:rPr>
      <w:rFonts w:ascii="宋体"/>
      <w:sz w:val="24"/>
      <w:szCs w:val="20"/>
    </w:rPr>
  </w:style>
  <w:style w:type="paragraph" w:customStyle="1" w:styleId="84">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1"/>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2"/>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0"/>
    <w:autoRedefine/>
    <w:qFormat/>
    <w:uiPriority w:val="0"/>
    <w:rPr>
      <w:rFonts w:ascii="Arial" w:hAnsi="Arial" w:eastAsia="黑体" w:cs="Arial"/>
      <w:snapToGrid w:val="0"/>
      <w:kern w:val="0"/>
      <w:szCs w:val="21"/>
    </w:rPr>
  </w:style>
  <w:style w:type="character" w:customStyle="1" w:styleId="12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8"/>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4"/>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6"/>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0"/>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8"/>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3"/>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0"/>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8"/>
    <w:autoRedefine/>
    <w:qFormat/>
    <w:uiPriority w:val="0"/>
    <w:rPr>
      <w:rFonts w:ascii="黑体" w:hAnsi="Courier New" w:eastAsia="黑体"/>
    </w:rPr>
  </w:style>
  <w:style w:type="character" w:customStyle="1" w:styleId="305">
    <w:name w:val="正文文本 2 Char1"/>
    <w:link w:val="57"/>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8"/>
    <w:autoRedefine/>
    <w:qFormat/>
    <w:uiPriority w:val="0"/>
    <w:rPr>
      <w:b/>
      <w:bCs/>
      <w:kern w:val="2"/>
      <w:sz w:val="24"/>
      <w:szCs w:val="24"/>
    </w:rPr>
  </w:style>
  <w:style w:type="character" w:customStyle="1" w:styleId="311">
    <w:name w:val="正文文本缩进 2 Char"/>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1"/>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17"/>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5"/>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autoRedefine/>
    <w:qFormat/>
    <w:uiPriority w:val="0"/>
    <w:rPr>
      <w:kern w:val="2"/>
      <w:sz w:val="21"/>
      <w:szCs w:val="24"/>
    </w:rPr>
  </w:style>
  <w:style w:type="character" w:customStyle="1" w:styleId="348">
    <w:name w:val="签名 Char"/>
    <w:link w:val="43"/>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4"/>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2"/>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16"/>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2"/>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2"/>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1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2"/>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3"/>
    <w:autoRedefine/>
    <w:qFormat/>
    <w:uiPriority w:val="0"/>
    <w:pPr>
      <w:tabs>
        <w:tab w:val="left" w:pos="840"/>
      </w:tabs>
      <w:adjustRightInd/>
      <w:ind w:left="840" w:hanging="420"/>
    </w:pPr>
  </w:style>
  <w:style w:type="paragraph" w:customStyle="1" w:styleId="62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Lines="0" w:afterLines="0"/>
      <w:ind w:left="1680"/>
      <w:outlineLvl w:val="2"/>
    </w:pPr>
  </w:style>
  <w:style w:type="paragraph" w:customStyle="1" w:styleId="661">
    <w:name w:val="章标题"/>
    <w:next w:val="6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1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2"/>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16"/>
    <w:autoRedefine/>
    <w:qFormat/>
    <w:uiPriority w:val="0"/>
    <w:pPr>
      <w:autoSpaceDE/>
      <w:autoSpaceDN/>
      <w:snapToGrid w:val="0"/>
      <w:ind w:firstLine="480" w:firstLineChars="200"/>
    </w:pPr>
    <w:rPr>
      <w:rFonts w:ascii="Times New Roman"/>
      <w:szCs w:val="24"/>
      <w:lang w:val="en-US"/>
    </w:rPr>
  </w:style>
  <w:style w:type="paragraph" w:customStyle="1" w:styleId="77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2"/>
    <w:next w:val="54"/>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7"/>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1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3"/>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2"/>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0"/>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1"/>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2"/>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2"/>
    <w:autoRedefine/>
    <w:qFormat/>
    <w:uiPriority w:val="0"/>
    <w:rPr>
      <w:b w:val="0"/>
      <w:sz w:val="20"/>
    </w:rPr>
  </w:style>
  <w:style w:type="paragraph" w:customStyle="1" w:styleId="895">
    <w:name w:val="正文首行缩进1"/>
    <w:basedOn w:val="1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字符"/>
    <w:link w:val="486"/>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1"/>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4"/>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Normal]"/>
    <w:autoRedefine/>
    <w:qFormat/>
    <w:uiPriority w:val="0"/>
    <w:rPr>
      <w:rFonts w:ascii="宋体" w:hAnsi="宋体" w:eastAsia="宋体" w:cs="Times New Roman"/>
      <w:sz w:val="24"/>
      <w:lang w:val="zh-CN" w:eastAsia="zh-CN" w:bidi="ar-SA"/>
    </w:rPr>
  </w:style>
  <w:style w:type="paragraph" w:styleId="969">
    <w:name w:val="List Paragraph"/>
    <w:basedOn w:val="1"/>
    <w:autoRedefine/>
    <w:qFormat/>
    <w:uiPriority w:val="99"/>
    <w:pPr>
      <w:adjustRightInd/>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header" Target="header9.xml"/><Relationship Id="rId25" Type="http://schemas.openxmlformats.org/officeDocument/2006/relationships/header" Target="header8.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03657-72E6-4C35-9161-6F94293859C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10761</Words>
  <Characters>11633</Characters>
  <Lines>271</Lines>
  <Paragraphs>76</Paragraphs>
  <TotalTime>5</TotalTime>
  <ScaleCrop>false</ScaleCrop>
  <LinksUpToDate>false</LinksUpToDate>
  <CharactersWithSpaces>11997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2022-11-23T20:33:00Z</dcterms:created>
  <dc:creator>玥</dc:creator>
  <cp:lastModifiedBy>陈旭涛</cp:lastModifiedBy>
  <cp:lastPrinted>2023-01-18T23:33:00Z</cp:lastPrinted>
  <dcterms:modified xsi:type="dcterms:W3CDTF">2025-02-27T03:04:13Z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9CEC17A91BABC10555818067C61B381B_43</vt:lpwstr>
  </property>
  <property fmtid="{D5CDD505-2E9C-101B-9397-08002B2CF9AE}" pid="5" name="commondata">
    <vt:lpwstr>eyJoZGlkIjoiNGNlMmFkMDQ1NDY0ZmRiM2Q0NjY4NTFjN2IwMTllYjMifQ==</vt:lpwstr>
  </property>
  <property fmtid="{D5CDD505-2E9C-101B-9397-08002B2CF9AE}" pid="6" name="KSOTemplateDocerSaveRecord">
    <vt:lpwstr>eyJoZGlkIjoiNmExMTYzOWE2MGE5NTMzYTcyZmY4NThkYjQ3YWJiYjAiLCJ1c2VySWQiOiI0MzM2ODYwNzMifQ==</vt:lpwstr>
  </property>
</Properties>
</file>