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z w:val="24"/>
          <w:highlight w:val="none"/>
        </w:rPr>
      </w:pPr>
    </w:p>
    <w:p>
      <w:pPr>
        <w:adjustRightInd/>
        <w:spacing w:line="360" w:lineRule="auto"/>
        <w:jc w:val="center"/>
        <w:rPr>
          <w:rFonts w:ascii="仿宋" w:hAnsi="仿宋" w:eastAsia="仿宋" w:cs="仿宋"/>
          <w:b/>
          <w:color w:val="auto"/>
          <w:sz w:val="44"/>
          <w:szCs w:val="44"/>
          <w:highlight w:val="none"/>
        </w:rPr>
      </w:pPr>
    </w:p>
    <w:p>
      <w:pPr>
        <w:adjustRightInd/>
        <w:spacing w:line="360" w:lineRule="auto"/>
        <w:jc w:val="center"/>
        <w:rPr>
          <w:rFonts w:ascii="仿宋" w:hAnsi="仿宋" w:eastAsia="仿宋" w:cs="仿宋"/>
          <w:b/>
          <w:bCs/>
          <w:color w:val="auto"/>
          <w:sz w:val="48"/>
          <w:szCs w:val="48"/>
          <w:highlight w:val="none"/>
        </w:rPr>
      </w:pPr>
      <w:r>
        <w:rPr>
          <w:rFonts w:hint="eastAsia" w:ascii="仿宋" w:hAnsi="仿宋" w:eastAsia="仿宋" w:cs="仿宋"/>
          <w:b/>
          <w:bCs/>
          <w:color w:val="auto"/>
          <w:sz w:val="48"/>
          <w:szCs w:val="48"/>
          <w:highlight w:val="none"/>
        </w:rPr>
        <w:t>浙江交通职业技术学院</w:t>
      </w:r>
    </w:p>
    <w:p>
      <w:pPr>
        <w:adjustRightInd/>
        <w:spacing w:line="360" w:lineRule="auto"/>
        <w:jc w:val="center"/>
        <w:rPr>
          <w:rFonts w:ascii="仿宋" w:hAnsi="仿宋" w:eastAsia="仿宋" w:cs="仿宋"/>
          <w:b/>
          <w:bCs/>
          <w:color w:val="auto"/>
          <w:sz w:val="48"/>
          <w:szCs w:val="48"/>
          <w:highlight w:val="none"/>
        </w:rPr>
      </w:pPr>
      <w:r>
        <w:rPr>
          <w:rFonts w:hint="eastAsia" w:ascii="仿宋" w:hAnsi="仿宋" w:eastAsia="仿宋" w:cs="仿宋"/>
          <w:b/>
          <w:bCs/>
          <w:color w:val="auto"/>
          <w:sz w:val="48"/>
          <w:szCs w:val="48"/>
          <w:highlight w:val="none"/>
          <w:lang w:eastAsia="zh-CN"/>
        </w:rPr>
        <w:t>新能源汽车充电桩系统建设</w:t>
      </w:r>
      <w:r>
        <w:rPr>
          <w:rFonts w:hint="eastAsia" w:ascii="仿宋" w:hAnsi="仿宋" w:eastAsia="仿宋" w:cs="仿宋"/>
          <w:b/>
          <w:bCs/>
          <w:color w:val="auto"/>
          <w:sz w:val="48"/>
          <w:szCs w:val="48"/>
          <w:highlight w:val="none"/>
        </w:rPr>
        <w:t xml:space="preserve">项目 </w:t>
      </w:r>
    </w:p>
    <w:p>
      <w:pPr>
        <w:adjustRightInd/>
        <w:spacing w:line="360" w:lineRule="auto"/>
        <w:jc w:val="center"/>
        <w:rPr>
          <w:rFonts w:ascii="仿宋" w:hAnsi="仿宋" w:eastAsia="仿宋" w:cs="仿宋"/>
          <w:b/>
          <w:bCs/>
          <w:color w:val="auto"/>
          <w:sz w:val="48"/>
          <w:szCs w:val="48"/>
          <w:highlight w:val="none"/>
        </w:rPr>
      </w:pPr>
      <w:r>
        <w:rPr>
          <w:rFonts w:hint="eastAsia" w:ascii="仿宋" w:hAnsi="仿宋" w:eastAsia="仿宋" w:cs="仿宋"/>
          <w:b/>
          <w:bCs/>
          <w:color w:val="auto"/>
          <w:sz w:val="48"/>
          <w:szCs w:val="48"/>
          <w:highlight w:val="none"/>
        </w:rPr>
        <w:t>竞争性磋商文件</w:t>
      </w:r>
    </w:p>
    <w:p>
      <w:pPr>
        <w:adjustRightInd/>
        <w:spacing w:line="360" w:lineRule="auto"/>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（电子交易）</w:t>
      </w:r>
    </w:p>
    <w:p>
      <w:pPr>
        <w:snapToGrid w:val="0"/>
        <w:spacing w:line="360" w:lineRule="auto"/>
        <w:jc w:val="center"/>
        <w:rPr>
          <w:rFonts w:hint="eastAsia"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rPr>
        <w:t>采购编号:</w:t>
      </w:r>
      <w:r>
        <w:rPr>
          <w:rFonts w:hint="eastAsia" w:ascii="仿宋" w:hAnsi="仿宋" w:eastAsia="仿宋" w:cs="仿宋"/>
          <w:b/>
          <w:bCs/>
          <w:color w:val="auto"/>
          <w:sz w:val="30"/>
          <w:szCs w:val="30"/>
          <w:highlight w:val="none"/>
          <w:lang w:eastAsia="zh-CN"/>
        </w:rPr>
        <w:t>BSZB2024-AZZC131</w:t>
      </w:r>
    </w:p>
    <w:p>
      <w:pPr>
        <w:adjustRightInd/>
        <w:spacing w:line="360" w:lineRule="auto"/>
        <w:rPr>
          <w:rFonts w:ascii="仿宋" w:hAnsi="仿宋" w:eastAsia="仿宋" w:cs="仿宋"/>
          <w:b/>
          <w:bCs/>
          <w:color w:val="auto"/>
          <w:sz w:val="28"/>
          <w:szCs w:val="20"/>
          <w:highlight w:val="none"/>
        </w:rPr>
      </w:pPr>
    </w:p>
    <w:p>
      <w:pPr>
        <w:spacing w:line="360" w:lineRule="auto"/>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 xml:space="preserve"> </w:t>
      </w:r>
    </w:p>
    <w:p>
      <w:pPr>
        <w:spacing w:line="360" w:lineRule="auto"/>
        <w:jc w:val="center"/>
        <w:rPr>
          <w:rFonts w:ascii="仿宋" w:hAnsi="仿宋" w:eastAsia="仿宋" w:cs="仿宋"/>
          <w:b/>
          <w:bCs/>
          <w:color w:val="auto"/>
          <w:sz w:val="44"/>
          <w:szCs w:val="44"/>
          <w:highlight w:val="none"/>
        </w:rPr>
      </w:pPr>
    </w:p>
    <w:p>
      <w:pPr>
        <w:spacing w:line="360" w:lineRule="auto"/>
        <w:jc w:val="center"/>
        <w:rPr>
          <w:rFonts w:ascii="仿宋" w:hAnsi="仿宋" w:eastAsia="仿宋" w:cs="仿宋"/>
          <w:b/>
          <w:bCs/>
          <w:color w:val="auto"/>
          <w:sz w:val="24"/>
          <w:highlight w:val="none"/>
        </w:rPr>
      </w:pPr>
    </w:p>
    <w:p>
      <w:pPr>
        <w:spacing w:line="360" w:lineRule="auto"/>
        <w:jc w:val="center"/>
        <w:rPr>
          <w:rFonts w:ascii="仿宋" w:hAnsi="仿宋" w:eastAsia="仿宋" w:cs="仿宋"/>
          <w:b/>
          <w:bCs/>
          <w:color w:val="auto"/>
          <w:sz w:val="24"/>
          <w:highlight w:val="none"/>
        </w:rPr>
      </w:pPr>
    </w:p>
    <w:p>
      <w:pPr>
        <w:spacing w:line="360" w:lineRule="auto"/>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采购人：浙江交通职业技术学院</w:t>
      </w:r>
    </w:p>
    <w:p>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采购代理机构：杭州博实招标代理有限公司</w:t>
      </w:r>
    </w:p>
    <w:p>
      <w:pPr>
        <w:spacing w:line="360" w:lineRule="auto"/>
        <w:jc w:val="center"/>
        <w:rPr>
          <w:rFonts w:ascii="仿宋" w:hAnsi="仿宋" w:eastAsia="仿宋" w:cs="仿宋"/>
          <w:color w:val="auto"/>
          <w:sz w:val="24"/>
          <w:highlight w:val="none"/>
        </w:rPr>
      </w:pPr>
      <w:r>
        <w:rPr>
          <w:rFonts w:hint="eastAsia" w:ascii="仿宋" w:hAnsi="仿宋" w:eastAsia="仿宋" w:cs="仿宋"/>
          <w:b/>
          <w:bCs/>
          <w:color w:val="auto"/>
          <w:sz w:val="32"/>
          <w:szCs w:val="32"/>
          <w:highlight w:val="none"/>
        </w:rPr>
        <w:t>2024年</w:t>
      </w:r>
      <w:r>
        <w:rPr>
          <w:rFonts w:hint="eastAsia" w:ascii="仿宋" w:hAnsi="仿宋" w:eastAsia="仿宋" w:cs="仿宋"/>
          <w:b/>
          <w:bCs/>
          <w:color w:val="auto"/>
          <w:sz w:val="32"/>
          <w:szCs w:val="32"/>
          <w:highlight w:val="none"/>
          <w:lang w:val="en-US" w:eastAsia="zh-CN"/>
        </w:rPr>
        <w:t>6</w:t>
      </w:r>
      <w:r>
        <w:rPr>
          <w:rFonts w:hint="eastAsia" w:ascii="仿宋" w:hAnsi="仿宋" w:eastAsia="仿宋" w:cs="仿宋"/>
          <w:b/>
          <w:bCs/>
          <w:color w:val="auto"/>
          <w:sz w:val="32"/>
          <w:szCs w:val="32"/>
          <w:highlight w:val="none"/>
        </w:rPr>
        <w:t>月</w:t>
      </w:r>
      <w:r>
        <w:rPr>
          <w:rFonts w:hint="eastAsia" w:ascii="仿宋" w:hAnsi="仿宋" w:eastAsia="仿宋" w:cs="仿宋"/>
          <w:color w:val="auto"/>
          <w:sz w:val="24"/>
          <w:highlight w:val="none"/>
        </w:rPr>
        <w:br w:type="page"/>
      </w:r>
      <w:bookmarkStart w:id="0" w:name="_Hlt67893495"/>
      <w:bookmarkEnd w:id="0"/>
    </w:p>
    <w:p>
      <w:pPr>
        <w:spacing w:line="360" w:lineRule="auto"/>
        <w:jc w:val="center"/>
        <w:rPr>
          <w:rFonts w:ascii="仿宋" w:hAnsi="仿宋" w:eastAsia="仿宋" w:cs="仿宋"/>
          <w:color w:val="auto"/>
          <w:sz w:val="24"/>
          <w:highlight w:val="none"/>
        </w:rPr>
      </w:pPr>
    </w:p>
    <w:p>
      <w:pPr>
        <w:spacing w:line="360" w:lineRule="auto"/>
        <w:jc w:val="center"/>
        <w:rPr>
          <w:rFonts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pPr>
        <w:spacing w:line="360" w:lineRule="auto"/>
        <w:rPr>
          <w:rFonts w:ascii="仿宋" w:hAnsi="仿宋" w:eastAsia="仿宋" w:cs="仿宋"/>
          <w:b/>
          <w:color w:val="auto"/>
          <w:sz w:val="32"/>
          <w:szCs w:val="32"/>
          <w:highlight w:val="none"/>
        </w:rPr>
      </w:pPr>
    </w:p>
    <w:p>
      <w:pPr>
        <w:spacing w:line="360" w:lineRule="auto"/>
        <w:ind w:firstLine="1285" w:firstLineChars="40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第一部分      邀请供应商</w:t>
      </w:r>
    </w:p>
    <w:p>
      <w:pPr>
        <w:spacing w:line="360" w:lineRule="auto"/>
        <w:ind w:firstLine="1285" w:firstLineChars="40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第二部分      竞争性磋商流程</w:t>
      </w:r>
    </w:p>
    <w:p>
      <w:pPr>
        <w:spacing w:line="360" w:lineRule="auto"/>
        <w:ind w:firstLine="1285" w:firstLineChars="40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第三部分      供应商须知</w:t>
      </w:r>
    </w:p>
    <w:p>
      <w:pPr>
        <w:spacing w:line="360" w:lineRule="auto"/>
        <w:ind w:firstLine="1285" w:firstLineChars="40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第四部分      采购需求</w:t>
      </w:r>
    </w:p>
    <w:p>
      <w:pPr>
        <w:spacing w:line="360" w:lineRule="auto"/>
        <w:ind w:firstLine="1285" w:firstLineChars="40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第五部分      评审方法及评审标准</w:t>
      </w:r>
    </w:p>
    <w:p>
      <w:pPr>
        <w:spacing w:line="360" w:lineRule="auto"/>
        <w:ind w:firstLine="1285" w:firstLineChars="40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第六部分      拟签订的合同文本</w:t>
      </w:r>
    </w:p>
    <w:p>
      <w:pPr>
        <w:spacing w:line="360" w:lineRule="auto"/>
        <w:ind w:firstLine="1285" w:firstLineChars="40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第七部分      应提交的有关格式范例</w:t>
      </w:r>
    </w:p>
    <w:p>
      <w:pPr>
        <w:spacing w:line="360" w:lineRule="auto"/>
        <w:rPr>
          <w:rFonts w:ascii="仿宋" w:hAnsi="仿宋" w:eastAsia="仿宋" w:cs="仿宋"/>
          <w:b/>
          <w:color w:val="auto"/>
          <w:sz w:val="32"/>
          <w:szCs w:val="32"/>
          <w:highlight w:val="none"/>
        </w:rPr>
      </w:pPr>
    </w:p>
    <w:p>
      <w:pPr>
        <w:spacing w:line="360" w:lineRule="auto"/>
        <w:ind w:firstLine="1280" w:firstLineChars="400"/>
        <w:rPr>
          <w:rFonts w:ascii="仿宋" w:hAnsi="仿宋" w:eastAsia="仿宋" w:cs="仿宋"/>
          <w:color w:val="auto"/>
          <w:sz w:val="32"/>
          <w:szCs w:val="32"/>
          <w:highlight w:val="none"/>
        </w:rPr>
      </w:pPr>
    </w:p>
    <w:p>
      <w:pPr>
        <w:spacing w:line="360" w:lineRule="auto"/>
        <w:ind w:firstLine="549" w:firstLineChars="229"/>
        <w:rPr>
          <w:rFonts w:ascii="仿宋" w:hAnsi="仿宋" w:eastAsia="仿宋" w:cs="仿宋"/>
          <w:color w:val="auto"/>
          <w:sz w:val="24"/>
          <w:highlight w:val="none"/>
        </w:rPr>
      </w:pPr>
      <w:bookmarkStart w:id="1" w:name="_Hlt91233176"/>
      <w:bookmarkEnd w:id="1"/>
      <w:bookmarkStart w:id="2" w:name="_Toc91899869"/>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adjustRightInd/>
        <w:spacing w:line="360" w:lineRule="auto"/>
        <w:jc w:val="center"/>
        <w:outlineLvl w:val="0"/>
        <w:rPr>
          <w:rFonts w:ascii="仿宋" w:hAnsi="仿宋" w:eastAsia="仿宋" w:cs="仿宋"/>
          <w:b/>
          <w:color w:val="auto"/>
          <w:sz w:val="36"/>
          <w:szCs w:val="20"/>
          <w:highlight w:val="none"/>
        </w:rPr>
      </w:pPr>
      <w:bookmarkStart w:id="3" w:name="第一部分"/>
      <w:r>
        <w:rPr>
          <w:rFonts w:hint="eastAsia" w:ascii="仿宋" w:hAnsi="仿宋" w:eastAsia="仿宋" w:cs="仿宋"/>
          <w:b/>
          <w:color w:val="auto"/>
          <w:sz w:val="36"/>
          <w:szCs w:val="36"/>
          <w:highlight w:val="none"/>
        </w:rPr>
        <w:br w:type="page"/>
      </w:r>
      <w:bookmarkEnd w:id="2"/>
      <w:bookmarkEnd w:id="3"/>
      <w:bookmarkStart w:id="4" w:name="_Hlt74707423"/>
      <w:bookmarkEnd w:id="4"/>
      <w:bookmarkStart w:id="5" w:name="_Hlt74728647"/>
      <w:bookmarkEnd w:id="5"/>
      <w:bookmarkStart w:id="6" w:name="_Hlt74729822"/>
      <w:bookmarkEnd w:id="6"/>
      <w:bookmarkStart w:id="7" w:name="_Hlt74649545"/>
      <w:bookmarkEnd w:id="7"/>
      <w:bookmarkStart w:id="8" w:name="第二部分"/>
      <w:bookmarkStart w:id="9" w:name="_Toc91899870"/>
      <w:bookmarkStart w:id="10" w:name="_Toc91899871"/>
      <w:r>
        <w:rPr>
          <w:rFonts w:hint="eastAsia" w:ascii="仿宋" w:hAnsi="仿宋" w:eastAsia="仿宋" w:cs="仿宋"/>
          <w:b/>
          <w:color w:val="auto"/>
          <w:sz w:val="36"/>
          <w:szCs w:val="36"/>
          <w:highlight w:val="none"/>
        </w:rPr>
        <w:t xml:space="preserve">第一部分  </w:t>
      </w:r>
      <w:r>
        <w:rPr>
          <w:rFonts w:hint="eastAsia" w:ascii="仿宋" w:hAnsi="仿宋" w:eastAsia="仿宋" w:cs="仿宋"/>
          <w:b/>
          <w:color w:val="auto"/>
          <w:sz w:val="36"/>
          <w:szCs w:val="20"/>
          <w:highlight w:val="none"/>
        </w:rPr>
        <w:t>邀请供应商</w:t>
      </w:r>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竞争性磋商邀请公告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浙江交通职业技术学院</w:t>
      </w:r>
      <w:r>
        <w:rPr>
          <w:rFonts w:hint="eastAsia" w:ascii="仿宋" w:hAnsi="仿宋" w:eastAsia="仿宋" w:cs="仿宋"/>
          <w:color w:val="auto"/>
          <w:sz w:val="24"/>
          <w:highlight w:val="none"/>
          <w:u w:val="single"/>
          <w:lang w:eastAsia="zh-CN"/>
        </w:rPr>
        <w:t>新能源汽车充电桩系统建设</w:t>
      </w:r>
      <w:r>
        <w:rPr>
          <w:rFonts w:hint="eastAsia" w:ascii="仿宋" w:hAnsi="仿宋" w:eastAsia="仿宋" w:cs="仿宋"/>
          <w:color w:val="auto"/>
          <w:sz w:val="24"/>
          <w:highlight w:val="none"/>
          <w:u w:val="single"/>
        </w:rPr>
        <w:t>的潜在供应商应在政采云平台（</w:t>
      </w:r>
      <w:r>
        <w:rPr>
          <w:color w:val="auto"/>
          <w:highlight w:val="none"/>
        </w:rPr>
        <w:fldChar w:fldCharType="begin"/>
      </w:r>
      <w:r>
        <w:rPr>
          <w:color w:val="auto"/>
          <w:highlight w:val="none"/>
        </w:rPr>
        <w:instrText xml:space="preserve"> HYPERLINK "https://www.zcygov.cn/）获取（下载）招标文件，并于2021年" </w:instrText>
      </w:r>
      <w:r>
        <w:rPr>
          <w:color w:val="auto"/>
          <w:highlight w:val="none"/>
        </w:rPr>
        <w:fldChar w:fldCharType="separate"/>
      </w:r>
      <w:r>
        <w:rPr>
          <w:rStyle w:val="77"/>
          <w:rFonts w:hint="eastAsia" w:ascii="仿宋" w:hAnsi="仿宋" w:eastAsia="仿宋" w:cs="仿宋"/>
          <w:snapToGrid/>
          <w:color w:val="auto"/>
          <w:kern w:val="2"/>
          <w:sz w:val="24"/>
          <w:szCs w:val="24"/>
          <w:highlight w:val="none"/>
          <w:u w:val="single"/>
        </w:rPr>
        <w:t>https://www.zcygov.cn/）获取（下载）采购文件，并于</w:t>
      </w:r>
      <w:r>
        <w:rPr>
          <w:rFonts w:hint="eastAsia" w:ascii="仿宋" w:hAnsi="仿宋" w:eastAsia="仿宋" w:cs="仿宋"/>
          <w:color w:val="auto"/>
          <w:sz w:val="24"/>
          <w:highlight w:val="none"/>
          <w:u w:val="single"/>
        </w:rPr>
        <w:t>2024年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日09点00分</w:t>
      </w:r>
      <w:r>
        <w:rPr>
          <w:rFonts w:hint="eastAsia" w:ascii="仿宋" w:hAnsi="仿宋" w:eastAsia="仿宋" w:cs="仿宋"/>
          <w:bCs/>
          <w:color w:val="auto"/>
          <w:sz w:val="24"/>
          <w:highlight w:val="none"/>
          <w:u w:val="single"/>
        </w:rPr>
        <w:t>00秒</w:t>
      </w:r>
      <w:r>
        <w:rPr>
          <w:rFonts w:hint="eastAsia" w:ascii="仿宋" w:hAnsi="仿宋" w:eastAsia="仿宋" w:cs="仿宋"/>
          <w:bCs/>
          <w:color w:val="auto"/>
          <w:sz w:val="24"/>
          <w:highlight w:val="none"/>
          <w:u w:val="single"/>
        </w:rPr>
        <w:fldChar w:fldCharType="end"/>
      </w:r>
      <w:r>
        <w:rPr>
          <w:rFonts w:hint="eastAsia" w:ascii="仿宋" w:hAnsi="仿宋" w:eastAsia="仿宋" w:cs="仿宋"/>
          <w:bCs/>
          <w:color w:val="auto"/>
          <w:sz w:val="24"/>
          <w:highlight w:val="none"/>
          <w:u w:val="single"/>
        </w:rPr>
        <w:t>（北京时间）前</w:t>
      </w:r>
      <w:r>
        <w:rPr>
          <w:rFonts w:hint="eastAsia" w:ascii="仿宋" w:hAnsi="仿宋" w:eastAsia="仿宋" w:cs="仿宋"/>
          <w:color w:val="auto"/>
          <w:sz w:val="24"/>
          <w:highlight w:val="none"/>
          <w:u w:val="single"/>
        </w:rPr>
        <w:t>提交（上传）响应文件。</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snapToGrid w:val="0"/>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BSZB2024-AZZC131</w:t>
      </w:r>
    </w:p>
    <w:p>
      <w:pPr>
        <w:snapToGrid w:val="0"/>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rPr>
        <w:t>浙江交通职业技术学院</w:t>
      </w:r>
      <w:r>
        <w:rPr>
          <w:rFonts w:hint="eastAsia" w:ascii="仿宋" w:hAnsi="仿宋" w:eastAsia="仿宋" w:cs="仿宋"/>
          <w:color w:val="auto"/>
          <w:sz w:val="24"/>
          <w:highlight w:val="none"/>
          <w:lang w:eastAsia="zh-CN"/>
        </w:rPr>
        <w:t>新能源汽车充电桩系统建设</w:t>
      </w:r>
    </w:p>
    <w:p>
      <w:pPr>
        <w:snapToGrid w:val="0"/>
        <w:spacing w:line="360" w:lineRule="auto"/>
        <w:ind w:firstLine="482" w:firstLineChars="200"/>
        <w:rPr>
          <w:rFonts w:hint="default" w:ascii="仿宋" w:hAnsi="仿宋" w:eastAsia="仿宋" w:cs="仿宋"/>
          <w:bCs/>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Cs/>
          <w:color w:val="auto"/>
          <w:sz w:val="24"/>
          <w:highlight w:val="none"/>
          <w:lang w:val="en-US" w:eastAsia="zh-CN"/>
        </w:rPr>
        <w:t>360000</w:t>
      </w:r>
    </w:p>
    <w:p>
      <w:pPr>
        <w:snapToGrid w:val="0"/>
        <w:spacing w:line="360" w:lineRule="auto"/>
        <w:ind w:firstLine="482" w:firstLineChars="200"/>
        <w:rPr>
          <w:rFonts w:hint="default" w:ascii="仿宋" w:hAnsi="仿宋" w:eastAsia="仿宋" w:cs="仿宋"/>
          <w:color w:val="auto"/>
          <w:sz w:val="24"/>
          <w:highlight w:val="none"/>
          <w:lang w:val="en-US"/>
        </w:rPr>
      </w:pPr>
      <w:r>
        <w:rPr>
          <w:rFonts w:hint="eastAsia" w:ascii="仿宋" w:hAnsi="仿宋" w:eastAsia="仿宋" w:cs="仿宋"/>
          <w:b/>
          <w:color w:val="auto"/>
          <w:sz w:val="24"/>
          <w:highlight w:val="none"/>
        </w:rPr>
        <w:t>最高限价（元）：</w:t>
      </w:r>
      <w:r>
        <w:rPr>
          <w:rFonts w:hint="eastAsia" w:ascii="仿宋" w:hAnsi="仿宋" w:eastAsia="仿宋" w:cs="仿宋"/>
          <w:bCs/>
          <w:color w:val="auto"/>
          <w:sz w:val="24"/>
          <w:highlight w:val="none"/>
          <w:lang w:val="en-US" w:eastAsia="zh-CN"/>
        </w:rPr>
        <w:t>360000</w:t>
      </w:r>
    </w:p>
    <w:p>
      <w:pPr>
        <w:spacing w:line="360" w:lineRule="auto"/>
        <w:ind w:firstLine="480"/>
        <w:rPr>
          <w:rFonts w:ascii="仿宋" w:hAnsi="仿宋" w:eastAsia="仿宋" w:cs="仿宋"/>
          <w:snapToGrid w:val="0"/>
          <w:color w:val="auto"/>
          <w:kern w:val="28"/>
          <w:sz w:val="24"/>
          <w:highlight w:val="none"/>
        </w:rPr>
      </w:pPr>
      <w:r>
        <w:rPr>
          <w:rFonts w:hint="eastAsia" w:ascii="仿宋" w:hAnsi="仿宋" w:eastAsia="仿宋" w:cs="仿宋"/>
          <w:b/>
          <w:bCs/>
          <w:snapToGrid w:val="0"/>
          <w:color w:val="auto"/>
          <w:kern w:val="28"/>
          <w:sz w:val="24"/>
          <w:highlight w:val="none"/>
        </w:rPr>
        <w:t>采购需求：</w:t>
      </w:r>
      <w:r>
        <w:rPr>
          <w:rFonts w:hint="eastAsia" w:ascii="仿宋" w:hAnsi="仿宋" w:eastAsia="仿宋" w:cs="仿宋"/>
          <w:bCs/>
          <w:color w:val="auto"/>
          <w:spacing w:val="6"/>
          <w:sz w:val="24"/>
          <w:highlight w:val="none"/>
        </w:rPr>
        <w:t>建设30个新能源充电桩位</w:t>
      </w:r>
      <w:r>
        <w:rPr>
          <w:rFonts w:hint="eastAsia" w:ascii="仿宋" w:hAnsi="仿宋" w:eastAsia="仿宋" w:cs="仿宋"/>
          <w:bCs/>
          <w:color w:val="auto"/>
          <w:spacing w:val="6"/>
          <w:sz w:val="24"/>
          <w:highlight w:val="none"/>
          <w:lang w:eastAsia="zh-CN"/>
        </w:rPr>
        <w:t>，</w:t>
      </w:r>
      <w:r>
        <w:rPr>
          <w:rFonts w:hint="eastAsia" w:ascii="仿宋" w:hAnsi="仿宋" w:eastAsia="仿宋" w:cs="仿宋"/>
          <w:snapToGrid w:val="0"/>
          <w:color w:val="auto"/>
          <w:kern w:val="28"/>
          <w:sz w:val="24"/>
          <w:highlight w:val="none"/>
        </w:rPr>
        <w:t>详见采购文件第四部分采购需求。</w:t>
      </w:r>
    </w:p>
    <w:p>
      <w:pPr>
        <w:snapToGrid w:val="0"/>
        <w:spacing w:line="360" w:lineRule="auto"/>
        <w:ind w:firstLine="482" w:firstLineChars="200"/>
        <w:rPr>
          <w:rFonts w:hint="default" w:eastAsia="仿宋"/>
          <w:color w:val="auto"/>
          <w:szCs w:val="21"/>
          <w:highlight w:val="none"/>
          <w:lang w:val="en-US" w:eastAsia="zh-CN"/>
        </w:rPr>
      </w:pPr>
      <w:r>
        <w:rPr>
          <w:rFonts w:hint="eastAsia" w:ascii="仿宋" w:hAnsi="仿宋" w:eastAsia="仿宋" w:cs="仿宋"/>
          <w:b/>
          <w:bCs/>
          <w:snapToGrid w:val="0"/>
          <w:color w:val="auto"/>
          <w:kern w:val="28"/>
          <w:sz w:val="24"/>
          <w:highlight w:val="none"/>
        </w:rPr>
        <w:t>合同履行期限：</w:t>
      </w:r>
      <w:r>
        <w:rPr>
          <w:rFonts w:hint="eastAsia" w:ascii="仿宋" w:hAnsi="仿宋" w:eastAsia="仿宋" w:cs="仿宋"/>
          <w:bCs/>
          <w:color w:val="auto"/>
          <w:sz w:val="24"/>
          <w:highlight w:val="none"/>
          <w:lang w:val="en-US" w:eastAsia="zh-CN"/>
        </w:rPr>
        <w:t>合同生效并具备实施条件后45天完成供货及安装调试</w:t>
      </w:r>
    </w:p>
    <w:p>
      <w:pPr>
        <w:pStyle w:val="15"/>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color w:val="auto"/>
          <w:sz w:val="24"/>
          <w:szCs w:val="24"/>
          <w:highlight w:val="none"/>
        </w:rPr>
        <w:t>本项目接受联合体：</w:t>
      </w:r>
      <w:r>
        <w:rPr>
          <w:rFonts w:hint="eastAsia" w:ascii="仿宋" w:hAnsi="仿宋" w:eastAsia="仿宋" w:cs="仿宋"/>
          <w:b/>
          <w:color w:val="auto"/>
          <w:sz w:val="24"/>
          <w:szCs w:val="24"/>
          <w:highlight w:val="none"/>
        </w:rPr>
        <w:sym w:font="Wingdings 2" w:char="0052"/>
      </w:r>
      <w:r>
        <w:rPr>
          <w:rFonts w:hint="eastAsia" w:ascii="仿宋" w:hAnsi="仿宋" w:eastAsia="仿宋" w:cs="仿宋"/>
          <w:b/>
          <w:color w:val="auto"/>
          <w:sz w:val="24"/>
          <w:szCs w:val="24"/>
          <w:highlight w:val="none"/>
        </w:rPr>
        <w:t xml:space="preserve"> </w:t>
      </w:r>
      <w:r>
        <w:rPr>
          <w:rFonts w:hint="eastAsia" w:ascii="仿宋" w:hAnsi="仿宋" w:eastAsia="仿宋" w:cs="仿宋"/>
          <w:bCs/>
          <w:color w:val="auto"/>
          <w:sz w:val="24"/>
          <w:szCs w:val="24"/>
          <w:highlight w:val="none"/>
        </w:rPr>
        <w:t>是，</w:t>
      </w: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4"/>
          <w:szCs w:val="24"/>
          <w:highlight w:val="none"/>
        </w:rPr>
        <w:sym w:font="Wingdings 2" w:char="00A3"/>
      </w:r>
      <w:r>
        <w:rPr>
          <w:rFonts w:hint="eastAsia" w:ascii="仿宋" w:hAnsi="仿宋" w:eastAsia="仿宋" w:cs="仿宋"/>
          <w:b/>
          <w:color w:val="auto"/>
          <w:sz w:val="24"/>
          <w:szCs w:val="24"/>
          <w:highlight w:val="none"/>
        </w:rPr>
        <w:t xml:space="preserve"> </w:t>
      </w:r>
      <w:r>
        <w:rPr>
          <w:rFonts w:hint="eastAsia" w:ascii="仿宋" w:hAnsi="仿宋" w:eastAsia="仿宋" w:cs="仿宋"/>
          <w:b/>
          <w:bCs/>
          <w:color w:val="auto"/>
          <w:sz w:val="24"/>
          <w:highlight w:val="none"/>
        </w:rPr>
        <w:t>否</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二、</w:t>
      </w:r>
      <w:bookmarkStart w:id="11" w:name="_Hlk101132948"/>
      <w:r>
        <w:rPr>
          <w:rFonts w:hint="eastAsia" w:ascii="仿宋" w:hAnsi="仿宋" w:eastAsia="仿宋" w:cs="仿宋"/>
          <w:b/>
          <w:color w:val="auto"/>
          <w:sz w:val="24"/>
          <w:highlight w:val="none"/>
        </w:rPr>
        <w:t>申请人的资格要求</w:t>
      </w:r>
      <w:bookmarkEnd w:id="11"/>
      <w:r>
        <w:rPr>
          <w:rFonts w:hint="eastAsia" w:ascii="仿宋" w:hAnsi="仿宋" w:eastAsia="仿宋" w:cs="仿宋"/>
          <w:b/>
          <w:color w:val="auto"/>
          <w:sz w:val="24"/>
          <w:highlight w:val="none"/>
        </w:rPr>
        <w:t>：</w:t>
      </w:r>
    </w:p>
    <w:p>
      <w:pPr>
        <w:spacing w:line="360" w:lineRule="auto"/>
        <w:ind w:firstLine="480"/>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 xml:space="preserve">    2.以联合体形式参与的，提供联合协议(本项目不接受联合体 或者供应商不以联合体形式参与的，则不需要提供) ；</w:t>
      </w:r>
    </w:p>
    <w:p>
      <w:pPr>
        <w:spacing w:line="360" w:lineRule="auto"/>
        <w:ind w:firstLine="482" w:firstLineChars="200"/>
        <w:rPr>
          <w:rFonts w:ascii="仿宋" w:hAnsi="仿宋" w:eastAsia="仿宋" w:cs="仿宋"/>
          <w:b/>
          <w:bCs/>
          <w:snapToGrid w:val="0"/>
          <w:color w:val="auto"/>
          <w:kern w:val="28"/>
          <w:sz w:val="24"/>
          <w:szCs w:val="20"/>
          <w:highlight w:val="none"/>
        </w:rPr>
      </w:pPr>
      <w:r>
        <w:rPr>
          <w:rFonts w:hint="eastAsia" w:ascii="仿宋" w:hAnsi="仿宋" w:eastAsia="仿宋" w:cs="仿宋"/>
          <w:b/>
          <w:bCs/>
          <w:snapToGrid w:val="0"/>
          <w:color w:val="auto"/>
          <w:kern w:val="28"/>
          <w:sz w:val="24"/>
          <w:highlight w:val="none"/>
        </w:rPr>
        <w:t>3.落实政府采购政策需满足的资格要求：</w:t>
      </w:r>
      <w:r>
        <w:rPr>
          <w:rFonts w:hint="eastAsia" w:ascii="仿宋" w:hAnsi="仿宋" w:eastAsia="仿宋" w:cs="仿宋"/>
          <w:b/>
          <w:bCs/>
          <w:snapToGrid w:val="0"/>
          <w:color w:val="auto"/>
          <w:kern w:val="28"/>
          <w:sz w:val="24"/>
          <w:szCs w:val="20"/>
          <w:highlight w:val="none"/>
        </w:rPr>
        <w:t>专门面向中小企业</w:t>
      </w:r>
      <w:r>
        <w:rPr>
          <w:rFonts w:hint="eastAsia" w:ascii="仿宋" w:hAnsi="仿宋" w:eastAsia="仿宋" w:cs="仿宋"/>
          <w:b/>
          <w:bCs/>
          <w:snapToGrid w:val="0"/>
          <w:color w:val="auto"/>
          <w:kern w:val="28"/>
          <w:sz w:val="24"/>
          <w:szCs w:val="20"/>
          <w:highlight w:val="none"/>
          <w:lang w:eastAsia="zh-CN"/>
        </w:rPr>
        <w:t>，</w:t>
      </w:r>
      <w:r>
        <w:rPr>
          <w:rFonts w:hint="eastAsia" w:ascii="仿宋" w:hAnsi="仿宋" w:eastAsia="仿宋" w:cs="仿宋"/>
          <w:b/>
          <w:bCs/>
          <w:snapToGrid w:val="0"/>
          <w:color w:val="auto"/>
          <w:kern w:val="28"/>
          <w:sz w:val="24"/>
          <w:szCs w:val="20"/>
          <w:highlight w:val="none"/>
        </w:rPr>
        <w:t>货物全部由符合政策要求的中小企业制造，提供中小企业声明函；</w:t>
      </w:r>
    </w:p>
    <w:p>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4.本项目的特定资格要求：</w:t>
      </w:r>
      <w:r>
        <w:rPr>
          <w:rFonts w:hint="eastAsia" w:ascii="仿宋" w:hAnsi="仿宋" w:eastAsia="仿宋"/>
          <w:b/>
          <w:bCs/>
          <w:color w:val="auto"/>
          <w:sz w:val="24"/>
          <w:highlight w:val="none"/>
          <w:lang w:val="en-US" w:eastAsia="zh-CN"/>
        </w:rPr>
        <w:t>无</w:t>
      </w:r>
      <w:r>
        <w:rPr>
          <w:rFonts w:hint="eastAsia" w:ascii="仿宋" w:hAnsi="仿宋" w:eastAsia="仿宋" w:cs="仿宋"/>
          <w:b/>
          <w:bCs/>
          <w:color w:val="auto"/>
          <w:sz w:val="24"/>
          <w:highlight w:val="none"/>
        </w:rPr>
        <w:t>。</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三、获取采购文件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2024年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四、响应文件提交（上传）</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截止时间：</w:t>
      </w:r>
      <w:r>
        <w:rPr>
          <w:rFonts w:hint="eastAsia" w:ascii="仿宋" w:hAnsi="仿宋" w:eastAsia="仿宋" w:cs="仿宋"/>
          <w:color w:val="auto"/>
          <w:sz w:val="24"/>
          <w:highlight w:val="none"/>
          <w:u w:val="single"/>
        </w:rPr>
        <w:t xml:space="preserve"> 2024年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日09点00分</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五、响应文件开启 </w:t>
      </w:r>
    </w:p>
    <w:p>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开启时间：</w:t>
      </w:r>
      <w:r>
        <w:rPr>
          <w:rFonts w:hint="eastAsia" w:ascii="仿宋" w:hAnsi="仿宋" w:eastAsia="仿宋" w:cs="仿宋"/>
          <w:color w:val="auto"/>
          <w:sz w:val="24"/>
          <w:highlight w:val="none"/>
          <w:u w:val="single"/>
        </w:rPr>
        <w:t xml:space="preserve"> 2024年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日09点00分</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政采云平台（https://www.zcygov.cn/）</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 xml:space="preserve">六、公告期限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自本公告发布之日起3个工作日。</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七、其他补充事宜</w:t>
      </w:r>
    </w:p>
    <w:p>
      <w:pPr>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4.其他事项：（1）需要落实的政府采购政策：包括节约资源、保护环境、支持创新、促进中小企业发展等，详见磋商文件第三部分。（2）电子交易的说明: ①电子交易：本项目以数据电文形式，依托“政府采购云平台（www.zcygov.cn）”进行采购活动，不接受纸质响应文件。②响应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磋商文件的获取：使用账号登录或者使用CA登录政采云平台；进入“项目采购”应用，在获取采购文件菜单中选择项目，获取磋商文件。④响应文件的制作：在“政采云电子交易客户端”中完成“填写基本信息”、“导入投标文件”、“标书关联”、“标书检查”、“电子签名”、“生成电子标书”等操作。⑤采购人、采购代理机构将依托政采云平台完成本项目的电子交易活动，平台不接受未按本公告约定方式获取磋商文件的供应商进行响应活动；⑥对未按上述方式获取磋商文件的供应商对该文件提出的质疑，采购人或采购代理机构将不予处理；⑦不提供磋商文件纸质版；⑧响应文件的传输提交：供应商在提交响应文件的截止时间前将加密的响应文件上传至政府采购云平台，还可以在提交响应文件的截止时间前直接提交或者以顺丰等快递方式提交备份响应文件1份。备份响应文件的制作、存储、密封详见磋商文件第三部分 “备份响应文件”；⑨响应文件的解密：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⑩具体操作指南：详见政采云平台“服务中心-帮助文档-项目采购-操作流程-电子招投标-政府采购项目电子交易管理操作指南-供应商”。（3）磋商文件公告期限与磋商公告的公告期限一致。</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八、对本次采购提出询问、质疑、投诉，请按以下方式联系</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1.采购人信息</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称：浙江交通职业技术学院</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址：杭州市余杭区古墩路1516号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 /</w:t>
      </w:r>
    </w:p>
    <w:p>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项目联系人（询问）: </w:t>
      </w:r>
      <w:r>
        <w:rPr>
          <w:rFonts w:hint="eastAsia" w:ascii="仿宋" w:hAnsi="仿宋" w:eastAsia="仿宋" w:cs="仿宋"/>
          <w:color w:val="auto"/>
          <w:sz w:val="24"/>
          <w:highlight w:val="none"/>
          <w:lang w:val="en-US" w:eastAsia="zh-CN"/>
        </w:rPr>
        <w:t>张老师</w:t>
      </w:r>
    </w:p>
    <w:p>
      <w:pPr>
        <w:snapToGrid w:val="0"/>
        <w:spacing w:line="360" w:lineRule="auto"/>
        <w:ind w:firstLine="480" w:firstLineChars="200"/>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 xml:space="preserve">项目联系方式（询问）: </w:t>
      </w:r>
      <w:r>
        <w:rPr>
          <w:rFonts w:hint="eastAsia" w:ascii="仿宋" w:hAnsi="仿宋" w:eastAsia="仿宋" w:cs="仿宋"/>
          <w:color w:val="auto"/>
          <w:sz w:val="24"/>
          <w:highlight w:val="none"/>
          <w:lang w:val="en-US" w:eastAsia="zh-CN"/>
        </w:rPr>
        <w:t>0571-88481903</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质疑联系人：周老师</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质疑联系方式：0571-88481917</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2.采购代理机构信息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称：杭州博实招标代理有限公司</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址：杭州市西湖区振华路200号瑞鼎大厦B座606室</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邮    箱：boshizb@126.com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kern w:val="0"/>
          <w:sz w:val="24"/>
          <w:highlight w:val="none"/>
        </w:rPr>
        <w:t>刘春萍</w:t>
      </w:r>
      <w:r>
        <w:rPr>
          <w:rFonts w:hint="eastAsia" w:ascii="仿宋" w:hAnsi="仿宋" w:eastAsia="仿宋" w:cs="仿宋"/>
          <w:color w:val="auto"/>
          <w:sz w:val="24"/>
          <w:highlight w:val="none"/>
        </w:rPr>
        <w:t xml:space="preserve">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项目联系方式（询问）：0571-56928850</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highlight w:val="none"/>
        </w:rPr>
        <w:t>潘树鸣</w:t>
      </w:r>
      <w:r>
        <w:rPr>
          <w:rFonts w:hint="eastAsia" w:ascii="仿宋" w:hAnsi="仿宋" w:eastAsia="仿宋" w:cs="仿宋"/>
          <w:color w:val="auto"/>
          <w:sz w:val="24"/>
          <w:highlight w:val="none"/>
        </w:rPr>
        <w:t xml:space="preserve">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质疑联系方式：0571-87916090       </w:t>
      </w:r>
    </w:p>
    <w:p>
      <w:pPr>
        <w:spacing w:line="360" w:lineRule="auto"/>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w:t>
      </w:r>
      <w:r>
        <w:rPr>
          <w:rFonts w:hint="eastAsia" w:ascii="仿宋_GB2312" w:hAnsi="仿宋" w:eastAsia="仿宋_GB2312"/>
          <w:color w:val="auto"/>
          <w:sz w:val="24"/>
          <w:highlight w:val="none"/>
        </w:rPr>
        <w:t xml:space="preserve">该项目由采购人处理采购争议。质疑环节，采购人委托采购代理机构处理的，可由采购代理机构答复。对质疑答复不满意的，向采购人内部设置的采购监督机构反映。     </w:t>
      </w:r>
      <w:r>
        <w:rPr>
          <w:rFonts w:ascii="仿宋_GB2312" w:hAnsi="仿宋" w:eastAsia="仿宋_GB2312"/>
          <w:color w:val="auto"/>
          <w:sz w:val="24"/>
          <w:highlight w:val="none"/>
        </w:rPr>
        <w:t xml:space="preserve">          </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政策咨询：何一平、冯华，0571-87058424、87055741</w:t>
      </w:r>
    </w:p>
    <w:p>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预算金额未达100万元的采购项目，由采购人处理采购争议。</w:t>
      </w:r>
    </w:p>
    <w:p>
      <w:pPr>
        <w:snapToGrid w:val="0"/>
        <w:spacing w:line="360" w:lineRule="auto"/>
        <w:ind w:firstLine="480" w:firstLineChars="200"/>
        <w:rPr>
          <w:rFonts w:ascii="仿宋" w:hAnsi="仿宋" w:eastAsia="仿宋" w:cs="仿宋"/>
          <w:color w:val="auto"/>
          <w:sz w:val="24"/>
          <w:highlight w:val="none"/>
        </w:rPr>
      </w:pP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w:t>
      </w:r>
      <w:r>
        <w:rPr>
          <w:rFonts w:hint="eastAsia" w:ascii="仿宋_GB2312" w:hAnsi="仿宋" w:eastAsia="仿宋_GB2312"/>
          <w:color w:val="auto"/>
          <w:sz w:val="24"/>
          <w:highlight w:val="none"/>
        </w:rPr>
        <w:t>0571-95763</w:t>
      </w:r>
      <w:r>
        <w:rPr>
          <w:rFonts w:hint="eastAsia" w:ascii="仿宋" w:hAnsi="仿宋" w:eastAsia="仿宋" w:cs="仿宋"/>
          <w:color w:val="auto"/>
          <w:sz w:val="24"/>
          <w:highlight w:val="none"/>
        </w:rPr>
        <w:t>获取热线服务帮助。</w:t>
      </w:r>
    </w:p>
    <w:p>
      <w:pPr>
        <w:snapToGrid w:val="0"/>
        <w:spacing w:line="360" w:lineRule="auto"/>
        <w:ind w:firstLine="480" w:firstLineChars="200"/>
        <w:jc w:val="center"/>
        <w:rPr>
          <w:rFonts w:ascii="仿宋" w:hAnsi="仿宋" w:eastAsia="仿宋" w:cs="仿宋"/>
          <w:b/>
          <w:color w:val="auto"/>
          <w:sz w:val="36"/>
          <w:szCs w:val="20"/>
          <w:highlight w:val="none"/>
        </w:rPr>
      </w:pPr>
      <w:r>
        <w:rPr>
          <w:rFonts w:hint="eastAsia" w:ascii="仿宋" w:hAnsi="仿宋" w:eastAsia="仿宋" w:cs="仿宋"/>
          <w:color w:val="auto"/>
          <w:sz w:val="24"/>
          <w:highlight w:val="none"/>
        </w:rPr>
        <w:t>CA问题联系电话（人工）：汇信CA 400-888-4636；天谷CA 400-087-8198。</w:t>
      </w:r>
      <w:r>
        <w:rPr>
          <w:rFonts w:hint="eastAsia" w:ascii="仿宋" w:hAnsi="仿宋" w:eastAsia="仿宋" w:cs="仿宋"/>
          <w:b/>
          <w:color w:val="auto"/>
          <w:sz w:val="36"/>
          <w:szCs w:val="20"/>
          <w:highlight w:val="none"/>
        </w:rPr>
        <w:br w:type="page"/>
      </w:r>
      <w:r>
        <w:rPr>
          <w:rFonts w:hint="eastAsia" w:ascii="仿宋" w:hAnsi="仿宋" w:eastAsia="仿宋" w:cs="仿宋"/>
          <w:b/>
          <w:color w:val="auto"/>
          <w:sz w:val="36"/>
          <w:szCs w:val="36"/>
          <w:highlight w:val="none"/>
        </w:rPr>
        <w:t>第二部分 竞争性磋商流程</w:t>
      </w:r>
    </w:p>
    <w:p>
      <w:pPr>
        <w:snapToGrid w:val="0"/>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1.征集供应商</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1.1邀请供应商。</w:t>
      </w:r>
    </w:p>
    <w:p>
      <w:pPr>
        <w:snapToGrid w:val="0"/>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b/>
          <w:bCs/>
          <w:color w:val="auto"/>
          <w:sz w:val="24"/>
          <w:highlight w:val="none"/>
        </w:rPr>
        <w:t>采用公告方式邀请供应商的，</w:t>
      </w:r>
      <w:r>
        <w:rPr>
          <w:rFonts w:hint="eastAsia" w:ascii="仿宋" w:hAnsi="仿宋" w:eastAsia="仿宋" w:cs="仿宋"/>
          <w:color w:val="auto"/>
          <w:sz w:val="24"/>
          <w:highlight w:val="none"/>
        </w:rPr>
        <w:t>由采购人、采购代理机构在省级以上人民政府财政部门指定的政府采购信息发布媒体上发布磋商公告，邀请符合相应资格条件的供应商参与竞争性磋商采购活动。</w:t>
      </w:r>
    </w:p>
    <w:p>
      <w:pPr>
        <w:snapToGrid w:val="0"/>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sym w:font="Wingdings 2" w:char="00A3"/>
      </w:r>
      <w:r>
        <w:rPr>
          <w:rFonts w:hint="eastAsia" w:ascii="仿宋" w:hAnsi="仿宋" w:eastAsia="仿宋" w:cs="仿宋"/>
          <w:b/>
          <w:bCs/>
          <w:color w:val="auto"/>
          <w:sz w:val="24"/>
          <w:highlight w:val="none"/>
        </w:rPr>
        <w:t>采用随机抽取方式邀请供应商的，</w:t>
      </w:r>
      <w:r>
        <w:rPr>
          <w:rFonts w:hint="eastAsia" w:ascii="仿宋" w:hAnsi="仿宋" w:eastAsia="仿宋" w:cs="仿宋"/>
          <w:color w:val="auto"/>
          <w:sz w:val="24"/>
          <w:highlight w:val="none"/>
        </w:rPr>
        <w:t>由采购人、采购代理机构从省级以上财政部门建立的供应商库中随机抽取不少于3家符合相应资格条件的供应商参与竞争性磋商采购活动。</w:t>
      </w:r>
    </w:p>
    <w:p>
      <w:pPr>
        <w:snapToGrid w:val="0"/>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sym w:font="Wingdings 2" w:char="00A3"/>
      </w:r>
      <w:r>
        <w:rPr>
          <w:rFonts w:hint="eastAsia" w:ascii="仿宋" w:hAnsi="仿宋" w:eastAsia="仿宋" w:cs="仿宋"/>
          <w:b/>
          <w:bCs/>
          <w:color w:val="auto"/>
          <w:sz w:val="24"/>
          <w:highlight w:val="none"/>
        </w:rPr>
        <w:t>采用书面推荐方式邀请供应商的，</w:t>
      </w:r>
      <w:r>
        <w:rPr>
          <w:rFonts w:hint="eastAsia" w:ascii="仿宋" w:hAnsi="仿宋" w:eastAsia="仿宋" w:cs="仿宋"/>
          <w:color w:val="auto"/>
          <w:sz w:val="24"/>
          <w:highlight w:val="none"/>
        </w:rPr>
        <w:t>由采购人和评审专家分别书面推荐不少于3家符合相应资格条件的供应商参与竞争性磋商采购活动。采取采购人和评审专家书面推荐方式选择供应商的，采购人和评审专家应当各自出具书面推荐意见。采购人推荐供应商的比例不得高于推荐供应商总数的50%。格式见附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1.2供应商获取磋商文件。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1.3组织现场考察或召开答疑会（如果有）。</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1.4发布更正（延期）公告，澄清或修改磋商文件（如果有）。</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1.5供应商按磋商文件要求编制响应文件。</w:t>
      </w:r>
    </w:p>
    <w:p>
      <w:pPr>
        <w:snapToGrid w:val="0"/>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2.响应文件开启与信用信息查询</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2.1供应商依据“提交响应文件的截止时间与地点”通过政采云平台在线提交响应文件。供应商在提交响应文件的截止时间前，可以补充、修改或撤回响应文件。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2.2采购代理机构将通过“信用中国”网站(www.creditchina.gov.cn)和中国政府采购网(www.ccgp.gov.cn)渠道查询供应商响应截止时间当日的信用记录。</w:t>
      </w:r>
    </w:p>
    <w:p>
      <w:pPr>
        <w:snapToGrid w:val="0"/>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3.磋商与评审</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3.1磋商小组签到。</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3.2采购代理机构宣布有关纪律以及磋商、评审工作程序。</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3.3磋商小组审查确认磋商文件。磋商文件内容违反国家有关强制性规定的，磋商小组应当停止评审并向采购代理机构说明情况。</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3.4磋商小组对供应商的资格进行审查。</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3.5磋商小组审查响应文件。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3.6对于未实质性响应磋商文件的响应文件由磋商小组认定响应无效，并告知该供应商。</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3.7供应商根据磋商小组要求对响应文件中含义不明确、同类问题表述不一致或者有明显文字和计算错误的内容等作出必要的澄清、说明或者更正。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更正不得超出响应文件的范围或者改变响应文件的实质性内容。</w:t>
      </w:r>
    </w:p>
    <w:p>
      <w:pPr>
        <w:pStyle w:val="136"/>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3.8磋商小组与符合要求的供应商进行磋商。磋商小组所有成员按照响应文件解密次序集中与单一供应商分别进行磋商，并给予所有参加磋商的供应商平等的磋商机会。磋商过程中，磋商小组可以根据磋商情况调整轮次。在磋商过程中，磋商小组可以根据磋商文件和磋商情况实质性变动采购需求中的技术、服务要求以及合同草案条款，但不得变动磋商文件中的其他内容。</w:t>
      </w:r>
    </w:p>
    <w:p>
      <w:pPr>
        <w:pStyle w:val="136"/>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磋商形式：</w:t>
      </w:r>
    </w:p>
    <w:p>
      <w:pPr>
        <w:pStyle w:val="136"/>
        <w:spacing w:before="0"/>
        <w:ind w:firstLine="482"/>
        <w:rPr>
          <w:rFonts w:ascii="仿宋" w:hAnsi="仿宋" w:eastAsia="仿宋" w:cs="仿宋"/>
          <w:color w:val="auto"/>
          <w:szCs w:val="24"/>
          <w:highlight w:val="none"/>
        </w:rPr>
      </w:pPr>
      <w:r>
        <w:rPr>
          <w:rFonts w:hint="eastAsia" w:ascii="仿宋" w:hAnsi="仿宋" w:eastAsia="仿宋" w:cs="仿宋"/>
          <w:b/>
          <w:color w:val="auto"/>
          <w:szCs w:val="24"/>
          <w:highlight w:val="none"/>
        </w:rPr>
        <w:sym w:font="Wingdings 2" w:char="00A3"/>
      </w:r>
      <w:r>
        <w:rPr>
          <w:rFonts w:hint="eastAsia" w:ascii="仿宋" w:hAnsi="仿宋" w:eastAsia="仿宋" w:cs="仿宋"/>
          <w:color w:val="auto"/>
          <w:szCs w:val="24"/>
          <w:highlight w:val="none"/>
        </w:rPr>
        <w:t>远程在线视频磋商：磋商时由采购代理机构利用政采云平台发起磋商邀请，供应商通过政采云“在线评审室”进行远程视频磋商。供应商使用CA数字证书登陆政采云平台——收到视频评审邀请——点击“视频评审”进入“视频评审系统”——开始远程磋商活动;</w:t>
      </w:r>
    </w:p>
    <w:p>
      <w:pPr>
        <w:pStyle w:val="136"/>
        <w:spacing w:before="0"/>
        <w:ind w:firstLine="482"/>
        <w:rPr>
          <w:rFonts w:ascii="仿宋" w:hAnsi="仿宋" w:eastAsia="仿宋" w:cs="仿宋"/>
          <w:color w:val="auto"/>
          <w:szCs w:val="24"/>
          <w:highlight w:val="none"/>
        </w:rPr>
      </w:pPr>
      <w:r>
        <w:rPr>
          <w:rFonts w:hint="eastAsia" w:ascii="仿宋" w:hAnsi="仿宋" w:eastAsia="仿宋" w:cs="仿宋"/>
          <w:b/>
          <w:color w:val="auto"/>
          <w:szCs w:val="24"/>
          <w:highlight w:val="none"/>
        </w:rPr>
        <w:sym w:font="Wingdings 2" w:char="0052"/>
      </w:r>
      <w:r>
        <w:rPr>
          <w:rFonts w:hint="eastAsia" w:ascii="仿宋" w:hAnsi="仿宋" w:eastAsia="仿宋" w:cs="仿宋"/>
          <w:color w:val="auto"/>
          <w:szCs w:val="24"/>
          <w:highlight w:val="none"/>
        </w:rPr>
        <w:t>远程在线非视频磋商：磋商时由采购代理机构利用政采云平台发起磋商邀请，磋商小组在线（以书面形式完成的需扫描上传）将磋商问题通知所有参加磋商的供应商，供应商按照磋商小组的要求对问题进行答复，并由授权代表签字或者加盖公章后扫描上传（或直接在线加盖电子签章后提交）；</w:t>
      </w:r>
    </w:p>
    <w:p>
      <w:pPr>
        <w:pStyle w:val="136"/>
        <w:spacing w:before="0"/>
        <w:ind w:firstLine="482"/>
        <w:rPr>
          <w:rFonts w:ascii="仿宋" w:hAnsi="仿宋" w:eastAsia="仿宋" w:cs="仿宋"/>
          <w:color w:val="auto"/>
          <w:szCs w:val="24"/>
          <w:highlight w:val="none"/>
        </w:rPr>
      </w:pPr>
      <w:r>
        <w:rPr>
          <w:rFonts w:hint="eastAsia" w:ascii="仿宋" w:hAnsi="仿宋" w:eastAsia="仿宋" w:cs="仿宋"/>
          <w:b/>
          <w:color w:val="auto"/>
          <w:szCs w:val="24"/>
          <w:highlight w:val="none"/>
        </w:rPr>
        <w:sym w:font="Wingdings 2" w:char="00A3"/>
      </w:r>
      <w:r>
        <w:rPr>
          <w:rFonts w:hint="eastAsia" w:ascii="仿宋" w:hAnsi="仿宋" w:eastAsia="仿宋" w:cs="仿宋"/>
          <w:color w:val="auto"/>
          <w:szCs w:val="24"/>
          <w:highlight w:val="none"/>
        </w:rPr>
        <w:t>评审现场磋商：对于要求到采购代理机构现场进行磋商的供应商，需在采购代理机构指定会议室开展磋商活动，磋商小组在现场集中与单一供应商分别进行磋商。</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3.9经磋商确定磋商文件的变动情况。对磋商文件作出的实质性变动是磋商文件的有效组成部分，磋商小组应当及时以书面形式同时通知所有参加磋商的供应商。</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3.10 供应商应当按照磋商文件的变动情况及磋商小组的要求通过电子交易平台重新提交响应文件和最后报价，并使用电子签名（如果有）。已提交响应文件的供应商，在提交最后报价之前，可以根据磋商情况退出磋商。如供应商未按磋商小组的要求在规定的时间内提交最后报价的，视为退出磋商。</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3.11磋商小组按照下列方式确定提交最后报价的供应商，有特殊规定的从其规定：</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磋商文件能够详细列明采购标的的技术、服务要求的，磋商结束后，磋商小组应当要求所有实质性响应的供应商在规定时间内在电子交易平台提交最后报价，提交最后报价的供应商不得少于3家。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在电子交易平台提交最后报价。</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3.12确定进入最后报价的供应商在规定时间内提交最后报价。</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3.13采购代理机构唱价。</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3.14由磋商小组根据磋商文件确定的评审办法及评审标准对提交最后报价的供应商的响应文件和最后报价进行综合评分。磋商小组各成员应当独立对每个有效响应的文件进行评价、打分，然后汇总每个供应商每项评分因素的得分。</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3.15磋商小组应当根据综合评分情况，按照评审得分由高到低顺序推荐3名以上成交候选供应商，并编写评审报告。</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3.16多家供应商提供相同品牌产品（单一产品采购项目中的该产品或者非单一产品采购项目的核心产品）且通过资格审查、符合性审查的不同供应商参加同一合同项下磋商的，按一家供应商计算，评审后得分最高的同品牌供应商获得成交候选人推荐资格；评审得分相同的，采取随机抽取方式确定，其他同品牌供应商不作为成交候选人。</w:t>
      </w:r>
    </w:p>
    <w:p>
      <w:pPr>
        <w:snapToGrid w:val="0"/>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4. 成交</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政府采购项目实行全流程电子化，评审报告送交、采购结果确定和结果公告均在线完成。采购代理机构应当依法及时将评审报告在线送交采购人确认。采购人应当在收到评审报告后2个工作日内，从评审报告提出的成交候选供应商中，按照排序由高到低的原则确定成交供应商，采购人也可以书面授权磋商小组直接确定成交供应商。</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采购代理机构在收到采购人对评审报告的确认意见和对成交供应商的确定结果后，应当在2个工作日内，在浙江政府采购网（政采云）上公告成交结果，同时向成交供应商发出成交通知书，并将磋商文件随成交结果同时公告。</w:t>
      </w:r>
    </w:p>
    <w:p>
      <w:pPr>
        <w:snapToGrid w:val="0"/>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5.合同及履约验收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5.1采购人与成交供应商应当在成交通知书发出之日起10个工作日内签订政府采购合同。</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5.2成交供应商按照政策要求及合同约定缴纳履约保证金。</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5.3合同履约。</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5.4采购人组织验收。</w:t>
      </w:r>
    </w:p>
    <w:p>
      <w:pP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snapToGrid w:val="0"/>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6.竞争性磋商流程图</w:t>
      </w:r>
    </w:p>
    <w:p>
      <w:pP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drawing>
          <wp:anchor distT="0" distB="0" distL="114300" distR="114300" simplePos="0" relativeHeight="251661312" behindDoc="0" locked="0" layoutInCell="1" allowOverlap="1">
            <wp:simplePos x="0" y="0"/>
            <wp:positionH relativeFrom="column">
              <wp:posOffset>1544955</wp:posOffset>
            </wp:positionH>
            <wp:positionV relativeFrom="paragraph">
              <wp:posOffset>149860</wp:posOffset>
            </wp:positionV>
            <wp:extent cx="3389630" cy="7677785"/>
            <wp:effectExtent l="0" t="0" r="8890" b="3175"/>
            <wp:wrapNone/>
            <wp:docPr id="2" name="图片 2" descr="167755239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7552397813"/>
                    <pic:cNvPicPr>
                      <a:picLocks noChangeAspect="1"/>
                    </pic:cNvPicPr>
                  </pic:nvPicPr>
                  <pic:blipFill>
                    <a:blip r:embed="rId17"/>
                    <a:stretch>
                      <a:fillRect/>
                    </a:stretch>
                  </pic:blipFill>
                  <pic:spPr>
                    <a:xfrm>
                      <a:off x="0" y="0"/>
                      <a:ext cx="3389630" cy="7677785"/>
                    </a:xfrm>
                    <a:prstGeom prst="rect">
                      <a:avLst/>
                    </a:prstGeom>
                  </pic:spPr>
                </pic:pic>
              </a:graphicData>
            </a:graphic>
          </wp:anchor>
        </w:drawing>
      </w:r>
      <w:r>
        <w:rPr>
          <w:rFonts w:hint="eastAsia" w:ascii="仿宋" w:hAnsi="仿宋" w:eastAsia="仿宋" w:cs="仿宋"/>
          <w:b/>
          <w:color w:val="auto"/>
          <w:sz w:val="36"/>
          <w:szCs w:val="20"/>
          <w:highlight w:val="none"/>
        </w:rPr>
        <w:br w:type="page"/>
      </w:r>
    </w:p>
    <w:p>
      <w:pPr>
        <w:pStyle w:val="32"/>
        <w:spacing w:line="360" w:lineRule="auto"/>
        <w:jc w:val="center"/>
        <w:rPr>
          <w:rFonts w:ascii="仿宋" w:hAnsi="仿宋" w:eastAsia="仿宋" w:cs="仿宋"/>
          <w:b/>
          <w:snapToGrid/>
          <w:color w:val="auto"/>
          <w:sz w:val="36"/>
          <w:szCs w:val="20"/>
          <w:highlight w:val="none"/>
        </w:rPr>
      </w:pPr>
      <w:r>
        <w:rPr>
          <w:rFonts w:hint="eastAsia" w:ascii="仿宋" w:hAnsi="仿宋" w:eastAsia="仿宋" w:cs="仿宋"/>
          <w:b/>
          <w:snapToGrid/>
          <w:color w:val="auto"/>
          <w:sz w:val="36"/>
          <w:szCs w:val="20"/>
          <w:highlight w:val="none"/>
        </w:rPr>
        <w:t>第三部分</w:t>
      </w:r>
      <w:bookmarkEnd w:id="8"/>
      <w:r>
        <w:rPr>
          <w:rFonts w:hint="eastAsia" w:ascii="仿宋" w:hAnsi="仿宋" w:eastAsia="仿宋" w:cs="仿宋"/>
          <w:b/>
          <w:snapToGrid/>
          <w:color w:val="auto"/>
          <w:sz w:val="36"/>
          <w:szCs w:val="20"/>
          <w:highlight w:val="none"/>
        </w:rPr>
        <w:t xml:space="preserve"> 供应商须知</w:t>
      </w:r>
      <w:bookmarkEnd w:id="9"/>
    </w:p>
    <w:p>
      <w:pPr>
        <w:snapToGrid w:val="0"/>
        <w:spacing w:line="360" w:lineRule="auto"/>
        <w:jc w:val="center"/>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一、前附表</w:t>
      </w:r>
    </w:p>
    <w:tbl>
      <w:tblPr>
        <w:tblStyle w:val="63"/>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14"/>
        <w:gridCol w:w="1790"/>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tcPr>
          <w:p>
            <w:pPr>
              <w:snapToGrid w:val="0"/>
              <w:spacing w:line="36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790" w:type="dxa"/>
            <w:vAlign w:val="center"/>
          </w:tcPr>
          <w:p>
            <w:pPr>
              <w:snapToGrid w:val="0"/>
              <w:spacing w:line="36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事项</w:t>
            </w:r>
          </w:p>
        </w:tc>
        <w:tc>
          <w:tcPr>
            <w:tcW w:w="6571" w:type="dxa"/>
            <w:vAlign w:val="center"/>
          </w:tcPr>
          <w:p>
            <w:pPr>
              <w:snapToGrid w:val="0"/>
              <w:spacing w:line="36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71" w:hRule="atLeast"/>
        </w:trPr>
        <w:tc>
          <w:tcPr>
            <w:tcW w:w="714" w:type="dxa"/>
            <w:vAlign w:val="center"/>
          </w:tcPr>
          <w:p>
            <w:pPr>
              <w:snapToGrid w:val="0"/>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790" w:type="dxa"/>
            <w:vAlign w:val="center"/>
          </w:tcPr>
          <w:p>
            <w:pPr>
              <w:snapToGrid w:val="0"/>
              <w:spacing w:line="36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项目属性</w:t>
            </w:r>
          </w:p>
        </w:tc>
        <w:tc>
          <w:tcPr>
            <w:tcW w:w="6571" w:type="dxa"/>
            <w:vAlign w:val="center"/>
          </w:tcPr>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货物类。单一产品或核心产品为：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车位监管停充一体机（双枪）、车位监管停充一体机（单枪）</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64" w:hRule="atLeast"/>
        </w:trPr>
        <w:tc>
          <w:tcPr>
            <w:tcW w:w="714" w:type="dxa"/>
            <w:vAlign w:val="center"/>
          </w:tcPr>
          <w:p>
            <w:pPr>
              <w:snapToGrid w:val="0"/>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790" w:type="dxa"/>
            <w:vAlign w:val="center"/>
          </w:tcPr>
          <w:p>
            <w:pPr>
              <w:snapToGrid w:val="0"/>
              <w:spacing w:line="36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采购标的及其对应的中小企业划分标准所属行业</w:t>
            </w:r>
          </w:p>
        </w:tc>
        <w:tc>
          <w:tcPr>
            <w:tcW w:w="6571" w:type="dxa"/>
            <w:vAlign w:val="center"/>
          </w:tcPr>
          <w:p>
            <w:pPr>
              <w:pStyle w:val="3"/>
              <w:spacing w:line="360" w:lineRule="exact"/>
              <w:jc w:val="both"/>
              <w:rPr>
                <w:rFonts w:hint="eastAsia" w:ascii="仿宋" w:eastAsia="仿宋" w:cs="仿宋"/>
                <w:b w:val="0"/>
                <w:bCs w:val="0"/>
                <w:color w:val="auto"/>
                <w:kern w:val="0"/>
                <w:sz w:val="24"/>
                <w:szCs w:val="24"/>
                <w:highlight w:val="none"/>
              </w:rPr>
            </w:pPr>
            <w:r>
              <w:rPr>
                <w:rFonts w:hint="eastAsia" w:ascii="仿宋" w:eastAsia="仿宋" w:cs="仿宋"/>
                <w:b w:val="0"/>
                <w:bCs w:val="0"/>
                <w:color w:val="auto"/>
                <w:kern w:val="0"/>
                <w:sz w:val="24"/>
                <w:szCs w:val="24"/>
                <w:highlight w:val="none"/>
              </w:rPr>
              <w:t>标的：</w:t>
            </w:r>
          </w:p>
          <w:p>
            <w:pPr>
              <w:pStyle w:val="3"/>
              <w:spacing w:line="360" w:lineRule="exact"/>
              <w:ind w:left="433" w:leftChars="202" w:hanging="9" w:hangingChars="4"/>
              <w:jc w:val="both"/>
              <w:rPr>
                <w:rFonts w:hint="eastAsia" w:ascii="仿宋" w:eastAsia="仿宋" w:cs="仿宋"/>
                <w:b w:val="0"/>
                <w:bCs w:val="0"/>
                <w:color w:val="auto"/>
                <w:kern w:val="0"/>
                <w:sz w:val="24"/>
                <w:szCs w:val="24"/>
                <w:highlight w:val="none"/>
                <w:lang w:eastAsia="zh-CN"/>
              </w:rPr>
            </w:pPr>
            <w:r>
              <w:rPr>
                <w:rFonts w:hint="eastAsia" w:ascii="仿宋" w:eastAsia="仿宋" w:cs="仿宋"/>
                <w:b w:val="0"/>
                <w:bCs w:val="0"/>
                <w:color w:val="auto"/>
                <w:kern w:val="0"/>
                <w:sz w:val="24"/>
                <w:szCs w:val="24"/>
                <w:highlight w:val="none"/>
                <w:lang w:eastAsia="zh-CN"/>
              </w:rPr>
              <w:t>（</w:t>
            </w:r>
            <w:r>
              <w:rPr>
                <w:rFonts w:hint="eastAsia" w:ascii="仿宋" w:eastAsia="仿宋" w:cs="仿宋"/>
                <w:b w:val="0"/>
                <w:bCs w:val="0"/>
                <w:color w:val="auto"/>
                <w:kern w:val="0"/>
                <w:sz w:val="24"/>
                <w:szCs w:val="24"/>
                <w:highlight w:val="none"/>
                <w:lang w:val="en-US" w:eastAsia="zh-CN"/>
              </w:rPr>
              <w:t>1</w:t>
            </w:r>
            <w:r>
              <w:rPr>
                <w:rFonts w:hint="eastAsia" w:ascii="仿宋" w:eastAsia="仿宋" w:cs="仿宋"/>
                <w:b w:val="0"/>
                <w:bCs w:val="0"/>
                <w:color w:val="auto"/>
                <w:kern w:val="0"/>
                <w:sz w:val="24"/>
                <w:szCs w:val="24"/>
                <w:highlight w:val="none"/>
                <w:lang w:eastAsia="zh-CN"/>
              </w:rPr>
              <w:t>）</w:t>
            </w:r>
            <w:r>
              <w:rPr>
                <w:rFonts w:hint="eastAsia" w:ascii="仿宋" w:eastAsia="仿宋" w:cs="仿宋"/>
                <w:color w:val="auto"/>
                <w:sz w:val="24"/>
                <w:highlight w:val="none"/>
                <w:u w:val="single"/>
              </w:rPr>
              <w:t>“工程量清单”</w:t>
            </w:r>
            <w:r>
              <w:rPr>
                <w:rFonts w:hint="eastAsia" w:ascii="仿宋" w:eastAsia="仿宋" w:cs="仿宋"/>
                <w:color w:val="auto"/>
                <w:sz w:val="24"/>
                <w:highlight w:val="none"/>
                <w:u w:val="single"/>
                <w:lang w:val="en-US" w:eastAsia="zh-CN"/>
              </w:rPr>
              <w:t>序号1-5项内容</w:t>
            </w:r>
            <w:r>
              <w:rPr>
                <w:rFonts w:hint="eastAsia" w:ascii="仿宋" w:eastAsia="仿宋" w:cs="仿宋"/>
                <w:b w:val="0"/>
                <w:bCs w:val="0"/>
                <w:color w:val="auto"/>
                <w:kern w:val="0"/>
                <w:sz w:val="24"/>
                <w:szCs w:val="24"/>
                <w:highlight w:val="none"/>
              </w:rPr>
              <w:t>，</w:t>
            </w:r>
            <w:r>
              <w:rPr>
                <w:rFonts w:hint="eastAsia" w:ascii="仿宋" w:eastAsia="仿宋" w:cs="仿宋"/>
                <w:b w:val="0"/>
                <w:bCs w:val="0"/>
                <w:color w:val="auto"/>
                <w:sz w:val="24"/>
                <w:szCs w:val="24"/>
                <w:highlight w:val="none"/>
              </w:rPr>
              <w:t>属于</w:t>
            </w:r>
            <w:r>
              <w:rPr>
                <w:rFonts w:hint="eastAsia" w:ascii="仿宋" w:eastAsia="仿宋" w:cs="仿宋"/>
                <w:color w:val="auto"/>
                <w:kern w:val="0"/>
                <w:sz w:val="24"/>
                <w:highlight w:val="none"/>
                <w:u w:val="single"/>
              </w:rPr>
              <w:t xml:space="preserve"> </w:t>
            </w:r>
            <w:r>
              <w:rPr>
                <w:rFonts w:hint="eastAsia" w:ascii="仿宋" w:eastAsia="仿宋" w:cs="仿宋"/>
                <w:color w:val="auto"/>
                <w:sz w:val="24"/>
                <w:szCs w:val="24"/>
                <w:highlight w:val="none"/>
                <w:u w:val="single"/>
                <w:lang w:val="en-US" w:eastAsia="zh-CN"/>
              </w:rPr>
              <w:t>工业</w:t>
            </w:r>
            <w:r>
              <w:rPr>
                <w:rFonts w:hint="eastAsia" w:ascii="仿宋" w:eastAsia="仿宋" w:cs="仿宋"/>
                <w:color w:val="auto"/>
                <w:kern w:val="0"/>
                <w:sz w:val="24"/>
                <w:highlight w:val="none"/>
                <w:u w:val="single"/>
              </w:rPr>
              <w:t xml:space="preserve"> </w:t>
            </w:r>
            <w:r>
              <w:rPr>
                <w:rFonts w:hint="eastAsia" w:ascii="仿宋" w:eastAsia="仿宋" w:cs="仿宋"/>
                <w:b w:val="0"/>
                <w:bCs w:val="0"/>
                <w:color w:val="auto"/>
                <w:sz w:val="24"/>
                <w:szCs w:val="24"/>
                <w:highlight w:val="none"/>
                <w:lang w:val="en-US"/>
              </w:rPr>
              <w:t>行业</w:t>
            </w:r>
            <w:r>
              <w:rPr>
                <w:rFonts w:hint="eastAsia" w:ascii="仿宋" w:eastAsia="仿宋" w:cs="仿宋"/>
                <w:b w:val="0"/>
                <w:bCs w:val="0"/>
                <w:color w:val="auto"/>
                <w:kern w:val="0"/>
                <w:sz w:val="24"/>
                <w:szCs w:val="24"/>
                <w:highlight w:val="none"/>
                <w:lang w:eastAsia="zh-CN"/>
              </w:rPr>
              <w:t>；</w:t>
            </w:r>
          </w:p>
          <w:p>
            <w:pPr>
              <w:pStyle w:val="3"/>
              <w:spacing w:line="360" w:lineRule="exact"/>
              <w:ind w:left="433" w:leftChars="202" w:hanging="9" w:hangingChars="4"/>
              <w:jc w:val="both"/>
              <w:rPr>
                <w:rFonts w:hint="eastAsia" w:ascii="仿宋" w:eastAsia="仿宋" w:cs="仿宋"/>
                <w:b w:val="0"/>
                <w:bCs w:val="0"/>
                <w:color w:val="auto"/>
                <w:kern w:val="0"/>
                <w:sz w:val="24"/>
                <w:szCs w:val="24"/>
                <w:highlight w:val="none"/>
                <w:lang w:eastAsia="zh-CN"/>
              </w:rPr>
            </w:pPr>
            <w:r>
              <w:rPr>
                <w:rFonts w:hint="eastAsia" w:ascii="仿宋" w:eastAsia="仿宋" w:cs="仿宋"/>
                <w:b w:val="0"/>
                <w:bCs w:val="0"/>
                <w:color w:val="auto"/>
                <w:kern w:val="0"/>
                <w:sz w:val="24"/>
                <w:szCs w:val="24"/>
                <w:highlight w:val="none"/>
                <w:lang w:eastAsia="zh-CN"/>
              </w:rPr>
              <w:t>（</w:t>
            </w:r>
            <w:r>
              <w:rPr>
                <w:rFonts w:hint="eastAsia" w:ascii="仿宋" w:eastAsia="仿宋" w:cs="仿宋"/>
                <w:b w:val="0"/>
                <w:bCs w:val="0"/>
                <w:color w:val="auto"/>
                <w:kern w:val="0"/>
                <w:sz w:val="24"/>
                <w:szCs w:val="24"/>
                <w:highlight w:val="none"/>
                <w:lang w:val="en-US" w:eastAsia="zh-CN"/>
              </w:rPr>
              <w:t>2</w:t>
            </w:r>
            <w:r>
              <w:rPr>
                <w:rFonts w:hint="eastAsia" w:ascii="仿宋" w:eastAsia="仿宋" w:cs="仿宋"/>
                <w:b w:val="0"/>
                <w:bCs w:val="0"/>
                <w:color w:val="auto"/>
                <w:kern w:val="0"/>
                <w:sz w:val="24"/>
                <w:szCs w:val="24"/>
                <w:highlight w:val="none"/>
                <w:lang w:eastAsia="zh-CN"/>
              </w:rPr>
              <w:t>）</w:t>
            </w:r>
            <w:r>
              <w:rPr>
                <w:rFonts w:hint="eastAsia" w:ascii="仿宋" w:eastAsia="仿宋" w:cs="仿宋"/>
                <w:color w:val="auto"/>
                <w:sz w:val="24"/>
                <w:highlight w:val="none"/>
                <w:u w:val="single"/>
              </w:rPr>
              <w:t>“工程量清单”</w:t>
            </w:r>
            <w:r>
              <w:rPr>
                <w:rFonts w:hint="eastAsia" w:ascii="仿宋" w:eastAsia="仿宋" w:cs="仿宋"/>
                <w:color w:val="auto"/>
                <w:sz w:val="24"/>
                <w:highlight w:val="none"/>
                <w:u w:val="single"/>
                <w:lang w:val="en-US" w:eastAsia="zh-CN"/>
              </w:rPr>
              <w:t>序号6-8项内容</w:t>
            </w:r>
            <w:r>
              <w:rPr>
                <w:rFonts w:hint="eastAsia" w:ascii="仿宋" w:eastAsia="仿宋" w:cs="仿宋"/>
                <w:b w:val="0"/>
                <w:bCs w:val="0"/>
                <w:color w:val="auto"/>
                <w:kern w:val="0"/>
                <w:sz w:val="24"/>
                <w:szCs w:val="24"/>
                <w:highlight w:val="none"/>
              </w:rPr>
              <w:t>，</w:t>
            </w:r>
            <w:r>
              <w:rPr>
                <w:rFonts w:hint="eastAsia" w:ascii="仿宋" w:eastAsia="仿宋" w:cs="仿宋"/>
                <w:b w:val="0"/>
                <w:bCs w:val="0"/>
                <w:color w:val="auto"/>
                <w:sz w:val="24"/>
                <w:szCs w:val="24"/>
                <w:highlight w:val="none"/>
              </w:rPr>
              <w:t>属于</w:t>
            </w:r>
            <w:r>
              <w:rPr>
                <w:rFonts w:hint="eastAsia" w:ascii="仿宋" w:eastAsia="仿宋" w:cs="仿宋"/>
                <w:color w:val="auto"/>
                <w:kern w:val="0"/>
                <w:sz w:val="24"/>
                <w:highlight w:val="none"/>
                <w:u w:val="single"/>
              </w:rPr>
              <w:t xml:space="preserve"> </w:t>
            </w:r>
            <w:r>
              <w:rPr>
                <w:rFonts w:hint="eastAsia" w:ascii="仿宋" w:eastAsia="仿宋" w:cs="仿宋"/>
                <w:color w:val="auto"/>
                <w:sz w:val="24"/>
                <w:szCs w:val="24"/>
                <w:highlight w:val="none"/>
                <w:u w:val="single"/>
                <w:lang w:val="en-US" w:eastAsia="zh-CN"/>
              </w:rPr>
              <w:t>软件和信息技术服务业</w:t>
            </w:r>
            <w:r>
              <w:rPr>
                <w:rFonts w:hint="eastAsia" w:ascii="仿宋" w:eastAsia="仿宋" w:cs="仿宋"/>
                <w:color w:val="auto"/>
                <w:kern w:val="0"/>
                <w:sz w:val="24"/>
                <w:highlight w:val="none"/>
                <w:u w:val="single"/>
              </w:rPr>
              <w:t xml:space="preserve"> </w:t>
            </w:r>
            <w:r>
              <w:rPr>
                <w:rFonts w:hint="eastAsia" w:ascii="仿宋" w:eastAsia="仿宋" w:cs="仿宋"/>
                <w:b w:val="0"/>
                <w:bCs w:val="0"/>
                <w:color w:val="auto"/>
                <w:sz w:val="24"/>
                <w:szCs w:val="24"/>
                <w:highlight w:val="none"/>
                <w:lang w:val="en-US"/>
              </w:rPr>
              <w:t>行业</w:t>
            </w:r>
            <w:r>
              <w:rPr>
                <w:rFonts w:hint="eastAsia" w:ascii="仿宋" w:eastAsia="仿宋" w:cs="仿宋"/>
                <w:b w:val="0"/>
                <w:bCs w:val="0"/>
                <w:color w:val="auto"/>
                <w:kern w:val="0"/>
                <w:sz w:val="24"/>
                <w:szCs w:val="24"/>
                <w:highlight w:val="none"/>
                <w:lang w:eastAsia="zh-CN"/>
              </w:rPr>
              <w:t>；</w:t>
            </w:r>
          </w:p>
          <w:p>
            <w:pPr>
              <w:pStyle w:val="3"/>
              <w:spacing w:line="360" w:lineRule="exact"/>
              <w:ind w:left="433" w:leftChars="202" w:hanging="9" w:hangingChars="4"/>
              <w:jc w:val="both"/>
              <w:rPr>
                <w:rFonts w:hint="eastAsia"/>
                <w:color w:val="auto"/>
                <w:highlight w:val="none"/>
                <w:lang w:val="en-US" w:eastAsia="zh-CN"/>
              </w:rPr>
            </w:pPr>
            <w:r>
              <w:rPr>
                <w:rFonts w:hint="eastAsia" w:ascii="仿宋" w:eastAsia="仿宋" w:cs="仿宋"/>
                <w:b w:val="0"/>
                <w:bCs w:val="0"/>
                <w:color w:val="auto"/>
                <w:kern w:val="0"/>
                <w:sz w:val="24"/>
                <w:szCs w:val="24"/>
                <w:highlight w:val="none"/>
                <w:lang w:eastAsia="zh-CN"/>
              </w:rPr>
              <w:t>（</w:t>
            </w:r>
            <w:r>
              <w:rPr>
                <w:rFonts w:hint="eastAsia" w:ascii="仿宋" w:eastAsia="仿宋" w:cs="仿宋"/>
                <w:b w:val="0"/>
                <w:bCs w:val="0"/>
                <w:color w:val="auto"/>
                <w:kern w:val="0"/>
                <w:sz w:val="24"/>
                <w:szCs w:val="24"/>
                <w:highlight w:val="none"/>
                <w:lang w:val="en-US" w:eastAsia="zh-CN"/>
              </w:rPr>
              <w:t>3</w:t>
            </w:r>
            <w:r>
              <w:rPr>
                <w:rFonts w:hint="eastAsia" w:ascii="仿宋" w:eastAsia="仿宋" w:cs="仿宋"/>
                <w:b w:val="0"/>
                <w:bCs w:val="0"/>
                <w:color w:val="auto"/>
                <w:kern w:val="0"/>
                <w:sz w:val="24"/>
                <w:szCs w:val="24"/>
                <w:highlight w:val="none"/>
                <w:lang w:eastAsia="zh-CN"/>
              </w:rPr>
              <w:t>）</w:t>
            </w:r>
            <w:r>
              <w:rPr>
                <w:rFonts w:hint="eastAsia" w:ascii="仿宋" w:eastAsia="仿宋" w:cs="仿宋"/>
                <w:color w:val="auto"/>
                <w:sz w:val="24"/>
                <w:highlight w:val="none"/>
                <w:u w:val="single"/>
              </w:rPr>
              <w:t>“工程量清单”</w:t>
            </w:r>
            <w:r>
              <w:rPr>
                <w:rFonts w:hint="eastAsia" w:ascii="仿宋" w:eastAsia="仿宋" w:cs="仿宋"/>
                <w:color w:val="auto"/>
                <w:sz w:val="24"/>
                <w:highlight w:val="none"/>
                <w:u w:val="single"/>
                <w:lang w:val="en-US" w:eastAsia="zh-CN"/>
              </w:rPr>
              <w:t>序号9-10项内容</w:t>
            </w:r>
            <w:r>
              <w:rPr>
                <w:rFonts w:hint="eastAsia" w:ascii="仿宋" w:eastAsia="仿宋" w:cs="仿宋"/>
                <w:b w:val="0"/>
                <w:bCs w:val="0"/>
                <w:color w:val="auto"/>
                <w:kern w:val="0"/>
                <w:sz w:val="24"/>
                <w:szCs w:val="24"/>
                <w:highlight w:val="none"/>
              </w:rPr>
              <w:t>，</w:t>
            </w:r>
            <w:r>
              <w:rPr>
                <w:rFonts w:hint="eastAsia" w:ascii="仿宋" w:eastAsia="仿宋" w:cs="仿宋"/>
                <w:b w:val="0"/>
                <w:bCs w:val="0"/>
                <w:color w:val="auto"/>
                <w:sz w:val="24"/>
                <w:szCs w:val="24"/>
                <w:highlight w:val="none"/>
              </w:rPr>
              <w:t>属于</w:t>
            </w:r>
            <w:r>
              <w:rPr>
                <w:rFonts w:hint="eastAsia" w:ascii="仿宋" w:eastAsia="仿宋" w:cs="仿宋"/>
                <w:color w:val="auto"/>
                <w:kern w:val="0"/>
                <w:sz w:val="24"/>
                <w:highlight w:val="none"/>
                <w:u w:val="single"/>
              </w:rPr>
              <w:t xml:space="preserve"> </w:t>
            </w:r>
            <w:r>
              <w:rPr>
                <w:rFonts w:hint="eastAsia" w:ascii="仿宋" w:eastAsia="仿宋" w:cs="仿宋"/>
                <w:color w:val="auto"/>
                <w:sz w:val="24"/>
                <w:szCs w:val="24"/>
                <w:highlight w:val="none"/>
                <w:u w:val="single"/>
                <w:lang w:val="en-US" w:eastAsia="zh-CN"/>
              </w:rPr>
              <w:t>建筑业</w:t>
            </w:r>
            <w:r>
              <w:rPr>
                <w:rFonts w:hint="eastAsia" w:ascii="仿宋" w:eastAsia="仿宋" w:cs="仿宋"/>
                <w:color w:val="auto"/>
                <w:kern w:val="0"/>
                <w:sz w:val="24"/>
                <w:highlight w:val="none"/>
                <w:u w:val="single"/>
              </w:rPr>
              <w:t xml:space="preserve"> </w:t>
            </w:r>
            <w:r>
              <w:rPr>
                <w:rFonts w:hint="eastAsia" w:ascii="仿宋" w:eastAsia="仿宋" w:cs="仿宋"/>
                <w:b w:val="0"/>
                <w:bCs w:val="0"/>
                <w:color w:val="auto"/>
                <w:sz w:val="24"/>
                <w:szCs w:val="24"/>
                <w:highlight w:val="none"/>
                <w:lang w:val="en-US"/>
              </w:rPr>
              <w:t>行业</w:t>
            </w:r>
            <w:r>
              <w:rPr>
                <w:rFonts w:hint="eastAsia" w:ascii="仿宋" w:eastAsia="仿宋" w:cs="仿宋"/>
                <w:b w:val="0"/>
                <w:bCs w:val="0"/>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790" w:type="dxa"/>
            <w:vAlign w:val="center"/>
          </w:tcPr>
          <w:p>
            <w:pPr>
              <w:snapToGrid w:val="0"/>
              <w:spacing w:line="36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是否允许采购进口产品</w:t>
            </w:r>
          </w:p>
        </w:tc>
        <w:tc>
          <w:tcPr>
            <w:tcW w:w="6571" w:type="dxa"/>
            <w:vAlign w:val="center"/>
          </w:tcPr>
          <w:p>
            <w:pPr>
              <w:spacing w:line="360" w:lineRule="exact"/>
              <w:rPr>
                <w:rFonts w:ascii="仿宋" w:hAnsi="仿宋" w:eastAsia="仿宋" w:cs="仿宋"/>
                <w:color w:val="auto"/>
                <w:kern w:val="0"/>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 xml:space="preserve"> </w:t>
            </w:r>
            <w:r>
              <w:rPr>
                <w:rFonts w:hint="eastAsia" w:ascii="仿宋" w:hAnsi="仿宋" w:eastAsia="仿宋" w:cs="仿宋"/>
                <w:color w:val="auto"/>
                <w:kern w:val="0"/>
                <w:sz w:val="24"/>
                <w:highlight w:val="none"/>
              </w:rPr>
              <w:t xml:space="preserve"> 本项目不允许采购进口产品。</w:t>
            </w:r>
          </w:p>
          <w:p>
            <w:pPr>
              <w:spacing w:line="360" w:lineRule="exact"/>
              <w:rPr>
                <w:rFonts w:ascii="仿宋" w:hAnsi="仿宋" w:eastAsia="仿宋" w:cs="仿宋"/>
                <w:color w:val="auto"/>
                <w:sz w:val="24"/>
                <w:highlight w:val="none"/>
              </w:rPr>
            </w:pPr>
            <w:r>
              <w:rPr>
                <w:rFonts w:hint="eastAsia" w:ascii="仿宋" w:hAnsi="仿宋" w:eastAsia="仿宋" w:cs="仿宋"/>
                <w:b/>
                <w:color w:val="auto"/>
                <w:sz w:val="24"/>
                <w:highlight w:val="none"/>
              </w:rPr>
              <w:sym w:font="Wingdings 2" w:char="00A3"/>
            </w:r>
            <w:r>
              <w:rPr>
                <w:rFonts w:hint="eastAsia" w:ascii="仿宋" w:hAnsi="仿宋" w:eastAsia="仿宋" w:cs="仿宋"/>
                <w:b/>
                <w:color w:val="auto"/>
                <w:sz w:val="24"/>
                <w:highlight w:val="none"/>
              </w:rPr>
              <w:t xml:space="preserve"> </w:t>
            </w:r>
            <w:r>
              <w:rPr>
                <w:rFonts w:hint="eastAsia" w:ascii="仿宋" w:hAnsi="仿宋" w:eastAsia="仿宋" w:cs="仿宋"/>
                <w:color w:val="auto"/>
                <w:kern w:val="0"/>
                <w:sz w:val="24"/>
                <w:highlight w:val="none"/>
              </w:rPr>
              <w:t xml:space="preserve"> 可以就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790" w:type="dxa"/>
            <w:vAlign w:val="center"/>
          </w:tcPr>
          <w:p>
            <w:pPr>
              <w:snapToGrid w:val="0"/>
              <w:spacing w:line="36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分包</w:t>
            </w:r>
          </w:p>
        </w:tc>
        <w:tc>
          <w:tcPr>
            <w:tcW w:w="6571" w:type="dxa"/>
            <w:vAlign w:val="center"/>
          </w:tcPr>
          <w:p>
            <w:pPr>
              <w:spacing w:line="360" w:lineRule="exact"/>
              <w:rPr>
                <w:rFonts w:ascii="仿宋" w:hAnsi="仿宋" w:eastAsia="仿宋" w:cs="仿宋"/>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 xml:space="preserve"> </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同意将非主体、非关键性的工作分包。</w:t>
            </w:r>
          </w:p>
          <w:p>
            <w:pPr>
              <w:spacing w:line="360" w:lineRule="exact"/>
              <w:rPr>
                <w:rFonts w:ascii="仿宋" w:hAnsi="仿宋" w:eastAsia="仿宋" w:cs="仿宋"/>
                <w:color w:val="auto"/>
                <w:sz w:val="24"/>
                <w:highlight w:val="none"/>
              </w:rPr>
            </w:pPr>
            <w:r>
              <w:rPr>
                <w:rFonts w:hint="eastAsia" w:ascii="仿宋" w:hAnsi="仿宋" w:eastAsia="仿宋" w:cs="仿宋"/>
                <w:b/>
                <w:color w:val="auto"/>
                <w:sz w:val="24"/>
                <w:highlight w:val="none"/>
              </w:rPr>
              <w:sym w:font="Wingdings 2" w:char="00A3"/>
            </w:r>
            <w:r>
              <w:rPr>
                <w:rFonts w:hint="eastAsia" w:ascii="仿宋" w:hAnsi="仿宋" w:eastAsia="仿宋" w:cs="仿宋"/>
                <w:b/>
                <w:color w:val="auto"/>
                <w:sz w:val="24"/>
                <w:highlight w:val="none"/>
              </w:rPr>
              <w:t xml:space="preserve"> </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790" w:type="dxa"/>
            <w:vAlign w:val="center"/>
          </w:tcPr>
          <w:p>
            <w:pPr>
              <w:snapToGrid w:val="0"/>
              <w:spacing w:line="36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磋商前答疑会或现场考察</w:t>
            </w:r>
          </w:p>
        </w:tc>
        <w:tc>
          <w:tcPr>
            <w:tcW w:w="6571" w:type="dxa"/>
            <w:vAlign w:val="center"/>
          </w:tcPr>
          <w:p>
            <w:pPr>
              <w:spacing w:line="360" w:lineRule="exact"/>
              <w:rPr>
                <w:rFonts w:ascii="仿宋" w:hAnsi="仿宋" w:eastAsia="仿宋" w:cs="仿宋"/>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 xml:space="preserve"> </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pPr>
              <w:spacing w:line="360" w:lineRule="exact"/>
              <w:rPr>
                <w:rFonts w:ascii="仿宋" w:hAnsi="仿宋" w:eastAsia="仿宋" w:cs="仿宋"/>
                <w:color w:val="auto"/>
                <w:sz w:val="24"/>
                <w:highlight w:val="none"/>
              </w:rPr>
            </w:pPr>
            <w:r>
              <w:rPr>
                <w:rFonts w:hint="eastAsia" w:ascii="仿宋" w:hAnsi="仿宋" w:eastAsia="仿宋" w:cs="仿宋"/>
                <w:b/>
                <w:color w:val="auto"/>
                <w:sz w:val="24"/>
                <w:highlight w:val="none"/>
              </w:rPr>
              <w:sym w:font="Wingdings 2" w:char="00A3"/>
            </w:r>
            <w:r>
              <w:rPr>
                <w:rFonts w:hint="eastAsia" w:ascii="仿宋" w:hAnsi="仿宋" w:eastAsia="仿宋" w:cs="仿宋"/>
                <w:b/>
                <w:color w:val="auto"/>
                <w:sz w:val="24"/>
                <w:highlight w:val="none"/>
              </w:rPr>
              <w:t xml:space="preserve"> </w:t>
            </w:r>
            <w:r>
              <w:rPr>
                <w:rFonts w:hint="eastAsia" w:ascii="仿宋" w:hAnsi="仿宋" w:eastAsia="仿宋" w:cs="仿宋"/>
                <w:color w:val="auto"/>
                <w:kern w:val="0"/>
                <w:sz w:val="24"/>
                <w:highlight w:val="none"/>
              </w:rPr>
              <w:t xml:space="preserve"> 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98" w:hRule="atLeast"/>
        </w:trPr>
        <w:tc>
          <w:tcPr>
            <w:tcW w:w="714" w:type="dxa"/>
            <w:vAlign w:val="center"/>
          </w:tcPr>
          <w:p>
            <w:pPr>
              <w:snapToGrid w:val="0"/>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1790" w:type="dxa"/>
            <w:vAlign w:val="center"/>
          </w:tcPr>
          <w:p>
            <w:pPr>
              <w:snapToGrid w:val="0"/>
              <w:spacing w:line="36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tc>
        <w:tc>
          <w:tcPr>
            <w:tcW w:w="6571" w:type="dxa"/>
            <w:vAlign w:val="center"/>
          </w:tcPr>
          <w:p>
            <w:pPr>
              <w:spacing w:line="360" w:lineRule="exact"/>
              <w:rPr>
                <w:rFonts w:ascii="仿宋" w:hAnsi="仿宋" w:eastAsia="仿宋" w:cs="仿宋"/>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 xml:space="preserve"> </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不要求提供。</w:t>
            </w:r>
          </w:p>
          <w:p>
            <w:pPr>
              <w:spacing w:line="360" w:lineRule="exact"/>
              <w:rPr>
                <w:rFonts w:ascii="仿宋" w:hAnsi="仿宋" w:eastAsia="仿宋" w:cs="仿宋"/>
                <w:color w:val="auto"/>
                <w:kern w:val="0"/>
                <w:sz w:val="24"/>
                <w:highlight w:val="none"/>
              </w:rPr>
            </w:pPr>
            <w:r>
              <w:rPr>
                <w:rFonts w:hint="eastAsia" w:ascii="仿宋" w:hAnsi="仿宋" w:eastAsia="仿宋" w:cs="仿宋"/>
                <w:b/>
                <w:color w:val="auto"/>
                <w:sz w:val="24"/>
                <w:highlight w:val="none"/>
              </w:rPr>
              <w:sym w:font="Wingdings 2" w:char="00A3"/>
            </w:r>
            <w:r>
              <w:rPr>
                <w:rFonts w:hint="eastAsia" w:ascii="仿宋" w:hAnsi="仿宋" w:eastAsia="仿宋" w:cs="仿宋"/>
                <w:b/>
                <w:color w:val="auto"/>
                <w:sz w:val="24"/>
                <w:highlight w:val="none"/>
              </w:rPr>
              <w:t xml:space="preserve"> </w:t>
            </w:r>
            <w:r>
              <w:rPr>
                <w:rFonts w:hint="eastAsia" w:ascii="仿宋" w:hAnsi="仿宋" w:eastAsia="仿宋" w:cs="仿宋"/>
                <w:color w:val="auto"/>
                <w:kern w:val="0"/>
                <w:sz w:val="24"/>
                <w:highlight w:val="none"/>
              </w:rPr>
              <w:t xml:space="preserve"> B要求提供，</w:t>
            </w:r>
          </w:p>
          <w:p>
            <w:pPr>
              <w:spacing w:line="36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评审办法</w:t>
            </w:r>
            <w:r>
              <w:rPr>
                <w:rFonts w:hint="eastAsia" w:ascii="仿宋" w:hAnsi="仿宋" w:eastAsia="仿宋" w:cs="仿宋"/>
                <w:color w:val="auto"/>
                <w:kern w:val="0"/>
                <w:sz w:val="24"/>
                <w:highlight w:val="none"/>
              </w:rPr>
              <w:t>；</w:t>
            </w:r>
          </w:p>
          <w:p>
            <w:pPr>
              <w:spacing w:line="36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。请供应商在上述时间内提供样品并按规定位置安装完毕。超过截止时间的，采购人或采购代理机构将不予接收，并将清场并封闭样品现场。</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成交供应商提供的样品，采购人、采购代理机构将通知未成交供应商在规定的时间内取回，逾期未取回的，采购人、采购代理机构不负保管义务；对于成交供应商提供的样品，采购人将进行保管、封存，并作为履约验收的参考。</w:t>
            </w:r>
          </w:p>
          <w:p>
            <w:pPr>
              <w:spacing w:line="360" w:lineRule="exac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（7）制作、运输、安装和保管样品所发生的一切费用由供应商自理。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1790" w:type="dxa"/>
            <w:vAlign w:val="center"/>
          </w:tcPr>
          <w:p>
            <w:pPr>
              <w:snapToGrid w:val="0"/>
              <w:spacing w:line="360" w:lineRule="exact"/>
              <w:jc w:val="center"/>
              <w:rPr>
                <w:rFonts w:ascii="仿宋" w:hAnsi="仿宋" w:eastAsia="仿宋" w:cs="仿宋"/>
                <w:bCs/>
                <w:color w:val="auto"/>
                <w:sz w:val="24"/>
                <w:highlight w:val="none"/>
              </w:rPr>
            </w:pPr>
            <w:r>
              <w:rPr>
                <w:rFonts w:hint="eastAsia" w:ascii="仿宋" w:hAnsi="仿宋" w:eastAsia="仿宋" w:cs="仿宋"/>
                <w:b/>
                <w:color w:val="auto"/>
                <w:sz w:val="24"/>
                <w:highlight w:val="none"/>
              </w:rPr>
              <w:t>提供演示</w:t>
            </w:r>
          </w:p>
        </w:tc>
        <w:tc>
          <w:tcPr>
            <w:tcW w:w="6571" w:type="dxa"/>
            <w:vAlign w:val="center"/>
          </w:tcPr>
          <w:p>
            <w:pPr>
              <w:spacing w:line="360" w:lineRule="exact"/>
              <w:rPr>
                <w:rFonts w:ascii="仿宋" w:hAnsi="仿宋" w:eastAsia="仿宋" w:cs="仿宋"/>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 xml:space="preserve">  </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spacing w:line="360" w:lineRule="exact"/>
              <w:rPr>
                <w:rFonts w:ascii="仿宋" w:hAnsi="仿宋" w:eastAsia="仿宋" w:cs="仿宋"/>
                <w:color w:val="auto"/>
                <w:kern w:val="0"/>
                <w:sz w:val="24"/>
                <w:highlight w:val="none"/>
              </w:rPr>
            </w:pPr>
            <w:r>
              <w:rPr>
                <w:rFonts w:hint="eastAsia" w:ascii="仿宋" w:hAnsi="仿宋" w:eastAsia="仿宋" w:cs="仿宋"/>
                <w:b/>
                <w:color w:val="auto"/>
                <w:sz w:val="24"/>
                <w:highlight w:val="none"/>
              </w:rPr>
              <w:sym w:font="Wingdings 2" w:char="00A3"/>
            </w:r>
            <w:r>
              <w:rPr>
                <w:rFonts w:hint="eastAsia" w:ascii="仿宋" w:hAnsi="仿宋" w:eastAsia="仿宋" w:cs="仿宋"/>
                <w:b/>
                <w:color w:val="auto"/>
                <w:sz w:val="24"/>
                <w:highlight w:val="none"/>
              </w:rPr>
              <w:t xml:space="preserve"> </w:t>
            </w:r>
            <w:r>
              <w:rPr>
                <w:rFonts w:hint="eastAsia" w:ascii="仿宋" w:hAnsi="仿宋" w:eastAsia="仿宋" w:cs="仿宋"/>
                <w:color w:val="auto"/>
                <w:kern w:val="0"/>
                <w:sz w:val="24"/>
                <w:highlight w:val="none"/>
              </w:rPr>
              <w:t xml:space="preserve"> B组织。</w:t>
            </w:r>
          </w:p>
          <w:p>
            <w:pPr>
              <w:spacing w:line="360" w:lineRule="exact"/>
              <w:rPr>
                <w:rFonts w:ascii="仿宋" w:hAnsi="仿宋" w:eastAsia="仿宋" w:cs="仿宋"/>
                <w:color w:val="auto"/>
                <w:sz w:val="24"/>
                <w:highlight w:val="none"/>
              </w:rPr>
            </w:pP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投标人应按采购需求及评分细则要求提供产品功能演示。</w:t>
            </w:r>
          </w:p>
          <w:p>
            <w:pPr>
              <w:spacing w:line="3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演示内容由投标人</w:t>
            </w:r>
            <w:r>
              <w:rPr>
                <w:rFonts w:hint="eastAsia" w:ascii="仿宋" w:hAnsi="仿宋" w:eastAsia="仿宋" w:cs="仿宋"/>
                <w:color w:val="auto"/>
                <w:sz w:val="24"/>
                <w:highlight w:val="none"/>
                <w:lang w:val="zh-CN"/>
              </w:rPr>
              <w:t>自行摄录</w:t>
            </w:r>
            <w:r>
              <w:rPr>
                <w:rFonts w:hint="eastAsia" w:ascii="仿宋" w:hAnsi="仿宋" w:eastAsia="仿宋" w:cs="仿宋"/>
                <w:color w:val="auto"/>
                <w:sz w:val="24"/>
                <w:highlight w:val="none"/>
              </w:rPr>
              <w:t>,U盘存储，与备份文件一起，在投标截止时间（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）前，</w:t>
            </w:r>
            <w:r>
              <w:rPr>
                <w:rFonts w:hint="eastAsia" w:ascii="仿宋" w:hAnsi="仿宋" w:eastAsia="仿宋" w:cs="仿宋"/>
                <w:color w:val="auto"/>
                <w:sz w:val="24"/>
                <w:highlight w:val="none"/>
                <w:lang w:val="zh-CN"/>
              </w:rPr>
              <w:t>以邮寄方式送至采购代理机构。</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val="zh-CN"/>
              </w:rPr>
              <w:t>应确保演示视频的质量并配有</w:t>
            </w:r>
            <w:r>
              <w:rPr>
                <w:rFonts w:hint="eastAsia" w:ascii="仿宋" w:hAnsi="仿宋" w:eastAsia="仿宋" w:cs="仿宋"/>
                <w:color w:val="auto"/>
                <w:sz w:val="24"/>
                <w:highlight w:val="none"/>
              </w:rPr>
              <w:t>清晰、详细的</w:t>
            </w:r>
            <w:r>
              <w:rPr>
                <w:rFonts w:hint="eastAsia" w:ascii="仿宋" w:hAnsi="仿宋" w:eastAsia="仿宋" w:cs="仿宋"/>
                <w:color w:val="auto"/>
                <w:sz w:val="24"/>
                <w:highlight w:val="none"/>
                <w:lang w:val="zh-CN"/>
              </w:rPr>
              <w:t>解说</w:t>
            </w:r>
            <w:r>
              <w:rPr>
                <w:rFonts w:hint="eastAsia" w:ascii="仿宋" w:hAnsi="仿宋" w:eastAsia="仿宋" w:cs="仿宋"/>
                <w:color w:val="auto"/>
                <w:szCs w:val="21"/>
                <w:highlight w:val="none"/>
                <w:lang w:val="zh-CN"/>
              </w:rPr>
              <w:t>，</w:t>
            </w:r>
            <w:r>
              <w:rPr>
                <w:rFonts w:hint="eastAsia" w:ascii="仿宋" w:hAnsi="仿宋" w:eastAsia="仿宋" w:cs="仿宋"/>
                <w:color w:val="auto"/>
                <w:sz w:val="24"/>
                <w:highlight w:val="none"/>
                <w:lang w:val="zh-CN"/>
              </w:rPr>
              <w:t>时间</w:t>
            </w:r>
            <w:r>
              <w:rPr>
                <w:rFonts w:hint="eastAsia" w:ascii="仿宋" w:hAnsi="仿宋" w:eastAsia="仿宋" w:cs="仿宋"/>
                <w:color w:val="auto"/>
                <w:sz w:val="24"/>
                <w:highlight w:val="none"/>
              </w:rPr>
              <w:t>控制在10分钟以内。</w:t>
            </w:r>
            <w:r>
              <w:rPr>
                <w:rFonts w:hint="eastAsia" w:ascii="仿宋" w:hAnsi="仿宋" w:eastAsia="仿宋" w:cs="仿宋"/>
                <w:color w:val="auto"/>
                <w:sz w:val="24"/>
                <w:highlight w:val="none"/>
                <w:lang w:val="zh-CN"/>
              </w:rPr>
              <w:t>因</w:t>
            </w:r>
            <w:r>
              <w:rPr>
                <w:rFonts w:hint="eastAsia" w:ascii="仿宋" w:hAnsi="仿宋" w:eastAsia="仿宋" w:cs="仿宋"/>
                <w:color w:val="auto"/>
                <w:sz w:val="24"/>
                <w:highlight w:val="none"/>
              </w:rPr>
              <w:t>投标人自身原因导致无法演示或者演示效果不理想的，责任自负。</w:t>
            </w:r>
          </w:p>
          <w:p>
            <w:pPr>
              <w:snapToGrid w:val="0"/>
              <w:spacing w:line="360" w:lineRule="exact"/>
              <w:rPr>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邮寄信息详见本附表第12项。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34" w:hRule="atLeast"/>
        </w:trPr>
        <w:tc>
          <w:tcPr>
            <w:tcW w:w="714" w:type="dxa"/>
            <w:vMerge w:val="restart"/>
            <w:vAlign w:val="center"/>
          </w:tcPr>
          <w:p>
            <w:pPr>
              <w:snapToGrid w:val="0"/>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1790" w:type="dxa"/>
            <w:vMerge w:val="restart"/>
            <w:vAlign w:val="center"/>
          </w:tcPr>
          <w:p>
            <w:pPr>
              <w:snapToGrid w:val="0"/>
              <w:spacing w:line="36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供应商应当提供的资格、资信证明文件</w:t>
            </w:r>
          </w:p>
        </w:tc>
        <w:tc>
          <w:tcPr>
            <w:tcW w:w="6571" w:type="dxa"/>
            <w:vAlign w:val="center"/>
          </w:tcPr>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（1）资格证明文件：见采购文件第二部分11.1。</w:t>
            </w:r>
          </w:p>
          <w:p>
            <w:pPr>
              <w:spacing w:line="360" w:lineRule="exact"/>
              <w:rPr>
                <w:rFonts w:ascii="仿宋" w:hAnsi="仿宋" w:eastAsia="仿宋" w:cs="仿宋"/>
                <w:snapToGrid w:val="0"/>
                <w:color w:val="auto"/>
                <w:kern w:val="0"/>
                <w:sz w:val="24"/>
                <w:highlight w:val="none"/>
              </w:rPr>
            </w:pPr>
            <w:r>
              <w:rPr>
                <w:rFonts w:hint="eastAsia" w:ascii="仿宋" w:hAnsi="仿宋" w:eastAsia="仿宋" w:cs="仿宋"/>
                <w:color w:val="auto"/>
                <w:kern w:val="0"/>
                <w:sz w:val="24"/>
                <w:highlight w:val="none"/>
                <w:lang w:val="zh-CN"/>
              </w:rPr>
              <w:t>供应商未提供有效的资格证明文件的，视为供应商不具备采购文件中规定的资格要求，响应文件无效。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Merge w:val="continue"/>
            <w:vAlign w:val="center"/>
          </w:tcPr>
          <w:p>
            <w:pPr>
              <w:snapToGrid w:val="0"/>
              <w:spacing w:line="360" w:lineRule="exact"/>
              <w:jc w:val="center"/>
              <w:rPr>
                <w:rFonts w:ascii="仿宋" w:hAnsi="仿宋" w:eastAsia="仿宋" w:cs="仿宋"/>
                <w:color w:val="auto"/>
                <w:sz w:val="24"/>
                <w:highlight w:val="none"/>
              </w:rPr>
            </w:pPr>
          </w:p>
        </w:tc>
        <w:tc>
          <w:tcPr>
            <w:tcW w:w="1790" w:type="dxa"/>
            <w:vMerge w:val="continue"/>
            <w:vAlign w:val="center"/>
          </w:tcPr>
          <w:p>
            <w:pPr>
              <w:snapToGrid w:val="0"/>
              <w:spacing w:line="360" w:lineRule="exact"/>
              <w:jc w:val="center"/>
              <w:rPr>
                <w:rFonts w:ascii="仿宋" w:hAnsi="仿宋" w:eastAsia="仿宋" w:cs="仿宋"/>
                <w:b/>
                <w:color w:val="auto"/>
                <w:sz w:val="24"/>
                <w:highlight w:val="none"/>
              </w:rPr>
            </w:pPr>
          </w:p>
        </w:tc>
        <w:tc>
          <w:tcPr>
            <w:tcW w:w="6571" w:type="dxa"/>
            <w:vAlign w:val="center"/>
          </w:tcPr>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（2）资信证明文件：根据采购文件第五部分评审标准提供。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1790" w:type="dxa"/>
            <w:vAlign w:val="center"/>
          </w:tcPr>
          <w:p>
            <w:pPr>
              <w:snapToGrid w:val="0"/>
              <w:spacing w:line="36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节能产品、环境标志产品</w:t>
            </w:r>
          </w:p>
        </w:tc>
        <w:tc>
          <w:tcPr>
            <w:tcW w:w="6571" w:type="dxa"/>
            <w:vAlign w:val="center"/>
          </w:tcPr>
          <w:p>
            <w:pPr>
              <w:snapToGrid w:val="0"/>
              <w:spacing w:line="36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采购人拟采购的产品属于品目清单范围的</w:t>
            </w:r>
            <w:r>
              <w:rPr>
                <w:rFonts w:hint="eastAsia" w:ascii="仿宋" w:hAnsi="仿宋" w:eastAsia="仿宋" w:cs="仿宋"/>
                <w:b/>
                <w:bCs/>
                <w:color w:val="auto"/>
                <w:kern w:val="0"/>
                <w:sz w:val="24"/>
                <w:highlight w:val="none"/>
              </w:rPr>
              <w:t>（依据文号：财库【2019】18号、【2019】19号）</w:t>
            </w:r>
            <w:r>
              <w:rPr>
                <w:rFonts w:hint="eastAsia" w:ascii="仿宋" w:hAnsi="仿宋" w:eastAsia="仿宋" w:cs="仿宋"/>
                <w:color w:val="auto"/>
                <w:kern w:val="0"/>
                <w:sz w:val="24"/>
                <w:highlight w:val="none"/>
              </w:rPr>
              <w:t>，采购人及其委托的采购代理机构将依据国家确定的认证机构出具的、处于有效期之内的节能产品、环境标志产品认证证书，对获得证书的产品实施政府优先采购或强制采购。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53" w:hRule="atLeast"/>
        </w:trPr>
        <w:tc>
          <w:tcPr>
            <w:tcW w:w="714" w:type="dxa"/>
            <w:vAlign w:val="center"/>
          </w:tcPr>
          <w:p>
            <w:pPr>
              <w:snapToGrid w:val="0"/>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1790" w:type="dxa"/>
            <w:vAlign w:val="center"/>
          </w:tcPr>
          <w:p>
            <w:pPr>
              <w:snapToGrid w:val="0"/>
              <w:spacing w:line="36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最后报价要求</w:t>
            </w:r>
          </w:p>
        </w:tc>
        <w:tc>
          <w:tcPr>
            <w:tcW w:w="6571" w:type="dxa"/>
            <w:vAlign w:val="center"/>
          </w:tcPr>
          <w:p>
            <w:pPr>
              <w:spacing w:line="3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有关本项目实施所需的所有费用（含税费）均计入最后报价。《最后报价</w:t>
            </w:r>
            <w:r>
              <w:rPr>
                <w:rFonts w:hint="eastAsia" w:ascii="仿宋" w:hAnsi="仿宋" w:eastAsia="仿宋" w:cs="仿宋"/>
                <w:color w:val="auto"/>
                <w:sz w:val="24"/>
                <w:highlight w:val="none"/>
              </w:rPr>
              <w:t>一览表（报价表）</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是最后报价的唯一载体</w:t>
            </w:r>
            <w:r>
              <w:rPr>
                <w:rFonts w:hint="eastAsia" w:ascii="仿宋" w:hAnsi="仿宋" w:eastAsia="仿宋" w:cs="仿宋"/>
                <w:color w:val="auto"/>
                <w:sz w:val="24"/>
                <w:highlight w:val="none"/>
                <w:lang w:val="zh-CN"/>
              </w:rPr>
              <w:t>。磋商文件中价格全部采用人民币报价。磋商文件未列明，而供应商认为必需的费用也需列入报价。提醒：验收时检测费用由采购人承担，不包含在最后报价中。</w:t>
            </w:r>
          </w:p>
          <w:p>
            <w:pPr>
              <w:spacing w:line="360" w:lineRule="exact"/>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最后报价出现下列情形的，响应无效：</w:t>
            </w:r>
          </w:p>
          <w:p>
            <w:pPr>
              <w:spacing w:line="3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响应文件出现不是唯一的、有选择性的最后报价的；</w:t>
            </w:r>
          </w:p>
          <w:p>
            <w:pPr>
              <w:spacing w:line="3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最后报价超过磋商文件中规定的预算金额或者最高限价的;</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最后报价明显低于其他通过符合性审查供应商的报价，有可能影响产品质量或者不能诚信履约的，未能按要求提供书面说明或者提交相关证明材料证明其报价合理性的;</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供应商对根据修正原则修正后的报价不确认的。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89" w:hRule="atLeast"/>
        </w:trPr>
        <w:tc>
          <w:tcPr>
            <w:tcW w:w="714" w:type="dxa"/>
            <w:vAlign w:val="center"/>
          </w:tcPr>
          <w:p>
            <w:pPr>
              <w:snapToGrid w:val="0"/>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790" w:type="dxa"/>
            <w:vAlign w:val="center"/>
          </w:tcPr>
          <w:p>
            <w:pPr>
              <w:snapToGrid w:val="0"/>
              <w:spacing w:line="36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中小企业信用融资</w:t>
            </w:r>
          </w:p>
        </w:tc>
        <w:tc>
          <w:tcPr>
            <w:tcW w:w="6571" w:type="dxa"/>
            <w:vAlign w:val="center"/>
          </w:tcPr>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供应商成交后也可在“政采云”平台申请政采贷：操作路径：登录政采云平台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Align w:val="center"/>
          </w:tcPr>
          <w:p>
            <w:pPr>
              <w:snapToGrid w:val="0"/>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790" w:type="dxa"/>
            <w:vAlign w:val="center"/>
          </w:tcPr>
          <w:p>
            <w:pPr>
              <w:snapToGrid w:val="0"/>
              <w:spacing w:line="36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备份响应文件送达地点和签收人员</w:t>
            </w:r>
          </w:p>
        </w:tc>
        <w:tc>
          <w:tcPr>
            <w:tcW w:w="6571" w:type="dxa"/>
            <w:vAlign w:val="center"/>
          </w:tcPr>
          <w:p>
            <w:pPr>
              <w:pStyle w:val="32"/>
              <w:spacing w:line="360" w:lineRule="exact"/>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备份投标文件送达地点：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28"/>
                <w:sz w:val="24"/>
                <w:szCs w:val="24"/>
                <w:highlight w:val="none"/>
                <w:u w:val="single"/>
              </w:rPr>
              <w:t>杭州市拱墅区登云路518号恒策西城时代（云合中心）3幢1706室</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28"/>
                <w:sz w:val="24"/>
                <w:szCs w:val="24"/>
                <w:highlight w:val="none"/>
              </w:rPr>
              <w:t>；备份投标文件签收人员联系电话：</w:t>
            </w:r>
            <w:r>
              <w:rPr>
                <w:rFonts w:hint="eastAsia" w:ascii="仿宋" w:hAnsi="仿宋" w:eastAsia="仿宋" w:cs="仿宋"/>
                <w:color w:val="auto"/>
                <w:sz w:val="24"/>
                <w:szCs w:val="24"/>
                <w:highlight w:val="none"/>
                <w:u w:val="single"/>
              </w:rPr>
              <w:t xml:space="preserve"> 邓瑞银、</w:t>
            </w:r>
            <w:r>
              <w:rPr>
                <w:rFonts w:hint="eastAsia" w:ascii="仿宋" w:hAnsi="仿宋" w:eastAsia="仿宋" w:cs="仿宋"/>
                <w:color w:val="auto"/>
                <w:kern w:val="28"/>
                <w:sz w:val="24"/>
                <w:szCs w:val="24"/>
                <w:highlight w:val="none"/>
                <w:u w:val="single"/>
              </w:rPr>
              <w:t xml:space="preserve">13645711835、86035851  </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采购人、采购代理机构不强制或变相强制投标人提交备份投标文件。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Merge w:val="restart"/>
            <w:vAlign w:val="center"/>
          </w:tcPr>
          <w:p>
            <w:pPr>
              <w:snapToGrid w:val="0"/>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790" w:type="dxa"/>
            <w:vMerge w:val="restart"/>
            <w:vAlign w:val="center"/>
          </w:tcPr>
          <w:p>
            <w:pPr>
              <w:snapToGrid w:val="0"/>
              <w:spacing w:line="36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tc>
        <w:tc>
          <w:tcPr>
            <w:tcW w:w="6571" w:type="dxa"/>
            <w:vAlign w:val="center"/>
          </w:tcPr>
          <w:p>
            <w:pPr>
              <w:spacing w:line="360" w:lineRule="exact"/>
              <w:rPr>
                <w:rFonts w:ascii="仿宋" w:hAnsi="仿宋" w:eastAsia="仿宋" w:cs="仿宋"/>
                <w:color w:val="auto"/>
                <w:kern w:val="28"/>
                <w:sz w:val="24"/>
                <w:highlight w:val="none"/>
              </w:rPr>
            </w:pPr>
            <w:r>
              <w:rPr>
                <w:rFonts w:hint="eastAsia" w:ascii="仿宋" w:hAnsi="仿宋" w:eastAsia="仿宋" w:cs="仿宋"/>
                <w:snapToGrid w:val="0"/>
                <w:color w:val="auto"/>
                <w:kern w:val="28"/>
                <w:sz w:val="24"/>
                <w:highlight w:val="none"/>
              </w:rPr>
              <w:t>联合体响应的，联合体各方分别提供与联合体协议中规定的分工内容相应的业绩证明材料，业绩数量以提供材料较少的一方为准。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14" w:type="dxa"/>
            <w:vMerge w:val="continue"/>
            <w:vAlign w:val="center"/>
          </w:tcPr>
          <w:p>
            <w:pPr>
              <w:snapToGrid w:val="0"/>
              <w:spacing w:line="360" w:lineRule="exact"/>
              <w:jc w:val="center"/>
              <w:rPr>
                <w:rFonts w:ascii="仿宋" w:hAnsi="仿宋" w:eastAsia="仿宋" w:cs="仿宋"/>
                <w:color w:val="auto"/>
                <w:sz w:val="24"/>
                <w:highlight w:val="none"/>
              </w:rPr>
            </w:pPr>
          </w:p>
        </w:tc>
        <w:tc>
          <w:tcPr>
            <w:tcW w:w="1790" w:type="dxa"/>
            <w:vMerge w:val="continue"/>
            <w:vAlign w:val="center"/>
          </w:tcPr>
          <w:p>
            <w:pPr>
              <w:snapToGrid w:val="0"/>
              <w:spacing w:line="360" w:lineRule="exact"/>
              <w:jc w:val="center"/>
              <w:rPr>
                <w:rFonts w:ascii="仿宋" w:hAnsi="仿宋" w:eastAsia="仿宋" w:cs="仿宋"/>
                <w:b/>
                <w:color w:val="auto"/>
                <w:sz w:val="24"/>
                <w:highlight w:val="none"/>
              </w:rPr>
            </w:pPr>
          </w:p>
        </w:tc>
        <w:tc>
          <w:tcPr>
            <w:tcW w:w="6571" w:type="dxa"/>
            <w:vAlign w:val="center"/>
          </w:tcPr>
          <w:p>
            <w:pPr>
              <w:spacing w:line="360" w:lineRule="exact"/>
              <w:rPr>
                <w:rFonts w:ascii="仿宋" w:hAnsi="仿宋" w:eastAsia="仿宋" w:cs="仿宋"/>
                <w:snapToGrid w:val="0"/>
                <w:color w:val="auto"/>
                <w:kern w:val="28"/>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 xml:space="preserve"> </w:t>
            </w:r>
            <w:r>
              <w:rPr>
                <w:rFonts w:hint="eastAsia" w:ascii="仿宋" w:hAnsi="仿宋" w:eastAsia="仿宋" w:cs="仿宋"/>
                <w:snapToGrid w:val="0"/>
                <w:color w:val="auto"/>
                <w:kern w:val="28"/>
                <w:sz w:val="24"/>
                <w:highlight w:val="none"/>
              </w:rPr>
              <w:t>联合体响应的，联合体各方均需按磋商文件第五部分评审标准要求提供资信证明文件，否则视为不符合相关要求。</w:t>
            </w:r>
          </w:p>
          <w:p>
            <w:pPr>
              <w:spacing w:line="360" w:lineRule="exact"/>
              <w:rPr>
                <w:rFonts w:ascii="仿宋" w:hAnsi="仿宋" w:eastAsia="仿宋" w:cs="仿宋"/>
                <w:snapToGrid w:val="0"/>
                <w:color w:val="auto"/>
                <w:kern w:val="28"/>
                <w:sz w:val="24"/>
                <w:highlight w:val="none"/>
              </w:rPr>
            </w:pPr>
            <w:r>
              <w:rPr>
                <w:rFonts w:hint="eastAsia" w:ascii="仿宋" w:hAnsi="仿宋" w:eastAsia="仿宋" w:cs="仿宋"/>
                <w:b/>
                <w:color w:val="auto"/>
                <w:sz w:val="24"/>
                <w:highlight w:val="none"/>
              </w:rPr>
              <w:sym w:font="Wingdings 2" w:char="00A3"/>
            </w:r>
            <w:r>
              <w:rPr>
                <w:rFonts w:hint="eastAsia" w:ascii="仿宋" w:hAnsi="仿宋" w:eastAsia="仿宋" w:cs="仿宋"/>
                <w:b/>
                <w:color w:val="auto"/>
                <w:sz w:val="24"/>
                <w:highlight w:val="none"/>
              </w:rPr>
              <w:t xml:space="preserve"> </w:t>
            </w:r>
            <w:r>
              <w:rPr>
                <w:rFonts w:hint="eastAsia" w:ascii="仿宋" w:hAnsi="仿宋" w:eastAsia="仿宋" w:cs="仿宋"/>
                <w:snapToGrid w:val="0"/>
                <w:color w:val="auto"/>
                <w:kern w:val="28"/>
                <w:sz w:val="24"/>
                <w:highlight w:val="none"/>
              </w:rPr>
              <w:t>联合体响应的，联合体中有一方或者联合体成员根据分工按磋商文件第五部分评审标准要求提供资信证明文件的，视为符合了相关要求。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6" w:hRule="atLeast"/>
        </w:trPr>
        <w:tc>
          <w:tcPr>
            <w:tcW w:w="714" w:type="dxa"/>
            <w:vAlign w:val="center"/>
          </w:tcPr>
          <w:p>
            <w:pPr>
              <w:snapToGrid w:val="0"/>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1790" w:type="dxa"/>
            <w:vAlign w:val="center"/>
          </w:tcPr>
          <w:p>
            <w:pPr>
              <w:snapToGrid w:val="0"/>
              <w:spacing w:line="36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tc>
        <w:tc>
          <w:tcPr>
            <w:tcW w:w="6571" w:type="dxa"/>
            <w:vAlign w:val="center"/>
          </w:tcPr>
          <w:p>
            <w:pPr>
              <w:spacing w:line="360" w:lineRule="exact"/>
              <w:rPr>
                <w:rFonts w:ascii="仿宋" w:hAnsi="仿宋" w:eastAsia="仿宋" w:cs="仿宋"/>
                <w:snapToGrid w:val="0"/>
                <w:color w:val="auto"/>
                <w:sz w:val="24"/>
                <w:highlight w:val="none"/>
              </w:rPr>
            </w:pPr>
            <w:r>
              <w:rPr>
                <w:rFonts w:hint="eastAsia" w:ascii="仿宋" w:hAnsi="仿宋" w:eastAsia="仿宋" w:cs="仿宋"/>
                <w:color w:val="auto"/>
                <w:sz w:val="24"/>
                <w:highlight w:val="none"/>
              </w:rPr>
              <w:t>1、本项目按</w:t>
            </w:r>
            <w:r>
              <w:rPr>
                <w:rFonts w:hint="eastAsia" w:ascii="仿宋" w:hAnsi="仿宋" w:eastAsia="仿宋" w:cs="仿宋"/>
                <w:snapToGrid w:val="0"/>
                <w:color w:val="auto"/>
                <w:sz w:val="24"/>
                <w:highlight w:val="none"/>
              </w:rPr>
              <w:t>照《国家发展改革委办公厅关于招标代理服务收费有关问题的通知》（发改价格【2011】534号）规定的货物类标准7折向成交供应商收取，不足3000元按3000元收取。</w:t>
            </w:r>
          </w:p>
          <w:p>
            <w:pPr>
              <w:spacing w:line="36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发改价格【2011】534号规定的收费标准</w:t>
            </w:r>
          </w:p>
          <w:tbl>
            <w:tblPr>
              <w:tblStyle w:val="63"/>
              <w:tblW w:w="0" w:type="auto"/>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8"/>
              <w:gridCol w:w="1001"/>
              <w:gridCol w:w="960"/>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3248" w:type="dxa"/>
                  <w:shd w:val="clear" w:color="auto" w:fill="auto"/>
                </w:tcPr>
                <w:p>
                  <w:pPr>
                    <w:widowControl/>
                    <w:spacing w:line="360" w:lineRule="exact"/>
                    <w:jc w:val="center"/>
                    <w:rPr>
                      <w:rStyle w:val="71"/>
                      <w:rFonts w:ascii="仿宋" w:hAnsi="仿宋" w:eastAsia="仿宋" w:cs="仿宋"/>
                      <w:b w:val="0"/>
                      <w:bCs w:val="0"/>
                      <w:color w:val="auto"/>
                      <w:kern w:val="0"/>
                      <w:sz w:val="24"/>
                      <w:highlight w:val="none"/>
                      <w:shd w:val="clear" w:color="auto" w:fill="FFFFFF"/>
                    </w:rPr>
                  </w:pPr>
                  <w:r>
                    <w:rPr>
                      <w:rFonts w:ascii="仿宋" w:hAnsi="仿宋" w:eastAsia="仿宋" w:cs="仿宋"/>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-67310</wp:posOffset>
                            </wp:positionH>
                            <wp:positionV relativeFrom="paragraph">
                              <wp:posOffset>1270</wp:posOffset>
                            </wp:positionV>
                            <wp:extent cx="1833880" cy="718820"/>
                            <wp:effectExtent l="1905" t="4445" r="8255" b="8255"/>
                            <wp:wrapNone/>
                            <wp:docPr id="11" name="直接连接符 11"/>
                            <wp:cNvGraphicFramePr/>
                            <a:graphic xmlns:a="http://schemas.openxmlformats.org/drawingml/2006/main">
                              <a:graphicData uri="http://schemas.microsoft.com/office/word/2010/wordprocessingShape">
                                <wps:wsp>
                                  <wps:cNvCnPr/>
                                  <wps:spPr>
                                    <a:xfrm>
                                      <a:off x="0" y="0"/>
                                      <a:ext cx="1833880" cy="7188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5.3pt;margin-top:0.1pt;height:56.6pt;width:144.4pt;z-index:251663360;mso-width-relative:page;mso-height-relative:page;" filled="f" stroked="t" coordsize="21600,21600" o:gfxdata="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Yv73jWAAAACAEAAA8AAAAAAAAAAQAgAAAAIgAAAGRycy9kb3ducmV2LnhtbFBL&#10;AQIUABQAAAAIAIdO4kC8qBWt+AEAAO0DAAAOAAAAAAAAAAEAIAAAACUBAABkcnMvZTJvRG9jLnht&#10;bFBLBQYAAAAABgAGAFkBAACPBQAAAAA=&#10;">
                            <v:fill on="f" focussize="0,0"/>
                            <v:stroke color="#000000" joinstyle="round"/>
                            <v:imagedata o:title=""/>
                            <o:lock v:ext="edit" aspectratio="f"/>
                          </v:line>
                        </w:pict>
                      </mc:Fallback>
                    </mc:AlternateContent>
                  </w:r>
                  <w:r>
                    <w:rPr>
                      <w:rFonts w:ascii="仿宋" w:hAnsi="仿宋" w:eastAsia="仿宋" w:cs="仿宋"/>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-48260</wp:posOffset>
                            </wp:positionH>
                            <wp:positionV relativeFrom="paragraph">
                              <wp:posOffset>10795</wp:posOffset>
                            </wp:positionV>
                            <wp:extent cx="2044700" cy="324485"/>
                            <wp:effectExtent l="635" t="4445" r="12065" b="6350"/>
                            <wp:wrapNone/>
                            <wp:docPr id="12" name="直接连接符 12"/>
                            <wp:cNvGraphicFramePr/>
                            <a:graphic xmlns:a="http://schemas.openxmlformats.org/drawingml/2006/main">
                              <a:graphicData uri="http://schemas.microsoft.com/office/word/2010/wordprocessingShape">
                                <wps:wsp>
                                  <wps:cNvCnPr/>
                                  <wps:spPr>
                                    <a:xfrm>
                                      <a:off x="0" y="0"/>
                                      <a:ext cx="2044700" cy="32448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8pt;margin-top:0.85pt;height:25.55pt;width:161pt;z-index:251662336;mso-width-relative:page;mso-height-relative:page;" filled="f" stroked="t" coordsize="21600,21600" o:gfxdata="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b47hvVAAAABwEAAA8AAAAAAAAAAQAgAAAAIgAAAGRycy9kb3ducmV2LnhtbFBLAQIU&#10;ABQAAAAIAIdO4kDrBg7A9gEAAO0DAAAOAAAAAAAAAAEAIAAAACQBAABkcnMvZTJvRG9jLnhtbFBL&#10;BQYAAAAABgAGAFkBAACMBQAAAAA=&#10;">
                            <v:fill on="f" focussize="0,0"/>
                            <v:stroke color="#000000" joinstyle="round"/>
                            <v:imagedata o:title=""/>
                            <o:lock v:ext="edit" aspectratio="f"/>
                          </v:line>
                        </w:pict>
                      </mc:Fallback>
                    </mc:AlternateContent>
                  </w:r>
                  <w:r>
                    <w:rPr>
                      <w:rStyle w:val="71"/>
                      <w:rFonts w:hint="eastAsia" w:ascii="仿宋" w:hAnsi="仿宋" w:eastAsia="仿宋" w:cs="仿宋"/>
                      <w:b w:val="0"/>
                      <w:bCs w:val="0"/>
                      <w:color w:val="auto"/>
                      <w:kern w:val="0"/>
                      <w:sz w:val="24"/>
                      <w:highlight w:val="none"/>
                      <w:shd w:val="clear" w:color="auto" w:fill="FFFFFF"/>
                    </w:rPr>
                    <w:t xml:space="preserve">          类型</w:t>
                  </w:r>
                </w:p>
                <w:p>
                  <w:pPr>
                    <w:widowControl/>
                    <w:spacing w:line="360" w:lineRule="exact"/>
                    <w:jc w:val="center"/>
                    <w:rPr>
                      <w:rStyle w:val="71"/>
                      <w:rFonts w:ascii="仿宋" w:hAnsi="仿宋" w:eastAsia="仿宋" w:cs="仿宋"/>
                      <w:b w:val="0"/>
                      <w:bCs w:val="0"/>
                      <w:color w:val="auto"/>
                      <w:kern w:val="0"/>
                      <w:sz w:val="24"/>
                      <w:highlight w:val="none"/>
                      <w:shd w:val="clear" w:color="auto" w:fill="FFFFFF"/>
                    </w:rPr>
                  </w:pPr>
                  <w:r>
                    <w:rPr>
                      <w:rStyle w:val="71"/>
                      <w:rFonts w:hint="eastAsia" w:ascii="仿宋" w:hAnsi="仿宋" w:eastAsia="仿宋" w:cs="仿宋"/>
                      <w:b w:val="0"/>
                      <w:bCs w:val="0"/>
                      <w:color w:val="auto"/>
                      <w:kern w:val="0"/>
                      <w:sz w:val="24"/>
                      <w:highlight w:val="none"/>
                      <w:shd w:val="clear" w:color="auto" w:fill="FFFFFF"/>
                    </w:rPr>
                    <w:t xml:space="preserve">    费率</w:t>
                  </w:r>
                </w:p>
                <w:p>
                  <w:pPr>
                    <w:widowControl/>
                    <w:spacing w:line="360" w:lineRule="exact"/>
                    <w:rPr>
                      <w:rStyle w:val="71"/>
                      <w:rFonts w:ascii="仿宋" w:hAnsi="仿宋" w:eastAsia="仿宋" w:cs="仿宋"/>
                      <w:b w:val="0"/>
                      <w:bCs w:val="0"/>
                      <w:color w:val="auto"/>
                      <w:kern w:val="0"/>
                      <w:sz w:val="24"/>
                      <w:highlight w:val="none"/>
                      <w:shd w:val="clear" w:color="auto" w:fill="FFFFFF"/>
                    </w:rPr>
                  </w:pPr>
                  <w:r>
                    <w:rPr>
                      <w:rStyle w:val="71"/>
                      <w:rFonts w:hint="eastAsia" w:ascii="仿宋" w:hAnsi="仿宋" w:eastAsia="仿宋" w:cs="仿宋"/>
                      <w:b w:val="0"/>
                      <w:bCs w:val="0"/>
                      <w:color w:val="auto"/>
                      <w:kern w:val="0"/>
                      <w:sz w:val="24"/>
                      <w:highlight w:val="none"/>
                      <w:shd w:val="clear" w:color="auto" w:fill="FFFFFF"/>
                    </w:rPr>
                    <w:t>中标金额（万元）</w:t>
                  </w:r>
                </w:p>
              </w:tc>
              <w:tc>
                <w:tcPr>
                  <w:tcW w:w="1001" w:type="dxa"/>
                  <w:shd w:val="clear" w:color="auto" w:fill="auto"/>
                  <w:vAlign w:val="center"/>
                </w:tcPr>
                <w:p>
                  <w:pPr>
                    <w:widowControl/>
                    <w:spacing w:line="360" w:lineRule="exact"/>
                    <w:jc w:val="center"/>
                    <w:rPr>
                      <w:rStyle w:val="71"/>
                      <w:rFonts w:ascii="仿宋" w:hAnsi="仿宋" w:eastAsia="仿宋" w:cs="仿宋"/>
                      <w:b w:val="0"/>
                      <w:bCs w:val="0"/>
                      <w:color w:val="auto"/>
                      <w:kern w:val="0"/>
                      <w:sz w:val="24"/>
                      <w:highlight w:val="none"/>
                      <w:shd w:val="clear" w:color="auto" w:fill="FFFFFF"/>
                    </w:rPr>
                  </w:pPr>
                  <w:r>
                    <w:rPr>
                      <w:rFonts w:hint="eastAsia" w:ascii="仿宋" w:hAnsi="仿宋" w:eastAsia="仿宋" w:cs="仿宋"/>
                      <w:color w:val="auto"/>
                      <w:kern w:val="0"/>
                      <w:sz w:val="24"/>
                      <w:highlight w:val="none"/>
                    </w:rPr>
                    <w:t>货物</w:t>
                  </w:r>
                </w:p>
              </w:tc>
              <w:tc>
                <w:tcPr>
                  <w:tcW w:w="960" w:type="dxa"/>
                  <w:shd w:val="clear" w:color="auto" w:fill="FFFFFF"/>
                  <w:vAlign w:val="center"/>
                </w:tcPr>
                <w:p>
                  <w:pPr>
                    <w:widowControl/>
                    <w:spacing w:line="360" w:lineRule="exact"/>
                    <w:jc w:val="center"/>
                    <w:rPr>
                      <w:rStyle w:val="71"/>
                      <w:rFonts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rPr>
                    <w:t>服务</w:t>
                  </w:r>
                </w:p>
              </w:tc>
              <w:tc>
                <w:tcPr>
                  <w:tcW w:w="1009" w:type="dxa"/>
                  <w:shd w:val="clear" w:color="auto" w:fill="FFFFFF"/>
                  <w:vAlign w:val="center"/>
                </w:tcPr>
                <w:p>
                  <w:pPr>
                    <w:widowControl/>
                    <w:spacing w:line="360" w:lineRule="exact"/>
                    <w:jc w:val="center"/>
                    <w:rPr>
                      <w:rStyle w:val="71"/>
                      <w:rFonts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3248" w:type="dxa"/>
                  <w:shd w:val="clear" w:color="auto" w:fill="FFFFFF"/>
                  <w:vAlign w:val="center"/>
                </w:tcPr>
                <w:p>
                  <w:pPr>
                    <w:widowControl/>
                    <w:spacing w:line="360" w:lineRule="exact"/>
                    <w:jc w:val="center"/>
                    <w:rPr>
                      <w:rStyle w:val="71"/>
                      <w:rFonts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rPr>
                    <w:t>100万元以下部分</w:t>
                  </w:r>
                </w:p>
              </w:tc>
              <w:tc>
                <w:tcPr>
                  <w:tcW w:w="1001" w:type="dxa"/>
                  <w:shd w:val="clear" w:color="auto" w:fill="FFFFFF"/>
                  <w:vAlign w:val="center"/>
                </w:tcPr>
                <w:p>
                  <w:pPr>
                    <w:widowControl/>
                    <w:spacing w:line="36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p>
              </w:tc>
              <w:tc>
                <w:tcPr>
                  <w:tcW w:w="960" w:type="dxa"/>
                  <w:shd w:val="clear" w:color="auto" w:fill="FFFFFF"/>
                  <w:vAlign w:val="center"/>
                </w:tcPr>
                <w:p>
                  <w:pPr>
                    <w:widowControl/>
                    <w:spacing w:line="36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p>
              </w:tc>
              <w:tc>
                <w:tcPr>
                  <w:tcW w:w="1009" w:type="dxa"/>
                  <w:shd w:val="clear" w:color="auto" w:fill="FFFFFF"/>
                  <w:vAlign w:val="center"/>
                </w:tcPr>
                <w:p>
                  <w:pPr>
                    <w:widowControl/>
                    <w:spacing w:line="36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248" w:type="dxa"/>
                  <w:shd w:val="clear" w:color="auto" w:fill="FFFFFF"/>
                  <w:vAlign w:val="center"/>
                </w:tcPr>
                <w:p>
                  <w:pPr>
                    <w:widowControl/>
                    <w:spacing w:line="360" w:lineRule="exact"/>
                    <w:jc w:val="center"/>
                    <w:rPr>
                      <w:rStyle w:val="71"/>
                      <w:rFonts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rPr>
                    <w:t>100-500万元部分</w:t>
                  </w:r>
                </w:p>
              </w:tc>
              <w:tc>
                <w:tcPr>
                  <w:tcW w:w="1001" w:type="dxa"/>
                  <w:shd w:val="clear" w:color="auto" w:fill="FFFFFF"/>
                  <w:vAlign w:val="center"/>
                </w:tcPr>
                <w:p>
                  <w:pPr>
                    <w:widowControl/>
                    <w:spacing w:line="36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w:t>
                  </w:r>
                </w:p>
              </w:tc>
              <w:tc>
                <w:tcPr>
                  <w:tcW w:w="960" w:type="dxa"/>
                  <w:shd w:val="clear" w:color="auto" w:fill="FFFFFF"/>
                  <w:vAlign w:val="center"/>
                </w:tcPr>
                <w:p>
                  <w:pPr>
                    <w:widowControl/>
                    <w:spacing w:line="36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0.8%</w:t>
                  </w:r>
                </w:p>
              </w:tc>
              <w:tc>
                <w:tcPr>
                  <w:tcW w:w="1009" w:type="dxa"/>
                  <w:shd w:val="clear" w:color="auto" w:fill="FFFFFF"/>
                  <w:vAlign w:val="center"/>
                </w:tcPr>
                <w:p>
                  <w:pPr>
                    <w:widowControl/>
                    <w:spacing w:line="36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248" w:type="dxa"/>
                  <w:shd w:val="clear" w:color="auto" w:fill="FFFFFF"/>
                  <w:vAlign w:val="center"/>
                </w:tcPr>
                <w:p>
                  <w:pPr>
                    <w:widowControl/>
                    <w:spacing w:line="360" w:lineRule="exact"/>
                    <w:jc w:val="center"/>
                    <w:rPr>
                      <w:rStyle w:val="71"/>
                      <w:rFonts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rPr>
                    <w:t>500-1000万元部分</w:t>
                  </w:r>
                </w:p>
              </w:tc>
              <w:tc>
                <w:tcPr>
                  <w:tcW w:w="1001" w:type="dxa"/>
                  <w:shd w:val="clear" w:color="auto" w:fill="FFFFFF"/>
                  <w:vAlign w:val="center"/>
                </w:tcPr>
                <w:p>
                  <w:pPr>
                    <w:widowControl/>
                    <w:spacing w:line="36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0.8%</w:t>
                  </w:r>
                </w:p>
              </w:tc>
              <w:tc>
                <w:tcPr>
                  <w:tcW w:w="960" w:type="dxa"/>
                  <w:shd w:val="clear" w:color="auto" w:fill="FFFFFF"/>
                  <w:vAlign w:val="center"/>
                </w:tcPr>
                <w:p>
                  <w:pPr>
                    <w:widowControl/>
                    <w:spacing w:line="36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0.45%</w:t>
                  </w:r>
                </w:p>
              </w:tc>
              <w:tc>
                <w:tcPr>
                  <w:tcW w:w="1009" w:type="dxa"/>
                  <w:shd w:val="clear" w:color="auto" w:fill="FFFFFF"/>
                  <w:vAlign w:val="center"/>
                </w:tcPr>
                <w:p>
                  <w:pPr>
                    <w:widowControl/>
                    <w:spacing w:line="36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0.55%</w:t>
                  </w:r>
                </w:p>
              </w:tc>
            </w:tr>
          </w:tbl>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2、招标代理服务费可以是现金、支票或汇票。</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3、收取时间：成交通知书发出后3个工作日内。 </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4、服务费汇款信息：</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收款人：杭州博实招标代理有限公司</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开户银行：杭州联合农村商业银行股份有限公司丰潭支行</w:t>
            </w:r>
          </w:p>
          <w:p>
            <w:pPr>
              <w:spacing w:line="360" w:lineRule="exact"/>
              <w:rPr>
                <w:rFonts w:ascii="仿宋" w:hAnsi="仿宋" w:eastAsia="仿宋" w:cs="仿宋"/>
                <w:snapToGrid w:val="0"/>
                <w:color w:val="auto"/>
                <w:kern w:val="28"/>
                <w:sz w:val="24"/>
                <w:highlight w:val="none"/>
              </w:rPr>
            </w:pPr>
            <w:r>
              <w:rPr>
                <w:rFonts w:hint="eastAsia" w:ascii="仿宋" w:hAnsi="仿宋" w:eastAsia="仿宋" w:cs="仿宋"/>
                <w:color w:val="auto"/>
                <w:sz w:val="24"/>
                <w:highlight w:val="none"/>
              </w:rPr>
              <w:t>账    号：201000069514479</w:t>
            </w:r>
          </w:p>
        </w:tc>
      </w:tr>
      <w:bookmarkEnd w:id="10"/>
    </w:tbl>
    <w:p>
      <w:pPr>
        <w:rPr>
          <w:rFonts w:ascii="仿宋" w:hAnsi="仿宋" w:eastAsia="仿宋" w:cs="仿宋"/>
          <w:b/>
          <w:color w:val="auto"/>
          <w:sz w:val="32"/>
          <w:szCs w:val="20"/>
          <w:highlight w:val="none"/>
        </w:rPr>
      </w:pPr>
      <w:bookmarkStart w:id="12" w:name="_Toc164416483"/>
      <w:bookmarkStart w:id="13" w:name="第三部分"/>
      <w:r>
        <w:rPr>
          <w:rFonts w:hint="eastAsia" w:ascii="仿宋" w:hAnsi="仿宋" w:eastAsia="仿宋" w:cs="仿宋"/>
          <w:b/>
          <w:color w:val="auto"/>
          <w:sz w:val="32"/>
          <w:szCs w:val="20"/>
          <w:highlight w:val="none"/>
        </w:rPr>
        <w:br w:type="page"/>
      </w:r>
    </w:p>
    <w:p>
      <w:pPr>
        <w:snapToGrid w:val="0"/>
        <w:spacing w:line="360"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二、总则</w:t>
      </w:r>
    </w:p>
    <w:p>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1. 适用范围</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本磋商文件适用于该项目的邀请、响应、开启响应文件、信用信息查询、资格性审查、评审、成交、合同、验收等行为（法律、法规另有规定的，从其规定）。</w:t>
      </w:r>
    </w:p>
    <w:p>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2.定义</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“采购人”系指磋商邀请公告中载明的本项目的采购人。</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“采购代理机构”系指磋商邀请公告中载明的本项目的采购代理机构。</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“供应商”系指响应磋商、参加本次竞争的法人、其他组织或自然人。</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“成交人”系指经评审确定的成交供应商。</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2.6“响应文件”系指供应商提交的商务技术文件。供应商提交最后报价后，最后报价是供应商响应文件的有效组成部分。</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2.7“电子交易平台”是指本项目政府采购活动所依托的政府采购云平台（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Fonts w:hint="eastAsia" w:ascii="仿宋" w:hAnsi="仿宋" w:eastAsia="仿宋" w:cs="仿宋"/>
          <w:color w:val="auto"/>
          <w:sz w:val="24"/>
          <w:highlight w:val="none"/>
        </w:rPr>
        <w:t>https://www.zcygov.cn/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4）。</w:t>
      </w:r>
    </w:p>
    <w:p>
      <w:pP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2.9 </w:t>
      </w:r>
      <w:r>
        <w:rPr>
          <w:rFonts w:hint="eastAsia" w:ascii="仿宋" w:hAnsi="仿宋" w:eastAsia="仿宋" w:cs="仿宋"/>
          <w:color w:val="auto"/>
          <w:sz w:val="24"/>
          <w:highlight w:val="none"/>
          <w:u w:val="single"/>
        </w:rPr>
        <w:t>“书面形式”包括数据电文形式与纸质形式。数据电文形式与纸质形式的采购活动具有同等法律效力。</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2.10 “▲” 系指实质性要求条款， </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 xml:space="preserve"> 系指</w:t>
      </w:r>
      <w:r>
        <w:rPr>
          <w:rFonts w:hint="eastAsia" w:ascii="仿宋" w:hAnsi="仿宋" w:eastAsia="仿宋" w:cs="仿宋"/>
          <w:bCs/>
          <w:color w:val="auto"/>
          <w:sz w:val="24"/>
          <w:highlight w:val="none"/>
          <w:lang w:val="en-US" w:eastAsia="zh-CN"/>
        </w:rPr>
        <w:t>重要</w:t>
      </w:r>
      <w:r>
        <w:rPr>
          <w:rFonts w:hint="eastAsia" w:ascii="仿宋" w:hAnsi="仿宋" w:eastAsia="仿宋" w:cs="仿宋"/>
          <w:bCs/>
          <w:color w:val="auto"/>
          <w:sz w:val="24"/>
          <w:highlight w:val="none"/>
        </w:rPr>
        <w:t>要求条款</w:t>
      </w:r>
      <w:r>
        <w:rPr>
          <w:rFonts w:hint="eastAsia" w:ascii="仿宋" w:hAnsi="仿宋" w:eastAsia="仿宋" w:cs="仿宋"/>
          <w:bCs/>
          <w:color w:val="auto"/>
          <w:sz w:val="24"/>
          <w:highlight w:val="none"/>
          <w:lang w:eastAsia="zh-CN"/>
        </w:rPr>
        <w:t>，</w:t>
      </w:r>
      <w:r>
        <w:rPr>
          <w:rFonts w:hint="eastAsia" w:ascii="仿宋" w:hAnsi="仿宋" w:eastAsia="仿宋" w:cs="仿宋"/>
          <w:color w:val="auto"/>
          <w:sz w:val="24"/>
          <w:highlight w:val="none"/>
        </w:rPr>
        <w:t>“※”系指磋商过程中可能实质性变动的内容， “</w:t>
      </w: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 系指适用本项目的要求，“□” 系指不适用本项目的要求。</w:t>
      </w:r>
    </w:p>
    <w:p>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3. 响应有效期</w:t>
      </w:r>
    </w:p>
    <w:p>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▲3.1响应有效期为从提交响应文件的截止之日起90天。供应商的响应文件中承诺的响应有效期少于磋商文件中载明的磋商有效期的，响应无效。</w:t>
      </w:r>
    </w:p>
    <w:p>
      <w:pPr>
        <w:pStyle w:val="136"/>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3.2响应文件合格提交后，自响应截止日期起，在响应有效期内有效。</w:t>
      </w:r>
    </w:p>
    <w:p>
      <w:pPr>
        <w:pStyle w:val="136"/>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3.3在原定响应有效期满之前，如果出现特殊情况，采购代理机构可以以书面形式通知供应商延长响应有效期。供应商同意延长的，不得要求或被允许修改其响应文件;供应商拒绝延长的，其响应无效。拒绝延长磋商有效期的供应商不得再参与该项目后续采购活动。</w:t>
      </w:r>
    </w:p>
    <w:p>
      <w:pPr>
        <w:pStyle w:val="136"/>
        <w:spacing w:before="0"/>
        <w:ind w:firstLine="482"/>
        <w:rPr>
          <w:rFonts w:ascii="仿宋" w:hAnsi="仿宋" w:eastAsia="仿宋" w:cs="仿宋"/>
          <w:b/>
          <w:bCs/>
          <w:color w:val="auto"/>
          <w:szCs w:val="24"/>
          <w:highlight w:val="none"/>
        </w:rPr>
      </w:pPr>
      <w:r>
        <w:rPr>
          <w:rFonts w:hint="eastAsia" w:ascii="仿宋" w:hAnsi="仿宋" w:eastAsia="仿宋" w:cs="仿宋"/>
          <w:b/>
          <w:bCs/>
          <w:color w:val="auto"/>
          <w:szCs w:val="24"/>
          <w:highlight w:val="none"/>
        </w:rPr>
        <w:t>4．响应费用</w:t>
      </w:r>
    </w:p>
    <w:p>
      <w:pPr>
        <w:pStyle w:val="136"/>
        <w:spacing w:before="0"/>
        <w:ind w:firstLine="480"/>
        <w:rPr>
          <w:rFonts w:ascii="仿宋" w:hAnsi="仿宋" w:eastAsia="仿宋" w:cs="仿宋"/>
          <w:color w:val="auto"/>
          <w:szCs w:val="24"/>
          <w:highlight w:val="none"/>
          <w:lang w:val="zh-CN"/>
        </w:rPr>
      </w:pPr>
      <w:r>
        <w:rPr>
          <w:rFonts w:hint="eastAsia" w:ascii="仿宋" w:hAnsi="仿宋" w:eastAsia="仿宋" w:cs="仿宋"/>
          <w:color w:val="auto"/>
          <w:szCs w:val="24"/>
          <w:highlight w:val="none"/>
        </w:rPr>
        <w:t>供应商需自行承担涉及响应的一切费用</w:t>
      </w:r>
      <w:r>
        <w:rPr>
          <w:rFonts w:hint="eastAsia" w:ascii="仿宋" w:hAnsi="仿宋" w:eastAsia="仿宋" w:cs="仿宋"/>
          <w:color w:val="auto"/>
          <w:szCs w:val="24"/>
          <w:highlight w:val="none"/>
          <w:lang w:val="zh-CN"/>
        </w:rPr>
        <w:t>。</w:t>
      </w:r>
    </w:p>
    <w:p>
      <w:pPr>
        <w:snapToGrid w:val="0"/>
        <w:spacing w:line="360"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三、需要落实的政府采购政策</w:t>
      </w:r>
    </w:p>
    <w:p>
      <w:pPr>
        <w:pStyle w:val="136"/>
        <w:spacing w:before="0"/>
        <w:ind w:firstLine="482"/>
        <w:rPr>
          <w:rFonts w:ascii="仿宋" w:hAnsi="仿宋" w:eastAsia="仿宋" w:cs="仿宋"/>
          <w:b/>
          <w:bCs/>
          <w:color w:val="auto"/>
          <w:szCs w:val="24"/>
          <w:highlight w:val="none"/>
        </w:rPr>
      </w:pPr>
      <w:r>
        <w:rPr>
          <w:rFonts w:hint="eastAsia" w:ascii="仿宋" w:hAnsi="仿宋" w:eastAsia="仿宋" w:cs="仿宋"/>
          <w:b/>
          <w:bCs/>
          <w:color w:val="auto"/>
          <w:szCs w:val="24"/>
          <w:highlight w:val="none"/>
        </w:rPr>
        <w:t>1.是否允许采购进口产品要求</w:t>
      </w:r>
    </w:p>
    <w:p>
      <w:pPr>
        <w:pStyle w:val="136"/>
        <w:spacing w:before="0"/>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pPr>
        <w:pStyle w:val="136"/>
        <w:spacing w:before="0"/>
        <w:ind w:firstLine="482"/>
        <w:rPr>
          <w:rFonts w:ascii="仿宋" w:hAnsi="仿宋" w:eastAsia="仿宋" w:cs="仿宋"/>
          <w:b/>
          <w:bCs/>
          <w:color w:val="auto"/>
          <w:szCs w:val="24"/>
          <w:highlight w:val="none"/>
        </w:rPr>
      </w:pPr>
      <w:r>
        <w:rPr>
          <w:rFonts w:hint="eastAsia" w:ascii="仿宋" w:hAnsi="仿宋" w:eastAsia="仿宋" w:cs="仿宋"/>
          <w:b/>
          <w:bCs/>
          <w:color w:val="auto"/>
          <w:szCs w:val="24"/>
          <w:highlight w:val="none"/>
        </w:rPr>
        <w:t>2.支持绿色发展</w:t>
      </w:r>
    </w:p>
    <w:p>
      <w:pPr>
        <w:spacing w:line="360" w:lineRule="auto"/>
        <w:ind w:firstLine="480" w:firstLineChars="200"/>
        <w:rPr>
          <w:rFonts w:cs="宋体" w:asciiTheme="minorEastAsia" w:hAnsiTheme="minorEastAsia" w:eastAsiaTheme="minorEastAsia"/>
          <w:b/>
          <w:color w:val="auto"/>
          <w:sz w:val="24"/>
          <w:highlight w:val="none"/>
        </w:rPr>
      </w:pPr>
      <w:r>
        <w:rPr>
          <w:rFonts w:hint="eastAsia" w:ascii="仿宋" w:hAnsi="仿宋" w:eastAsia="仿宋" w:cs="仿宋"/>
          <w:color w:val="auto"/>
          <w:sz w:val="24"/>
          <w:highlight w:val="none"/>
        </w:rPr>
        <w:t>2.1采购人拟采购的产品属于品目清单范围的</w:t>
      </w:r>
      <w:r>
        <w:rPr>
          <w:rFonts w:hint="eastAsia" w:ascii="仿宋" w:hAnsi="仿宋" w:eastAsia="仿宋" w:cs="仿宋"/>
          <w:b/>
          <w:bCs/>
          <w:color w:val="auto"/>
          <w:sz w:val="24"/>
          <w:highlight w:val="none"/>
        </w:rPr>
        <w:t>（节能产品政府采购品目清单见财库【2019】19号，环境标志产品政府采购品目清单见财库【2019】18号）</w:t>
      </w:r>
      <w:r>
        <w:rPr>
          <w:rFonts w:hint="eastAsia" w:ascii="仿宋" w:hAnsi="仿宋" w:eastAsia="仿宋" w:cs="仿宋"/>
          <w:color w:val="auto"/>
          <w:sz w:val="24"/>
          <w:highlight w:val="none"/>
        </w:rPr>
        <w:t>，采购人及其委托的采购代理机构将依据国家确定的认证机构出具的、处于有效期之内的节能产品、环境标志产品认证证书，对获得证书的产品实施政府优先采购或强制采购。供应商须按采磋商文件要求提供相关产品认证证书。</w:t>
      </w:r>
      <w:r>
        <w:rPr>
          <w:rFonts w:hint="eastAsia" w:ascii="仿宋" w:hAnsi="仿宋" w:eastAsia="仿宋" w:cs="仿宋"/>
          <w:b/>
          <w:bCs/>
          <w:color w:val="auto"/>
          <w:sz w:val="24"/>
          <w:highlight w:val="none"/>
        </w:rPr>
        <w:t>▲采购人拟采购的产品属于政府强制采购的节能产品品目清单范围的，供应商相应的响应产品未获得国家确定的认证机构出具的、处于有效期之内的节能产品认证证书的，响应无效。（本项目不属于节能产品）</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p>
    <w:p>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3.支持中小企业发展</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符合中小企业划分标准的个体工商户，在政府采购活动中视同中小企业。</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在政府采购活动中，供应商提供的货物符合下列情形的，享受中小企业扶持政策：在货物采购项目中，货物由中小企业制造，即货物由中小企业生产且使用该中小企业商号或者注册商标；在货物采购项目中，供应商提供的货物既有中小企业制造货物，也有大型企业制造货物的，不享受中小企业扶持政策。</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对于未预留份额专门面向中小企业的政府采购货物项目，以及预留份额政府采购服务项目中的非预留部分标项，对小型和微型企业的最后报价给予10%-20%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最后报价给予4%-6%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3.4符合《关于促进残疾人就业政府采购政策的通知》（财库〔2017〕141号）规定的条件并提供《残疾人福利性单位声明函》（附件3）的残疾人福利性单位视同小型、微型企业；</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3.6可享受中小企业扶持政策的供应商应按照磋商文件格式要求提供《中小企业声明函》，供应商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3.7中小企业享受扶持政策获得政府采购合同的，小微企业不得将合同分包给大中型企业，中型企业不得将合同分包给大型企业。</w:t>
      </w:r>
    </w:p>
    <w:p>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4.支持创新发展</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 采购人优先采购被认定为首台套产品和“制造精品”的自主创新产品。</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5.平等对待内外资企业和符合条件的破产重整企业</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napToGrid w:val="0"/>
        <w:spacing w:line="360"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四、询问、质疑与投诉</w:t>
      </w:r>
    </w:p>
    <w:p>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1.在线询问、质疑、投诉</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2. 供应商询问</w:t>
      </w:r>
    </w:p>
    <w:p>
      <w:pP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60" w:lineRule="auto"/>
        <w:ind w:firstLine="482" w:firstLineChars="200"/>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3. 供应商质疑</w:t>
      </w:r>
    </w:p>
    <w:p>
      <w:pPr>
        <w:spacing w:line="360" w:lineRule="auto"/>
        <w:ind w:firstLine="482" w:firstLineChars="200"/>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3.1质疑提出时效</w:t>
      </w:r>
    </w:p>
    <w:p>
      <w:pP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3.1.1提出质疑的供应商应当是参与所质疑项目采购活动的供应商。潜在供应商已依法获取其可质疑的采购文件的，可以对该文件提出质疑。</w:t>
      </w:r>
    </w:p>
    <w:p>
      <w:pP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3.1.2供应商认为采购文件、采购过程和成交结果使自己的权益受到损害的，可以在知道或者应知其权益受到损害之日起七个工作日内，以书面形式向采购人或者采购</w:t>
      </w:r>
      <w:r>
        <w:rPr>
          <w:rFonts w:hint="eastAsia" w:ascii="仿宋" w:hAnsi="仿宋" w:eastAsia="仿宋" w:cs="仿宋"/>
          <w:color w:val="auto"/>
          <w:sz w:val="24"/>
          <w:highlight w:val="none"/>
        </w:rPr>
        <w:t>代理</w:t>
      </w:r>
      <w:r>
        <w:rPr>
          <w:rFonts w:hint="eastAsia" w:ascii="仿宋" w:hAnsi="仿宋" w:eastAsia="仿宋" w:cs="仿宋"/>
          <w:color w:val="auto"/>
          <w:sz w:val="24"/>
          <w:highlight w:val="none"/>
          <w:lang w:val="zh-CN"/>
        </w:rPr>
        <w:t>机构提出质疑，否则，采购人或者采购</w:t>
      </w:r>
      <w:r>
        <w:rPr>
          <w:rFonts w:hint="eastAsia" w:ascii="仿宋" w:hAnsi="仿宋" w:eastAsia="仿宋" w:cs="仿宋"/>
          <w:color w:val="auto"/>
          <w:sz w:val="24"/>
          <w:highlight w:val="none"/>
        </w:rPr>
        <w:t>代理</w:t>
      </w:r>
      <w:r>
        <w:rPr>
          <w:rFonts w:hint="eastAsia" w:ascii="仿宋" w:hAnsi="仿宋" w:eastAsia="仿宋" w:cs="仿宋"/>
          <w:color w:val="auto"/>
          <w:sz w:val="24"/>
          <w:highlight w:val="none"/>
          <w:lang w:val="zh-CN"/>
        </w:rPr>
        <w:t>机构不予受理：</w:t>
      </w:r>
    </w:p>
    <w:p>
      <w:pP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3.1.2.1对采购文件提出质疑的，质疑期限为供应商获得采购文件之日或者采购文件公告期限届满之日起计算，采购文件在获取截止之日后获得的，应当自采购文件公告期限届满之日起计算。</w:t>
      </w:r>
    </w:p>
    <w:p>
      <w:pP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3.1.2.2对采购过程提出质疑的，质疑期限为各采购程序环节结束之日起计算。</w:t>
      </w:r>
    </w:p>
    <w:p>
      <w:pP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3.1.2.3对采购结果提出质疑的，质疑期限自采购结果公告期限届满之日起计算。</w:t>
      </w:r>
    </w:p>
    <w:p>
      <w:pP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3.1.2.4对同一采购程序环节的质疑，供应商须一次性提出。</w:t>
      </w:r>
    </w:p>
    <w:p>
      <w:pPr>
        <w:spacing w:line="360" w:lineRule="auto"/>
        <w:ind w:firstLine="482" w:firstLineChars="200"/>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3.2质疑答复</w:t>
      </w:r>
    </w:p>
    <w:p>
      <w:pP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3.2.1根据采购人与采购</w:t>
      </w:r>
      <w:r>
        <w:rPr>
          <w:rFonts w:hint="eastAsia" w:ascii="仿宋" w:hAnsi="仿宋" w:eastAsia="仿宋" w:cs="仿宋"/>
          <w:color w:val="auto"/>
          <w:sz w:val="24"/>
          <w:highlight w:val="none"/>
        </w:rPr>
        <w:t>代理</w:t>
      </w:r>
      <w:r>
        <w:rPr>
          <w:rFonts w:hint="eastAsia" w:ascii="仿宋" w:hAnsi="仿宋" w:eastAsia="仿宋" w:cs="仿宋"/>
          <w:color w:val="auto"/>
          <w:sz w:val="24"/>
          <w:highlight w:val="none"/>
          <w:lang w:val="zh-CN"/>
        </w:rPr>
        <w:t>机构签订的《采购委托协议》的规定，质疑答复责任主体如下：</w:t>
      </w:r>
    </w:p>
    <w:p>
      <w:pPr>
        <w:spacing w:line="360" w:lineRule="auto"/>
        <w:ind w:firstLine="3855" w:firstLineChars="1600"/>
        <w:rPr>
          <w:rFonts w:ascii="仿宋" w:hAnsi="仿宋" w:eastAsia="仿宋" w:cs="仿宋"/>
          <w:b/>
          <w:bCs/>
          <w:color w:val="auto"/>
          <w:sz w:val="24"/>
          <w:highlight w:val="none"/>
        </w:rPr>
      </w:pPr>
      <w:r>
        <w:rPr>
          <w:rFonts w:hint="eastAsia" w:ascii="仿宋" w:hAnsi="仿宋" w:eastAsia="仿宋" w:cs="仿宋"/>
          <w:b/>
          <w:bCs/>
          <w:color w:val="auto"/>
          <w:sz w:val="24"/>
          <w:highlight w:val="none"/>
        </w:rPr>
        <w:t>质疑答复责任主体一览表</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36"/>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155" w:type="dxa"/>
            <w:gridSpan w:val="2"/>
            <w:vAlign w:val="center"/>
          </w:tcPr>
          <w:p>
            <w:pPr>
              <w:pStyle w:val="32"/>
              <w:jc w:val="center"/>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质疑内容</w:t>
            </w:r>
          </w:p>
        </w:tc>
        <w:tc>
          <w:tcPr>
            <w:tcW w:w="2264" w:type="dxa"/>
            <w:vAlign w:val="center"/>
          </w:tcPr>
          <w:p>
            <w:pPr>
              <w:pStyle w:val="32"/>
              <w:jc w:val="center"/>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质疑答复责任主体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554" w:type="dxa"/>
            <w:vMerge w:val="restart"/>
            <w:vAlign w:val="center"/>
          </w:tcPr>
          <w:p>
            <w:pPr>
              <w:pStyle w:val="32"/>
              <w:jc w:val="center"/>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对采购文件提出质疑</w:t>
            </w:r>
          </w:p>
        </w:tc>
        <w:tc>
          <w:tcPr>
            <w:tcW w:w="4601" w:type="dxa"/>
            <w:vAlign w:val="center"/>
          </w:tcPr>
          <w:p>
            <w:pPr>
              <w:pStyle w:val="32"/>
              <w:jc w:val="left"/>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对采购文件中特定资格条件、采购需求、评审办法、评审标准提出的质疑</w:t>
            </w:r>
          </w:p>
        </w:tc>
        <w:tc>
          <w:tcPr>
            <w:tcW w:w="2264" w:type="dxa"/>
            <w:vAlign w:val="center"/>
          </w:tcPr>
          <w:p>
            <w:pPr>
              <w:pStyle w:val="32"/>
              <w:jc w:val="center"/>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554" w:type="dxa"/>
            <w:vMerge w:val="continue"/>
            <w:vAlign w:val="center"/>
          </w:tcPr>
          <w:p>
            <w:pPr>
              <w:pStyle w:val="32"/>
              <w:jc w:val="center"/>
              <w:rPr>
                <w:rFonts w:ascii="仿宋" w:hAnsi="仿宋" w:eastAsia="仿宋" w:cs="仿宋"/>
                <w:snapToGrid/>
                <w:color w:val="auto"/>
                <w:sz w:val="24"/>
                <w:szCs w:val="24"/>
                <w:highlight w:val="none"/>
              </w:rPr>
            </w:pPr>
          </w:p>
        </w:tc>
        <w:tc>
          <w:tcPr>
            <w:tcW w:w="4601" w:type="dxa"/>
            <w:vAlign w:val="center"/>
          </w:tcPr>
          <w:p>
            <w:pPr>
              <w:pStyle w:val="32"/>
              <w:jc w:val="left"/>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对采购文件中其他内容提出的质疑</w:t>
            </w:r>
          </w:p>
        </w:tc>
        <w:tc>
          <w:tcPr>
            <w:tcW w:w="2264" w:type="dxa"/>
            <w:vAlign w:val="center"/>
          </w:tcPr>
          <w:p>
            <w:pPr>
              <w:pStyle w:val="32"/>
              <w:jc w:val="center"/>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554" w:type="dxa"/>
            <w:vMerge w:val="restart"/>
            <w:vAlign w:val="center"/>
          </w:tcPr>
          <w:p>
            <w:pPr>
              <w:pStyle w:val="32"/>
              <w:jc w:val="center"/>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对采购过程提出质疑</w:t>
            </w:r>
          </w:p>
        </w:tc>
        <w:tc>
          <w:tcPr>
            <w:tcW w:w="4601" w:type="dxa"/>
            <w:vAlign w:val="center"/>
          </w:tcPr>
          <w:p>
            <w:pPr>
              <w:pStyle w:val="32"/>
              <w:jc w:val="left"/>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有关现场考察或开启响应文件前答疑会事项提出的质疑</w:t>
            </w:r>
          </w:p>
        </w:tc>
        <w:tc>
          <w:tcPr>
            <w:tcW w:w="2264" w:type="dxa"/>
            <w:vAlign w:val="center"/>
          </w:tcPr>
          <w:p>
            <w:pPr>
              <w:pStyle w:val="32"/>
              <w:jc w:val="center"/>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554" w:type="dxa"/>
            <w:vMerge w:val="continue"/>
            <w:vAlign w:val="center"/>
          </w:tcPr>
          <w:p>
            <w:pPr>
              <w:pStyle w:val="32"/>
              <w:jc w:val="center"/>
              <w:rPr>
                <w:rFonts w:ascii="仿宋" w:hAnsi="仿宋" w:eastAsia="仿宋" w:cs="仿宋"/>
                <w:snapToGrid/>
                <w:color w:val="auto"/>
                <w:sz w:val="24"/>
                <w:szCs w:val="24"/>
                <w:highlight w:val="none"/>
              </w:rPr>
            </w:pPr>
          </w:p>
        </w:tc>
        <w:tc>
          <w:tcPr>
            <w:tcW w:w="4601" w:type="dxa"/>
            <w:vAlign w:val="center"/>
          </w:tcPr>
          <w:p>
            <w:pPr>
              <w:pStyle w:val="32"/>
              <w:jc w:val="left"/>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对采购过程中其它事项提出的质疑</w:t>
            </w:r>
          </w:p>
        </w:tc>
        <w:tc>
          <w:tcPr>
            <w:tcW w:w="2264" w:type="dxa"/>
            <w:vAlign w:val="center"/>
          </w:tcPr>
          <w:p>
            <w:pPr>
              <w:pStyle w:val="32"/>
              <w:jc w:val="center"/>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554" w:type="dxa"/>
            <w:vAlign w:val="center"/>
          </w:tcPr>
          <w:p>
            <w:pPr>
              <w:pStyle w:val="32"/>
              <w:jc w:val="center"/>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对采购结果提出质疑</w:t>
            </w:r>
          </w:p>
        </w:tc>
        <w:tc>
          <w:tcPr>
            <w:tcW w:w="4601" w:type="dxa"/>
            <w:vAlign w:val="center"/>
          </w:tcPr>
          <w:p>
            <w:pPr>
              <w:pStyle w:val="32"/>
              <w:jc w:val="left"/>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对采购结果提出的质疑</w:t>
            </w:r>
          </w:p>
        </w:tc>
        <w:tc>
          <w:tcPr>
            <w:tcW w:w="2264" w:type="dxa"/>
            <w:vAlign w:val="center"/>
          </w:tcPr>
          <w:p>
            <w:pPr>
              <w:pStyle w:val="32"/>
              <w:jc w:val="center"/>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采购代理机构</w:t>
            </w:r>
          </w:p>
        </w:tc>
      </w:tr>
    </w:tbl>
    <w:p>
      <w:pP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3.2.2采购人或者采购</w:t>
      </w:r>
      <w:r>
        <w:rPr>
          <w:rFonts w:hint="eastAsia" w:ascii="仿宋" w:hAnsi="仿宋" w:eastAsia="仿宋" w:cs="仿宋"/>
          <w:color w:val="auto"/>
          <w:sz w:val="24"/>
          <w:highlight w:val="none"/>
        </w:rPr>
        <w:t>代理</w:t>
      </w:r>
      <w:r>
        <w:rPr>
          <w:rFonts w:hint="eastAsia" w:ascii="仿宋" w:hAnsi="仿宋" w:eastAsia="仿宋" w:cs="仿宋"/>
          <w:color w:val="auto"/>
          <w:sz w:val="24"/>
          <w:highlight w:val="none"/>
          <w:lang w:val="zh-CN"/>
        </w:rPr>
        <w:t>机构应当在收到供应商的书面质疑后七个工作日内作出答复，并以书面形式通知质疑供应商和其他与质疑处理结果有利害关系的政府采购当事人，但答复的内容不得涉及商业秘密。采购人或者采购</w:t>
      </w:r>
      <w:r>
        <w:rPr>
          <w:rFonts w:hint="eastAsia" w:ascii="仿宋" w:hAnsi="仿宋" w:eastAsia="仿宋" w:cs="仿宋"/>
          <w:color w:val="auto"/>
          <w:sz w:val="24"/>
          <w:highlight w:val="none"/>
        </w:rPr>
        <w:t>代理</w:t>
      </w:r>
      <w:r>
        <w:rPr>
          <w:rFonts w:hint="eastAsia" w:ascii="仿宋" w:hAnsi="仿宋" w:eastAsia="仿宋" w:cs="仿宋"/>
          <w:color w:val="auto"/>
          <w:sz w:val="24"/>
          <w:highlight w:val="none"/>
          <w:lang w:val="zh-CN"/>
        </w:rPr>
        <w:t>机构在质疑回复后5个工作日内，在浙江政府采购网的“其他公告”栏目公开质疑答复，答复内容应当完整。质疑函作为附件上传。</w:t>
      </w:r>
    </w:p>
    <w:p>
      <w:pP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3</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2.3询问或者质疑事项可能影响采购结果的，采购人应当暂停签订合同，已经签订合同的，应当中止履行合同。</w:t>
      </w:r>
    </w:p>
    <w:p>
      <w:pPr>
        <w:spacing w:line="360" w:lineRule="auto"/>
        <w:ind w:firstLine="482" w:firstLineChars="200"/>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3.3质疑函</w:t>
      </w:r>
    </w:p>
    <w:p>
      <w:pP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3.3.1供应商提出质疑应当提交质疑函和必要的证明材料。质疑函应当包括下列内容：</w:t>
      </w:r>
    </w:p>
    <w:p>
      <w:pPr>
        <w:pStyle w:val="32"/>
        <w:numPr>
          <w:ilvl w:val="0"/>
          <w:numId w:val="1"/>
        </w:numPr>
        <w:tabs>
          <w:tab w:val="left" w:pos="426"/>
          <w:tab w:val="clear" w:pos="840"/>
        </w:tabs>
        <w:spacing w:line="360" w:lineRule="auto"/>
        <w:ind w:left="283"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供应商的姓名或者名称、地址、邮编、联系人及联系电话；</w:t>
      </w:r>
    </w:p>
    <w:p>
      <w:pPr>
        <w:pStyle w:val="32"/>
        <w:numPr>
          <w:ilvl w:val="0"/>
          <w:numId w:val="1"/>
        </w:numPr>
        <w:tabs>
          <w:tab w:val="left" w:pos="426"/>
          <w:tab w:val="clear" w:pos="840"/>
        </w:tabs>
        <w:spacing w:line="360" w:lineRule="auto"/>
        <w:ind w:left="283"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质疑项目的名称、编号；</w:t>
      </w:r>
    </w:p>
    <w:p>
      <w:pPr>
        <w:pStyle w:val="32"/>
        <w:numPr>
          <w:ilvl w:val="0"/>
          <w:numId w:val="1"/>
        </w:numPr>
        <w:tabs>
          <w:tab w:val="left" w:pos="426"/>
          <w:tab w:val="clear" w:pos="840"/>
        </w:tabs>
        <w:spacing w:line="360" w:lineRule="auto"/>
        <w:ind w:left="283"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具体、明确的质疑事项和与质疑事项相关的请求；</w:t>
      </w:r>
    </w:p>
    <w:p>
      <w:pPr>
        <w:pStyle w:val="32"/>
        <w:numPr>
          <w:ilvl w:val="0"/>
          <w:numId w:val="1"/>
        </w:numPr>
        <w:tabs>
          <w:tab w:val="left" w:pos="426"/>
          <w:tab w:val="clear" w:pos="840"/>
        </w:tabs>
        <w:spacing w:line="360" w:lineRule="auto"/>
        <w:ind w:left="283"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pPr>
        <w:pStyle w:val="32"/>
        <w:numPr>
          <w:ilvl w:val="0"/>
          <w:numId w:val="1"/>
        </w:numPr>
        <w:tabs>
          <w:tab w:val="left" w:pos="426"/>
          <w:tab w:val="clear" w:pos="840"/>
        </w:tabs>
        <w:spacing w:line="360" w:lineRule="auto"/>
        <w:ind w:left="283"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必要的法律依据；</w:t>
      </w:r>
    </w:p>
    <w:p>
      <w:pPr>
        <w:pStyle w:val="32"/>
        <w:numPr>
          <w:ilvl w:val="0"/>
          <w:numId w:val="1"/>
        </w:numPr>
        <w:tabs>
          <w:tab w:val="left" w:pos="426"/>
          <w:tab w:val="clear" w:pos="840"/>
        </w:tabs>
        <w:spacing w:line="360" w:lineRule="auto"/>
        <w:ind w:left="283"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提出质疑的日期。</w:t>
      </w:r>
    </w:p>
    <w:p>
      <w:pPr>
        <w:pStyle w:val="32"/>
        <w:spacing w:line="360" w:lineRule="auto"/>
        <w:ind w:firstLine="480" w:firstLineChars="200"/>
        <w:rPr>
          <w:rFonts w:ascii="仿宋" w:hAnsi="仿宋" w:eastAsia="仿宋" w:cs="仿宋"/>
          <w:snapToGrid/>
          <w:color w:val="auto"/>
          <w:sz w:val="24"/>
          <w:szCs w:val="24"/>
          <w:highlight w:val="none"/>
          <w:lang w:val="zh-CN"/>
        </w:rPr>
      </w:pPr>
      <w:r>
        <w:rPr>
          <w:rFonts w:hint="eastAsia" w:ascii="仿宋" w:hAnsi="仿宋" w:eastAsia="仿宋" w:cs="仿宋"/>
          <w:snapToGrid/>
          <w:color w:val="auto"/>
          <w:sz w:val="24"/>
          <w:szCs w:val="24"/>
          <w:highlight w:val="none"/>
          <w:lang w:val="zh-CN"/>
        </w:rPr>
        <w:t>供应商提交的质疑函需一式三份。供应商为自然人的，应当由本人签字；供应商为法人或者其他组织的，应当由法定代表人、主要负责人，或者其授权代表签字或者盖章，并加盖公章。</w:t>
      </w:r>
    </w:p>
    <w:p>
      <w:pPr>
        <w:spacing w:line="360" w:lineRule="auto"/>
        <w:ind w:firstLine="482" w:firstLineChars="200"/>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质疑函范本及制作说明详见附件1。</w:t>
      </w:r>
    </w:p>
    <w:p>
      <w:pPr>
        <w:spacing w:line="360" w:lineRule="auto"/>
        <w:ind w:firstLine="482" w:firstLineChars="200"/>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4.供应商投诉</w:t>
      </w:r>
    </w:p>
    <w:p>
      <w:pP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4.1质疑供应商对采购人、采购</w:t>
      </w:r>
      <w:r>
        <w:rPr>
          <w:rFonts w:hint="eastAsia" w:ascii="仿宋" w:hAnsi="仿宋" w:eastAsia="仿宋" w:cs="仿宋"/>
          <w:color w:val="auto"/>
          <w:sz w:val="24"/>
          <w:highlight w:val="none"/>
        </w:rPr>
        <w:t>代理</w:t>
      </w:r>
      <w:r>
        <w:rPr>
          <w:rFonts w:hint="eastAsia" w:ascii="仿宋" w:hAnsi="仿宋" w:eastAsia="仿宋" w:cs="仿宋"/>
          <w:color w:val="auto"/>
          <w:sz w:val="24"/>
          <w:highlight w:val="none"/>
          <w:lang w:val="zh-CN"/>
        </w:rPr>
        <w:t>机构的答复不满意或者采购人、采购</w:t>
      </w:r>
      <w:r>
        <w:rPr>
          <w:rFonts w:hint="eastAsia" w:ascii="仿宋" w:hAnsi="仿宋" w:eastAsia="仿宋" w:cs="仿宋"/>
          <w:color w:val="auto"/>
          <w:sz w:val="24"/>
          <w:highlight w:val="none"/>
        </w:rPr>
        <w:t>代理</w:t>
      </w:r>
      <w:r>
        <w:rPr>
          <w:rFonts w:hint="eastAsia" w:ascii="仿宋" w:hAnsi="仿宋" w:eastAsia="仿宋" w:cs="仿宋"/>
          <w:color w:val="auto"/>
          <w:sz w:val="24"/>
          <w:highlight w:val="none"/>
          <w:lang w:val="zh-CN"/>
        </w:rPr>
        <w:t>机构未在规定的时间内作出答复的，可以在答复期满后十五个工作日内向同级政府采购监督管理部门提出投诉。</w:t>
      </w:r>
    </w:p>
    <w:p>
      <w:pP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4.2供应商投诉的事项不得超出已质疑事项的范围，基于质疑答复内容提出的投诉事项除外。</w:t>
      </w:r>
    </w:p>
    <w:p>
      <w:pP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4.3供应商投诉应当有明确的请求和必要的证明材料。</w:t>
      </w:r>
    </w:p>
    <w:p>
      <w:pP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4.4以联合体形式参加政府采购活动的，其投诉应当由组成联合体的所有供应商共同提出。</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r>
        <w:rPr>
          <w:rFonts w:hint="eastAsia" w:ascii="仿宋" w:hAnsi="仿宋" w:eastAsia="仿宋" w:cs="仿宋"/>
          <w:color w:val="auto"/>
          <w:sz w:val="24"/>
          <w:highlight w:val="none"/>
        </w:rPr>
        <w:t xml:space="preserve">  </w:t>
      </w:r>
    </w:p>
    <w:p>
      <w:pPr>
        <w:spacing w:line="360" w:lineRule="auto"/>
        <w:ind w:firstLine="482" w:firstLineChars="200"/>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投诉书范本及制作说明详见附件2。</w:t>
      </w:r>
    </w:p>
    <w:p>
      <w:pPr>
        <w:snapToGrid w:val="0"/>
        <w:spacing w:line="360"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五、磋商文件构成、修改、解释</w:t>
      </w:r>
    </w:p>
    <w:p>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zh-CN"/>
        </w:rPr>
        <w:t>磋商文件的构成</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1.1 </w:t>
      </w:r>
      <w:r>
        <w:rPr>
          <w:rFonts w:hint="eastAsia" w:ascii="仿宋" w:hAnsi="仿宋" w:eastAsia="仿宋" w:cs="仿宋"/>
          <w:color w:val="auto"/>
          <w:sz w:val="24"/>
          <w:highlight w:val="none"/>
          <w:lang w:val="zh-CN"/>
        </w:rPr>
        <w:t>磋商文件包括下列文件及附件</w:t>
      </w:r>
    </w:p>
    <w:p>
      <w:pPr>
        <w:spacing w:line="360" w:lineRule="auto"/>
        <w:ind w:firstLine="960" w:firstLineChars="4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第一部分  供应商邀请</w:t>
      </w:r>
    </w:p>
    <w:p>
      <w:pPr>
        <w:spacing w:line="360" w:lineRule="auto"/>
        <w:ind w:firstLine="960" w:firstLineChars="4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第二部分  竞争性磋商流程</w:t>
      </w:r>
    </w:p>
    <w:p>
      <w:pPr>
        <w:spacing w:line="360" w:lineRule="auto"/>
        <w:ind w:firstLine="960" w:firstLineChars="4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第三部分  供应商须知</w:t>
      </w:r>
    </w:p>
    <w:p>
      <w:pPr>
        <w:spacing w:line="360" w:lineRule="auto"/>
        <w:ind w:firstLine="960" w:firstLineChars="4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第四部分  采购需求</w:t>
      </w:r>
    </w:p>
    <w:p>
      <w:pPr>
        <w:spacing w:line="360" w:lineRule="auto"/>
        <w:ind w:firstLine="960" w:firstLineChars="4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第五部分  评审方法及评审标准</w:t>
      </w:r>
    </w:p>
    <w:p>
      <w:pPr>
        <w:spacing w:line="360" w:lineRule="auto"/>
        <w:ind w:firstLine="960" w:firstLineChars="4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第六部分  拟签订的合同文本</w:t>
      </w:r>
    </w:p>
    <w:p>
      <w:pPr>
        <w:spacing w:line="360" w:lineRule="auto"/>
        <w:ind w:firstLine="960" w:firstLineChars="4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第七部分  应提交的有关格式范例</w:t>
      </w:r>
    </w:p>
    <w:p>
      <w:pP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1.2 与本项目有关的澄清或者修改的内容为磋商文件的组成部分。</w:t>
      </w:r>
    </w:p>
    <w:p>
      <w:pPr>
        <w:spacing w:line="360" w:lineRule="auto"/>
        <w:ind w:firstLine="482" w:firstLineChars="200"/>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2. 磋商文件的澄清、修改</w:t>
      </w:r>
    </w:p>
    <w:p>
      <w:pPr>
        <w:pStyle w:val="136"/>
        <w:snapToGrid w:val="0"/>
        <w:spacing w:before="0"/>
        <w:ind w:firstLine="480"/>
        <w:rPr>
          <w:rFonts w:ascii="仿宋" w:hAnsi="仿宋" w:eastAsia="仿宋" w:cs="仿宋"/>
          <w:color w:val="auto"/>
          <w:szCs w:val="24"/>
          <w:highlight w:val="none"/>
          <w:lang w:val="zh-CN"/>
        </w:rPr>
      </w:pPr>
      <w:r>
        <w:rPr>
          <w:rFonts w:hint="eastAsia" w:ascii="仿宋" w:hAnsi="仿宋" w:eastAsia="仿宋" w:cs="仿宋"/>
          <w:color w:val="auto"/>
          <w:szCs w:val="24"/>
          <w:highlight w:val="none"/>
          <w:lang w:val="zh-CN"/>
        </w:rPr>
        <w:t>2.1已获取磋商文件的潜在供应商，若有问题需要澄清，应于提交首次响应文件截止时间前，以书面形式向采购</w:t>
      </w:r>
      <w:r>
        <w:rPr>
          <w:rFonts w:hint="eastAsia" w:ascii="仿宋" w:hAnsi="仿宋" w:eastAsia="仿宋" w:cs="仿宋"/>
          <w:color w:val="auto"/>
          <w:szCs w:val="24"/>
          <w:highlight w:val="none"/>
        </w:rPr>
        <w:t>代理</w:t>
      </w:r>
      <w:r>
        <w:rPr>
          <w:rFonts w:hint="eastAsia" w:ascii="仿宋" w:hAnsi="仿宋" w:eastAsia="仿宋" w:cs="仿宋"/>
          <w:color w:val="auto"/>
          <w:szCs w:val="24"/>
          <w:highlight w:val="none"/>
          <w:lang w:val="zh-CN"/>
        </w:rPr>
        <w:t>机构提出。</w:t>
      </w:r>
    </w:p>
    <w:p>
      <w:pPr>
        <w:pStyle w:val="136"/>
        <w:snapToGrid w:val="0"/>
        <w:spacing w:before="0"/>
        <w:ind w:firstLine="480"/>
        <w:rPr>
          <w:rFonts w:ascii="仿宋" w:hAnsi="仿宋" w:eastAsia="仿宋" w:cs="仿宋"/>
          <w:color w:val="auto"/>
          <w:szCs w:val="24"/>
          <w:highlight w:val="none"/>
          <w:lang w:val="zh-CN"/>
        </w:rPr>
      </w:pPr>
      <w:r>
        <w:rPr>
          <w:rFonts w:hint="eastAsia" w:ascii="仿宋" w:hAnsi="仿宋" w:eastAsia="仿宋" w:cs="仿宋"/>
          <w:color w:val="auto"/>
          <w:szCs w:val="24"/>
          <w:highlight w:val="none"/>
          <w:lang w:val="zh-CN"/>
        </w:rPr>
        <w:t>2.2采购</w:t>
      </w:r>
      <w:r>
        <w:rPr>
          <w:rFonts w:hint="eastAsia" w:ascii="仿宋" w:hAnsi="仿宋" w:eastAsia="仿宋" w:cs="仿宋"/>
          <w:color w:val="auto"/>
          <w:szCs w:val="24"/>
          <w:highlight w:val="none"/>
        </w:rPr>
        <w:t>代理</w:t>
      </w:r>
      <w:r>
        <w:rPr>
          <w:rFonts w:hint="eastAsia" w:ascii="仿宋" w:hAnsi="仿宋" w:eastAsia="仿宋" w:cs="仿宋"/>
          <w:color w:val="auto"/>
          <w:szCs w:val="24"/>
          <w:highlight w:val="none"/>
          <w:lang w:val="zh-CN"/>
        </w:rPr>
        <w:t>机构对磋商文件进行澄清或修改的，将同时通过电子交易平台通知已获取磋商文件的供应商。依法应当公告的，将按规定公告，同时视情况延长提交首次响应文件截止时间和响应文件开启时间。该澄清或者修改的内容为磋商文件的组成部分。</w:t>
      </w:r>
    </w:p>
    <w:p>
      <w:pPr>
        <w:pStyle w:val="136"/>
        <w:snapToGrid w:val="0"/>
        <w:spacing w:before="0"/>
        <w:ind w:firstLine="480"/>
        <w:rPr>
          <w:rFonts w:ascii="仿宋" w:hAnsi="仿宋" w:eastAsia="仿宋" w:cs="仿宋"/>
          <w:color w:val="auto"/>
          <w:szCs w:val="24"/>
          <w:highlight w:val="none"/>
          <w:lang w:val="zh-CN"/>
        </w:rPr>
      </w:pPr>
      <w:r>
        <w:rPr>
          <w:rFonts w:hint="eastAsia" w:ascii="仿宋" w:hAnsi="仿宋" w:eastAsia="仿宋" w:cs="仿宋"/>
          <w:color w:val="auto"/>
          <w:szCs w:val="24"/>
          <w:highlight w:val="none"/>
          <w:lang w:val="zh-CN"/>
        </w:rPr>
        <w:t>2.3澄清或者修改的内容可能影响响应文件编制的，采购人、采购</w:t>
      </w:r>
      <w:r>
        <w:rPr>
          <w:rFonts w:hint="eastAsia" w:ascii="仿宋" w:hAnsi="仿宋" w:eastAsia="仿宋" w:cs="仿宋"/>
          <w:color w:val="auto"/>
          <w:szCs w:val="24"/>
          <w:highlight w:val="none"/>
        </w:rPr>
        <w:t>代理</w:t>
      </w:r>
      <w:r>
        <w:rPr>
          <w:rFonts w:hint="eastAsia" w:ascii="仿宋" w:hAnsi="仿宋" w:eastAsia="仿宋" w:cs="仿宋"/>
          <w:color w:val="auto"/>
          <w:szCs w:val="24"/>
          <w:highlight w:val="none"/>
          <w:lang w:val="zh-CN"/>
        </w:rPr>
        <w:t>机构应当在提交首次响应文件截止时间至少5日前，通过电子交易平台通知所有获取磋商文件的供应商；不足5日的，采购人、采购</w:t>
      </w:r>
      <w:r>
        <w:rPr>
          <w:rFonts w:hint="eastAsia" w:ascii="仿宋" w:hAnsi="仿宋" w:eastAsia="仿宋" w:cs="仿宋"/>
          <w:color w:val="auto"/>
          <w:szCs w:val="24"/>
          <w:highlight w:val="none"/>
        </w:rPr>
        <w:t>代理</w:t>
      </w:r>
      <w:r>
        <w:rPr>
          <w:rFonts w:hint="eastAsia" w:ascii="仿宋" w:hAnsi="仿宋" w:eastAsia="仿宋" w:cs="仿宋"/>
          <w:color w:val="auto"/>
          <w:szCs w:val="24"/>
          <w:highlight w:val="none"/>
          <w:lang w:val="zh-CN"/>
        </w:rPr>
        <w:t>机构应当顺延提交首次响应文件截止时间。</w:t>
      </w:r>
    </w:p>
    <w:p>
      <w:pPr>
        <w:spacing w:line="360" w:lineRule="auto"/>
        <w:ind w:firstLine="482" w:firstLineChars="200"/>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▲响应文件未按磋商文件的澄清、修改的内容编制，又不符合实质性要求的，响应无效。</w:t>
      </w:r>
    </w:p>
    <w:p>
      <w:pPr>
        <w:snapToGrid w:val="0"/>
        <w:spacing w:line="360"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六、响应文件的编制</w:t>
      </w:r>
    </w:p>
    <w:p>
      <w:pPr>
        <w:spacing w:line="360" w:lineRule="auto"/>
        <w:ind w:firstLine="482" w:firstLineChars="200"/>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1. 响应文件的语言</w:t>
      </w:r>
    </w:p>
    <w:p>
      <w:pP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响应文件及供应商与采购有关的来往通知、函件和文件均应使用中文。</w:t>
      </w:r>
    </w:p>
    <w:p>
      <w:pPr>
        <w:spacing w:line="360" w:lineRule="auto"/>
        <w:ind w:firstLine="482" w:firstLineChars="200"/>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2. 响应文件的组成</w:t>
      </w:r>
    </w:p>
    <w:p>
      <w:pP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响应文件应当包括以下主要内容：</w:t>
      </w:r>
    </w:p>
    <w:p>
      <w:pPr>
        <w:pStyle w:val="32"/>
        <w:spacing w:line="360" w:lineRule="auto"/>
        <w:ind w:firstLine="482" w:firstLineChars="200"/>
        <w:rPr>
          <w:rFonts w:ascii="仿宋" w:hAnsi="仿宋" w:eastAsia="仿宋" w:cs="仿宋"/>
          <w:b/>
          <w:bCs/>
          <w:snapToGrid/>
          <w:color w:val="auto"/>
          <w:sz w:val="24"/>
          <w:szCs w:val="24"/>
          <w:highlight w:val="none"/>
          <w:lang w:val="zh-CN"/>
        </w:rPr>
      </w:pPr>
      <w:r>
        <w:rPr>
          <w:rFonts w:hint="eastAsia" w:ascii="仿宋" w:hAnsi="仿宋" w:eastAsia="仿宋" w:cs="仿宋"/>
          <w:b/>
          <w:bCs/>
          <w:snapToGrid/>
          <w:color w:val="auto"/>
          <w:sz w:val="24"/>
          <w:szCs w:val="24"/>
          <w:highlight w:val="none"/>
        </w:rPr>
        <w:t>2.1</w:t>
      </w:r>
      <w:r>
        <w:rPr>
          <w:rFonts w:hint="eastAsia" w:ascii="仿宋" w:hAnsi="仿宋" w:eastAsia="仿宋" w:cs="仿宋"/>
          <w:b/>
          <w:bCs/>
          <w:snapToGrid/>
          <w:color w:val="auto"/>
          <w:sz w:val="24"/>
          <w:szCs w:val="24"/>
          <w:highlight w:val="none"/>
          <w:lang w:val="zh-CN"/>
        </w:rPr>
        <w:t>资格文件</w:t>
      </w:r>
    </w:p>
    <w:p>
      <w:pPr>
        <w:pStyle w:val="32"/>
        <w:spacing w:line="360" w:lineRule="auto"/>
        <w:ind w:firstLine="480" w:firstLineChars="200"/>
        <w:rPr>
          <w:rFonts w:ascii="仿宋" w:hAnsi="仿宋" w:eastAsia="仿宋" w:cs="仿宋"/>
          <w:snapToGrid/>
          <w:color w:val="auto"/>
          <w:sz w:val="24"/>
          <w:szCs w:val="24"/>
          <w:highlight w:val="none"/>
          <w:lang w:val="zh-CN"/>
        </w:rPr>
      </w:pPr>
      <w:r>
        <w:rPr>
          <w:rFonts w:hint="eastAsia" w:ascii="仿宋" w:hAnsi="仿宋" w:eastAsia="仿宋" w:cs="仿宋"/>
          <w:snapToGrid/>
          <w:color w:val="auto"/>
          <w:sz w:val="24"/>
          <w:szCs w:val="24"/>
          <w:highlight w:val="none"/>
          <w:lang w:val="zh-CN"/>
        </w:rPr>
        <w:t>（</w:t>
      </w:r>
      <w:r>
        <w:rPr>
          <w:rFonts w:hint="eastAsia" w:ascii="仿宋" w:hAnsi="仿宋" w:eastAsia="仿宋" w:cs="仿宋"/>
          <w:snapToGrid/>
          <w:color w:val="auto"/>
          <w:sz w:val="24"/>
          <w:szCs w:val="24"/>
          <w:highlight w:val="none"/>
        </w:rPr>
        <w:t>1</w:t>
      </w:r>
      <w:r>
        <w:rPr>
          <w:rFonts w:hint="eastAsia" w:ascii="仿宋" w:hAnsi="仿宋" w:eastAsia="仿宋" w:cs="仿宋"/>
          <w:snapToGrid/>
          <w:color w:val="auto"/>
          <w:sz w:val="24"/>
          <w:szCs w:val="24"/>
          <w:highlight w:val="none"/>
          <w:lang w:val="zh-CN"/>
        </w:rPr>
        <w:t>）符合参加政府采购活动应当具备的一般条件的承诺函（如以联合体形式参加政府采购活动的，联合体各方均应提交该承诺函）；</w:t>
      </w:r>
    </w:p>
    <w:p>
      <w:pPr>
        <w:pStyle w:val="32"/>
        <w:spacing w:line="360" w:lineRule="auto"/>
        <w:ind w:firstLine="480" w:firstLineChars="200"/>
        <w:rPr>
          <w:rFonts w:ascii="仿宋" w:hAnsi="仿宋" w:eastAsia="仿宋" w:cs="仿宋"/>
          <w:snapToGrid/>
          <w:color w:val="auto"/>
          <w:sz w:val="24"/>
          <w:szCs w:val="24"/>
          <w:highlight w:val="none"/>
          <w:lang w:val="zh-CN"/>
        </w:rPr>
      </w:pPr>
      <w:r>
        <w:rPr>
          <w:rFonts w:hint="eastAsia" w:ascii="仿宋" w:hAnsi="仿宋" w:eastAsia="仿宋" w:cs="仿宋"/>
          <w:snapToGrid/>
          <w:color w:val="auto"/>
          <w:sz w:val="24"/>
          <w:szCs w:val="24"/>
          <w:highlight w:val="none"/>
          <w:lang w:val="zh-CN"/>
        </w:rPr>
        <w:t>（</w:t>
      </w:r>
      <w:r>
        <w:rPr>
          <w:rFonts w:hint="eastAsia" w:ascii="仿宋" w:hAnsi="仿宋" w:eastAsia="仿宋" w:cs="仿宋"/>
          <w:snapToGrid/>
          <w:color w:val="auto"/>
          <w:sz w:val="24"/>
          <w:szCs w:val="24"/>
          <w:highlight w:val="none"/>
        </w:rPr>
        <w:t>2</w:t>
      </w:r>
      <w:r>
        <w:rPr>
          <w:rFonts w:hint="eastAsia" w:ascii="仿宋" w:hAnsi="仿宋" w:eastAsia="仿宋" w:cs="仿宋"/>
          <w:snapToGrid/>
          <w:color w:val="auto"/>
          <w:sz w:val="24"/>
          <w:szCs w:val="24"/>
          <w:highlight w:val="none"/>
          <w:lang w:val="zh-CN"/>
        </w:rPr>
        <w:t>）联合协议（如果有）；</w:t>
      </w:r>
    </w:p>
    <w:p>
      <w:pPr>
        <w:pStyle w:val="32"/>
        <w:spacing w:line="360" w:lineRule="auto"/>
        <w:ind w:firstLine="480" w:firstLineChars="200"/>
        <w:rPr>
          <w:rFonts w:ascii="仿宋" w:hAnsi="仿宋" w:eastAsia="仿宋" w:cs="仿宋"/>
          <w:snapToGrid/>
          <w:color w:val="auto"/>
          <w:sz w:val="24"/>
          <w:szCs w:val="24"/>
          <w:highlight w:val="none"/>
          <w:lang w:val="zh-CN"/>
        </w:rPr>
      </w:pPr>
      <w:r>
        <w:rPr>
          <w:rFonts w:hint="eastAsia" w:ascii="仿宋" w:hAnsi="仿宋" w:eastAsia="仿宋" w:cs="仿宋"/>
          <w:snapToGrid/>
          <w:color w:val="auto"/>
          <w:sz w:val="24"/>
          <w:szCs w:val="24"/>
          <w:highlight w:val="none"/>
          <w:lang w:val="zh-CN"/>
        </w:rPr>
        <w:t>（</w:t>
      </w:r>
      <w:r>
        <w:rPr>
          <w:rFonts w:hint="eastAsia" w:ascii="仿宋" w:hAnsi="仿宋" w:eastAsia="仿宋" w:cs="仿宋"/>
          <w:snapToGrid/>
          <w:color w:val="auto"/>
          <w:sz w:val="24"/>
          <w:szCs w:val="24"/>
          <w:highlight w:val="none"/>
        </w:rPr>
        <w:t>3</w:t>
      </w:r>
      <w:r>
        <w:rPr>
          <w:rFonts w:hint="eastAsia" w:ascii="仿宋" w:hAnsi="仿宋" w:eastAsia="仿宋" w:cs="仿宋"/>
          <w:snapToGrid/>
          <w:color w:val="auto"/>
          <w:sz w:val="24"/>
          <w:szCs w:val="24"/>
          <w:highlight w:val="none"/>
          <w:lang w:val="zh-CN"/>
        </w:rPr>
        <w:t>）落实政府采购政策需满足的资格要求（如果有)；</w:t>
      </w:r>
    </w:p>
    <w:p>
      <w:pPr>
        <w:snapToGrid w:val="0"/>
        <w:spacing w:line="360" w:lineRule="auto"/>
        <w:ind w:firstLine="480" w:firstLineChars="200"/>
        <w:jc w:val="left"/>
        <w:outlineLvl w:val="1"/>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）符合特定资格条件的有关证明材料（如果有）。</w:t>
      </w:r>
      <w:r>
        <w:rPr>
          <w:rFonts w:hint="eastAsia" w:ascii="仿宋" w:hAnsi="仿宋" w:eastAsia="仿宋" w:cs="仿宋"/>
          <w:color w:val="auto"/>
          <w:sz w:val="24"/>
          <w:highlight w:val="none"/>
          <w:lang w:val="zh-CN"/>
        </w:rPr>
        <w:tab/>
      </w:r>
    </w:p>
    <w:p>
      <w:pPr>
        <w:pStyle w:val="32"/>
        <w:spacing w:line="360" w:lineRule="auto"/>
        <w:ind w:firstLine="482" w:firstLineChars="200"/>
        <w:rPr>
          <w:rFonts w:ascii="仿宋" w:hAnsi="仿宋" w:eastAsia="仿宋" w:cs="仿宋"/>
          <w:b/>
          <w:bCs/>
          <w:snapToGrid/>
          <w:color w:val="auto"/>
          <w:sz w:val="24"/>
          <w:szCs w:val="24"/>
          <w:highlight w:val="none"/>
          <w:lang w:val="zh-CN"/>
        </w:rPr>
      </w:pPr>
      <w:r>
        <w:rPr>
          <w:rFonts w:hint="eastAsia" w:ascii="仿宋" w:hAnsi="仿宋" w:eastAsia="仿宋" w:cs="仿宋"/>
          <w:b/>
          <w:bCs/>
          <w:snapToGrid/>
          <w:color w:val="auto"/>
          <w:sz w:val="24"/>
          <w:szCs w:val="24"/>
          <w:highlight w:val="none"/>
        </w:rPr>
        <w:t>2.2商务技术</w:t>
      </w:r>
      <w:r>
        <w:rPr>
          <w:rFonts w:hint="eastAsia" w:ascii="仿宋" w:hAnsi="仿宋" w:eastAsia="仿宋" w:cs="仿宋"/>
          <w:b/>
          <w:bCs/>
          <w:snapToGrid/>
          <w:color w:val="auto"/>
          <w:sz w:val="24"/>
          <w:szCs w:val="24"/>
          <w:highlight w:val="none"/>
          <w:lang w:val="zh-CN"/>
        </w:rPr>
        <w:t>文件</w:t>
      </w:r>
    </w:p>
    <w:p>
      <w:pPr>
        <w:pStyle w:val="32"/>
        <w:spacing w:line="360" w:lineRule="auto"/>
        <w:ind w:firstLine="480" w:firstLineChars="200"/>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（1）响应函；</w:t>
      </w:r>
      <w:r>
        <w:rPr>
          <w:rFonts w:hint="eastAsia" w:ascii="仿宋" w:hAnsi="仿宋" w:eastAsia="仿宋" w:cs="仿宋"/>
          <w:snapToGrid/>
          <w:color w:val="auto"/>
          <w:sz w:val="24"/>
          <w:szCs w:val="24"/>
          <w:highlight w:val="none"/>
          <w:lang w:val="zh-CN"/>
        </w:rPr>
        <w:t xml:space="preserve"> </w:t>
      </w:r>
    </w:p>
    <w:p>
      <w:pPr>
        <w:pStyle w:val="32"/>
        <w:spacing w:line="360" w:lineRule="auto"/>
        <w:ind w:firstLine="480" w:firstLineChars="200"/>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（2）授权委托书 或法定代表人（单位负责人、自然人本人）身份证明；</w:t>
      </w:r>
    </w:p>
    <w:p>
      <w:pPr>
        <w:pStyle w:val="32"/>
        <w:spacing w:line="360" w:lineRule="auto"/>
        <w:ind w:firstLine="480" w:firstLineChars="200"/>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（3）分包意向协议（如果有)；</w:t>
      </w:r>
    </w:p>
    <w:p>
      <w:pPr>
        <w:pStyle w:val="32"/>
        <w:spacing w:line="360" w:lineRule="auto"/>
        <w:ind w:firstLine="480" w:firstLineChars="200"/>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（4）符合性审查资料；</w:t>
      </w:r>
    </w:p>
    <w:p>
      <w:pPr>
        <w:pStyle w:val="32"/>
        <w:spacing w:line="360" w:lineRule="auto"/>
        <w:ind w:firstLine="480" w:firstLineChars="200"/>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（5）评审标准相应的商务技术资料；</w:t>
      </w:r>
    </w:p>
    <w:p>
      <w:pPr>
        <w:pStyle w:val="32"/>
        <w:spacing w:line="360" w:lineRule="auto"/>
        <w:ind w:firstLine="480" w:firstLineChars="200"/>
        <w:rPr>
          <w:rFonts w:hint="eastAsia"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（6）</w:t>
      </w:r>
      <w:r>
        <w:rPr>
          <w:rFonts w:hint="eastAsia" w:ascii="仿宋" w:hAnsi="仿宋" w:eastAsia="仿宋" w:cs="仿宋"/>
          <w:snapToGrid/>
          <w:color w:val="auto"/>
          <w:sz w:val="24"/>
          <w:szCs w:val="24"/>
          <w:highlight w:val="none"/>
          <w:lang w:val="en-US" w:eastAsia="zh-CN"/>
        </w:rPr>
        <w:t>投标标的清单</w:t>
      </w:r>
      <w:r>
        <w:rPr>
          <w:rFonts w:hint="eastAsia" w:ascii="仿宋" w:hAnsi="仿宋" w:eastAsia="仿宋" w:cs="仿宋"/>
          <w:snapToGrid/>
          <w:color w:val="auto"/>
          <w:sz w:val="24"/>
          <w:szCs w:val="24"/>
          <w:highlight w:val="none"/>
        </w:rPr>
        <w:t>；</w:t>
      </w:r>
    </w:p>
    <w:p>
      <w:pPr>
        <w:pStyle w:val="32"/>
        <w:spacing w:line="360" w:lineRule="auto"/>
        <w:ind w:firstLine="480" w:firstLineChars="200"/>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w:t>
      </w:r>
      <w:r>
        <w:rPr>
          <w:rFonts w:hint="eastAsia" w:ascii="仿宋" w:hAnsi="仿宋" w:eastAsia="仿宋" w:cs="仿宋"/>
          <w:snapToGrid/>
          <w:color w:val="auto"/>
          <w:sz w:val="24"/>
          <w:szCs w:val="24"/>
          <w:highlight w:val="none"/>
          <w:lang w:val="en-US" w:eastAsia="zh-CN"/>
        </w:rPr>
        <w:t>7</w:t>
      </w:r>
      <w:r>
        <w:rPr>
          <w:rFonts w:hint="eastAsia" w:ascii="仿宋" w:hAnsi="仿宋" w:eastAsia="仿宋" w:cs="仿宋"/>
          <w:snapToGrid/>
          <w:color w:val="auto"/>
          <w:sz w:val="24"/>
          <w:szCs w:val="24"/>
          <w:highlight w:val="none"/>
        </w:rPr>
        <w:t>）商务技术偏离表；</w:t>
      </w:r>
    </w:p>
    <w:p>
      <w:pPr>
        <w:pStyle w:val="32"/>
        <w:spacing w:line="360" w:lineRule="auto"/>
        <w:ind w:firstLine="480" w:firstLineChars="200"/>
        <w:rPr>
          <w:rFonts w:ascii="仿宋" w:hAnsi="仿宋" w:eastAsia="仿宋" w:cs="仿宋"/>
          <w:snapToGrid/>
          <w:color w:val="auto"/>
          <w:sz w:val="24"/>
          <w:szCs w:val="24"/>
          <w:highlight w:val="none"/>
          <w:lang w:val="zh-CN"/>
        </w:rPr>
      </w:pPr>
      <w:r>
        <w:rPr>
          <w:rFonts w:hint="eastAsia" w:ascii="仿宋" w:hAnsi="仿宋" w:eastAsia="仿宋" w:cs="仿宋"/>
          <w:snapToGrid/>
          <w:color w:val="auto"/>
          <w:sz w:val="24"/>
          <w:szCs w:val="24"/>
          <w:highlight w:val="none"/>
          <w:lang w:val="zh-CN"/>
        </w:rPr>
        <w:t>（</w:t>
      </w:r>
      <w:r>
        <w:rPr>
          <w:rFonts w:hint="eastAsia" w:ascii="仿宋" w:hAnsi="仿宋" w:eastAsia="仿宋" w:cs="仿宋"/>
          <w:snapToGrid/>
          <w:color w:val="auto"/>
          <w:sz w:val="24"/>
          <w:szCs w:val="24"/>
          <w:highlight w:val="none"/>
          <w:lang w:val="en-US" w:eastAsia="zh-CN"/>
        </w:rPr>
        <w:t>8</w:t>
      </w:r>
      <w:r>
        <w:rPr>
          <w:rFonts w:hint="eastAsia" w:ascii="仿宋" w:hAnsi="仿宋" w:eastAsia="仿宋" w:cs="仿宋"/>
          <w:snapToGrid/>
          <w:color w:val="auto"/>
          <w:sz w:val="24"/>
          <w:szCs w:val="24"/>
          <w:highlight w:val="none"/>
          <w:lang w:val="zh-CN"/>
        </w:rPr>
        <w:t>）政府采购供应商廉洁自律承诺书</w:t>
      </w:r>
      <w:r>
        <w:rPr>
          <w:rFonts w:hint="eastAsia" w:ascii="仿宋" w:hAnsi="仿宋" w:eastAsia="仿宋" w:cs="仿宋"/>
          <w:snapToGrid/>
          <w:color w:val="auto"/>
          <w:sz w:val="24"/>
          <w:szCs w:val="24"/>
          <w:highlight w:val="none"/>
        </w:rPr>
        <w:t>。</w:t>
      </w:r>
    </w:p>
    <w:p>
      <w:pPr>
        <w:pStyle w:val="32"/>
        <w:spacing w:line="360" w:lineRule="auto"/>
        <w:ind w:firstLine="482" w:firstLineChars="200"/>
        <w:rPr>
          <w:rFonts w:ascii="仿宋" w:hAnsi="仿宋" w:eastAsia="仿宋" w:cs="仿宋"/>
          <w:b/>
          <w:bCs/>
          <w:snapToGrid/>
          <w:color w:val="auto"/>
          <w:sz w:val="24"/>
          <w:szCs w:val="24"/>
          <w:highlight w:val="none"/>
          <w:lang w:val="zh-CN"/>
        </w:rPr>
      </w:pPr>
      <w:r>
        <w:rPr>
          <w:rFonts w:hint="eastAsia" w:ascii="仿宋" w:hAnsi="仿宋" w:eastAsia="仿宋" w:cs="仿宋"/>
          <w:b/>
          <w:bCs/>
          <w:snapToGrid/>
          <w:color w:val="auto"/>
          <w:sz w:val="24"/>
          <w:szCs w:val="24"/>
          <w:highlight w:val="none"/>
        </w:rPr>
        <w:t>2.3报价文件</w:t>
      </w:r>
    </w:p>
    <w:p>
      <w:pPr>
        <w:pStyle w:val="32"/>
        <w:spacing w:line="360" w:lineRule="auto"/>
        <w:ind w:firstLine="480" w:firstLineChars="200"/>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（1）初次报价一览表；</w:t>
      </w:r>
    </w:p>
    <w:p>
      <w:pPr>
        <w:pStyle w:val="32"/>
        <w:spacing w:line="360" w:lineRule="auto"/>
        <w:ind w:firstLine="480" w:firstLineChars="200"/>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（2）最后报价一览表（此表在项目评审时提供）；</w:t>
      </w:r>
    </w:p>
    <w:p>
      <w:pPr>
        <w:pStyle w:val="32"/>
        <w:spacing w:line="360" w:lineRule="auto"/>
        <w:ind w:firstLine="480" w:firstLineChars="200"/>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（3）中小企业声明函（如果有）。</w:t>
      </w:r>
    </w:p>
    <w:p>
      <w:pPr>
        <w:pStyle w:val="32"/>
        <w:spacing w:line="360" w:lineRule="auto"/>
        <w:ind w:firstLine="482" w:firstLineChars="200"/>
        <w:rPr>
          <w:rFonts w:ascii="仿宋" w:hAnsi="仿宋" w:eastAsia="仿宋" w:cs="仿宋"/>
          <w:b/>
          <w:bCs/>
          <w:snapToGrid/>
          <w:color w:val="auto"/>
          <w:sz w:val="24"/>
          <w:szCs w:val="24"/>
          <w:highlight w:val="none"/>
        </w:rPr>
      </w:pPr>
      <w:r>
        <w:rPr>
          <w:rFonts w:hint="eastAsia" w:ascii="仿宋" w:hAnsi="仿宋" w:eastAsia="仿宋" w:cs="仿宋"/>
          <w:b/>
          <w:bCs/>
          <w:snapToGrid/>
          <w:color w:val="auto"/>
          <w:sz w:val="24"/>
          <w:szCs w:val="24"/>
          <w:highlight w:val="none"/>
        </w:rPr>
        <w:t>3. 响应文件的编制和签署</w:t>
      </w:r>
    </w:p>
    <w:p>
      <w:pPr>
        <w:pStyle w:val="32"/>
        <w:spacing w:line="360" w:lineRule="auto"/>
        <w:ind w:firstLine="480" w:firstLineChars="200"/>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lang w:val="zh-CN"/>
        </w:rPr>
        <w:t>3.1各供应商在编制响应文件时请按照磋商文件第七部分规定的格式进行，混乱的编排导致响应文件被误读或磋商小组查找不到有效文件是供应商的风险。</w:t>
      </w:r>
    </w:p>
    <w:p>
      <w:pPr>
        <w:pStyle w:val="32"/>
        <w:spacing w:line="360" w:lineRule="auto"/>
        <w:ind w:firstLine="480" w:firstLineChars="200"/>
        <w:rPr>
          <w:rFonts w:ascii="仿宋" w:hAnsi="仿宋" w:eastAsia="仿宋" w:cs="仿宋"/>
          <w:snapToGrid/>
          <w:color w:val="auto"/>
          <w:sz w:val="24"/>
          <w:szCs w:val="24"/>
          <w:highlight w:val="none"/>
          <w:lang w:val="zh-CN"/>
        </w:rPr>
      </w:pPr>
      <w:r>
        <w:rPr>
          <w:rFonts w:hint="eastAsia" w:ascii="仿宋" w:hAnsi="仿宋" w:eastAsia="仿宋" w:cs="仿宋"/>
          <w:snapToGrid/>
          <w:color w:val="auto"/>
          <w:sz w:val="24"/>
          <w:szCs w:val="24"/>
          <w:highlight w:val="none"/>
          <w:lang w:val="zh-CN"/>
        </w:rPr>
        <w:t>3.2供应商进行电子交易应安装客户端软件—“政采云电子交易客户端”，并按照磋商文件和电子交易平台的要求编制并加密响应文件。供应商未按规定加密的响应文件，电子交易平台将拒收并提示。</w:t>
      </w:r>
    </w:p>
    <w:p>
      <w:pPr>
        <w:pStyle w:val="32"/>
        <w:spacing w:line="360" w:lineRule="auto"/>
        <w:ind w:firstLine="480" w:firstLineChars="200"/>
        <w:rPr>
          <w:rFonts w:ascii="仿宋" w:hAnsi="仿宋" w:eastAsia="仿宋" w:cs="仿宋"/>
          <w:snapToGrid/>
          <w:color w:val="auto"/>
          <w:sz w:val="24"/>
          <w:szCs w:val="24"/>
          <w:highlight w:val="none"/>
          <w:lang w:val="zh-CN"/>
        </w:rPr>
      </w:pPr>
      <w:r>
        <w:rPr>
          <w:rFonts w:hint="eastAsia" w:ascii="仿宋" w:hAnsi="仿宋" w:eastAsia="仿宋" w:cs="仿宋"/>
          <w:snapToGrid/>
          <w:color w:val="auto"/>
          <w:sz w:val="24"/>
          <w:szCs w:val="24"/>
          <w:highlight w:val="none"/>
          <w:lang w:val="zh-CN"/>
        </w:rPr>
        <w:t>3.3使用“政采云电子交易客户端”需要提前申领CA数字证书，申领流程请自行前往“浙江政府采购网-下载专区-电子交易客户端-CA驱动和申领流程”进行查阅。</w:t>
      </w:r>
    </w:p>
    <w:p>
      <w:pPr>
        <w:pStyle w:val="32"/>
        <w:spacing w:line="360" w:lineRule="auto"/>
        <w:ind w:firstLine="480" w:firstLineChars="200"/>
        <w:rPr>
          <w:rFonts w:ascii="仿宋" w:hAnsi="仿宋" w:eastAsia="仿宋" w:cs="仿宋"/>
          <w:b/>
          <w:bCs/>
          <w:snapToGrid/>
          <w:color w:val="auto"/>
          <w:sz w:val="24"/>
          <w:szCs w:val="24"/>
          <w:highlight w:val="none"/>
        </w:rPr>
      </w:pPr>
      <w:r>
        <w:rPr>
          <w:rFonts w:hint="eastAsia" w:ascii="仿宋" w:hAnsi="仿宋" w:eastAsia="仿宋" w:cs="仿宋"/>
          <w:snapToGrid/>
          <w:color w:val="auto"/>
          <w:sz w:val="24"/>
          <w:szCs w:val="24"/>
          <w:highlight w:val="none"/>
        </w:rPr>
        <w:t>3.4响应文件按照磋商文件第七部分格式要求进行签署、盖章。</w:t>
      </w:r>
      <w:r>
        <w:rPr>
          <w:rFonts w:hint="eastAsia" w:ascii="仿宋" w:hAnsi="仿宋" w:eastAsia="仿宋" w:cs="仿宋"/>
          <w:b/>
          <w:bCs/>
          <w:snapToGrid/>
          <w:color w:val="auto"/>
          <w:sz w:val="24"/>
          <w:szCs w:val="24"/>
          <w:highlight w:val="none"/>
        </w:rPr>
        <w:t>▲供应商的响应文件未按照磋商文件要求签署、盖章的，其响应无效。</w:t>
      </w:r>
    </w:p>
    <w:p>
      <w:pPr>
        <w:pStyle w:val="32"/>
        <w:spacing w:line="360" w:lineRule="auto"/>
        <w:ind w:firstLine="480" w:firstLineChars="200"/>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3.5为确保网上操作合法、有效和安全，供应商应当在响应截止时间前完成在“政府采购云平台”的身份认证，确保在电子交易过程中能够对相关数据电文进行加密和使用电子签名。</w:t>
      </w:r>
    </w:p>
    <w:p>
      <w:pPr>
        <w:pStyle w:val="32"/>
        <w:spacing w:line="360" w:lineRule="auto"/>
        <w:ind w:firstLine="480" w:firstLineChars="200"/>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3.6磋商文件对响应文件签署、盖章的要求适用于电子签名。</w:t>
      </w:r>
    </w:p>
    <w:p>
      <w:pPr>
        <w:snapToGrid w:val="0"/>
        <w:spacing w:line="360"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七、响应文件的提交和备份</w:t>
      </w:r>
    </w:p>
    <w:p>
      <w:pPr>
        <w:pStyle w:val="136"/>
        <w:spacing w:before="0"/>
        <w:ind w:firstLine="482"/>
        <w:rPr>
          <w:rFonts w:ascii="仿宋" w:hAnsi="仿宋" w:eastAsia="仿宋" w:cs="仿宋"/>
          <w:b/>
          <w:bCs/>
          <w:color w:val="auto"/>
          <w:szCs w:val="24"/>
          <w:highlight w:val="none"/>
        </w:rPr>
      </w:pPr>
      <w:r>
        <w:rPr>
          <w:rFonts w:hint="eastAsia" w:ascii="仿宋" w:hAnsi="仿宋" w:eastAsia="仿宋" w:cs="仿宋"/>
          <w:b/>
          <w:bCs/>
          <w:color w:val="auto"/>
          <w:szCs w:val="24"/>
          <w:highlight w:val="none"/>
        </w:rPr>
        <w:t>1.响应文件的提交、补充、修改、撤回</w:t>
      </w:r>
    </w:p>
    <w:p>
      <w:pPr>
        <w:pStyle w:val="136"/>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在响应截止时间以后，不能补充、修改响应文件。</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在提交“最后报价”后，供应商不能退出磋商。</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 电子交易平台收到响应文件，将妥善保存并即时向供应商发出确认回执通知。在响应截止时间前，除供应商补充、修改或者撤回响应文件外，任何单位和个人不得解密或提取响应文件。</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 采购代理机构可以视情况延长提交响应文件的截止时间。在上述情况下，采购代理机构与供应商以前在响应截止期方面的全部权利、责任和义务，将适用于延长至新的响应截止期。</w:t>
      </w:r>
    </w:p>
    <w:p>
      <w:pPr>
        <w:pStyle w:val="136"/>
        <w:spacing w:before="0"/>
        <w:ind w:firstLine="482"/>
        <w:rPr>
          <w:rFonts w:ascii="仿宋" w:hAnsi="仿宋" w:eastAsia="仿宋" w:cs="仿宋"/>
          <w:b/>
          <w:bCs/>
          <w:color w:val="auto"/>
          <w:szCs w:val="24"/>
          <w:highlight w:val="none"/>
        </w:rPr>
      </w:pPr>
      <w:r>
        <w:rPr>
          <w:rFonts w:hint="eastAsia" w:ascii="仿宋" w:hAnsi="仿宋" w:eastAsia="仿宋" w:cs="仿宋"/>
          <w:b/>
          <w:bCs/>
          <w:color w:val="auto"/>
          <w:szCs w:val="24"/>
          <w:highlight w:val="none"/>
        </w:rPr>
        <w:t>2.备份响应文件</w:t>
      </w:r>
    </w:p>
    <w:p>
      <w:pPr>
        <w:spacing w:line="360" w:lineRule="auto"/>
        <w:ind w:firstLine="480" w:firstLineChars="200"/>
        <w:rPr>
          <w:rFonts w:ascii="仿宋" w:hAnsi="仿宋" w:eastAsia="仿宋" w:cs="仿宋"/>
          <w:b/>
          <w:bCs/>
          <w:color w:val="auto"/>
          <w:sz w:val="24"/>
          <w:highlight w:val="none"/>
        </w:rPr>
      </w:pPr>
      <w:r>
        <w:rPr>
          <w:rFonts w:hint="eastAsia" w:ascii="仿宋" w:hAnsi="仿宋" w:eastAsia="仿宋" w:cs="仿宋"/>
          <w:color w:val="auto"/>
          <w:sz w:val="24"/>
          <w:highlight w:val="none"/>
        </w:rPr>
        <w:t>2.1 供应商在电子交易平台传输提交响应文件后，还可以在响应截止时间前直接提交或者以顺丰等快递方式递交备份响应文件1份，</w:t>
      </w:r>
      <w:r>
        <w:rPr>
          <w:rFonts w:hint="eastAsia" w:ascii="仿宋" w:hAnsi="仿宋" w:eastAsia="仿宋" w:cs="仿宋"/>
          <w:b/>
          <w:bCs/>
          <w:color w:val="auto"/>
          <w:sz w:val="24"/>
          <w:highlight w:val="none"/>
        </w:rPr>
        <w:t>但采购人、采购代理机构不强制或变相强制供应商提交备份响应文件。</w:t>
      </w:r>
    </w:p>
    <w:p>
      <w:pPr>
        <w:pStyle w:val="32"/>
        <w:spacing w:line="360" w:lineRule="auto"/>
        <w:ind w:firstLine="360" w:firstLineChars="150"/>
        <w:rPr>
          <w:rFonts w:cs="仿宋_GB2312" w:asciiTheme="minorEastAsia" w:hAnsiTheme="minorEastAsia" w:eastAsiaTheme="minorEastAsia"/>
          <w:b/>
          <w:bCs/>
          <w:color w:val="auto"/>
          <w:sz w:val="24"/>
          <w:szCs w:val="24"/>
          <w:highlight w:val="none"/>
        </w:rPr>
      </w:pPr>
      <w:r>
        <w:rPr>
          <w:rFonts w:hint="eastAsia" w:ascii="仿宋" w:hAnsi="仿宋" w:eastAsia="仿宋" w:cs="仿宋"/>
          <w:snapToGrid/>
          <w:color w:val="auto"/>
          <w:sz w:val="24"/>
          <w:szCs w:val="24"/>
          <w:highlight w:val="none"/>
        </w:rPr>
        <w:t>2.2 备份响应文件须在“政采云投标客户端”制作生成，并储存在不可修改的</w:t>
      </w:r>
      <w:r>
        <w:rPr>
          <w:rFonts w:hint="eastAsia" w:ascii="仿宋" w:hAnsi="仿宋" w:eastAsia="仿宋" w:cs="仿宋"/>
          <w:b/>
          <w:bCs/>
          <w:snapToGrid/>
          <w:color w:val="auto"/>
          <w:sz w:val="24"/>
          <w:szCs w:val="24"/>
          <w:highlight w:val="none"/>
          <w:u w:val="single"/>
        </w:rPr>
        <w:t>U盘</w:t>
      </w:r>
      <w:r>
        <w:rPr>
          <w:rFonts w:hint="eastAsia" w:ascii="仿宋" w:hAnsi="仿宋" w:eastAsia="仿宋" w:cs="仿宋"/>
          <w:snapToGrid/>
          <w:color w:val="auto"/>
          <w:sz w:val="24"/>
          <w:szCs w:val="24"/>
          <w:highlight w:val="none"/>
        </w:rPr>
        <w:t>中。备份响应文件应当密封包装并在包装上加盖公章并注明响应项目名称，供应商名称(联合体响应的，包装物封面需注明联合体响应，并注明联合体成员各方的名称和联合体协议中约定的牵头人的名称)。</w:t>
      </w:r>
      <w:r>
        <w:rPr>
          <w:rFonts w:hint="eastAsia" w:ascii="仿宋" w:hAnsi="仿宋" w:eastAsia="仿宋" w:cs="仿宋"/>
          <w:b/>
          <w:bCs/>
          <w:snapToGrid/>
          <w:color w:val="auto"/>
          <w:sz w:val="24"/>
          <w:szCs w:val="24"/>
          <w:highlight w:val="none"/>
        </w:rPr>
        <w:t>▲不符合上述制作、存储、密封规定的备份响应文件将被视为无效或者被拒绝接收。</w:t>
      </w:r>
    </w:p>
    <w:p>
      <w:pPr>
        <w:pStyle w:val="32"/>
        <w:spacing w:line="360" w:lineRule="auto"/>
        <w:ind w:firstLine="360" w:firstLineChars="150"/>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2.3 直接提交备份响应文件的，供应商应于响应截止时间前在磋商公告中载明的开启响应文件的地点将备份响应文件提交给采购代理机构，采购代理机构将拒绝接受逾期送达的备份响应文件。</w:t>
      </w:r>
    </w:p>
    <w:p>
      <w:pPr>
        <w:pStyle w:val="32"/>
        <w:spacing w:line="360" w:lineRule="auto"/>
        <w:ind w:firstLine="360" w:firstLineChars="150"/>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2.4 以顺丰等快递方式递交备份响应文件的，供应商应先将备份响应文件按要求密封和标记，再进行快递包装后邮寄。备份响应文件须在提交响应文件截止时间之前送达磋商文件第三部分供应商须知前附表规定的备份响应文件送达地点；送达时间以签收人签收时间为准。采购代理机构将拒绝接受逾期送达的备份响应文件。邮寄过程中，电子备份响应文件发生泄露、遗失、损坏或延期送达等情况的，由供应商自行负责。</w:t>
      </w:r>
    </w:p>
    <w:p>
      <w:pPr>
        <w:pStyle w:val="32"/>
        <w:spacing w:line="360" w:lineRule="auto"/>
        <w:ind w:firstLine="482" w:firstLineChars="200"/>
        <w:rPr>
          <w:rFonts w:ascii="仿宋" w:hAnsi="仿宋" w:eastAsia="仿宋" w:cs="仿宋"/>
          <w:b/>
          <w:bCs/>
          <w:snapToGrid/>
          <w:color w:val="auto"/>
          <w:sz w:val="24"/>
          <w:szCs w:val="24"/>
          <w:highlight w:val="none"/>
        </w:rPr>
      </w:pPr>
      <w:r>
        <w:rPr>
          <w:rFonts w:hint="eastAsia" w:ascii="仿宋" w:hAnsi="仿宋" w:eastAsia="仿宋" w:cs="仿宋"/>
          <w:b/>
          <w:bCs/>
          <w:snapToGrid/>
          <w:color w:val="auto"/>
          <w:sz w:val="24"/>
          <w:szCs w:val="24"/>
          <w:highlight w:val="none"/>
        </w:rPr>
        <w:t>2.5 ▲供应商仅提交备份响应文件，未在电子交易平台传输提交响应文件的，响应无效。</w:t>
      </w:r>
    </w:p>
    <w:p>
      <w:pPr>
        <w:snapToGrid w:val="0"/>
        <w:spacing w:line="360"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八、开启响应文件与信用信息查询</w:t>
      </w:r>
    </w:p>
    <w:p>
      <w:pPr>
        <w:pStyle w:val="32"/>
        <w:spacing w:line="360" w:lineRule="auto"/>
        <w:ind w:firstLine="361" w:firstLineChars="150"/>
        <w:rPr>
          <w:rFonts w:ascii="仿宋" w:hAnsi="仿宋" w:eastAsia="仿宋" w:cs="仿宋"/>
          <w:b/>
          <w:bCs/>
          <w:snapToGrid/>
          <w:color w:val="auto"/>
          <w:sz w:val="24"/>
          <w:szCs w:val="24"/>
          <w:highlight w:val="none"/>
        </w:rPr>
      </w:pPr>
      <w:r>
        <w:rPr>
          <w:rFonts w:hint="eastAsia" w:ascii="仿宋" w:hAnsi="仿宋" w:eastAsia="仿宋" w:cs="仿宋"/>
          <w:b/>
          <w:bCs/>
          <w:snapToGrid/>
          <w:color w:val="auto"/>
          <w:sz w:val="24"/>
          <w:szCs w:val="24"/>
          <w:highlight w:val="none"/>
        </w:rPr>
        <w:t>1. 开启响应文件</w:t>
      </w:r>
    </w:p>
    <w:p>
      <w:pPr>
        <w:pStyle w:val="32"/>
        <w:spacing w:line="360" w:lineRule="auto"/>
        <w:ind w:firstLine="360" w:firstLineChars="150"/>
        <w:rPr>
          <w:rFonts w:ascii="仿宋" w:hAnsi="仿宋" w:eastAsia="仿宋" w:cs="仿宋"/>
          <w:b/>
          <w:bCs/>
          <w:snapToGrid/>
          <w:color w:val="auto"/>
          <w:sz w:val="24"/>
          <w:szCs w:val="24"/>
          <w:highlight w:val="none"/>
        </w:rPr>
      </w:pPr>
      <w:r>
        <w:rPr>
          <w:rFonts w:hint="eastAsia" w:ascii="仿宋" w:hAnsi="仿宋" w:eastAsia="仿宋" w:cs="仿宋"/>
          <w:snapToGrid/>
          <w:color w:val="auto"/>
          <w:sz w:val="24"/>
          <w:szCs w:val="24"/>
          <w:highlight w:val="none"/>
        </w:rPr>
        <w:t>1.1 采购代理机构按照磋商文件规定的时间通过电子交易平台组织响应文件开启，所有供应商均应当准时在线参加。</w:t>
      </w:r>
      <w:r>
        <w:rPr>
          <w:rFonts w:hint="eastAsia" w:ascii="仿宋" w:hAnsi="仿宋" w:eastAsia="仿宋" w:cs="仿宋"/>
          <w:b/>
          <w:bCs/>
          <w:snapToGrid/>
          <w:color w:val="auto"/>
          <w:sz w:val="24"/>
          <w:szCs w:val="24"/>
          <w:highlight w:val="none"/>
        </w:rPr>
        <w:t>供应商数量不符合规定的，不得开启响应文件。</w:t>
      </w:r>
    </w:p>
    <w:p>
      <w:pPr>
        <w:pStyle w:val="32"/>
        <w:spacing w:line="360" w:lineRule="auto"/>
        <w:ind w:firstLine="360" w:firstLineChars="150"/>
        <w:rPr>
          <w:rFonts w:ascii="仿宋" w:hAnsi="仿宋" w:eastAsia="仿宋" w:cs="仿宋"/>
          <w:snapToGrid/>
          <w:color w:val="auto"/>
          <w:sz w:val="24"/>
          <w:szCs w:val="24"/>
          <w:highlight w:val="none"/>
        </w:rPr>
      </w:pPr>
      <w:r>
        <w:rPr>
          <w:rFonts w:hint="eastAsia" w:ascii="仿宋" w:hAnsi="仿宋" w:eastAsia="仿宋" w:cs="仿宋"/>
          <w:snapToGrid/>
          <w:color w:val="auto"/>
          <w:sz w:val="24"/>
          <w:szCs w:val="24"/>
          <w:highlight w:val="none"/>
        </w:rPr>
        <w:t>1.2开启响应文件时，电子交易平台按开启响应文件时间自动提取所有响应文件。采购代理机构依托电子交易平台发起开始解密指令，供应商按照平台提示和磋商文件的规定在半小时内完成在线解密。</w:t>
      </w:r>
    </w:p>
    <w:p>
      <w:pPr>
        <w:pStyle w:val="32"/>
        <w:spacing w:line="360" w:lineRule="auto"/>
        <w:ind w:firstLine="361" w:firstLineChars="150"/>
        <w:rPr>
          <w:rFonts w:ascii="仿宋" w:hAnsi="仿宋" w:eastAsia="仿宋" w:cs="仿宋"/>
          <w:b/>
          <w:bCs/>
          <w:snapToGrid/>
          <w:color w:val="auto"/>
          <w:sz w:val="24"/>
          <w:szCs w:val="24"/>
          <w:highlight w:val="none"/>
        </w:rPr>
      </w:pPr>
      <w:r>
        <w:rPr>
          <w:rFonts w:hint="eastAsia" w:ascii="仿宋" w:hAnsi="仿宋" w:eastAsia="仿宋" w:cs="仿宋"/>
          <w:b/>
          <w:bCs/>
          <w:snapToGrid/>
          <w:color w:val="auto"/>
          <w:sz w:val="24"/>
          <w:szCs w:val="24"/>
          <w:highlight w:val="none"/>
        </w:rPr>
        <w:t>1.3响应文件未在规定时间内成功解密的供应商，如提交了备份响应文件的，以备份响应文件作为依据，否则视为响应文件撤回。响应文件解密成功的供应商，其备份响应文件自动失效。</w:t>
      </w:r>
    </w:p>
    <w:p>
      <w:pPr>
        <w:pStyle w:val="32"/>
        <w:spacing w:line="360" w:lineRule="auto"/>
        <w:ind w:firstLine="361" w:firstLineChars="150"/>
        <w:rPr>
          <w:rFonts w:ascii="仿宋" w:hAnsi="仿宋" w:eastAsia="仿宋" w:cs="仿宋"/>
          <w:b/>
          <w:bCs/>
          <w:snapToGrid/>
          <w:color w:val="auto"/>
          <w:sz w:val="24"/>
          <w:szCs w:val="24"/>
          <w:highlight w:val="none"/>
        </w:rPr>
      </w:pPr>
      <w:r>
        <w:rPr>
          <w:rFonts w:hint="eastAsia" w:ascii="仿宋" w:hAnsi="仿宋" w:eastAsia="仿宋" w:cs="仿宋"/>
          <w:b/>
          <w:bCs/>
          <w:snapToGrid/>
          <w:color w:val="auto"/>
          <w:sz w:val="24"/>
          <w:szCs w:val="24"/>
          <w:highlight w:val="none"/>
        </w:rPr>
        <w:t>2.信用信息查询</w:t>
      </w:r>
    </w:p>
    <w:p>
      <w:pPr>
        <w:pStyle w:val="136"/>
        <w:spacing w:before="0"/>
        <w:ind w:firstLine="495"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2.1信用信息查询渠道及截止时间：采购代理机构将通过“信用中国”网站(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仿宋" w:hAnsi="仿宋" w:eastAsia="仿宋" w:cs="仿宋"/>
          <w:color w:val="auto"/>
          <w:szCs w:val="24"/>
          <w:highlight w:val="none"/>
        </w:rPr>
        <w:t>www.creditchina.gov.cn</w:t>
      </w:r>
      <w:r>
        <w:rPr>
          <w:rFonts w:hint="eastAsia" w:ascii="仿宋" w:hAnsi="仿宋" w:eastAsia="仿宋" w:cs="仿宋"/>
          <w:color w:val="auto"/>
          <w:szCs w:val="24"/>
          <w:highlight w:val="none"/>
        </w:rPr>
        <w:fldChar w:fldCharType="end"/>
      </w:r>
      <w:r>
        <w:rPr>
          <w:rFonts w:hint="eastAsia" w:ascii="仿宋" w:hAnsi="仿宋" w:eastAsia="仿宋" w:cs="仿宋"/>
          <w:color w:val="auto"/>
          <w:szCs w:val="24"/>
          <w:highlight w:val="none"/>
        </w:rPr>
        <w:t>)、中国政府采购网(www.ccgp.gov.cn)渠道查询供应商响应截止时间前的信用记录。</w:t>
      </w:r>
    </w:p>
    <w:p>
      <w:pPr>
        <w:pStyle w:val="136"/>
        <w:spacing w:before="0"/>
        <w:ind w:firstLine="495"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2.2信用信息查询记录和证据留存的具体方式：现场查询的供应商的信用记录、查询结果经确认后存档。</w:t>
      </w:r>
    </w:p>
    <w:p>
      <w:pPr>
        <w:pStyle w:val="136"/>
        <w:spacing w:before="0"/>
        <w:ind w:firstLine="495"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2.3信用信息的使用规则：经查询列入失信被执行人名单、重大税收违法案件当事人名单、政府采购严重违法失信行为记录名单的供应商将被拒绝参与政府采购活动。</w:t>
      </w:r>
    </w:p>
    <w:p>
      <w:pPr>
        <w:pStyle w:val="136"/>
        <w:spacing w:before="0"/>
        <w:ind w:firstLine="495"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napToGrid w:val="0"/>
        <w:spacing w:line="360"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九、提交最后报价</w:t>
      </w:r>
    </w:p>
    <w:p>
      <w:pPr>
        <w:pStyle w:val="32"/>
        <w:snapToGrid w:val="0"/>
        <w:spacing w:line="360" w:lineRule="auto"/>
        <w:ind w:firstLine="480" w:firstLineChars="200"/>
        <w:rPr>
          <w:rFonts w:ascii="仿宋" w:hAnsi="仿宋" w:eastAsia="仿宋" w:cs="仿宋"/>
          <w:b/>
          <w:color w:val="auto"/>
          <w:sz w:val="32"/>
          <w:highlight w:val="none"/>
        </w:rPr>
      </w:pPr>
      <w:r>
        <w:rPr>
          <w:rFonts w:hint="eastAsia" w:ascii="仿宋" w:hAnsi="仿宋" w:eastAsia="仿宋" w:cs="仿宋"/>
          <w:snapToGrid/>
          <w:color w:val="auto"/>
          <w:sz w:val="24"/>
          <w:szCs w:val="24"/>
          <w:highlight w:val="none"/>
        </w:rPr>
        <w:t>1.供应商应在规定时间内提交</w:t>
      </w:r>
      <w:r>
        <w:rPr>
          <w:rFonts w:hint="eastAsia" w:ascii="仿宋" w:hAnsi="仿宋" w:eastAsia="仿宋" w:cs="仿宋"/>
          <w:snapToGrid/>
          <w:color w:val="auto"/>
          <w:sz w:val="24"/>
          <w:szCs w:val="24"/>
          <w:highlight w:val="none"/>
          <w:lang w:eastAsia="zh-CN"/>
        </w:rPr>
        <w:t>《</w:t>
      </w:r>
      <w:r>
        <w:rPr>
          <w:rFonts w:hint="eastAsia" w:ascii="仿宋" w:hAnsi="仿宋" w:eastAsia="仿宋" w:cs="仿宋"/>
          <w:snapToGrid/>
          <w:color w:val="auto"/>
          <w:sz w:val="24"/>
          <w:szCs w:val="24"/>
          <w:highlight w:val="none"/>
        </w:rPr>
        <w:t>最后报价一览表</w:t>
      </w:r>
      <w:r>
        <w:rPr>
          <w:rFonts w:hint="eastAsia" w:ascii="仿宋" w:hAnsi="仿宋" w:eastAsia="仿宋" w:cs="仿宋"/>
          <w:snapToGrid/>
          <w:color w:val="auto"/>
          <w:sz w:val="24"/>
          <w:szCs w:val="24"/>
          <w:highlight w:val="none"/>
          <w:lang w:eastAsia="zh-CN"/>
        </w:rPr>
        <w:t>》</w:t>
      </w:r>
      <w:r>
        <w:rPr>
          <w:rFonts w:hint="eastAsia" w:ascii="仿宋" w:hAnsi="仿宋" w:eastAsia="仿宋" w:cs="仿宋"/>
          <w:snapToGrid/>
          <w:color w:val="auto"/>
          <w:sz w:val="24"/>
          <w:szCs w:val="24"/>
          <w:highlight w:val="none"/>
        </w:rPr>
        <w:t>。</w:t>
      </w:r>
    </w:p>
    <w:p>
      <w:pPr>
        <w:snapToGrid w:val="0"/>
        <w:spacing w:line="360"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十、评审</w:t>
      </w:r>
    </w:p>
    <w:p>
      <w:pPr>
        <w:pStyle w:val="136"/>
        <w:spacing w:before="0"/>
        <w:ind w:firstLine="495" w:firstLineChars="0"/>
        <w:rPr>
          <w:rFonts w:ascii="仿宋" w:hAnsi="仿宋" w:eastAsia="仿宋" w:cs="仿宋"/>
          <w:color w:val="auto"/>
          <w:szCs w:val="24"/>
          <w:highlight w:val="none"/>
        </w:rPr>
      </w:pPr>
      <w:r>
        <w:rPr>
          <w:rFonts w:hint="eastAsia" w:ascii="仿宋" w:hAnsi="仿宋" w:eastAsia="仿宋" w:cs="仿宋"/>
          <w:b/>
          <w:bCs/>
          <w:color w:val="auto"/>
          <w:szCs w:val="24"/>
          <w:highlight w:val="none"/>
        </w:rPr>
        <w:t>1.评审方法：</w:t>
      </w:r>
      <w:r>
        <w:rPr>
          <w:rFonts w:hint="eastAsia" w:ascii="仿宋" w:hAnsi="仿宋" w:eastAsia="仿宋" w:cs="仿宋"/>
          <w:color w:val="auto"/>
          <w:szCs w:val="24"/>
          <w:highlight w:val="none"/>
        </w:rPr>
        <w:t>综合评分法。</w:t>
      </w:r>
    </w:p>
    <w:p>
      <w:pPr>
        <w:pStyle w:val="136"/>
        <w:spacing w:before="0"/>
        <w:ind w:firstLine="495" w:firstLineChars="0"/>
        <w:rPr>
          <w:rFonts w:ascii="仿宋" w:hAnsi="仿宋" w:eastAsia="仿宋" w:cs="仿宋"/>
          <w:color w:val="auto"/>
          <w:szCs w:val="24"/>
          <w:highlight w:val="none"/>
        </w:rPr>
      </w:pPr>
      <w:r>
        <w:rPr>
          <w:rFonts w:hint="eastAsia" w:ascii="仿宋" w:hAnsi="仿宋" w:eastAsia="仿宋" w:cs="仿宋"/>
          <w:b/>
          <w:bCs/>
          <w:color w:val="auto"/>
          <w:szCs w:val="24"/>
          <w:highlight w:val="none"/>
        </w:rPr>
        <w:t>2.价格分计算方法：</w:t>
      </w:r>
      <w:r>
        <w:rPr>
          <w:rFonts w:hint="eastAsia" w:ascii="仿宋" w:hAnsi="仿宋" w:eastAsia="仿宋" w:cs="仿宋"/>
          <w:color w:val="auto"/>
          <w:szCs w:val="24"/>
          <w:highlight w:val="none"/>
        </w:rPr>
        <w:t>低价优先法。</w:t>
      </w:r>
    </w:p>
    <w:p>
      <w:pPr>
        <w:pStyle w:val="136"/>
        <w:spacing w:before="0"/>
        <w:ind w:firstLine="495" w:firstLineChars="0"/>
        <w:rPr>
          <w:rFonts w:ascii="仿宋" w:hAnsi="仿宋" w:eastAsia="仿宋" w:cs="仿宋"/>
          <w:color w:val="auto"/>
          <w:szCs w:val="24"/>
          <w:highlight w:val="none"/>
        </w:rPr>
      </w:pPr>
      <w:r>
        <w:rPr>
          <w:rFonts w:hint="eastAsia" w:ascii="仿宋" w:hAnsi="仿宋" w:eastAsia="仿宋" w:cs="仿宋"/>
          <w:b/>
          <w:bCs/>
          <w:color w:val="auto"/>
          <w:szCs w:val="24"/>
          <w:highlight w:val="none"/>
        </w:rPr>
        <w:t>3.评审要求：</w:t>
      </w:r>
      <w:r>
        <w:rPr>
          <w:rFonts w:hint="eastAsia" w:ascii="仿宋" w:hAnsi="仿宋" w:eastAsia="仿宋" w:cs="仿宋"/>
          <w:color w:val="auto"/>
          <w:szCs w:val="24"/>
          <w:highlight w:val="none"/>
        </w:rPr>
        <w:t>详见磋商文件第五部分“评审方法及评审标准”。</w:t>
      </w:r>
    </w:p>
    <w:p>
      <w:pPr>
        <w:snapToGrid w:val="0"/>
        <w:spacing w:line="360"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十一、成交</w:t>
      </w:r>
    </w:p>
    <w:p>
      <w:pPr>
        <w:pStyle w:val="32"/>
        <w:spacing w:line="360" w:lineRule="auto"/>
        <w:ind w:firstLine="482" w:firstLineChars="200"/>
        <w:rPr>
          <w:rFonts w:ascii="仿宋" w:hAnsi="仿宋" w:eastAsia="仿宋" w:cs="仿宋"/>
          <w:b/>
          <w:bCs/>
          <w:snapToGrid/>
          <w:color w:val="auto"/>
          <w:sz w:val="24"/>
          <w:szCs w:val="24"/>
          <w:highlight w:val="none"/>
        </w:rPr>
      </w:pPr>
      <w:r>
        <w:rPr>
          <w:rFonts w:hint="eastAsia" w:ascii="仿宋" w:hAnsi="仿宋" w:eastAsia="仿宋" w:cs="仿宋"/>
          <w:b/>
          <w:bCs/>
          <w:snapToGrid/>
          <w:color w:val="auto"/>
          <w:sz w:val="24"/>
          <w:szCs w:val="24"/>
          <w:highlight w:val="none"/>
        </w:rPr>
        <w:t>1. 推荐成交候选供应商</w:t>
      </w:r>
    </w:p>
    <w:p>
      <w:pPr>
        <w:spacing w:line="360" w:lineRule="auto"/>
        <w:ind w:firstLine="465" w:firstLineChars="194"/>
        <w:rPr>
          <w:rFonts w:ascii="仿宋" w:hAnsi="仿宋" w:eastAsia="仿宋" w:cs="仿宋"/>
          <w:color w:val="auto"/>
          <w:sz w:val="24"/>
          <w:highlight w:val="none"/>
        </w:rPr>
      </w:pPr>
      <w:r>
        <w:rPr>
          <w:rFonts w:hint="eastAsia" w:ascii="仿宋" w:hAnsi="仿宋" w:eastAsia="仿宋" w:cs="仿宋"/>
          <w:color w:val="auto"/>
          <w:sz w:val="24"/>
          <w:highlight w:val="none"/>
        </w:rPr>
        <w:t>磋商小组将根据综合评分情况，按照评审得分由高到低顺序推荐3名以上成交候选供应商，并编写评审报告。符合财政部门规定情形的，可以推荐2家成交候选供应商。评审得分相同的，按照最后报价由低到高的顺序推荐。评审得分且最后报价相同的，按照技术指标优劣顺序推荐。</w:t>
      </w:r>
    </w:p>
    <w:p>
      <w:pPr>
        <w:pStyle w:val="32"/>
        <w:spacing w:line="360" w:lineRule="auto"/>
        <w:ind w:firstLine="482" w:firstLineChars="200"/>
        <w:rPr>
          <w:rFonts w:ascii="仿宋" w:hAnsi="仿宋" w:eastAsia="仿宋" w:cs="仿宋"/>
          <w:b/>
          <w:bCs/>
          <w:snapToGrid/>
          <w:color w:val="auto"/>
          <w:sz w:val="24"/>
          <w:szCs w:val="24"/>
          <w:highlight w:val="none"/>
        </w:rPr>
      </w:pPr>
      <w:r>
        <w:rPr>
          <w:rFonts w:hint="eastAsia" w:ascii="仿宋" w:hAnsi="仿宋" w:eastAsia="仿宋" w:cs="仿宋"/>
          <w:b/>
          <w:bCs/>
          <w:snapToGrid/>
          <w:color w:val="auto"/>
          <w:sz w:val="24"/>
          <w:szCs w:val="24"/>
          <w:highlight w:val="none"/>
        </w:rPr>
        <w:t>2. 确定成交供应商</w:t>
      </w:r>
    </w:p>
    <w:p>
      <w:pPr>
        <w:spacing w:line="360" w:lineRule="auto"/>
        <w:ind w:firstLine="465" w:firstLineChars="194"/>
        <w:rPr>
          <w:rFonts w:ascii="仿宋" w:hAnsi="仿宋" w:eastAsia="仿宋" w:cs="仿宋"/>
          <w:color w:val="auto"/>
          <w:sz w:val="24"/>
          <w:highlight w:val="none"/>
        </w:rPr>
      </w:pPr>
      <w:r>
        <w:rPr>
          <w:rFonts w:hint="eastAsia" w:ascii="仿宋" w:hAnsi="仿宋" w:eastAsia="仿宋" w:cs="仿宋"/>
          <w:color w:val="auto"/>
          <w:sz w:val="24"/>
          <w:highlight w:val="none"/>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成交供应商。成交通知书和成交结果公告应当在规定时间内同时发出。</w:t>
      </w:r>
    </w:p>
    <w:p>
      <w:pPr>
        <w:pStyle w:val="32"/>
        <w:spacing w:line="360" w:lineRule="auto"/>
        <w:ind w:firstLine="482" w:firstLineChars="200"/>
        <w:rPr>
          <w:rFonts w:ascii="仿宋" w:hAnsi="仿宋" w:eastAsia="仿宋" w:cs="仿宋"/>
          <w:b/>
          <w:bCs/>
          <w:snapToGrid/>
          <w:color w:val="auto"/>
          <w:sz w:val="24"/>
          <w:szCs w:val="24"/>
          <w:highlight w:val="none"/>
        </w:rPr>
      </w:pPr>
      <w:r>
        <w:rPr>
          <w:rFonts w:hint="eastAsia" w:ascii="仿宋" w:hAnsi="仿宋" w:eastAsia="仿宋" w:cs="仿宋"/>
          <w:b/>
          <w:bCs/>
          <w:snapToGrid/>
          <w:color w:val="auto"/>
          <w:sz w:val="24"/>
          <w:szCs w:val="24"/>
          <w:highlight w:val="none"/>
        </w:rPr>
        <w:t>3．成交通知及成交结果公告</w:t>
      </w:r>
    </w:p>
    <w:p>
      <w:pPr>
        <w:spacing w:line="360" w:lineRule="auto"/>
        <w:ind w:firstLine="465" w:firstLineChars="194"/>
        <w:rPr>
          <w:rFonts w:ascii="仿宋" w:hAnsi="仿宋" w:eastAsia="仿宋" w:cs="仿宋"/>
          <w:color w:val="auto"/>
          <w:sz w:val="24"/>
          <w:highlight w:val="none"/>
        </w:rPr>
      </w:pPr>
      <w:r>
        <w:rPr>
          <w:rFonts w:hint="eastAsia" w:ascii="仿宋" w:hAnsi="仿宋" w:eastAsia="仿宋" w:cs="仿宋"/>
          <w:color w:val="auto"/>
          <w:sz w:val="24"/>
          <w:highlight w:val="none"/>
        </w:rPr>
        <w:t>3.1自成交人确定之日起2个工作日内，采购代理机构通过电子交易平台向成交人发出成交通知书，同时编制发布采购成交结果公告。采购代理机构也可以以纸质形式进行成交通知。</w:t>
      </w:r>
    </w:p>
    <w:p>
      <w:pPr>
        <w:spacing w:line="360" w:lineRule="auto"/>
        <w:ind w:firstLine="465" w:firstLineChars="194"/>
        <w:rPr>
          <w:rFonts w:ascii="仿宋" w:hAnsi="仿宋" w:eastAsia="仿宋" w:cs="仿宋"/>
          <w:color w:val="auto"/>
          <w:sz w:val="24"/>
          <w:highlight w:val="none"/>
        </w:rPr>
      </w:pPr>
      <w:r>
        <w:rPr>
          <w:rFonts w:hint="eastAsia" w:ascii="仿宋" w:hAnsi="仿宋" w:eastAsia="仿宋" w:cs="仿宋"/>
          <w:color w:val="auto"/>
          <w:sz w:val="24"/>
          <w:highlight w:val="none"/>
        </w:rPr>
        <w:t>3.2成交结果公告内容包括采购人及其委托的采购代理机构的名称、地址、联系方式，项目名称和项目编号，成交人名称、地址和成交金额，主要中标标的的名称、规格型号、数量、单价、服务要求，开标记录、</w:t>
      </w:r>
      <w:bookmarkStart w:id="14" w:name="_Hlk101184471"/>
      <w:r>
        <w:rPr>
          <w:rFonts w:hint="eastAsia" w:ascii="仿宋" w:hAnsi="仿宋" w:eastAsia="仿宋" w:cs="仿宋"/>
          <w:color w:val="auto"/>
          <w:sz w:val="24"/>
          <w:highlight w:val="none"/>
        </w:rPr>
        <w:t>资格审查情况、评审专家抽取规则、符合性审查情况、</w:t>
      </w:r>
      <w:bookmarkEnd w:id="14"/>
      <w:r>
        <w:rPr>
          <w:rFonts w:hint="eastAsia" w:ascii="仿宋" w:hAnsi="仿宋" w:eastAsia="仿宋" w:cs="仿宋"/>
          <w:color w:val="auto"/>
          <w:sz w:val="24"/>
          <w:highlight w:val="none"/>
        </w:rPr>
        <w:t>未成交情况说明、成交公告期限以及评审专家名单、评分汇总及明细。</w:t>
      </w:r>
    </w:p>
    <w:p>
      <w:pPr>
        <w:spacing w:line="360" w:lineRule="auto"/>
        <w:ind w:firstLine="465" w:firstLineChars="194"/>
        <w:rPr>
          <w:rFonts w:ascii="仿宋" w:hAnsi="仿宋" w:eastAsia="仿宋" w:cs="仿宋"/>
          <w:color w:val="auto"/>
          <w:sz w:val="24"/>
          <w:highlight w:val="none"/>
        </w:rPr>
      </w:pPr>
      <w:r>
        <w:rPr>
          <w:rFonts w:hint="eastAsia" w:ascii="仿宋" w:hAnsi="仿宋" w:eastAsia="仿宋" w:cs="仿宋"/>
          <w:color w:val="auto"/>
          <w:sz w:val="24"/>
          <w:highlight w:val="none"/>
        </w:rPr>
        <w:t>3.3公告期限为1个工作日。</w:t>
      </w:r>
    </w:p>
    <w:p>
      <w:pPr>
        <w:snapToGrid w:val="0"/>
        <w:spacing w:line="360" w:lineRule="auto"/>
        <w:jc w:val="center"/>
        <w:outlineLvl w:val="0"/>
        <w:rPr>
          <w:rFonts w:ascii="仿宋" w:hAnsi="仿宋" w:eastAsia="仿宋" w:cs="仿宋"/>
          <w:b/>
          <w:color w:val="auto"/>
          <w:sz w:val="32"/>
          <w:szCs w:val="20"/>
          <w:highlight w:val="none"/>
        </w:rPr>
      </w:pPr>
      <w:bookmarkStart w:id="15" w:name="_Toc91899903"/>
      <w:r>
        <w:rPr>
          <w:rFonts w:hint="eastAsia" w:ascii="仿宋" w:hAnsi="仿宋" w:eastAsia="仿宋" w:cs="仿宋"/>
          <w:b/>
          <w:color w:val="auto"/>
          <w:sz w:val="32"/>
          <w:szCs w:val="20"/>
          <w:highlight w:val="none"/>
        </w:rPr>
        <w:t>十二、合同</w:t>
      </w:r>
    </w:p>
    <w:p>
      <w:pPr>
        <w:widowControl/>
        <w:shd w:val="clear" w:color="auto" w:fill="FFFFFF"/>
        <w:snapToGrid w:val="0"/>
        <w:spacing w:line="360" w:lineRule="auto"/>
        <w:ind w:firstLine="480"/>
        <w:jc w:val="left"/>
        <w:rPr>
          <w:rFonts w:ascii="仿宋" w:hAnsi="仿宋" w:eastAsia="仿宋" w:cs="仿宋"/>
          <w:color w:val="auto"/>
          <w:kern w:val="0"/>
          <w:sz w:val="24"/>
          <w:highlight w:val="none"/>
        </w:rPr>
      </w:pPr>
      <w:r>
        <w:rPr>
          <w:rFonts w:hint="eastAsia" w:ascii="仿宋" w:hAnsi="仿宋" w:eastAsia="仿宋" w:cs="仿宋"/>
          <w:b/>
          <w:bCs/>
          <w:color w:val="auto"/>
          <w:kern w:val="0"/>
          <w:sz w:val="24"/>
          <w:highlight w:val="none"/>
        </w:rPr>
        <w:t>1.合同主要条款：</w:t>
      </w:r>
      <w:r>
        <w:rPr>
          <w:rFonts w:hint="eastAsia" w:ascii="仿宋" w:hAnsi="仿宋" w:eastAsia="仿宋" w:cs="仿宋"/>
          <w:color w:val="auto"/>
          <w:kern w:val="0"/>
          <w:sz w:val="24"/>
          <w:highlight w:val="none"/>
        </w:rPr>
        <w:t>详见“第六部分拟签订的合同文本”。</w:t>
      </w:r>
    </w:p>
    <w:p>
      <w:pPr>
        <w:widowControl/>
        <w:shd w:val="clear" w:color="auto" w:fill="FFFFFF"/>
        <w:snapToGrid w:val="0"/>
        <w:spacing w:line="360" w:lineRule="auto"/>
        <w:ind w:firstLine="480"/>
        <w:jc w:val="lef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2.合同的签订</w:t>
      </w:r>
    </w:p>
    <w:p>
      <w:pPr>
        <w:widowControl/>
        <w:shd w:val="clear" w:color="auto" w:fill="FFFFFF"/>
        <w:snapToGrid w:val="0"/>
        <w:spacing w:line="360" w:lineRule="auto"/>
        <w:ind w:firstLine="48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2.1采购人与成交供应商应当通过电子交易平台在成交通知书发出之日起三十日内，按照采购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成交通知书发出之日起10个工作日内，与成交供应商按照采购文件确定的事项签订政府采购合同。</w:t>
      </w:r>
    </w:p>
    <w:p>
      <w:pPr>
        <w:widowControl/>
        <w:shd w:val="clear" w:color="auto" w:fill="FFFFFF"/>
        <w:snapToGrid w:val="0"/>
        <w:spacing w:line="360" w:lineRule="auto"/>
        <w:ind w:firstLine="48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2.2成交人按规定的日期、时间、地点，由法定代表人或其授权代表与采购人代表签订合同。如成交人为联合体的，由联合体成员各方法定代表人或其授权代表与采购人代表签订合同。</w:t>
      </w:r>
    </w:p>
    <w:p>
      <w:pPr>
        <w:widowControl/>
        <w:shd w:val="clear" w:color="auto" w:fill="FFFFFF"/>
        <w:snapToGrid w:val="0"/>
        <w:spacing w:line="360" w:lineRule="auto"/>
        <w:ind w:firstLine="48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2.3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pPr>
        <w:widowControl/>
        <w:shd w:val="clear" w:color="auto" w:fill="FFFFFF"/>
        <w:snapToGrid w:val="0"/>
        <w:spacing w:line="360" w:lineRule="auto"/>
        <w:ind w:firstLine="48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2.4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pPr>
        <w:widowControl/>
        <w:shd w:val="clear" w:color="auto" w:fill="FFFFFF"/>
        <w:snapToGrid w:val="0"/>
        <w:spacing w:line="360" w:lineRule="auto"/>
        <w:ind w:firstLine="48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2.5如签订合同并生效后，供应商无故拒绝或延期，除按照合同条款处理外，列入不良行为记录一次，并给予通报。</w:t>
      </w:r>
    </w:p>
    <w:p>
      <w:pPr>
        <w:widowControl/>
        <w:shd w:val="clear" w:color="auto" w:fill="FFFFFF"/>
        <w:snapToGrid w:val="0"/>
        <w:spacing w:line="360" w:lineRule="auto"/>
        <w:ind w:firstLine="48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2.6采购合同由采购人与成交供应商根据磋商文件、响应文件等内容通过政府采购电子交易平台在线签订，自动备案。</w:t>
      </w:r>
    </w:p>
    <w:p>
      <w:pPr>
        <w:pStyle w:val="32"/>
        <w:spacing w:line="360" w:lineRule="auto"/>
        <w:ind w:firstLine="482" w:firstLineChars="200"/>
        <w:rPr>
          <w:rFonts w:ascii="仿宋" w:hAnsi="仿宋" w:eastAsia="仿宋" w:cs="仿宋"/>
          <w:b/>
          <w:bCs/>
          <w:snapToGrid/>
          <w:color w:val="auto"/>
          <w:sz w:val="24"/>
          <w:szCs w:val="24"/>
          <w:highlight w:val="none"/>
        </w:rPr>
      </w:pPr>
      <w:r>
        <w:rPr>
          <w:rFonts w:hint="eastAsia" w:ascii="仿宋" w:hAnsi="仿宋" w:eastAsia="仿宋" w:cs="仿宋"/>
          <w:b/>
          <w:bCs/>
          <w:snapToGrid/>
          <w:color w:val="auto"/>
          <w:sz w:val="24"/>
          <w:szCs w:val="24"/>
          <w:highlight w:val="none"/>
        </w:rPr>
        <w:t>3．履约保证金</w:t>
      </w:r>
    </w:p>
    <w:p>
      <w:pPr>
        <w:widowControl/>
        <w:shd w:val="clear" w:color="auto" w:fill="FFFFFF"/>
        <w:snapToGrid w:val="0"/>
        <w:spacing w:line="360" w:lineRule="auto"/>
        <w:ind w:firstLine="48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拟签订的合同文本要求成交供应商提交履约保证金的，供应商应当以支票、汇票、本票或者金融机构、担保机构出具的保函等非现金形式提交。履约保证金的数额不得超过政府采购合同金额的1%。鼓励和支持供应商以银行、保险公司出具的保函形式提供履约保证金。采购人不得拒收履约保函，项目验收结束后应及时退还，延迟退还的，应当按照合同约定和法律规定承担相应的赔偿责任。</w:t>
      </w:r>
    </w:p>
    <w:p>
      <w:pPr>
        <w:widowControl/>
        <w:shd w:val="clear" w:color="auto" w:fill="FFFFFF"/>
        <w:snapToGrid w:val="0"/>
        <w:spacing w:line="360" w:lineRule="auto"/>
        <w:ind w:firstLine="48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十三、验收</w:t>
      </w:r>
    </w:p>
    <w:p>
      <w:pPr>
        <w:pStyle w:val="24"/>
        <w:spacing w:line="360" w:lineRule="auto"/>
        <w:ind w:firstLine="482"/>
        <w:rPr>
          <w:rFonts w:ascii="仿宋" w:hAnsi="仿宋" w:eastAsia="仿宋" w:cs="仿宋"/>
          <w:b/>
          <w:bCs/>
          <w:color w:val="auto"/>
          <w:kern w:val="0"/>
          <w:highlight w:val="none"/>
        </w:rPr>
      </w:pPr>
      <w:r>
        <w:rPr>
          <w:rFonts w:hint="eastAsia" w:ascii="仿宋" w:hAnsi="仿宋" w:eastAsia="仿宋" w:cs="仿宋"/>
          <w:b/>
          <w:bCs/>
          <w:color w:val="auto"/>
          <w:kern w:val="0"/>
          <w:highlight w:val="none"/>
        </w:rPr>
        <w:t>1.验收</w:t>
      </w:r>
    </w:p>
    <w:p>
      <w:pPr>
        <w:tabs>
          <w:tab w:val="left" w:pos="0"/>
        </w:tabs>
        <w:spacing w:line="360" w:lineRule="auto"/>
        <w:ind w:firstLine="48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8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snapToGrid w:val="0"/>
        <w:spacing w:line="360"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十四、电子交易活动的中止</w:t>
      </w:r>
    </w:p>
    <w:p>
      <w:pPr>
        <w:tabs>
          <w:tab w:val="left" w:pos="0"/>
        </w:tabs>
        <w:spacing w:line="360" w:lineRule="auto"/>
        <w:ind w:firstLine="480"/>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1.电子交易活动的中止</w:t>
      </w:r>
    </w:p>
    <w:p>
      <w:pPr>
        <w:tabs>
          <w:tab w:val="left" w:pos="0"/>
        </w:tabs>
        <w:spacing w:line="360" w:lineRule="auto"/>
        <w:ind w:firstLine="48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采购过程中出现以下情形，导致电子交易平台无法正常运行，或者无法保证电子交易的公平、公正和安全时，采购代理机构可中止电子交易活动：</w:t>
      </w:r>
    </w:p>
    <w:p>
      <w:pPr>
        <w:tabs>
          <w:tab w:val="left" w:pos="0"/>
        </w:tabs>
        <w:spacing w:line="360" w:lineRule="auto"/>
        <w:ind w:firstLine="48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1.1电子交易平台发生故障而无法登录访问的； </w:t>
      </w:r>
    </w:p>
    <w:p>
      <w:pPr>
        <w:tabs>
          <w:tab w:val="left" w:pos="0"/>
        </w:tabs>
        <w:spacing w:line="360" w:lineRule="auto"/>
        <w:ind w:firstLine="48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1.2电子交易平台应用或数据库出现错误，不能进行正常操作的；</w:t>
      </w:r>
    </w:p>
    <w:p>
      <w:pPr>
        <w:tabs>
          <w:tab w:val="left" w:pos="0"/>
        </w:tabs>
        <w:spacing w:line="360" w:lineRule="auto"/>
        <w:ind w:firstLine="48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1.3电子交易平台发现严重安全漏洞，有潜在泄密危险的；</w:t>
      </w:r>
    </w:p>
    <w:p>
      <w:pPr>
        <w:tabs>
          <w:tab w:val="left" w:pos="0"/>
        </w:tabs>
        <w:spacing w:line="360" w:lineRule="auto"/>
        <w:ind w:firstLine="48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1.4病毒发作导致不能进行正常操作的； </w:t>
      </w:r>
    </w:p>
    <w:p>
      <w:pPr>
        <w:tabs>
          <w:tab w:val="left" w:pos="0"/>
        </w:tabs>
        <w:spacing w:line="360" w:lineRule="auto"/>
        <w:ind w:firstLine="48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1.5其他无法保证电子交易的公平、公正和安全的情况。</w:t>
      </w:r>
    </w:p>
    <w:p>
      <w:pPr>
        <w:tabs>
          <w:tab w:val="left" w:pos="0"/>
        </w:tabs>
        <w:spacing w:line="360" w:lineRule="auto"/>
        <w:ind w:firstLine="48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2.出现以上情形，不影响采购公平、公正性的，采购组织机构可以待上述情形消除后继续组织电子交易活动，也可以决定某些环节以纸质形式进行；影响或可能影响采购公平、公正性的，应当重新采购。</w:t>
      </w:r>
    </w:p>
    <w:p>
      <w:pPr>
        <w:pStyle w:val="24"/>
        <w:snapToGrid w:val="0"/>
        <w:spacing w:line="360" w:lineRule="auto"/>
        <w:ind w:left="479" w:leftChars="228" w:firstLine="0" w:firstLineChars="0"/>
        <w:rPr>
          <w:rFonts w:ascii="仿宋" w:hAnsi="仿宋" w:eastAsia="仿宋" w:cs="仿宋"/>
          <w:b/>
          <w:color w:val="auto"/>
          <w:highlight w:val="none"/>
        </w:rPr>
      </w:pPr>
    </w:p>
    <w:bookmarkEnd w:id="12"/>
    <w:bookmarkEnd w:id="13"/>
    <w:bookmarkEnd w:id="15"/>
    <w:p>
      <w:pPr>
        <w:jc w:val="left"/>
        <w:rPr>
          <w:rFonts w:ascii="仿宋" w:hAnsi="仿宋" w:eastAsia="仿宋" w:cs="仿宋"/>
          <w:b/>
          <w:color w:val="auto"/>
          <w:sz w:val="36"/>
          <w:szCs w:val="20"/>
          <w:highlight w:val="none"/>
        </w:rPr>
      </w:pPr>
      <w:bookmarkStart w:id="16" w:name="第四部分"/>
      <w:r>
        <w:rPr>
          <w:rFonts w:hint="eastAsia" w:ascii="仿宋" w:hAnsi="仿宋" w:eastAsia="仿宋" w:cs="仿宋"/>
          <w:b/>
          <w:color w:val="auto"/>
          <w:sz w:val="36"/>
          <w:szCs w:val="20"/>
          <w:highlight w:val="none"/>
        </w:rPr>
        <w:br w:type="page"/>
      </w:r>
    </w:p>
    <w:p>
      <w:pPr>
        <w:pStyle w:val="32"/>
        <w:spacing w:line="360" w:lineRule="auto"/>
        <w:jc w:val="center"/>
        <w:rPr>
          <w:rFonts w:ascii="仿宋" w:hAnsi="仿宋" w:eastAsia="仿宋" w:cs="仿宋"/>
          <w:b/>
          <w:bCs/>
          <w:snapToGrid/>
          <w:color w:val="auto"/>
          <w:kern w:val="0"/>
          <w:sz w:val="36"/>
          <w:szCs w:val="36"/>
          <w:highlight w:val="none"/>
        </w:rPr>
      </w:pPr>
      <w:r>
        <w:rPr>
          <w:rFonts w:hint="eastAsia" w:ascii="仿宋" w:hAnsi="仿宋" w:eastAsia="仿宋" w:cs="仿宋"/>
          <w:b/>
          <w:bCs/>
          <w:snapToGrid/>
          <w:color w:val="auto"/>
          <w:kern w:val="0"/>
          <w:sz w:val="36"/>
          <w:szCs w:val="36"/>
          <w:highlight w:val="none"/>
        </w:rPr>
        <w:t>第四部分   采购需求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1、系统建设的原则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校园新能源充电桩系统建设以“统一标准、集中管理、突出应用、稳定可靠”为原则，确保系统的设计和建设满足城市充电桩资源的全局需求，体现城市充电管理服务的数字化、高效化和智能化。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1）统一标准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系统的建设须统一标准，系统建设在符合国家和行业相关标准及地方标准的建设要求基础上，采用先进的技术手段和标准协议，整合各类停车场资源，在统一的标准框架下建设充电桩设施。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2）集中管理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采用云平台服务+智慧平安校园业务平台相结合，实现管理及运营服务相结合，系统的管理及数据经协议对接，实现数字校园管理统一管理，面向校内服务群体。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3）稳定可靠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系统采用的软硬件根据统一的规范、协议和要求选型，根据最新的标准规范，并经过具有相应资格的软件评测中心、产品检测中心的测试，质量达标，性能稳定，能够持续有效运行，满足校园充电管理、监控与运营7*24小时不间断持续运行的需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4）突出应用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在建设中应以实际需求为导向，以有效应用为核心，充分利用充电信息资源，结合各种应用业务，实现校园充电桩运营管理系统对校园日常使用中达到最佳的绩效。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2、总体目标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基于城市停车行业的业务需求及智能化技术发展趋势，校园内部署新能源充电桩设备也迫在眉睫，通过以构建“一个停车场”、搭建智能化运营体系、提供一站式充电服务为目标，实现停车、充电资源统筹监管、停充统一运营水平提升、车主停车、充电体验升级，解决校园内师生新能源汽车停车、充电难的问题，为车主提供便民服务。</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3、项目具体要求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1）充电终端：具有漏电自动切断功能，在充电过程中出现问题，自动关断充电输出。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2）充电枪在非充电状态下，整体不带电，拔下充电枪，就地充电装置没有任何电源，插入充电枪、认证信息后通电，无安全隐患。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3）充电桩具备内部过温保护，当内部温度达到保护值，采取降功率或停止输出并发出告警信号。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4）在充电过程中实时安全保护：过流保护、短路保护、漏电保护、过压保护、欠压保护、急停保护、防雷击浪涌保护、充电枪插拔保护、强弱电分离保护，实时保障车主及电动汽车的安全。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5）过流保护：当电流超过设定电流后，自动断电，来保护设备芯片和主板不被烧坏，避免设备故障。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6）短路保护：短路不仅容易损坏电源，严重的甚至引发火灾。一旦发现短路情况，电动汽车充电桩将立刻断电，防患未然。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7）漏电保护 漏电事故一般发生在操作过程中，漏电保护系统回收剩余电流，如果电流过大难以回收，将立刻切断电流。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8）过压保护：过压保护主要保护电动汽车充电桩供电线路，当电压超过预订的最大值，立即控制电压降低或直接切断电源。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9）欠压保护：欠压一般是由于短路引起的，会给电动汽车充电桩的线路和设备本身带来损害。欠压保护便是在设备由于各种原因被切断电源后，电压被降低到临界电压时，保护电动汽车充电桩不会受损，可延长电动汽车充电桩的使用期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10）急停保护：紧急情况下1.5S内将输出电压从最大值降低到60V；充电过程中当发生启动急停按钮、控制引导故障、充电管理系统通讯故障时，充电桩能在200ms内断开直流输出接触器，且输出电压在1.5S内下降至60V以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11）防雷击浪涌保护：当电气回路或者通信线路中因为外界的干扰突然产生尖峰电流或者电压时，浪涌保护器能在极短的时间内导通分流，从而避免浪涌对回路中其他设备的损害。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12）充电枪插拔保护：既在操作员操作过程中，对于充电器插拔过程中的漏电进行回收和处理，避免伤害人体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4、项目具体需求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1）本项目建设30个新能源充电桩位，采用交流慢充型设备。面向校内教职工新能源车主使用。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2）新能源充电管理系统采用统一管理，与平安校园综合安</w:t>
      </w:r>
      <w:r>
        <w:rPr>
          <w:rFonts w:hint="eastAsia" w:ascii="仿宋" w:hAnsi="仿宋" w:eastAsia="仿宋" w:cs="仿宋"/>
          <w:bCs/>
          <w:color w:val="auto"/>
          <w:sz w:val="24"/>
          <w:highlight w:val="none"/>
          <w:lang w:val="en-US" w:eastAsia="zh-CN"/>
        </w:rPr>
        <w:t>全</w:t>
      </w:r>
      <w:r>
        <w:rPr>
          <w:rFonts w:hint="eastAsia" w:ascii="仿宋" w:hAnsi="仿宋" w:eastAsia="仿宋" w:cs="仿宋"/>
          <w:bCs/>
          <w:color w:val="auto"/>
          <w:sz w:val="24"/>
          <w:highlight w:val="none"/>
        </w:rPr>
        <w:t>管理平台、校园一卡通支付平台、校园虚拟三维地图平台做对接及融合，有权限的教职工采用校园钉扫码充电桩二维码，采用实名认证制度。充电结束后系统自动扣除校园一卡通支付钱包方式结算（按照实际电费结算），结算成功系统推送结算信息给到用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新能源充电管理系统与校园三维虚拟地图做数据对接，针对新能源车位的使用情况、车辆充电时的状态等相关数据在三维地图进行可视化展示及联动处理，为新能源充电系统在后续使用中实时的做到有效管理及监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4）新能源车位区域设置监控摄像机，全面覆盖车位及周边的情况，确保系统及区域的安全。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5）新能源车位区域设置消防设施，按现行国家标准《建筑灭火器配置设计规范》GB 50140的规定配置灭火器，选用干粉灭火器。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6）新能源汽车充电桩质</w:t>
      </w:r>
      <w:r>
        <w:rPr>
          <w:rFonts w:hint="eastAsia" w:ascii="仿宋" w:hAnsi="仿宋" w:eastAsia="仿宋" w:cs="仿宋"/>
          <w:bCs/>
          <w:color w:val="auto"/>
          <w:sz w:val="24"/>
          <w:highlight w:val="none"/>
        </w:rPr>
        <w:t xml:space="preserve">保期不少于3年。  </w:t>
      </w:r>
      <w:r>
        <w:rPr>
          <w:rFonts w:hint="eastAsia" w:ascii="仿宋" w:hAnsi="仿宋" w:eastAsia="仿宋" w:cs="仿宋"/>
          <w:bCs/>
          <w:color w:val="auto"/>
          <w:sz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 xml:space="preserve">5、项目具体安装区域及供电配线 </w:t>
      </w:r>
    </w:p>
    <w:p>
      <w:pPr>
        <w:rPr>
          <w:rFonts w:hint="eastAsia" w:ascii="仿宋" w:hAnsi="仿宋" w:eastAsia="仿宋" w:cs="仿宋"/>
          <w:b/>
          <w:bCs/>
          <w:color w:val="auto"/>
          <w:kern w:val="0"/>
          <w:sz w:val="24"/>
          <w:szCs w:val="24"/>
          <w:highlight w:val="none"/>
        </w:rPr>
      </w:pPr>
      <w:r>
        <w:rPr>
          <w:color w:val="auto"/>
          <w:sz w:val="28"/>
          <w:szCs w:val="28"/>
          <w:highlight w:val="none"/>
        </w:rPr>
        <w:drawing>
          <wp:anchor distT="0" distB="0" distL="114300" distR="114300" simplePos="0" relativeHeight="251664384" behindDoc="0" locked="0" layoutInCell="1" allowOverlap="1">
            <wp:simplePos x="0" y="0"/>
            <wp:positionH relativeFrom="column">
              <wp:posOffset>45720</wp:posOffset>
            </wp:positionH>
            <wp:positionV relativeFrom="paragraph">
              <wp:posOffset>12700</wp:posOffset>
            </wp:positionV>
            <wp:extent cx="5626100" cy="4244340"/>
            <wp:effectExtent l="0" t="0" r="12700" b="762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626100" cy="4244340"/>
                    </a:xfrm>
                    <a:prstGeom prst="rect">
                      <a:avLst/>
                    </a:prstGeom>
                    <a:noFill/>
                    <a:ln>
                      <a:noFill/>
                    </a:ln>
                  </pic:spPr>
                </pic:pic>
              </a:graphicData>
            </a:graphic>
          </wp:anchor>
        </w:drawing>
      </w:r>
    </w:p>
    <w:p>
      <w:pPr>
        <w:rPr>
          <w:rFonts w:hint="eastAsia" w:ascii="仿宋" w:hAnsi="仿宋" w:eastAsia="仿宋" w:cs="仿宋"/>
          <w:b/>
          <w:color w:val="auto"/>
          <w:sz w:val="36"/>
          <w:szCs w:val="20"/>
          <w:highlight w:val="none"/>
          <w:lang w:val="en-US" w:eastAsia="zh-CN"/>
        </w:rPr>
      </w:pPr>
    </w:p>
    <w:p>
      <w:pPr>
        <w:rPr>
          <w:rFonts w:hint="eastAsia" w:ascii="仿宋" w:hAnsi="仿宋" w:eastAsia="仿宋" w:cs="仿宋"/>
          <w:b/>
          <w:color w:val="auto"/>
          <w:sz w:val="36"/>
          <w:szCs w:val="20"/>
          <w:highlight w:val="none"/>
          <w:lang w:val="en-US" w:eastAsia="zh-CN"/>
        </w:rPr>
      </w:pPr>
    </w:p>
    <w:p>
      <w:pPr>
        <w:rPr>
          <w:rFonts w:hint="eastAsia" w:ascii="仿宋" w:hAnsi="仿宋" w:eastAsia="仿宋" w:cs="仿宋"/>
          <w:b/>
          <w:color w:val="auto"/>
          <w:sz w:val="36"/>
          <w:szCs w:val="20"/>
          <w:highlight w:val="none"/>
          <w:lang w:val="en-US" w:eastAsia="zh-CN"/>
        </w:rPr>
      </w:pPr>
    </w:p>
    <w:p>
      <w:pPr>
        <w:rPr>
          <w:rFonts w:hint="eastAsia" w:ascii="仿宋" w:hAnsi="仿宋" w:eastAsia="仿宋" w:cs="仿宋"/>
          <w:b/>
          <w:color w:val="auto"/>
          <w:sz w:val="36"/>
          <w:szCs w:val="20"/>
          <w:highlight w:val="none"/>
          <w:lang w:val="en-US" w:eastAsia="zh-CN"/>
        </w:rPr>
      </w:pPr>
    </w:p>
    <w:p>
      <w:pPr>
        <w:rPr>
          <w:rFonts w:hint="eastAsia" w:ascii="仿宋" w:hAnsi="仿宋" w:eastAsia="仿宋" w:cs="仿宋"/>
          <w:b/>
          <w:color w:val="auto"/>
          <w:sz w:val="36"/>
          <w:szCs w:val="20"/>
          <w:highlight w:val="none"/>
          <w:lang w:val="en-US" w:eastAsia="zh-CN"/>
        </w:rPr>
      </w:pPr>
    </w:p>
    <w:p>
      <w:pPr>
        <w:rPr>
          <w:rFonts w:hint="eastAsia" w:ascii="仿宋" w:hAnsi="仿宋" w:eastAsia="仿宋" w:cs="仿宋"/>
          <w:b/>
          <w:color w:val="auto"/>
          <w:sz w:val="36"/>
          <w:szCs w:val="20"/>
          <w:highlight w:val="none"/>
          <w:lang w:val="en-US" w:eastAsia="zh-CN"/>
        </w:rPr>
      </w:pPr>
    </w:p>
    <w:p>
      <w:pPr>
        <w:rPr>
          <w:rFonts w:hint="eastAsia" w:ascii="仿宋" w:hAnsi="仿宋" w:eastAsia="仿宋" w:cs="仿宋"/>
          <w:b/>
          <w:color w:val="auto"/>
          <w:sz w:val="36"/>
          <w:szCs w:val="20"/>
          <w:highlight w:val="none"/>
          <w:lang w:val="en-US" w:eastAsia="zh-CN"/>
        </w:rPr>
      </w:pPr>
    </w:p>
    <w:p>
      <w:pPr>
        <w:rPr>
          <w:rFonts w:hint="eastAsia" w:ascii="仿宋" w:hAnsi="仿宋" w:eastAsia="仿宋" w:cs="仿宋"/>
          <w:b/>
          <w:color w:val="auto"/>
          <w:sz w:val="36"/>
          <w:szCs w:val="20"/>
          <w:highlight w:val="none"/>
          <w:lang w:val="en-US" w:eastAsia="zh-CN"/>
        </w:rPr>
      </w:pPr>
    </w:p>
    <w:p>
      <w:pPr>
        <w:rPr>
          <w:rFonts w:hint="eastAsia" w:ascii="仿宋" w:hAnsi="仿宋" w:eastAsia="仿宋" w:cs="仿宋"/>
          <w:b/>
          <w:color w:val="auto"/>
          <w:sz w:val="36"/>
          <w:szCs w:val="20"/>
          <w:highlight w:val="none"/>
          <w:lang w:val="en-US" w:eastAsia="zh-CN"/>
        </w:rPr>
      </w:pPr>
    </w:p>
    <w:p>
      <w:pPr>
        <w:rPr>
          <w:rFonts w:hint="eastAsia" w:ascii="仿宋" w:hAnsi="仿宋" w:eastAsia="仿宋" w:cs="仿宋"/>
          <w:b/>
          <w:color w:val="auto"/>
          <w:sz w:val="36"/>
          <w:szCs w:val="20"/>
          <w:highlight w:val="none"/>
          <w:lang w:val="en-US" w:eastAsia="zh-CN"/>
        </w:rPr>
      </w:pPr>
    </w:p>
    <w:p>
      <w:pPr>
        <w:rPr>
          <w:rFonts w:hint="eastAsia" w:ascii="仿宋" w:hAnsi="仿宋" w:eastAsia="仿宋" w:cs="仿宋"/>
          <w:b/>
          <w:color w:val="auto"/>
          <w:sz w:val="36"/>
          <w:szCs w:val="20"/>
          <w:highlight w:val="none"/>
          <w:lang w:val="en-US" w:eastAsia="zh-CN"/>
        </w:rPr>
      </w:pPr>
    </w:p>
    <w:p>
      <w:pPr>
        <w:rPr>
          <w:rFonts w:hint="eastAsia" w:ascii="仿宋" w:hAnsi="仿宋" w:eastAsia="仿宋" w:cs="仿宋"/>
          <w:b/>
          <w:color w:val="auto"/>
          <w:sz w:val="36"/>
          <w:szCs w:val="20"/>
          <w:highlight w:val="none"/>
          <w:lang w:val="en-US" w:eastAsia="zh-CN"/>
        </w:rPr>
      </w:pPr>
    </w:p>
    <w:p>
      <w:pPr>
        <w:rPr>
          <w:rFonts w:hint="eastAsia" w:ascii="仿宋" w:hAnsi="仿宋" w:eastAsia="仿宋" w:cs="仿宋"/>
          <w:b/>
          <w:color w:val="auto"/>
          <w:sz w:val="36"/>
          <w:szCs w:val="20"/>
          <w:highlight w:val="none"/>
          <w:lang w:val="en-US" w:eastAsia="zh-CN"/>
        </w:rPr>
      </w:pPr>
    </w:p>
    <w:p>
      <w:pPr>
        <w:rPr>
          <w:rFonts w:hint="eastAsia" w:ascii="仿宋" w:hAnsi="仿宋" w:eastAsia="仿宋" w:cs="仿宋"/>
          <w:b/>
          <w:color w:val="auto"/>
          <w:sz w:val="36"/>
          <w:szCs w:val="20"/>
          <w:highlight w:val="none"/>
          <w:lang w:val="en-US" w:eastAsia="zh-CN"/>
        </w:rPr>
      </w:pPr>
    </w:p>
    <w:p>
      <w:pPr>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设置区域1：在交通实训大楼南边围墙现有车位上设置18个新能源充电车位</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供电配线由交通综合实训楼高配房输入，采用现有强电管道敷设电缆，部分路面需要新开挖埋设。</w:t>
      </w:r>
      <w:r>
        <w:rPr>
          <w:rFonts w:hint="eastAsia" w:ascii="仿宋" w:hAnsi="仿宋" w:eastAsia="仿宋" w:cs="仿宋"/>
          <w:bCs/>
          <w:color w:val="auto"/>
          <w:sz w:val="24"/>
          <w:highlight w:val="none"/>
        </w:rPr>
        <w:br w:type="page"/>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r>
        <w:rPr>
          <w:color w:val="auto"/>
          <w:sz w:val="28"/>
          <w:szCs w:val="28"/>
          <w:highlight w:val="none"/>
        </w:rPr>
        <w:drawing>
          <wp:anchor distT="0" distB="0" distL="114300" distR="114300" simplePos="0" relativeHeight="251665408" behindDoc="0" locked="0" layoutInCell="1" allowOverlap="1">
            <wp:simplePos x="0" y="0"/>
            <wp:positionH relativeFrom="column">
              <wp:posOffset>-112395</wp:posOffset>
            </wp:positionH>
            <wp:positionV relativeFrom="paragraph">
              <wp:posOffset>250825</wp:posOffset>
            </wp:positionV>
            <wp:extent cx="5789295" cy="4414520"/>
            <wp:effectExtent l="0" t="0" r="1905" b="508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789295" cy="441452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设置区域2：在继续教育学院东边现有车位上设置12个新能源充电车位，供电配线由汽车综合实训楼高配房输入，采用现有强电管道敷设电缆，部分路面需要新开挖埋设。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6、项目具体工程量清单</w:t>
      </w:r>
    </w:p>
    <w:tbl>
      <w:tblPr>
        <w:tblStyle w:val="63"/>
        <w:tblW w:w="9117" w:type="dxa"/>
        <w:jc w:val="center"/>
        <w:tblLayout w:type="fixed"/>
        <w:tblCellMar>
          <w:top w:w="0" w:type="dxa"/>
          <w:left w:w="108" w:type="dxa"/>
          <w:bottom w:w="0" w:type="dxa"/>
          <w:right w:w="108" w:type="dxa"/>
        </w:tblCellMar>
      </w:tblPr>
      <w:tblGrid>
        <w:gridCol w:w="768"/>
        <w:gridCol w:w="1440"/>
        <w:gridCol w:w="5445"/>
        <w:gridCol w:w="765"/>
        <w:gridCol w:w="699"/>
      </w:tblGrid>
      <w:tr>
        <w:tblPrEx>
          <w:tblCellMar>
            <w:top w:w="0" w:type="dxa"/>
            <w:left w:w="108" w:type="dxa"/>
            <w:bottom w:w="0" w:type="dxa"/>
            <w:right w:w="108" w:type="dxa"/>
          </w:tblCellMar>
        </w:tblPrEx>
        <w:trPr>
          <w:trHeight w:val="440" w:hRule="atLeast"/>
          <w:jc w:val="center"/>
        </w:trPr>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序号</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名称</w:t>
            </w:r>
          </w:p>
        </w:tc>
        <w:tc>
          <w:tcPr>
            <w:tcW w:w="544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bottom"/>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参数</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bottom"/>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数量</w:t>
            </w:r>
          </w:p>
        </w:tc>
        <w:tc>
          <w:tcPr>
            <w:tcW w:w="69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bottom"/>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单位</w:t>
            </w:r>
          </w:p>
        </w:tc>
      </w:tr>
      <w:tr>
        <w:tblPrEx>
          <w:tblCellMar>
            <w:top w:w="0" w:type="dxa"/>
            <w:left w:w="108" w:type="dxa"/>
            <w:bottom w:w="0" w:type="dxa"/>
            <w:right w:w="108" w:type="dxa"/>
          </w:tblCellMar>
        </w:tblPrEx>
        <w:trPr>
          <w:trHeight w:val="1071" w:hRule="atLeast"/>
          <w:jc w:val="center"/>
        </w:trPr>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车位监管停充一体机（双枪）</w:t>
            </w:r>
          </w:p>
        </w:tc>
        <w:tc>
          <w:tcPr>
            <w:tcW w:w="5445" w:type="dxa"/>
            <w:tcBorders>
              <w:top w:val="single" w:color="000000" w:sz="4" w:space="0"/>
              <w:left w:val="single" w:color="000000" w:sz="4" w:space="0"/>
              <w:bottom w:val="single" w:color="000000" w:sz="4" w:space="0"/>
              <w:right w:val="single" w:color="000000" w:sz="4" w:space="0"/>
            </w:tcBorders>
            <w:noWrap w:val="0"/>
            <w:vAlign w:val="bottom"/>
          </w:tcPr>
          <w:p>
            <w:pPr>
              <w:widowControl/>
              <w:spacing w:line="360" w:lineRule="exact"/>
              <w:jc w:val="left"/>
              <w:textAlignment w:val="bottom"/>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设备功能及参数要求：</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车位识别充电一体机，集成车位识别机、充电桩、语音播报、LCD显示屏等多种功能于一体。可支持2个车位同时识别和充电，大大降低了设备铺设成本，有效解决充电车位占用问题。支持对充电时长的停车费进行减免设置。</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1、可监控2个车位/充电：通过摄像机可以同时识别相邻两个车位可以通过监控设备同时监控两个车位的情况，为两辆车提供充电服务。充电枪：32A  7KWx2  可同时为两辆车充电。</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★2、充电桩输入电压：180~240V AC。输出功率：50W+7KWx2。通讯方式：TCP/IP。工作温度：-30~50℃ 在标准大气压下。工作湿度：10%~90%（不凝露）外壳材质：钣金。防护等级：IP54。</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3、可（通过蓝牙）外接地锁，车位占用道闸等硬件设备，与其联动可有效杜绝充电车位被非电车占用的情况，有效提高车位利用率和管理效率。</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★4、配置2个红外热像仪实时测量周边温度，提供过热保护，充电过程更安全，红外测温数据后台</w:t>
            </w:r>
            <w:r>
              <w:rPr>
                <w:rFonts w:hint="eastAsia" w:ascii="仿宋" w:hAnsi="仿宋" w:eastAsia="仿宋" w:cs="仿宋"/>
                <w:color w:val="auto"/>
                <w:kern w:val="0"/>
                <w:sz w:val="24"/>
                <w:highlight w:val="none"/>
                <w:lang w:val="en-US" w:eastAsia="zh-CN" w:bidi="ar"/>
              </w:rPr>
              <w:t>实施监控</w:t>
            </w:r>
            <w:r>
              <w:rPr>
                <w:rFonts w:hint="eastAsia" w:ascii="仿宋" w:hAnsi="仿宋" w:eastAsia="仿宋" w:cs="仿宋"/>
                <w:color w:val="auto"/>
                <w:kern w:val="0"/>
                <w:sz w:val="24"/>
                <w:highlight w:val="none"/>
                <w:lang w:bidi="ar"/>
              </w:rPr>
              <w:t>。</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5、2T算力：2T算力摄像机，提供各种强大的识别功能，确保更高识别率。摄像头图片截图分辨率：500万像素。</w:t>
            </w:r>
            <w:r>
              <w:rPr>
                <w:rFonts w:hint="eastAsia" w:ascii="仿宋" w:hAnsi="仿宋" w:eastAsia="仿宋" w:cs="仿宋"/>
                <w:color w:val="auto"/>
                <w:kern w:val="0"/>
                <w:sz w:val="24"/>
                <w:highlight w:val="none"/>
                <w:lang w:eastAsia="zh-CN" w:bidi="ar"/>
              </w:rPr>
              <w:t>；</w:t>
            </w:r>
            <w:r>
              <w:rPr>
                <w:rFonts w:hint="eastAsia" w:ascii="仿宋" w:hAnsi="仿宋" w:eastAsia="仿宋" w:cs="仿宋"/>
                <w:color w:val="auto"/>
                <w:kern w:val="0"/>
                <w:sz w:val="24"/>
                <w:highlight w:val="none"/>
                <w:lang w:val="en-US" w:eastAsia="zh-CN" w:bidi="ar"/>
              </w:rPr>
              <w:t>需接入现有监控系统</w:t>
            </w:r>
            <w:r>
              <w:rPr>
                <w:rFonts w:hint="eastAsia" w:ascii="仿宋" w:hAnsi="仿宋" w:eastAsia="仿宋" w:cs="仿宋"/>
                <w:color w:val="auto"/>
                <w:kern w:val="0"/>
                <w:sz w:val="24"/>
                <w:highlight w:val="none"/>
                <w:lang w:bidi="ar"/>
              </w:rPr>
              <w:t>实时监控和录像存储，方便后续查看和分析，提高安全性和管理效率。</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6、HDR技术：无需外置补光灯，全环境拍摄清晰，极大提升了夜间识别准确率。</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7、3D车位识别：3D跟踪识别，精准判断车辆位置和轨迹。</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8、AIoT直接上云：拥有强大云平台功能，可节省服务器，减少施工成本。</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9、语音对讲：可实现双向语音交流，及时解决现场问题，对于管控车辆可以实现现场语音提示。</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★10、LCD液晶显示屏：尺寸10.1寸（长22.4厘米，宽12.6厘米）可显示车牌、车辆信息、收费金额、二维码、信息发布等功能。可扫码充电：用户只需扫描屏幕上的二维码，即可进行充电。</w:t>
            </w:r>
          </w:p>
          <w:p>
            <w:pPr>
              <w:widowControl/>
              <w:spacing w:line="360" w:lineRule="exact"/>
              <w:jc w:val="left"/>
              <w:textAlignment w:val="bottom"/>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11、</w:t>
            </w:r>
            <w:r>
              <w:rPr>
                <w:rFonts w:hint="eastAsia" w:ascii="仿宋" w:hAnsi="仿宋" w:eastAsia="仿宋" w:cs="仿宋"/>
                <w:color w:val="auto"/>
                <w:kern w:val="0"/>
                <w:sz w:val="24"/>
                <w:highlight w:val="none"/>
                <w:lang w:val="en-US" w:eastAsia="zh-CN" w:bidi="ar"/>
              </w:rPr>
              <w:t>质保期不少于3年</w:t>
            </w:r>
            <w:r>
              <w:rPr>
                <w:rFonts w:hint="eastAsia" w:ascii="仿宋" w:hAnsi="仿宋" w:eastAsia="仿宋" w:cs="仿宋"/>
                <w:color w:val="auto"/>
                <w:kern w:val="0"/>
                <w:sz w:val="24"/>
                <w:highlight w:val="none"/>
                <w:lang w:bidi="ar"/>
              </w:rPr>
              <w:t>，含</w:t>
            </w:r>
            <w:r>
              <w:rPr>
                <w:rFonts w:hint="eastAsia" w:ascii="仿宋" w:hAnsi="仿宋" w:eastAsia="仿宋" w:cs="仿宋"/>
                <w:color w:val="auto"/>
                <w:kern w:val="0"/>
                <w:sz w:val="24"/>
                <w:highlight w:val="none"/>
                <w:lang w:val="en-US" w:eastAsia="zh-CN" w:bidi="ar"/>
              </w:rPr>
              <w:t>3</w:t>
            </w:r>
            <w:r>
              <w:rPr>
                <w:rFonts w:hint="eastAsia" w:ascii="仿宋" w:hAnsi="仿宋" w:eastAsia="仿宋" w:cs="仿宋"/>
                <w:color w:val="auto"/>
                <w:kern w:val="0"/>
                <w:sz w:val="24"/>
                <w:highlight w:val="none"/>
                <w:lang w:bidi="ar"/>
              </w:rPr>
              <w:t>年原厂产品责任险。</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12、充电线缆长度标配不少于3米长度。</w:t>
            </w:r>
          </w:p>
          <w:p>
            <w:pPr>
              <w:widowControl/>
              <w:numPr>
                <w:ilvl w:val="0"/>
                <w:numId w:val="0"/>
              </w:numPr>
              <w:spacing w:line="360" w:lineRule="exact"/>
              <w:jc w:val="left"/>
              <w:textAlignment w:val="bottom"/>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13、第三方出具正规产品检测报告是依据及符合电动汽车传导充电系统GB/T 18487.1-2023国家规范要求及检测依据的检测报告。</w:t>
            </w:r>
          </w:p>
          <w:p>
            <w:pPr>
              <w:widowControl/>
              <w:spacing w:line="360" w:lineRule="exact"/>
              <w:jc w:val="left"/>
              <w:textAlignment w:val="bottom"/>
              <w:rPr>
                <w:rFonts w:hint="default" w:ascii="仿宋" w:hAnsi="仿宋" w:eastAsia="微软雅黑"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14、标有</w:t>
            </w:r>
            <w:r>
              <w:rPr>
                <w:rFonts w:hint="eastAsia" w:ascii="仿宋" w:hAnsi="仿宋" w:eastAsia="仿宋" w:cs="仿宋"/>
                <w:color w:val="auto"/>
                <w:kern w:val="0"/>
                <w:sz w:val="24"/>
                <w:highlight w:val="none"/>
                <w:lang w:bidi="ar"/>
              </w:rPr>
              <w:t>★</w:t>
            </w:r>
            <w:r>
              <w:rPr>
                <w:rFonts w:hint="eastAsia" w:ascii="仿宋" w:hAnsi="仿宋" w:eastAsia="仿宋" w:cs="仿宋"/>
                <w:color w:val="auto"/>
                <w:kern w:val="0"/>
                <w:sz w:val="24"/>
                <w:highlight w:val="none"/>
                <w:lang w:val="en-US" w:eastAsia="zh-CN" w:bidi="ar"/>
              </w:rPr>
              <w:t>的技术参数</w:t>
            </w:r>
            <w:r>
              <w:rPr>
                <w:rFonts w:hint="eastAsia" w:ascii="仿宋" w:hAnsi="仿宋" w:eastAsia="仿宋" w:cs="仿宋"/>
                <w:color w:val="auto"/>
                <w:kern w:val="0"/>
                <w:sz w:val="24"/>
                <w:highlight w:val="none"/>
                <w:lang w:bidi="ar"/>
              </w:rPr>
              <w:t>需提供</w:t>
            </w:r>
            <w:r>
              <w:rPr>
                <w:rFonts w:hint="eastAsia" w:ascii="仿宋" w:hAnsi="仿宋" w:eastAsia="仿宋" w:cs="仿宋"/>
                <w:color w:val="auto"/>
                <w:kern w:val="0"/>
                <w:sz w:val="24"/>
                <w:highlight w:val="none"/>
                <w:lang w:val="en-US" w:eastAsia="zh-CN" w:bidi="ar"/>
              </w:rPr>
              <w:t>第三方出具的</w:t>
            </w:r>
            <w:r>
              <w:rPr>
                <w:rFonts w:hint="eastAsia" w:ascii="仿宋" w:hAnsi="仿宋" w:eastAsia="仿宋" w:cs="仿宋"/>
                <w:color w:val="auto"/>
                <w:kern w:val="0"/>
                <w:sz w:val="24"/>
                <w:highlight w:val="none"/>
                <w:lang w:bidi="ar"/>
              </w:rPr>
              <w:t>产品检测报告</w:t>
            </w:r>
            <w:r>
              <w:rPr>
                <w:rFonts w:hint="eastAsia" w:ascii="仿宋" w:hAnsi="仿宋" w:eastAsia="仿宋" w:cs="仿宋"/>
                <w:color w:val="auto"/>
                <w:kern w:val="0"/>
                <w:sz w:val="24"/>
                <w:highlight w:val="none"/>
                <w:lang w:val="en-US" w:eastAsia="zh-CN" w:bidi="ar"/>
              </w:rPr>
              <w:t>等</w:t>
            </w:r>
            <w:r>
              <w:rPr>
                <w:rFonts w:hint="eastAsia" w:ascii="仿宋" w:hAnsi="仿宋" w:eastAsia="仿宋" w:cs="仿宋"/>
                <w:color w:val="auto"/>
                <w:kern w:val="0"/>
                <w:sz w:val="24"/>
                <w:highlight w:val="none"/>
                <w:lang w:bidi="ar"/>
              </w:rPr>
              <w:t>证明</w:t>
            </w:r>
            <w:r>
              <w:rPr>
                <w:rFonts w:hint="eastAsia" w:ascii="仿宋" w:hAnsi="仿宋" w:eastAsia="仿宋" w:cs="仿宋"/>
                <w:color w:val="auto"/>
                <w:kern w:val="0"/>
                <w:sz w:val="24"/>
                <w:highlight w:val="none"/>
                <w:lang w:val="en-US" w:eastAsia="zh-CN" w:bidi="ar"/>
              </w:rPr>
              <w:t>材料佐证。</w:t>
            </w:r>
          </w:p>
          <w:p>
            <w:pPr>
              <w:widowControl/>
              <w:numPr>
                <w:ilvl w:val="0"/>
                <w:numId w:val="0"/>
              </w:numPr>
              <w:spacing w:line="360" w:lineRule="exact"/>
              <w:jc w:val="left"/>
              <w:textAlignment w:val="bottom"/>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val="en-US" w:eastAsia="zh-CN" w:bidi="ar"/>
              </w:rPr>
              <w:t>15、</w:t>
            </w:r>
            <w:r>
              <w:rPr>
                <w:rFonts w:hint="eastAsia" w:ascii="仿宋" w:hAnsi="仿宋" w:eastAsia="仿宋" w:cs="仿宋"/>
                <w:color w:val="auto"/>
                <w:kern w:val="0"/>
                <w:sz w:val="24"/>
                <w:highlight w:val="none"/>
                <w:lang w:bidi="ar"/>
              </w:rPr>
              <w:t>产品</w:t>
            </w:r>
            <w:r>
              <w:rPr>
                <w:rFonts w:hint="eastAsia" w:ascii="仿宋" w:hAnsi="仿宋" w:eastAsia="仿宋" w:cs="仿宋"/>
                <w:color w:val="auto"/>
                <w:kern w:val="0"/>
                <w:sz w:val="24"/>
                <w:highlight w:val="none"/>
                <w:lang w:val="en-US" w:eastAsia="zh-CN" w:bidi="ar"/>
              </w:rPr>
              <w:t>需提供原厂</w:t>
            </w:r>
            <w:r>
              <w:rPr>
                <w:rFonts w:hint="eastAsia" w:ascii="仿宋" w:hAnsi="仿宋" w:eastAsia="仿宋" w:cs="仿宋"/>
                <w:color w:val="auto"/>
                <w:kern w:val="0"/>
                <w:sz w:val="24"/>
                <w:highlight w:val="none"/>
                <w:lang w:bidi="ar"/>
              </w:rPr>
              <w:t>责任保险证明文件。</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12</w:t>
            </w:r>
          </w:p>
        </w:tc>
        <w:tc>
          <w:tcPr>
            <w:tcW w:w="69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p>
            <w:pPr>
              <w:widowControl/>
              <w:spacing w:line="360" w:lineRule="exact"/>
              <w:jc w:val="center"/>
              <w:textAlignment w:val="center"/>
              <w:rPr>
                <w:rFonts w:ascii="仿宋" w:hAnsi="仿宋" w:eastAsia="仿宋" w:cs="仿宋"/>
                <w:color w:val="auto"/>
                <w:kern w:val="0"/>
                <w:sz w:val="24"/>
                <w:highlight w:val="none"/>
                <w:lang w:bidi="ar"/>
              </w:rPr>
            </w:pPr>
          </w:p>
        </w:tc>
      </w:tr>
      <w:tr>
        <w:tblPrEx>
          <w:tblCellMar>
            <w:top w:w="0" w:type="dxa"/>
            <w:left w:w="108" w:type="dxa"/>
            <w:bottom w:w="0" w:type="dxa"/>
            <w:right w:w="108" w:type="dxa"/>
          </w:tblCellMar>
        </w:tblPrEx>
        <w:trPr>
          <w:trHeight w:val="1824" w:hRule="atLeast"/>
          <w:jc w:val="center"/>
        </w:trPr>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车位监管停充一体机（单枪）</w:t>
            </w:r>
          </w:p>
        </w:tc>
        <w:tc>
          <w:tcPr>
            <w:tcW w:w="5445" w:type="dxa"/>
            <w:tcBorders>
              <w:top w:val="single" w:color="000000" w:sz="4" w:space="0"/>
              <w:left w:val="single" w:color="000000" w:sz="4" w:space="0"/>
              <w:bottom w:val="single" w:color="000000" w:sz="4" w:space="0"/>
              <w:right w:val="single" w:color="000000" w:sz="4" w:space="0"/>
            </w:tcBorders>
            <w:noWrap w:val="0"/>
            <w:vAlign w:val="bottom"/>
          </w:tcPr>
          <w:p>
            <w:pPr>
              <w:widowControl/>
              <w:spacing w:line="360" w:lineRule="exact"/>
              <w:jc w:val="left"/>
              <w:textAlignment w:val="bottom"/>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设备功能及参数要求：</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车位识别充电一体机，集成车位识别机、充电桩、语音播报、LCD显示屏等多种功能于一体。可支持单车位同时识别和充电，大大降低了设备铺设成本，有效解决充电车位占用问题。支持对充电时长的停车费进行减免设置。</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1、可监控</w:t>
            </w:r>
            <w:r>
              <w:rPr>
                <w:rFonts w:hint="eastAsia" w:ascii="仿宋" w:hAnsi="仿宋" w:eastAsia="仿宋" w:cs="仿宋"/>
                <w:color w:val="auto"/>
                <w:kern w:val="0"/>
                <w:sz w:val="24"/>
                <w:highlight w:val="none"/>
                <w:lang w:val="en-US" w:eastAsia="zh-CN" w:bidi="ar"/>
              </w:rPr>
              <w:t>1</w:t>
            </w:r>
            <w:r>
              <w:rPr>
                <w:rFonts w:hint="eastAsia" w:ascii="仿宋" w:hAnsi="仿宋" w:eastAsia="仿宋" w:cs="仿宋"/>
                <w:color w:val="auto"/>
                <w:kern w:val="0"/>
                <w:sz w:val="24"/>
                <w:highlight w:val="none"/>
                <w:lang w:bidi="ar"/>
              </w:rPr>
              <w:t>个车位/充电：通过摄像机可以识别</w:t>
            </w:r>
            <w:r>
              <w:rPr>
                <w:rFonts w:hint="eastAsia" w:ascii="仿宋" w:hAnsi="仿宋" w:eastAsia="仿宋" w:cs="仿宋"/>
                <w:color w:val="auto"/>
                <w:kern w:val="0"/>
                <w:sz w:val="24"/>
                <w:highlight w:val="none"/>
                <w:lang w:val="en-US" w:eastAsia="zh-CN" w:bidi="ar"/>
              </w:rPr>
              <w:t>一</w:t>
            </w:r>
            <w:r>
              <w:rPr>
                <w:rFonts w:hint="eastAsia" w:ascii="仿宋" w:hAnsi="仿宋" w:eastAsia="仿宋" w:cs="仿宋"/>
                <w:color w:val="auto"/>
                <w:kern w:val="0"/>
                <w:sz w:val="24"/>
                <w:highlight w:val="none"/>
                <w:lang w:bidi="ar"/>
              </w:rPr>
              <w:t>个车位</w:t>
            </w:r>
            <w:r>
              <w:rPr>
                <w:rFonts w:hint="eastAsia" w:ascii="仿宋" w:hAnsi="仿宋" w:eastAsia="仿宋" w:cs="仿宋"/>
                <w:color w:val="auto"/>
                <w:kern w:val="0"/>
                <w:sz w:val="24"/>
                <w:highlight w:val="none"/>
                <w:lang w:val="en-US" w:eastAsia="zh-CN" w:bidi="ar"/>
              </w:rPr>
              <w:t>，</w:t>
            </w:r>
            <w:r>
              <w:rPr>
                <w:rFonts w:hint="eastAsia" w:ascii="仿宋" w:hAnsi="仿宋" w:eastAsia="仿宋" w:cs="仿宋"/>
                <w:color w:val="auto"/>
                <w:kern w:val="0"/>
                <w:sz w:val="24"/>
                <w:highlight w:val="none"/>
                <w:lang w:bidi="ar"/>
              </w:rPr>
              <w:t>可以通过监控设备监控</w:t>
            </w:r>
            <w:r>
              <w:rPr>
                <w:rFonts w:hint="eastAsia" w:ascii="仿宋" w:hAnsi="仿宋" w:eastAsia="仿宋" w:cs="仿宋"/>
                <w:color w:val="auto"/>
                <w:kern w:val="0"/>
                <w:sz w:val="24"/>
                <w:highlight w:val="none"/>
                <w:lang w:val="en-US" w:eastAsia="zh-CN" w:bidi="ar"/>
              </w:rPr>
              <w:t>一</w:t>
            </w:r>
            <w:r>
              <w:rPr>
                <w:rFonts w:hint="eastAsia" w:ascii="仿宋" w:hAnsi="仿宋" w:eastAsia="仿宋" w:cs="仿宋"/>
                <w:color w:val="auto"/>
                <w:kern w:val="0"/>
                <w:sz w:val="24"/>
                <w:highlight w:val="none"/>
                <w:lang w:bidi="ar"/>
              </w:rPr>
              <w:t>个车位的情况，为</w:t>
            </w:r>
            <w:r>
              <w:rPr>
                <w:rFonts w:hint="eastAsia" w:ascii="仿宋" w:hAnsi="仿宋" w:eastAsia="仿宋" w:cs="仿宋"/>
                <w:color w:val="auto"/>
                <w:kern w:val="0"/>
                <w:sz w:val="24"/>
                <w:highlight w:val="none"/>
                <w:lang w:val="en-US" w:eastAsia="zh-CN" w:bidi="ar"/>
              </w:rPr>
              <w:t>一</w:t>
            </w:r>
            <w:r>
              <w:rPr>
                <w:rFonts w:hint="eastAsia" w:ascii="仿宋" w:hAnsi="仿宋" w:eastAsia="仿宋" w:cs="仿宋"/>
                <w:color w:val="auto"/>
                <w:kern w:val="0"/>
                <w:sz w:val="24"/>
                <w:highlight w:val="none"/>
                <w:lang w:bidi="ar"/>
              </w:rPr>
              <w:t>辆车提供充电服务。充电枪：32A  7KWx1  可提供1辆车充电。</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★2、充电桩输入电压：180~240V AC。输出功率：50W+7KWx2。通讯方式：TCP/IP。工作温度：-30~50℃ 在标准大气压下。工作湿度：10%~90%（不凝露）外壳材质：钣金。防护等级：IP54。</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3、可（通过蓝牙）外接地锁，车位占用道闸等硬件设备，与其联动可有效杜绝充电车位被非电车占用的情况，有效提高车位利用率和管理效率。</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★4、配置</w:t>
            </w:r>
            <w:r>
              <w:rPr>
                <w:rFonts w:hint="eastAsia" w:ascii="仿宋" w:hAnsi="仿宋" w:eastAsia="仿宋" w:cs="仿宋"/>
                <w:color w:val="auto"/>
                <w:kern w:val="0"/>
                <w:sz w:val="24"/>
                <w:highlight w:val="none"/>
                <w:lang w:val="en-US" w:eastAsia="zh-CN" w:bidi="ar"/>
              </w:rPr>
              <w:t>1</w:t>
            </w:r>
            <w:r>
              <w:rPr>
                <w:rFonts w:hint="eastAsia" w:ascii="仿宋" w:hAnsi="仿宋" w:eastAsia="仿宋" w:cs="仿宋"/>
                <w:color w:val="auto"/>
                <w:kern w:val="0"/>
                <w:sz w:val="24"/>
                <w:highlight w:val="none"/>
                <w:lang w:bidi="ar"/>
              </w:rPr>
              <w:t>个红外热像仪实时测量周边温度，提供过热保护，充电过程更安全，红外测温数据后台</w:t>
            </w:r>
            <w:r>
              <w:rPr>
                <w:rFonts w:hint="eastAsia" w:ascii="仿宋" w:hAnsi="仿宋" w:eastAsia="仿宋" w:cs="仿宋"/>
                <w:color w:val="auto"/>
                <w:kern w:val="0"/>
                <w:sz w:val="24"/>
                <w:highlight w:val="none"/>
                <w:lang w:val="en-US" w:eastAsia="zh-CN" w:bidi="ar"/>
              </w:rPr>
              <w:t>实施监控</w:t>
            </w:r>
            <w:r>
              <w:rPr>
                <w:rFonts w:hint="eastAsia" w:ascii="仿宋" w:hAnsi="仿宋" w:eastAsia="仿宋" w:cs="仿宋"/>
                <w:color w:val="auto"/>
                <w:kern w:val="0"/>
                <w:sz w:val="24"/>
                <w:highlight w:val="none"/>
                <w:lang w:bidi="ar"/>
              </w:rPr>
              <w:t>。</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5、2T算力：2T算力摄像机，提供各种强大的识别功能，确保更高识别率。摄像头图片截图分辨率：500万像素。</w:t>
            </w:r>
            <w:r>
              <w:rPr>
                <w:rFonts w:hint="eastAsia" w:ascii="仿宋" w:hAnsi="仿宋" w:eastAsia="仿宋" w:cs="仿宋"/>
                <w:color w:val="auto"/>
                <w:kern w:val="0"/>
                <w:sz w:val="24"/>
                <w:highlight w:val="none"/>
                <w:lang w:val="en-US" w:eastAsia="zh-CN" w:bidi="ar"/>
              </w:rPr>
              <w:t>需现有监控系统</w:t>
            </w:r>
            <w:r>
              <w:rPr>
                <w:rFonts w:hint="eastAsia" w:ascii="仿宋" w:hAnsi="仿宋" w:eastAsia="仿宋" w:cs="仿宋"/>
                <w:color w:val="auto"/>
                <w:kern w:val="0"/>
                <w:sz w:val="24"/>
                <w:highlight w:val="none"/>
                <w:lang w:bidi="ar"/>
              </w:rPr>
              <w:t>实时监控和录像存储，方便后续查看和分析，提高安全性和管理效率。</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6、HDR技术：无需外置补光灯，全环境拍摄清晰，极大提升了夜间识别准确率。</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7、3D车位识别：3D跟踪识别，精准判断车辆位置和轨迹。</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8、AIoT直接上云：拥有强大云平台功能，可节省服务器，减少施工成本。</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9、语音对讲：可实现双向语音交流，及时解决现场问题，</w:t>
            </w:r>
            <w:r>
              <w:rPr>
                <w:rFonts w:hint="eastAsia" w:ascii="仿宋" w:hAnsi="仿宋" w:eastAsia="仿宋" w:cs="仿宋"/>
                <w:color w:val="auto"/>
                <w:kern w:val="0"/>
                <w:sz w:val="24"/>
                <w:highlight w:val="none"/>
                <w:lang w:bidi="ar"/>
              </w:rPr>
              <w:br w:type="textWrapping"/>
            </w:r>
            <w:r>
              <w:rPr>
                <w:rFonts w:hint="eastAsia" w:ascii="微软雅黑" w:hAnsi="微软雅黑" w:eastAsia="微软雅黑" w:cs="微软雅黑"/>
                <w:color w:val="auto"/>
                <w:kern w:val="0"/>
                <w:sz w:val="24"/>
                <w:highlight w:val="none"/>
                <w:lang w:bidi="ar"/>
              </w:rPr>
              <w:t>★</w:t>
            </w:r>
            <w:r>
              <w:rPr>
                <w:rFonts w:hint="eastAsia" w:ascii="仿宋" w:hAnsi="仿宋" w:eastAsia="仿宋" w:cs="仿宋"/>
                <w:color w:val="auto"/>
                <w:kern w:val="0"/>
                <w:sz w:val="24"/>
                <w:highlight w:val="none"/>
                <w:lang w:bidi="ar"/>
              </w:rPr>
              <w:t>10、LCD液晶显示屏：尺寸10.1寸（长22.4厘米，宽12.6厘米）可显示车牌、车辆信息、收费金额、二维码、信息发布等功能。可扫码充电：用户只需扫描屏幕上的二维码，即可进行充电。</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11、</w:t>
            </w:r>
            <w:r>
              <w:rPr>
                <w:rFonts w:hint="eastAsia" w:ascii="仿宋" w:hAnsi="仿宋" w:eastAsia="仿宋" w:cs="仿宋"/>
                <w:color w:val="auto"/>
                <w:kern w:val="0"/>
                <w:sz w:val="24"/>
                <w:highlight w:val="none"/>
                <w:lang w:val="en-US" w:eastAsia="zh-CN" w:bidi="ar"/>
              </w:rPr>
              <w:t>质保期不少于3年</w:t>
            </w:r>
            <w:r>
              <w:rPr>
                <w:rFonts w:hint="eastAsia" w:ascii="仿宋" w:hAnsi="仿宋" w:eastAsia="仿宋" w:cs="仿宋"/>
                <w:color w:val="auto"/>
                <w:kern w:val="0"/>
                <w:sz w:val="24"/>
                <w:highlight w:val="none"/>
                <w:lang w:bidi="ar"/>
              </w:rPr>
              <w:t>，含</w:t>
            </w:r>
            <w:r>
              <w:rPr>
                <w:rFonts w:hint="eastAsia" w:ascii="仿宋" w:hAnsi="仿宋" w:eastAsia="仿宋" w:cs="仿宋"/>
                <w:color w:val="auto"/>
                <w:kern w:val="0"/>
                <w:sz w:val="24"/>
                <w:highlight w:val="none"/>
                <w:lang w:val="en-US" w:eastAsia="zh-CN" w:bidi="ar"/>
              </w:rPr>
              <w:t>3</w:t>
            </w:r>
            <w:r>
              <w:rPr>
                <w:rFonts w:hint="eastAsia" w:ascii="仿宋" w:hAnsi="仿宋" w:eastAsia="仿宋" w:cs="仿宋"/>
                <w:color w:val="auto"/>
                <w:kern w:val="0"/>
                <w:sz w:val="24"/>
                <w:highlight w:val="none"/>
                <w:lang w:bidi="ar"/>
              </w:rPr>
              <w:t>年原厂产品责任险。</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12、充电线缆长度标配不少于3米长度。</w:t>
            </w:r>
          </w:p>
          <w:p>
            <w:pPr>
              <w:widowControl/>
              <w:numPr>
                <w:ilvl w:val="0"/>
                <w:numId w:val="0"/>
              </w:numPr>
              <w:spacing w:line="360" w:lineRule="exact"/>
              <w:jc w:val="left"/>
              <w:textAlignment w:val="bottom"/>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13、第三方出具正规</w:t>
            </w:r>
            <w:r>
              <w:rPr>
                <w:rFonts w:hint="eastAsia" w:ascii="仿宋" w:hAnsi="仿宋" w:eastAsia="仿宋" w:cs="仿宋"/>
                <w:color w:val="auto"/>
                <w:kern w:val="0"/>
                <w:sz w:val="24"/>
                <w:highlight w:val="none"/>
                <w:lang w:bidi="ar"/>
              </w:rPr>
              <w:t>产品检测报告</w:t>
            </w:r>
            <w:r>
              <w:rPr>
                <w:rFonts w:hint="eastAsia" w:ascii="仿宋" w:hAnsi="仿宋" w:eastAsia="仿宋" w:cs="仿宋"/>
                <w:color w:val="auto"/>
                <w:kern w:val="0"/>
                <w:sz w:val="24"/>
                <w:highlight w:val="none"/>
                <w:lang w:val="en-US" w:eastAsia="zh-CN" w:bidi="ar"/>
              </w:rPr>
              <w:t>是依据及符合</w:t>
            </w:r>
            <w:r>
              <w:rPr>
                <w:rFonts w:hint="eastAsia" w:ascii="仿宋" w:hAnsi="仿宋" w:eastAsia="仿宋" w:cs="仿宋"/>
                <w:color w:val="auto"/>
                <w:kern w:val="0"/>
                <w:sz w:val="24"/>
                <w:highlight w:val="none"/>
                <w:lang w:bidi="ar"/>
              </w:rPr>
              <w:t>电动汽车传导充电系统GB/T 18487.1-2023</w:t>
            </w:r>
            <w:r>
              <w:rPr>
                <w:rFonts w:hint="eastAsia" w:ascii="仿宋" w:hAnsi="仿宋" w:eastAsia="仿宋" w:cs="仿宋"/>
                <w:color w:val="auto"/>
                <w:kern w:val="0"/>
                <w:sz w:val="24"/>
                <w:highlight w:val="none"/>
                <w:lang w:val="en-US" w:eastAsia="zh-CN" w:bidi="ar"/>
              </w:rPr>
              <w:t>国家规范要求及</w:t>
            </w:r>
            <w:r>
              <w:rPr>
                <w:rFonts w:hint="eastAsia" w:ascii="仿宋" w:hAnsi="仿宋" w:eastAsia="仿宋" w:cs="仿宋"/>
                <w:color w:val="auto"/>
                <w:kern w:val="0"/>
                <w:sz w:val="24"/>
                <w:highlight w:val="none"/>
                <w:lang w:bidi="ar"/>
              </w:rPr>
              <w:t>检测依据</w:t>
            </w:r>
            <w:r>
              <w:rPr>
                <w:rFonts w:hint="eastAsia" w:ascii="仿宋" w:hAnsi="仿宋" w:eastAsia="仿宋" w:cs="仿宋"/>
                <w:color w:val="auto"/>
                <w:kern w:val="0"/>
                <w:sz w:val="24"/>
                <w:highlight w:val="none"/>
                <w:lang w:val="en-US" w:eastAsia="zh-CN" w:bidi="ar"/>
              </w:rPr>
              <w:t>的检测报告。</w:t>
            </w:r>
          </w:p>
          <w:p>
            <w:pPr>
              <w:widowControl/>
              <w:numPr>
                <w:ilvl w:val="0"/>
                <w:numId w:val="0"/>
              </w:numPr>
              <w:spacing w:line="360" w:lineRule="exact"/>
              <w:jc w:val="left"/>
              <w:textAlignment w:val="bottom"/>
              <w:rPr>
                <w:rFonts w:hint="default"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14、标有</w:t>
            </w:r>
            <w:r>
              <w:rPr>
                <w:rFonts w:hint="eastAsia" w:ascii="仿宋" w:hAnsi="仿宋" w:eastAsia="仿宋" w:cs="仿宋"/>
                <w:color w:val="auto"/>
                <w:kern w:val="0"/>
                <w:sz w:val="24"/>
                <w:highlight w:val="none"/>
                <w:lang w:bidi="ar"/>
              </w:rPr>
              <w:t>★</w:t>
            </w:r>
            <w:r>
              <w:rPr>
                <w:rFonts w:hint="eastAsia" w:ascii="仿宋" w:hAnsi="仿宋" w:eastAsia="仿宋" w:cs="仿宋"/>
                <w:color w:val="auto"/>
                <w:kern w:val="0"/>
                <w:sz w:val="24"/>
                <w:highlight w:val="none"/>
                <w:lang w:val="en-US" w:eastAsia="zh-CN" w:bidi="ar"/>
              </w:rPr>
              <w:t>的技术参数</w:t>
            </w:r>
            <w:r>
              <w:rPr>
                <w:rFonts w:hint="eastAsia" w:ascii="仿宋" w:hAnsi="仿宋" w:eastAsia="仿宋" w:cs="仿宋"/>
                <w:color w:val="auto"/>
                <w:kern w:val="0"/>
                <w:sz w:val="24"/>
                <w:highlight w:val="none"/>
                <w:lang w:bidi="ar"/>
              </w:rPr>
              <w:t>需提供</w:t>
            </w:r>
            <w:r>
              <w:rPr>
                <w:rFonts w:hint="eastAsia" w:ascii="仿宋" w:hAnsi="仿宋" w:eastAsia="仿宋" w:cs="仿宋"/>
                <w:color w:val="auto"/>
                <w:kern w:val="0"/>
                <w:sz w:val="24"/>
                <w:highlight w:val="none"/>
                <w:lang w:val="en-US" w:eastAsia="zh-CN" w:bidi="ar"/>
              </w:rPr>
              <w:t>第三方出具的产品检测报告等证明材料佐证。</w:t>
            </w:r>
          </w:p>
          <w:p>
            <w:pPr>
              <w:widowControl/>
              <w:spacing w:line="360" w:lineRule="exact"/>
              <w:jc w:val="left"/>
              <w:textAlignment w:val="bottom"/>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val="en-US" w:eastAsia="zh-CN" w:bidi="ar"/>
              </w:rPr>
              <w:t>15、</w:t>
            </w:r>
            <w:r>
              <w:rPr>
                <w:rFonts w:hint="eastAsia" w:ascii="仿宋" w:hAnsi="仿宋" w:eastAsia="仿宋" w:cs="仿宋"/>
                <w:color w:val="auto"/>
                <w:kern w:val="0"/>
                <w:sz w:val="24"/>
                <w:highlight w:val="none"/>
                <w:lang w:bidi="ar"/>
              </w:rPr>
              <w:t>产品</w:t>
            </w:r>
            <w:r>
              <w:rPr>
                <w:rFonts w:hint="eastAsia" w:ascii="仿宋" w:hAnsi="仿宋" w:eastAsia="仿宋" w:cs="仿宋"/>
                <w:color w:val="auto"/>
                <w:kern w:val="0"/>
                <w:sz w:val="24"/>
                <w:highlight w:val="none"/>
                <w:lang w:val="en-US" w:eastAsia="zh-CN" w:bidi="ar"/>
              </w:rPr>
              <w:t>需提供原厂</w:t>
            </w:r>
            <w:r>
              <w:rPr>
                <w:rFonts w:hint="eastAsia" w:ascii="仿宋" w:hAnsi="仿宋" w:eastAsia="仿宋" w:cs="仿宋"/>
                <w:color w:val="auto"/>
                <w:kern w:val="0"/>
                <w:sz w:val="24"/>
                <w:highlight w:val="none"/>
                <w:lang w:bidi="ar"/>
              </w:rPr>
              <w:t>责任保险证明文件。</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6</w:t>
            </w:r>
          </w:p>
        </w:tc>
        <w:tc>
          <w:tcPr>
            <w:tcW w:w="69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台</w:t>
            </w:r>
          </w:p>
        </w:tc>
      </w:tr>
      <w:tr>
        <w:tblPrEx>
          <w:tblCellMar>
            <w:top w:w="0" w:type="dxa"/>
            <w:left w:w="108" w:type="dxa"/>
            <w:bottom w:w="0" w:type="dxa"/>
            <w:right w:w="108" w:type="dxa"/>
          </w:tblCellMar>
        </w:tblPrEx>
        <w:trPr>
          <w:trHeight w:val="767" w:hRule="atLeast"/>
          <w:jc w:val="center"/>
        </w:trPr>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3</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充电桩专用配电柜</w:t>
            </w:r>
          </w:p>
        </w:tc>
        <w:tc>
          <w:tcPr>
            <w:tcW w:w="544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根据现场需要配置一个配电箱，箱体需具备防水功能、具有短路、过载等保护器，空开输出10路以上。</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69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r>
      <w:tr>
        <w:tblPrEx>
          <w:tblCellMar>
            <w:top w:w="0" w:type="dxa"/>
            <w:left w:w="108" w:type="dxa"/>
            <w:bottom w:w="0" w:type="dxa"/>
            <w:right w:w="108" w:type="dxa"/>
          </w:tblCellMar>
        </w:tblPrEx>
        <w:trPr>
          <w:trHeight w:val="433" w:hRule="atLeast"/>
          <w:jc w:val="center"/>
        </w:trPr>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电缆</w:t>
            </w:r>
          </w:p>
        </w:tc>
        <w:tc>
          <w:tcPr>
            <w:tcW w:w="544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国标 YJV-4*50+1*35平方</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500</w:t>
            </w:r>
          </w:p>
        </w:tc>
        <w:tc>
          <w:tcPr>
            <w:tcW w:w="69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米</w:t>
            </w:r>
          </w:p>
        </w:tc>
      </w:tr>
      <w:tr>
        <w:tblPrEx>
          <w:tblCellMar>
            <w:top w:w="0" w:type="dxa"/>
            <w:left w:w="108" w:type="dxa"/>
            <w:bottom w:w="0" w:type="dxa"/>
            <w:right w:w="108" w:type="dxa"/>
          </w:tblCellMar>
        </w:tblPrEx>
        <w:trPr>
          <w:trHeight w:val="452" w:hRule="atLeast"/>
          <w:jc w:val="center"/>
        </w:trPr>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5</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电缆</w:t>
            </w:r>
          </w:p>
        </w:tc>
        <w:tc>
          <w:tcPr>
            <w:tcW w:w="544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国标 BV3*10平方</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200</w:t>
            </w:r>
          </w:p>
        </w:tc>
        <w:tc>
          <w:tcPr>
            <w:tcW w:w="69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米</w:t>
            </w:r>
          </w:p>
        </w:tc>
      </w:tr>
      <w:tr>
        <w:tblPrEx>
          <w:tblCellMar>
            <w:top w:w="0" w:type="dxa"/>
            <w:left w:w="108" w:type="dxa"/>
            <w:bottom w:w="0" w:type="dxa"/>
            <w:right w:w="108" w:type="dxa"/>
          </w:tblCellMar>
        </w:tblPrEx>
        <w:trPr>
          <w:trHeight w:val="1444" w:hRule="atLeast"/>
          <w:jc w:val="center"/>
        </w:trPr>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6</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新能源云平台管理软件定制对接</w:t>
            </w:r>
          </w:p>
        </w:tc>
        <w:tc>
          <w:tcPr>
            <w:tcW w:w="544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根据用户现有的需求，提供产品及软件SDK开发包及协议，配合用户做定制化应用数据对接及开发，直到用户</w:t>
            </w:r>
            <w:r>
              <w:rPr>
                <w:rFonts w:hint="eastAsia" w:ascii="仿宋" w:hAnsi="仿宋" w:eastAsia="仿宋" w:cs="仿宋"/>
                <w:color w:val="auto"/>
                <w:kern w:val="0"/>
                <w:sz w:val="24"/>
                <w:highlight w:val="none"/>
                <w:lang w:val="en-US" w:eastAsia="zh-CN" w:bidi="ar"/>
              </w:rPr>
              <w:t>功能</w:t>
            </w:r>
            <w:r>
              <w:rPr>
                <w:rFonts w:hint="eastAsia" w:ascii="仿宋" w:hAnsi="仿宋" w:eastAsia="仿宋" w:cs="仿宋"/>
                <w:color w:val="auto"/>
                <w:kern w:val="0"/>
                <w:sz w:val="24"/>
                <w:highlight w:val="none"/>
                <w:lang w:bidi="ar"/>
              </w:rPr>
              <w:t>实现，</w:t>
            </w:r>
            <w:r>
              <w:rPr>
                <w:rFonts w:hint="eastAsia" w:ascii="仿宋" w:hAnsi="仿宋" w:eastAsia="仿宋" w:cs="仿宋"/>
                <w:color w:val="auto"/>
                <w:kern w:val="0"/>
                <w:sz w:val="24"/>
                <w:highlight w:val="none"/>
                <w:lang w:val="en-US" w:eastAsia="zh-CN" w:bidi="ar"/>
              </w:rPr>
              <w:t>数据实时互传，</w:t>
            </w:r>
            <w:r>
              <w:rPr>
                <w:rFonts w:hint="eastAsia" w:ascii="仿宋" w:hAnsi="仿宋" w:eastAsia="仿宋" w:cs="仿宋"/>
                <w:color w:val="auto"/>
                <w:kern w:val="0"/>
                <w:sz w:val="24"/>
                <w:highlight w:val="none"/>
                <w:lang w:bidi="ar"/>
              </w:rPr>
              <w:t>并确保平台的正常运行及后续的维护。</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left"/>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c>
          <w:tcPr>
            <w:tcW w:w="69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r>
      <w:tr>
        <w:tblPrEx>
          <w:tblCellMar>
            <w:top w:w="0" w:type="dxa"/>
            <w:left w:w="108" w:type="dxa"/>
            <w:bottom w:w="0" w:type="dxa"/>
            <w:right w:w="108" w:type="dxa"/>
          </w:tblCellMar>
        </w:tblPrEx>
        <w:trPr>
          <w:trHeight w:val="1444" w:hRule="atLeast"/>
          <w:jc w:val="center"/>
        </w:trPr>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7</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平安校园综合管理平台模块扩充</w:t>
            </w:r>
          </w:p>
        </w:tc>
        <w:tc>
          <w:tcPr>
            <w:tcW w:w="544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在现有智慧平安校园综合管理平台后台增加新能源充电桩管理模块，移动端（钉钉）增加功能业务模块。主要内容：</w:t>
            </w:r>
          </w:p>
          <w:p>
            <w:pPr>
              <w:widowControl/>
              <w:numPr>
                <w:ilvl w:val="0"/>
                <w:numId w:val="2"/>
              </w:numPr>
              <w:spacing w:line="360" w:lineRule="exact"/>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对接校园一卡通平台、充电桩云平台等第三方平台获取相关数据及调用接口；</w:t>
            </w:r>
          </w:p>
          <w:p>
            <w:pPr>
              <w:widowControl/>
              <w:numPr>
                <w:ilvl w:val="0"/>
                <w:numId w:val="2"/>
              </w:numPr>
              <w:spacing w:line="360" w:lineRule="exact"/>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支持用户申请充电权限并在系统内部流转；</w:t>
            </w:r>
          </w:p>
          <w:p>
            <w:pPr>
              <w:widowControl/>
              <w:numPr>
                <w:ilvl w:val="0"/>
                <w:numId w:val="2"/>
              </w:numPr>
              <w:spacing w:line="360" w:lineRule="exact"/>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支持每一个充电桩生成唯一二维码，该二维码配合用户扫码充电；</w:t>
            </w:r>
          </w:p>
          <w:p>
            <w:pPr>
              <w:widowControl/>
              <w:numPr>
                <w:ilvl w:val="0"/>
                <w:numId w:val="2"/>
              </w:numPr>
              <w:spacing w:line="360" w:lineRule="exact"/>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全额收费与全额免费两种收费模式切换；</w:t>
            </w:r>
          </w:p>
          <w:p>
            <w:pPr>
              <w:widowControl/>
              <w:numPr>
                <w:ilvl w:val="0"/>
                <w:numId w:val="2"/>
              </w:numPr>
              <w:spacing w:line="360" w:lineRule="exact"/>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支持统一管理充电人员、充电桩信息</w:t>
            </w:r>
            <w:r>
              <w:rPr>
                <w:rFonts w:hint="eastAsia" w:ascii="仿宋" w:hAnsi="仿宋" w:eastAsia="仿宋" w:cs="仿宋"/>
                <w:color w:val="auto"/>
                <w:kern w:val="0"/>
                <w:sz w:val="24"/>
                <w:highlight w:val="none"/>
                <w:lang w:eastAsia="zh-CN" w:bidi="ar"/>
              </w:rPr>
              <w:t>，</w:t>
            </w:r>
            <w:r>
              <w:rPr>
                <w:rFonts w:hint="eastAsia" w:ascii="仿宋" w:hAnsi="仿宋" w:eastAsia="仿宋" w:cs="仿宋"/>
                <w:color w:val="auto"/>
                <w:kern w:val="0"/>
                <w:sz w:val="24"/>
                <w:highlight w:val="none"/>
                <w:lang w:bidi="ar"/>
              </w:rPr>
              <w:t>支持对该内容进行新增、修改、删除、查询、导出等操作；6、支持记录充电记录并生成相应报表数据可导出查看；</w:t>
            </w:r>
          </w:p>
          <w:p>
            <w:pPr>
              <w:widowControl/>
              <w:spacing w:line="360" w:lineRule="exact"/>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7、移动端支持个人信息、充电记录、账单信息、充电账单推送、确认支付、扫码提醒、支付失败提醒、确认充电、充电中、结束充电等。</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69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项</w:t>
            </w:r>
          </w:p>
        </w:tc>
      </w:tr>
      <w:tr>
        <w:tblPrEx>
          <w:tblCellMar>
            <w:top w:w="0" w:type="dxa"/>
            <w:left w:w="108" w:type="dxa"/>
            <w:bottom w:w="0" w:type="dxa"/>
            <w:right w:w="108" w:type="dxa"/>
          </w:tblCellMar>
        </w:tblPrEx>
        <w:trPr>
          <w:trHeight w:val="1802" w:hRule="atLeast"/>
          <w:jc w:val="center"/>
        </w:trPr>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8</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虚拟三维地图数据对接及展示</w:t>
            </w:r>
          </w:p>
        </w:tc>
        <w:tc>
          <w:tcPr>
            <w:tcW w:w="544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与新能源云平台、智慧平安校园综合管理平台对接，平台上的相关主要数据需对接到现有三维虚拟地图平台上做展示及符合实际管理需要的功能定制开发，地图上需实时展示车位使用情况，车辆在充电过程中的数据展示、统计。</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69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项</w:t>
            </w:r>
          </w:p>
        </w:tc>
      </w:tr>
      <w:tr>
        <w:tblPrEx>
          <w:tblCellMar>
            <w:top w:w="0" w:type="dxa"/>
            <w:left w:w="108" w:type="dxa"/>
            <w:bottom w:w="0" w:type="dxa"/>
            <w:right w:w="108" w:type="dxa"/>
          </w:tblCellMar>
        </w:tblPrEx>
        <w:trPr>
          <w:trHeight w:val="727" w:hRule="atLeast"/>
          <w:jc w:val="center"/>
        </w:trPr>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9</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路面开挖</w:t>
            </w:r>
          </w:p>
        </w:tc>
        <w:tc>
          <w:tcPr>
            <w:tcW w:w="544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路面开挖、绿化带开挖埋设管路及开挖地带恢复原状</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c>
          <w:tcPr>
            <w:tcW w:w="69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r>
      <w:tr>
        <w:tblPrEx>
          <w:tblCellMar>
            <w:top w:w="0" w:type="dxa"/>
            <w:left w:w="108" w:type="dxa"/>
            <w:bottom w:w="0" w:type="dxa"/>
            <w:right w:w="108" w:type="dxa"/>
          </w:tblCellMar>
        </w:tblPrEx>
        <w:trPr>
          <w:trHeight w:val="747" w:hRule="atLeast"/>
          <w:jc w:val="center"/>
        </w:trPr>
        <w:tc>
          <w:tcPr>
            <w:tcW w:w="76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安装调试费</w:t>
            </w:r>
          </w:p>
        </w:tc>
        <w:tc>
          <w:tcPr>
            <w:tcW w:w="544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系统设备安装调试、含施工安装所需的管路，夸路</w:t>
            </w:r>
          </w:p>
          <w:p>
            <w:pPr>
              <w:widowControl/>
              <w:spacing w:line="360" w:lineRule="exac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面地带需采用钢管敷设，埋设深度不小于50CM</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699"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exact"/>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项</w:t>
            </w:r>
          </w:p>
        </w:tc>
      </w:tr>
    </w:tbl>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7、商务要求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（1）项目完成时间：</w:t>
      </w:r>
      <w:r>
        <w:rPr>
          <w:rFonts w:hint="eastAsia" w:ascii="仿宋" w:hAnsi="仿宋" w:eastAsia="仿宋" w:cs="仿宋"/>
          <w:b w:val="0"/>
          <w:bCs/>
          <w:color w:val="auto"/>
          <w:sz w:val="24"/>
          <w:highlight w:val="none"/>
          <w:lang w:val="en-US" w:eastAsia="zh-CN"/>
        </w:rPr>
        <w:t>合同生效并具备实施条件后45天内完成。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（2）售后服务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720" w:firstLineChars="300"/>
        <w:jc w:val="left"/>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①设备质保期不少于3年。质保期为通过验收之日起开始计算。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720" w:firstLineChars="300"/>
        <w:jc w:val="lef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②因供应商的原因出现问题，应免费到现场进行再次调试，直至设备恢复正常为止。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720" w:firstLineChars="300"/>
        <w:jc w:val="lef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③在质保期内，免费提供维修及软件维护、升级等技术支持服务；所有产品维修服务、软件维护、升级均为上门服务，由此产生的费用均不再收取。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720" w:firstLineChars="300"/>
        <w:jc w:val="lef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④设备出现故障，供应商应在接到报修通知后，1小时内响应，8小时内赶到现场，24小时内排除故障。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（3）设备安装调试过程如清单内未考虑到的又是必须使用的材料请供应商需做充分考虑，后期不增补。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（4）履约保证金：</w:t>
      </w:r>
    </w:p>
    <w:p>
      <w:pPr>
        <w:spacing w:line="360" w:lineRule="auto"/>
        <w:ind w:firstLine="480" w:firstLineChars="200"/>
        <w:rPr>
          <w:rFonts w:hint="eastAsia"/>
          <w:color w:val="auto"/>
          <w:highlight w:val="none"/>
          <w:lang w:val="en-US" w:eastAsia="zh-CN"/>
        </w:rPr>
      </w:pPr>
      <w:r>
        <w:rPr>
          <w:rFonts w:hint="eastAsia" w:ascii="仿宋" w:hAnsi="仿宋" w:eastAsia="仿宋" w:cs="仿宋"/>
          <w:color w:val="auto"/>
          <w:sz w:val="24"/>
          <w:highlight w:val="none"/>
          <w:lang w:eastAsia="zh-CN"/>
        </w:rPr>
        <w:t>合同生效后</w:t>
      </w:r>
      <w:r>
        <w:rPr>
          <w:rFonts w:hint="eastAsia" w:ascii="仿宋" w:hAnsi="仿宋" w:eastAsia="仿宋" w:cs="仿宋"/>
          <w:color w:val="auto"/>
          <w:sz w:val="24"/>
          <w:highlight w:val="none"/>
        </w:rPr>
        <w:t>7个工作日内，</w:t>
      </w:r>
      <w:r>
        <w:rPr>
          <w:rFonts w:hint="eastAsia" w:ascii="仿宋" w:hAnsi="仿宋" w:eastAsia="仿宋" w:cs="仿宋"/>
          <w:color w:val="auto"/>
          <w:sz w:val="24"/>
          <w:highlight w:val="none"/>
          <w:lang w:val="en-US" w:eastAsia="zh-CN"/>
        </w:rPr>
        <w:t>成交供应商</w:t>
      </w:r>
      <w:r>
        <w:rPr>
          <w:rFonts w:hint="eastAsia" w:ascii="仿宋" w:hAnsi="仿宋" w:eastAsia="仿宋" w:cs="仿宋"/>
          <w:color w:val="auto"/>
          <w:sz w:val="24"/>
          <w:highlight w:val="none"/>
        </w:rPr>
        <w:t xml:space="preserve">应以支票/汇票/电汇/或金融机构、担保机构出据的保函等非现金形式，向采购人提交合同金额1%的履约保证金；合同履行完毕，经采购人相关部门验收合格后，按合同约定扣除相关款项（如有）后7个工作日内无息退还。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color w:val="auto"/>
          <w:highlight w:val="none"/>
        </w:rPr>
      </w:pPr>
      <w:r>
        <w:rPr>
          <w:rFonts w:hint="eastAsia" w:ascii="仿宋" w:hAnsi="仿宋" w:eastAsia="仿宋" w:cs="仿宋"/>
          <w:b w:val="0"/>
          <w:bCs/>
          <w:color w:val="auto"/>
          <w:sz w:val="24"/>
          <w:highlight w:val="none"/>
          <w:lang w:val="en-US" w:eastAsia="zh-CN"/>
        </w:rPr>
        <w:t>（5）支付方式：合同生效</w:t>
      </w:r>
      <w:r>
        <w:rPr>
          <w:rFonts w:hint="eastAsia" w:ascii="仿宋" w:hAnsi="仿宋" w:eastAsia="仿宋" w:cs="仿宋"/>
          <w:bCs/>
          <w:color w:val="auto"/>
          <w:sz w:val="24"/>
          <w:highlight w:val="none"/>
          <w:lang w:val="en-US" w:eastAsia="zh-CN"/>
        </w:rPr>
        <w:t>并具备实施条件</w:t>
      </w:r>
      <w:r>
        <w:rPr>
          <w:rFonts w:hint="eastAsia" w:ascii="仿宋" w:hAnsi="仿宋" w:eastAsia="仿宋" w:cs="仿宋"/>
          <w:b w:val="0"/>
          <w:bCs/>
          <w:color w:val="auto"/>
          <w:sz w:val="24"/>
          <w:highlight w:val="none"/>
          <w:lang w:val="en-US" w:eastAsia="zh-CN"/>
        </w:rPr>
        <w:t>后，支付合同金额的40%；合同履约完毕，经采购人验收合格后，支付剩余60%合同金额。</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bookmarkStart w:id="27" w:name="_GoBack"/>
      <w:bookmarkEnd w:id="27"/>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sz w:val="36"/>
          <w:szCs w:val="20"/>
          <w:highlight w:val="none"/>
          <w:lang w:val="en-US" w:eastAsia="zh-CN"/>
        </w:rPr>
      </w:pPr>
      <w:r>
        <w:rPr>
          <w:rFonts w:hint="eastAsia" w:ascii="仿宋" w:hAnsi="仿宋" w:eastAsia="仿宋" w:cs="仿宋"/>
          <w:b/>
          <w:color w:val="auto"/>
          <w:sz w:val="36"/>
          <w:szCs w:val="20"/>
          <w:highlight w:val="none"/>
          <w:lang w:val="en-US" w:eastAsia="zh-CN"/>
        </w:rPr>
        <w:br w:type="page"/>
      </w:r>
    </w:p>
    <w:p>
      <w:pPr>
        <w:numPr>
          <w:ilvl w:val="0"/>
          <w:numId w:val="0"/>
        </w:numPr>
        <w:snapToGrid w:val="0"/>
        <w:spacing w:line="360" w:lineRule="auto"/>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lang w:val="en-US" w:eastAsia="zh-CN"/>
        </w:rPr>
        <w:t xml:space="preserve">第五部分   </w:t>
      </w:r>
      <w:r>
        <w:rPr>
          <w:rFonts w:hint="eastAsia" w:ascii="仿宋" w:hAnsi="仿宋" w:eastAsia="仿宋" w:cs="仿宋"/>
          <w:b/>
          <w:color w:val="auto"/>
          <w:sz w:val="36"/>
          <w:szCs w:val="20"/>
          <w:highlight w:val="none"/>
        </w:rPr>
        <w:t>评审方法及评审标准</w:t>
      </w:r>
    </w:p>
    <w:p>
      <w:pPr>
        <w:pStyle w:val="23"/>
        <w:jc w:val="center"/>
        <w:rPr>
          <w:rFonts w:hint="eastAsia" w:ascii="仿宋" w:hAnsi="仿宋" w:eastAsia="仿宋" w:cs="仿宋"/>
          <w:b/>
          <w:color w:val="auto"/>
          <w:sz w:val="36"/>
          <w:highlight w:val="none"/>
        </w:rPr>
      </w:pPr>
      <w:r>
        <w:rPr>
          <w:rFonts w:hint="eastAsia" w:ascii="仿宋" w:hAnsi="仿宋" w:eastAsia="仿宋" w:cs="仿宋"/>
          <w:b/>
          <w:color w:val="auto"/>
          <w:sz w:val="36"/>
          <w:highlight w:val="none"/>
        </w:rPr>
        <w:t>评审方法前附表</w:t>
      </w:r>
    </w:p>
    <w:tbl>
      <w:tblPr>
        <w:tblStyle w:val="63"/>
        <w:tblW w:w="9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681"/>
        <w:gridCol w:w="4791"/>
        <w:gridCol w:w="790"/>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9" w:type="dxa"/>
            <w:noWrap w:val="0"/>
            <w:vAlign w:val="center"/>
          </w:tcPr>
          <w:p>
            <w:pPr>
              <w:spacing w:line="360" w:lineRule="exact"/>
              <w:jc w:val="center"/>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序号</w:t>
            </w:r>
          </w:p>
        </w:tc>
        <w:tc>
          <w:tcPr>
            <w:tcW w:w="1681" w:type="dxa"/>
            <w:noWrap w:val="0"/>
            <w:vAlign w:val="center"/>
          </w:tcPr>
          <w:p>
            <w:pPr>
              <w:spacing w:line="360" w:lineRule="exact"/>
              <w:jc w:val="center"/>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评审因素</w:t>
            </w:r>
          </w:p>
        </w:tc>
        <w:tc>
          <w:tcPr>
            <w:tcW w:w="4791" w:type="dxa"/>
            <w:noWrap w:val="0"/>
            <w:vAlign w:val="center"/>
          </w:tcPr>
          <w:p>
            <w:pPr>
              <w:spacing w:line="360" w:lineRule="exact"/>
              <w:jc w:val="center"/>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评分细则</w:t>
            </w:r>
          </w:p>
        </w:tc>
        <w:tc>
          <w:tcPr>
            <w:tcW w:w="790" w:type="dxa"/>
            <w:noWrap w:val="0"/>
            <w:vAlign w:val="center"/>
          </w:tcPr>
          <w:p>
            <w:pPr>
              <w:spacing w:line="360" w:lineRule="exact"/>
              <w:jc w:val="center"/>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分值</w:t>
            </w:r>
          </w:p>
        </w:tc>
        <w:tc>
          <w:tcPr>
            <w:tcW w:w="1065" w:type="dxa"/>
            <w:noWrap w:val="0"/>
            <w:vAlign w:val="center"/>
          </w:tcPr>
          <w:p>
            <w:pPr>
              <w:spacing w:line="360" w:lineRule="exact"/>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主/客观属性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9" w:type="dxa"/>
            <w:noWrap w:val="0"/>
            <w:vAlign w:val="center"/>
          </w:tcPr>
          <w:p>
            <w:pPr>
              <w:spacing w:line="3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w:t>
            </w:r>
          </w:p>
        </w:tc>
        <w:tc>
          <w:tcPr>
            <w:tcW w:w="1681" w:type="dxa"/>
            <w:noWrap w:val="0"/>
            <w:vAlign w:val="center"/>
          </w:tcPr>
          <w:p>
            <w:pPr>
              <w:snapToGrid w:val="0"/>
              <w:spacing w:line="360" w:lineRule="exact"/>
              <w:jc w:val="left"/>
              <w:rPr>
                <w:rFonts w:hint="eastAsia" w:ascii="仿宋" w:hAnsi="仿宋" w:eastAsia="仿宋" w:cs="仿宋"/>
                <w:bCs/>
                <w:color w:val="auto"/>
                <w:sz w:val="24"/>
                <w:highlight w:val="none"/>
              </w:rPr>
            </w:pPr>
            <w:r>
              <w:rPr>
                <w:rFonts w:hint="eastAsia" w:ascii="仿宋" w:hAnsi="仿宋" w:eastAsia="仿宋" w:cs="仿宋"/>
                <w:color w:val="auto"/>
                <w:sz w:val="24"/>
                <w:highlight w:val="none"/>
                <w:lang w:val="en-US" w:eastAsia="zh-CN" w:bidi="ar"/>
              </w:rPr>
              <w:t>响应供应商</w:t>
            </w:r>
            <w:r>
              <w:rPr>
                <w:rFonts w:hint="eastAsia" w:ascii="仿宋" w:hAnsi="仿宋" w:eastAsia="仿宋" w:cs="仿宋"/>
                <w:color w:val="auto"/>
                <w:sz w:val="24"/>
                <w:highlight w:val="none"/>
                <w:lang w:val="zh-CN" w:bidi="ar"/>
              </w:rPr>
              <w:t>业绩情况</w:t>
            </w:r>
          </w:p>
        </w:tc>
        <w:tc>
          <w:tcPr>
            <w:tcW w:w="4791" w:type="dxa"/>
            <w:noWrap w:val="0"/>
            <w:vAlign w:val="center"/>
          </w:tcPr>
          <w:p>
            <w:pPr>
              <w:widowControl/>
              <w:adjustRightInd/>
              <w:spacing w:line="360" w:lineRule="exact"/>
              <w:jc w:val="left"/>
              <w:rPr>
                <w:rFonts w:hint="eastAsia" w:ascii="仿宋" w:hAnsi="仿宋" w:eastAsia="仿宋" w:cs="仿宋"/>
                <w:bCs/>
                <w:color w:val="auto"/>
                <w:sz w:val="24"/>
                <w:highlight w:val="none"/>
              </w:rPr>
            </w:pPr>
            <w:r>
              <w:rPr>
                <w:rFonts w:hint="eastAsia" w:ascii="仿宋" w:hAnsi="仿宋" w:eastAsia="仿宋" w:cs="仿宋"/>
                <w:color w:val="auto"/>
                <w:sz w:val="24"/>
                <w:highlight w:val="none"/>
                <w:lang w:val="en-US" w:eastAsia="zh-CN" w:bidi="ar"/>
              </w:rPr>
              <w:t>响应供应商</w:t>
            </w:r>
            <w:r>
              <w:rPr>
                <w:rFonts w:hint="eastAsia" w:ascii="仿宋" w:hAnsi="仿宋" w:eastAsia="仿宋" w:cs="仿宋"/>
                <w:color w:val="auto"/>
                <w:sz w:val="24"/>
                <w:highlight w:val="none"/>
                <w:lang w:val="zh-CN" w:bidi="ar"/>
              </w:rPr>
              <w:t>202</w:t>
            </w:r>
            <w:r>
              <w:rPr>
                <w:rFonts w:hint="eastAsia" w:ascii="仿宋" w:hAnsi="仿宋" w:eastAsia="仿宋" w:cs="仿宋"/>
                <w:color w:val="auto"/>
                <w:sz w:val="24"/>
                <w:highlight w:val="none"/>
                <w:lang w:val="en-US" w:eastAsia="zh-CN" w:bidi="ar"/>
              </w:rPr>
              <w:t>1</w:t>
            </w:r>
            <w:r>
              <w:rPr>
                <w:rFonts w:hint="eastAsia" w:ascii="仿宋" w:hAnsi="仿宋" w:eastAsia="仿宋" w:cs="仿宋"/>
                <w:color w:val="auto"/>
                <w:sz w:val="24"/>
                <w:highlight w:val="none"/>
                <w:lang w:val="zh-CN" w:bidi="ar"/>
              </w:rPr>
              <w:t>年1月1日（以合同签订时间为准）至今具有同类（</w:t>
            </w:r>
            <w:r>
              <w:rPr>
                <w:rFonts w:hint="eastAsia" w:ascii="仿宋" w:hAnsi="仿宋" w:eastAsia="仿宋" w:cs="仿宋"/>
                <w:color w:val="auto"/>
                <w:sz w:val="24"/>
                <w:highlight w:val="none"/>
                <w:lang w:bidi="ar"/>
              </w:rPr>
              <w:t>与本次采购内容相关</w:t>
            </w:r>
            <w:r>
              <w:rPr>
                <w:rFonts w:hint="eastAsia" w:ascii="仿宋" w:hAnsi="仿宋" w:eastAsia="仿宋" w:cs="仿宋"/>
                <w:color w:val="auto"/>
                <w:sz w:val="24"/>
                <w:highlight w:val="none"/>
                <w:lang w:val="zh-CN" w:bidi="ar"/>
              </w:rPr>
              <w:t>）项目实施业绩，每提供1个合同得</w:t>
            </w:r>
            <w:r>
              <w:rPr>
                <w:rFonts w:hint="eastAsia" w:ascii="仿宋" w:hAnsi="仿宋" w:eastAsia="仿宋" w:cs="仿宋"/>
                <w:color w:val="auto"/>
                <w:sz w:val="24"/>
                <w:highlight w:val="none"/>
                <w:lang w:bidi="ar"/>
              </w:rPr>
              <w:t>1</w:t>
            </w:r>
            <w:r>
              <w:rPr>
                <w:rFonts w:hint="eastAsia" w:ascii="仿宋" w:hAnsi="仿宋" w:eastAsia="仿宋" w:cs="仿宋"/>
                <w:color w:val="auto"/>
                <w:sz w:val="24"/>
                <w:highlight w:val="none"/>
                <w:lang w:val="zh-CN" w:bidi="ar"/>
              </w:rPr>
              <w:t>分，最多得</w:t>
            </w:r>
            <w:r>
              <w:rPr>
                <w:rFonts w:hint="eastAsia" w:ascii="仿宋" w:hAnsi="仿宋" w:eastAsia="仿宋" w:cs="仿宋"/>
                <w:color w:val="auto"/>
                <w:sz w:val="24"/>
                <w:highlight w:val="none"/>
                <w:lang w:val="en-US" w:eastAsia="zh-CN" w:bidi="ar"/>
              </w:rPr>
              <w:t>1</w:t>
            </w:r>
            <w:r>
              <w:rPr>
                <w:rFonts w:hint="eastAsia" w:ascii="仿宋" w:hAnsi="仿宋" w:eastAsia="仿宋" w:cs="仿宋"/>
                <w:color w:val="auto"/>
                <w:sz w:val="24"/>
                <w:highlight w:val="none"/>
                <w:lang w:val="zh-CN" w:bidi="ar"/>
              </w:rPr>
              <w:t>分（提供合同</w:t>
            </w:r>
            <w:r>
              <w:rPr>
                <w:rFonts w:hint="eastAsia" w:ascii="仿宋" w:hAnsi="仿宋" w:eastAsia="仿宋" w:cs="仿宋"/>
                <w:color w:val="auto"/>
                <w:sz w:val="24"/>
                <w:highlight w:val="none"/>
                <w:lang w:val="en-US" w:eastAsia="zh-CN" w:bidi="ar"/>
              </w:rPr>
              <w:t>复印件及项目验收报告</w:t>
            </w:r>
            <w:r>
              <w:rPr>
                <w:rFonts w:hint="eastAsia" w:ascii="仿宋" w:hAnsi="仿宋" w:eastAsia="仿宋" w:cs="仿宋"/>
                <w:color w:val="auto"/>
                <w:sz w:val="24"/>
                <w:highlight w:val="none"/>
                <w:lang w:val="zh-CN" w:bidi="ar"/>
              </w:rPr>
              <w:t>，未提供不得分）。</w:t>
            </w:r>
          </w:p>
        </w:tc>
        <w:tc>
          <w:tcPr>
            <w:tcW w:w="790" w:type="dxa"/>
            <w:noWrap w:val="0"/>
            <w:vAlign w:val="center"/>
          </w:tcPr>
          <w:p>
            <w:pPr>
              <w:snapToGrid w:val="0"/>
              <w:spacing w:line="360" w:lineRule="exact"/>
              <w:jc w:val="center"/>
              <w:rPr>
                <w:rFonts w:hint="eastAsia" w:ascii="仿宋" w:hAnsi="仿宋" w:eastAsia="仿宋" w:cs="仿宋"/>
                <w:bCs/>
                <w:color w:val="auto"/>
                <w:sz w:val="24"/>
                <w:highlight w:val="none"/>
              </w:rPr>
            </w:pPr>
            <w:r>
              <w:rPr>
                <w:rFonts w:hint="eastAsia" w:ascii="仿宋" w:hAnsi="仿宋" w:eastAsia="仿宋" w:cs="仿宋"/>
                <w:color w:val="auto"/>
                <w:sz w:val="24"/>
                <w:highlight w:val="none"/>
                <w:lang w:val="en-US" w:eastAsia="zh-CN" w:bidi="ar"/>
              </w:rPr>
              <w:t>1</w:t>
            </w:r>
            <w:r>
              <w:rPr>
                <w:rFonts w:hint="eastAsia" w:ascii="仿宋" w:hAnsi="仿宋" w:eastAsia="仿宋" w:cs="仿宋"/>
                <w:color w:val="auto"/>
                <w:sz w:val="24"/>
                <w:highlight w:val="none"/>
                <w:lang w:val="zh-CN" w:bidi="ar"/>
              </w:rPr>
              <w:t>分</w:t>
            </w:r>
          </w:p>
        </w:tc>
        <w:tc>
          <w:tcPr>
            <w:tcW w:w="1065" w:type="dxa"/>
            <w:noWrap w:val="0"/>
            <w:vAlign w:val="center"/>
          </w:tcPr>
          <w:p>
            <w:pPr>
              <w:spacing w:line="360" w:lineRule="exact"/>
              <w:jc w:val="center"/>
              <w:rPr>
                <w:rFonts w:hint="eastAsia" w:ascii="仿宋" w:hAnsi="仿宋" w:eastAsia="仿宋" w:cs="仿宋"/>
                <w:bCs/>
                <w:color w:val="auto"/>
                <w:sz w:val="24"/>
                <w:highlight w:val="none"/>
              </w:rPr>
            </w:pPr>
            <w:r>
              <w:rPr>
                <w:rFonts w:hint="eastAsia" w:ascii="仿宋" w:hAnsi="仿宋" w:eastAsia="仿宋" w:cs="仿宋"/>
                <w:color w:val="auto"/>
                <w:sz w:val="24"/>
                <w:highlight w:val="none"/>
                <w:lang w:bidi="ar"/>
              </w:rPr>
              <w:t>客观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9" w:type="dxa"/>
            <w:noWrap w:val="0"/>
            <w:vAlign w:val="center"/>
          </w:tcPr>
          <w:p>
            <w:pPr>
              <w:spacing w:line="3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w:t>
            </w:r>
          </w:p>
        </w:tc>
        <w:tc>
          <w:tcPr>
            <w:tcW w:w="1681" w:type="dxa"/>
            <w:noWrap w:val="0"/>
            <w:vAlign w:val="center"/>
          </w:tcPr>
          <w:p>
            <w:pPr>
              <w:widowControl/>
              <w:adjustRightInd/>
              <w:spacing w:line="360" w:lineRule="exact"/>
              <w:jc w:val="left"/>
              <w:rPr>
                <w:rFonts w:hint="eastAsia" w:ascii="仿宋" w:hAnsi="仿宋" w:eastAsia="仿宋" w:cs="仿宋"/>
                <w:bCs/>
                <w:color w:val="auto"/>
                <w:sz w:val="24"/>
                <w:highlight w:val="none"/>
              </w:rPr>
            </w:pPr>
            <w:r>
              <w:rPr>
                <w:rFonts w:hint="eastAsia" w:ascii="仿宋" w:hAnsi="仿宋" w:eastAsia="仿宋" w:cs="仿宋"/>
                <w:color w:val="auto"/>
                <w:sz w:val="24"/>
                <w:highlight w:val="none"/>
                <w:lang w:val="en-US" w:eastAsia="zh-CN" w:bidi="ar"/>
              </w:rPr>
              <w:t>响应供应商</w:t>
            </w:r>
            <w:r>
              <w:rPr>
                <w:rFonts w:hint="eastAsia" w:ascii="仿宋" w:hAnsi="仿宋" w:eastAsia="仿宋" w:cs="仿宋"/>
                <w:color w:val="auto"/>
                <w:sz w:val="24"/>
                <w:highlight w:val="none"/>
              </w:rPr>
              <w:t>证书情况</w:t>
            </w:r>
          </w:p>
        </w:tc>
        <w:tc>
          <w:tcPr>
            <w:tcW w:w="4791" w:type="dxa"/>
            <w:noWrap w:val="0"/>
            <w:vAlign w:val="center"/>
          </w:tcPr>
          <w:p>
            <w:pPr>
              <w:widowControl/>
              <w:adjustRightInd/>
              <w:spacing w:line="360" w:lineRule="exact"/>
              <w:jc w:val="left"/>
              <w:rPr>
                <w:rFonts w:hint="eastAsia" w:ascii="仿宋" w:hAnsi="仿宋" w:eastAsia="仿宋" w:cs="仿宋"/>
                <w:bCs/>
                <w:color w:val="auto"/>
                <w:sz w:val="24"/>
                <w:highlight w:val="none"/>
              </w:rPr>
            </w:pPr>
            <w:r>
              <w:rPr>
                <w:rFonts w:hint="eastAsia" w:ascii="仿宋" w:hAnsi="仿宋" w:eastAsia="仿宋" w:cs="仿宋"/>
                <w:color w:val="auto"/>
                <w:sz w:val="24"/>
                <w:highlight w:val="none"/>
                <w:lang w:val="en-US" w:eastAsia="zh-CN"/>
              </w:rPr>
              <w:t>响应供应商</w:t>
            </w:r>
            <w:r>
              <w:rPr>
                <w:rFonts w:hint="eastAsia" w:ascii="仿宋" w:hAnsi="仿宋" w:eastAsia="仿宋" w:cs="仿宋"/>
                <w:color w:val="auto"/>
                <w:sz w:val="24"/>
                <w:highlight w:val="none"/>
              </w:rPr>
              <w:t>具有安全生产许可证</w:t>
            </w:r>
            <w:r>
              <w:rPr>
                <w:rFonts w:hint="eastAsia" w:ascii="仿宋" w:hAnsi="仿宋" w:eastAsia="仿宋" w:cs="仿宋"/>
                <w:color w:val="auto"/>
                <w:sz w:val="24"/>
                <w:highlight w:val="none"/>
                <w:lang w:val="en-US" w:eastAsia="zh-CN"/>
              </w:rPr>
              <w:t>得1分，具有</w:t>
            </w:r>
            <w:r>
              <w:rPr>
                <w:rFonts w:hint="eastAsia" w:ascii="仿宋" w:hAnsi="仿宋" w:eastAsia="仿宋" w:cs="仿宋"/>
                <w:color w:val="auto"/>
                <w:sz w:val="24"/>
                <w:highlight w:val="none"/>
              </w:rPr>
              <w:t>承装（修、试）电力设施许可证</w:t>
            </w:r>
            <w:r>
              <w:rPr>
                <w:rFonts w:hint="eastAsia" w:ascii="仿宋" w:hAnsi="仿宋" w:eastAsia="仿宋" w:cs="仿宋"/>
                <w:color w:val="auto"/>
                <w:sz w:val="24"/>
                <w:highlight w:val="none"/>
                <w:lang w:val="en-US" w:eastAsia="zh-CN"/>
              </w:rPr>
              <w:t>得1分。</w:t>
            </w:r>
            <w:r>
              <w:rPr>
                <w:rFonts w:hint="eastAsia" w:ascii="仿宋" w:hAnsi="仿宋" w:eastAsia="仿宋" w:cs="仿宋"/>
                <w:color w:val="auto"/>
                <w:sz w:val="24"/>
                <w:highlight w:val="none"/>
              </w:rPr>
              <w:t>（提供有效的证书</w:t>
            </w:r>
            <w:r>
              <w:rPr>
                <w:rFonts w:hint="eastAsia" w:ascii="仿宋" w:hAnsi="仿宋" w:eastAsia="仿宋" w:cs="仿宋"/>
                <w:color w:val="auto"/>
                <w:sz w:val="24"/>
                <w:highlight w:val="none"/>
                <w:lang w:val="en-US" w:eastAsia="zh-CN"/>
              </w:rPr>
              <w:t>复印件，未提供不得分</w:t>
            </w:r>
            <w:r>
              <w:rPr>
                <w:rFonts w:hint="eastAsia" w:ascii="仿宋" w:hAnsi="仿宋" w:eastAsia="仿宋" w:cs="仿宋"/>
                <w:color w:val="auto"/>
                <w:sz w:val="24"/>
                <w:highlight w:val="none"/>
              </w:rPr>
              <w:t>）</w:t>
            </w:r>
          </w:p>
        </w:tc>
        <w:tc>
          <w:tcPr>
            <w:tcW w:w="790" w:type="dxa"/>
            <w:noWrap w:val="0"/>
            <w:vAlign w:val="center"/>
          </w:tcPr>
          <w:p>
            <w:pPr>
              <w:snapToGrid w:val="0"/>
              <w:spacing w:line="360" w:lineRule="exact"/>
              <w:jc w:val="center"/>
              <w:rPr>
                <w:rFonts w:hint="eastAsia" w:ascii="仿宋" w:hAnsi="仿宋" w:eastAsia="仿宋" w:cs="仿宋"/>
                <w:bCs/>
                <w:color w:val="auto"/>
                <w:sz w:val="24"/>
                <w:highlight w:val="none"/>
              </w:rPr>
            </w:pPr>
            <w:r>
              <w:rPr>
                <w:rFonts w:hint="eastAsia" w:ascii="仿宋" w:hAnsi="仿宋" w:eastAsia="仿宋" w:cs="仿宋"/>
                <w:color w:val="auto"/>
                <w:sz w:val="24"/>
                <w:highlight w:val="none"/>
                <w:lang w:val="en-US" w:eastAsia="zh-CN" w:bidi="ar"/>
              </w:rPr>
              <w:t>2</w:t>
            </w:r>
            <w:r>
              <w:rPr>
                <w:rFonts w:hint="eastAsia" w:ascii="仿宋" w:hAnsi="仿宋" w:eastAsia="仿宋" w:cs="仿宋"/>
                <w:color w:val="auto"/>
                <w:sz w:val="24"/>
                <w:highlight w:val="none"/>
                <w:lang w:bidi="ar"/>
              </w:rPr>
              <w:t>分</w:t>
            </w:r>
          </w:p>
        </w:tc>
        <w:tc>
          <w:tcPr>
            <w:tcW w:w="1065" w:type="dxa"/>
            <w:noWrap w:val="0"/>
            <w:vAlign w:val="center"/>
          </w:tcPr>
          <w:p>
            <w:pPr>
              <w:spacing w:line="360" w:lineRule="exact"/>
              <w:jc w:val="center"/>
              <w:rPr>
                <w:rFonts w:hint="eastAsia" w:ascii="仿宋" w:hAnsi="仿宋" w:eastAsia="仿宋" w:cs="仿宋"/>
                <w:bCs/>
                <w:color w:val="auto"/>
                <w:sz w:val="24"/>
                <w:highlight w:val="none"/>
              </w:rPr>
            </w:pPr>
            <w:r>
              <w:rPr>
                <w:rFonts w:hint="eastAsia" w:ascii="仿宋" w:hAnsi="仿宋" w:eastAsia="仿宋" w:cs="仿宋"/>
                <w:color w:val="auto"/>
                <w:sz w:val="24"/>
                <w:highlight w:val="none"/>
                <w:lang w:bidi="ar"/>
              </w:rPr>
              <w:t>客观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9" w:type="dxa"/>
            <w:noWrap w:val="0"/>
            <w:vAlign w:val="center"/>
          </w:tcPr>
          <w:p>
            <w:pPr>
              <w:spacing w:line="3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w:t>
            </w:r>
          </w:p>
        </w:tc>
        <w:tc>
          <w:tcPr>
            <w:tcW w:w="1681" w:type="dxa"/>
            <w:noWrap w:val="0"/>
            <w:vAlign w:val="center"/>
          </w:tcPr>
          <w:p>
            <w:pPr>
              <w:widowControl/>
              <w:adjustRightInd/>
              <w:spacing w:line="360" w:lineRule="exact"/>
              <w:jc w:val="left"/>
              <w:rPr>
                <w:rFonts w:hint="default"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技术服务响应程度</w:t>
            </w:r>
          </w:p>
        </w:tc>
        <w:tc>
          <w:tcPr>
            <w:tcW w:w="4791" w:type="dxa"/>
            <w:noWrap w:val="0"/>
            <w:vAlign w:val="center"/>
          </w:tcPr>
          <w:p>
            <w:pPr>
              <w:widowControl/>
              <w:adjustRightInd/>
              <w:spacing w:line="36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根据采购文件第</w:t>
            </w:r>
            <w:r>
              <w:rPr>
                <w:rFonts w:hint="eastAsia" w:ascii="仿宋" w:hAnsi="仿宋" w:eastAsia="仿宋" w:cs="仿宋"/>
                <w:color w:val="auto"/>
                <w:sz w:val="24"/>
                <w:highlight w:val="none"/>
                <w:lang w:val="en-US" w:eastAsia="zh-CN"/>
              </w:rPr>
              <w:t>四</w:t>
            </w:r>
            <w:r>
              <w:rPr>
                <w:rFonts w:hint="eastAsia" w:ascii="仿宋" w:hAnsi="仿宋" w:eastAsia="仿宋" w:cs="仿宋"/>
                <w:color w:val="auto"/>
                <w:sz w:val="24"/>
                <w:highlight w:val="none"/>
              </w:rPr>
              <w:t>部分采购需求</w:t>
            </w:r>
            <w:r>
              <w:rPr>
                <w:rFonts w:hint="eastAsia" w:ascii="仿宋" w:hAnsi="仿宋" w:eastAsia="仿宋" w:cs="仿宋"/>
                <w:color w:val="auto"/>
                <w:sz w:val="24"/>
                <w:highlight w:val="none"/>
                <w:lang w:val="en-US" w:eastAsia="zh-CN"/>
              </w:rPr>
              <w:t>第6项内容要求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所投产品性能技术指标完全满足</w:t>
            </w:r>
            <w:r>
              <w:rPr>
                <w:rFonts w:hint="eastAsia" w:ascii="仿宋" w:hAnsi="仿宋" w:eastAsia="仿宋" w:cs="仿宋"/>
                <w:color w:val="auto"/>
                <w:sz w:val="24"/>
                <w:highlight w:val="none"/>
              </w:rPr>
              <w:t>或优于</w:t>
            </w:r>
            <w:r>
              <w:rPr>
                <w:rFonts w:hint="eastAsia" w:ascii="仿宋" w:hAnsi="仿宋" w:eastAsia="仿宋" w:cs="仿宋"/>
                <w:color w:val="auto"/>
                <w:sz w:val="24"/>
                <w:highlight w:val="none"/>
                <w:lang w:val="zh-CN"/>
              </w:rPr>
              <w:t>采购</w:t>
            </w:r>
            <w:r>
              <w:rPr>
                <w:rFonts w:hint="eastAsia" w:ascii="仿宋" w:hAnsi="仿宋" w:eastAsia="仿宋" w:cs="仿宋"/>
                <w:color w:val="auto"/>
                <w:sz w:val="24"/>
                <w:highlight w:val="none"/>
              </w:rPr>
              <w:t>要求</w:t>
            </w:r>
            <w:r>
              <w:rPr>
                <w:rFonts w:hint="eastAsia" w:ascii="仿宋" w:hAnsi="仿宋" w:eastAsia="仿宋" w:cs="仿宋"/>
                <w:color w:val="auto"/>
                <w:sz w:val="24"/>
                <w:highlight w:val="none"/>
                <w:lang w:val="zh-CN"/>
              </w:rPr>
              <w:t>的，该项得满分;</w:t>
            </w:r>
            <w:r>
              <w:rPr>
                <w:rFonts w:hint="eastAsia" w:ascii="仿宋" w:hAnsi="仿宋" w:eastAsia="仿宋" w:cs="仿宋"/>
                <w:color w:val="auto"/>
                <w:sz w:val="24"/>
                <w:highlight w:val="none"/>
              </w:rPr>
              <w:t>标</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zh-CN" w:eastAsia="zh-Hans"/>
              </w:rPr>
              <w:t>为</w:t>
            </w:r>
            <w:r>
              <w:rPr>
                <w:rFonts w:hint="eastAsia" w:ascii="仿宋" w:hAnsi="仿宋" w:eastAsia="仿宋" w:cs="仿宋"/>
                <w:color w:val="auto"/>
                <w:sz w:val="24"/>
                <w:highlight w:val="none"/>
              </w:rPr>
              <w:t>重要指标</w:t>
            </w:r>
            <w:r>
              <w:rPr>
                <w:rFonts w:hint="eastAsia" w:ascii="仿宋" w:hAnsi="仿宋" w:eastAsia="仿宋" w:cs="仿宋"/>
                <w:color w:val="auto"/>
                <w:sz w:val="24"/>
                <w:highlight w:val="none"/>
                <w:lang w:val="zh-CN"/>
              </w:rPr>
              <w:t>，如有偏离（</w:t>
            </w:r>
            <w:r>
              <w:rPr>
                <w:rFonts w:hint="eastAsia" w:ascii="仿宋" w:hAnsi="仿宋" w:eastAsia="仿宋" w:cs="仿宋"/>
                <w:color w:val="auto"/>
                <w:sz w:val="24"/>
                <w:highlight w:val="none"/>
              </w:rPr>
              <w:t>负偏离</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，每项扣2分；</w:t>
            </w:r>
            <w:r>
              <w:rPr>
                <w:rFonts w:hint="eastAsia" w:ascii="仿宋" w:hAnsi="仿宋" w:eastAsia="仿宋" w:cs="仿宋"/>
                <w:color w:val="auto"/>
                <w:sz w:val="24"/>
                <w:highlight w:val="none"/>
                <w:lang w:val="zh-CN"/>
              </w:rPr>
              <w:t>其他</w:t>
            </w:r>
            <w:r>
              <w:rPr>
                <w:rFonts w:hint="eastAsia" w:ascii="仿宋" w:hAnsi="仿宋" w:eastAsia="仿宋" w:cs="仿宋"/>
                <w:color w:val="auto"/>
                <w:sz w:val="24"/>
                <w:highlight w:val="none"/>
              </w:rPr>
              <w:t>为一般性指标，如有偏离</w:t>
            </w:r>
            <w:r>
              <w:rPr>
                <w:rFonts w:hint="eastAsia" w:ascii="仿宋" w:hAnsi="仿宋" w:eastAsia="仿宋" w:cs="仿宋"/>
                <w:color w:val="auto"/>
                <w:sz w:val="24"/>
                <w:highlight w:val="none"/>
                <w:lang w:val="zh-CN"/>
              </w:rPr>
              <w:t>（负偏离）的，每项扣</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lang w:val="zh-CN"/>
              </w:rPr>
              <w:t>分；</w:t>
            </w:r>
            <w:r>
              <w:rPr>
                <w:rFonts w:hint="eastAsia" w:ascii="仿宋" w:hAnsi="仿宋" w:eastAsia="仿宋" w:cs="仿宋"/>
                <w:color w:val="auto"/>
                <w:sz w:val="24"/>
                <w:highlight w:val="none"/>
              </w:rPr>
              <w:t>负偏离</w:t>
            </w:r>
            <w:r>
              <w:rPr>
                <w:rFonts w:hint="eastAsia" w:ascii="仿宋" w:hAnsi="仿宋" w:eastAsia="仿宋" w:cs="仿宋"/>
                <w:color w:val="auto"/>
                <w:sz w:val="24"/>
                <w:highlight w:val="none"/>
                <w:lang w:val="en-US" w:eastAsia="zh-CN"/>
              </w:rPr>
              <w:t>13</w:t>
            </w:r>
            <w:r>
              <w:rPr>
                <w:rFonts w:hint="eastAsia" w:ascii="仿宋" w:hAnsi="仿宋" w:eastAsia="仿宋" w:cs="仿宋"/>
                <w:color w:val="auto"/>
                <w:sz w:val="24"/>
                <w:highlight w:val="none"/>
              </w:rPr>
              <w:t>项及以上的，视为采购人不能接受的附加条件。</w:t>
            </w:r>
          </w:p>
        </w:tc>
        <w:tc>
          <w:tcPr>
            <w:tcW w:w="790" w:type="dxa"/>
            <w:noWrap w:val="0"/>
            <w:vAlign w:val="center"/>
          </w:tcPr>
          <w:p>
            <w:pPr>
              <w:snapToGrid w:val="0"/>
              <w:spacing w:line="360" w:lineRule="exact"/>
              <w:jc w:val="center"/>
              <w:rPr>
                <w:rFonts w:hint="default"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26分</w:t>
            </w:r>
          </w:p>
        </w:tc>
        <w:tc>
          <w:tcPr>
            <w:tcW w:w="1065" w:type="dxa"/>
            <w:noWrap w:val="0"/>
            <w:vAlign w:val="center"/>
          </w:tcPr>
          <w:p>
            <w:pPr>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客观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9" w:type="dxa"/>
            <w:vMerge w:val="restart"/>
            <w:noWrap w:val="0"/>
            <w:vAlign w:val="center"/>
          </w:tcPr>
          <w:p>
            <w:pPr>
              <w:spacing w:line="3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w:t>
            </w:r>
          </w:p>
        </w:tc>
        <w:tc>
          <w:tcPr>
            <w:tcW w:w="1681" w:type="dxa"/>
            <w:vMerge w:val="restart"/>
            <w:noWrap w:val="0"/>
            <w:vAlign w:val="center"/>
          </w:tcPr>
          <w:p>
            <w:pPr>
              <w:widowControl/>
              <w:adjustRightInd/>
              <w:spacing w:line="360" w:lineRule="exact"/>
              <w:jc w:val="left"/>
              <w:rPr>
                <w:rFonts w:hint="default"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与综合安全管理平台及三维地图功能了解及措施</w:t>
            </w:r>
          </w:p>
        </w:tc>
        <w:tc>
          <w:tcPr>
            <w:tcW w:w="4791" w:type="dxa"/>
            <w:noWrap w:val="0"/>
            <w:vAlign w:val="center"/>
          </w:tcPr>
          <w:p>
            <w:pPr>
              <w:widowControl/>
              <w:adjustRightInd/>
              <w:spacing w:line="360" w:lineRule="exact"/>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4.1所投设备软件功能是否符合及满足与现有综合安全管理平台数据对接及融合，是否能完全实现用户的要求</w:t>
            </w:r>
            <w:r>
              <w:rPr>
                <w:rFonts w:hint="eastAsia" w:ascii="仿宋" w:hAnsi="仿宋" w:eastAsia="仿宋" w:cs="仿宋"/>
                <w:color w:val="auto"/>
                <w:sz w:val="24"/>
                <w:highlight w:val="none"/>
              </w:rPr>
              <w:t>及合同履约</w:t>
            </w:r>
            <w:r>
              <w:rPr>
                <w:rFonts w:hint="eastAsia" w:ascii="仿宋" w:hAnsi="仿宋" w:eastAsia="仿宋" w:cs="仿宋"/>
                <w:color w:val="auto"/>
                <w:sz w:val="24"/>
                <w:highlight w:val="none"/>
                <w:lang w:val="en-US" w:eastAsia="zh-CN"/>
              </w:rPr>
              <w:t>。（评分范围：3,2,1,0）</w:t>
            </w:r>
          </w:p>
        </w:tc>
        <w:tc>
          <w:tcPr>
            <w:tcW w:w="790" w:type="dxa"/>
            <w:noWrap w:val="0"/>
            <w:vAlign w:val="center"/>
          </w:tcPr>
          <w:p>
            <w:pPr>
              <w:snapToGrid w:val="0"/>
              <w:spacing w:line="360" w:lineRule="exact"/>
              <w:jc w:val="center"/>
              <w:rPr>
                <w:rFonts w:hint="default"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3分</w:t>
            </w:r>
          </w:p>
        </w:tc>
        <w:tc>
          <w:tcPr>
            <w:tcW w:w="1065" w:type="dxa"/>
            <w:noWrap w:val="0"/>
            <w:vAlign w:val="center"/>
          </w:tcPr>
          <w:p>
            <w:pPr>
              <w:spacing w:line="360" w:lineRule="exact"/>
              <w:jc w:val="center"/>
              <w:rPr>
                <w:rFonts w:hint="default"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主观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9" w:type="dxa"/>
            <w:vMerge w:val="continue"/>
            <w:noWrap w:val="0"/>
            <w:vAlign w:val="center"/>
          </w:tcPr>
          <w:p>
            <w:pPr>
              <w:spacing w:line="360" w:lineRule="exact"/>
              <w:jc w:val="center"/>
              <w:rPr>
                <w:rFonts w:hint="default" w:ascii="仿宋" w:hAnsi="仿宋" w:eastAsia="仿宋" w:cs="仿宋"/>
                <w:bCs/>
                <w:color w:val="auto"/>
                <w:sz w:val="24"/>
                <w:highlight w:val="none"/>
                <w:lang w:val="en-US" w:eastAsia="zh-CN"/>
              </w:rPr>
            </w:pPr>
          </w:p>
        </w:tc>
        <w:tc>
          <w:tcPr>
            <w:tcW w:w="1681" w:type="dxa"/>
            <w:vMerge w:val="continue"/>
            <w:noWrap w:val="0"/>
            <w:vAlign w:val="center"/>
          </w:tcPr>
          <w:p>
            <w:pPr>
              <w:widowControl/>
              <w:adjustRightInd/>
              <w:spacing w:line="360" w:lineRule="exact"/>
              <w:jc w:val="left"/>
              <w:rPr>
                <w:rFonts w:hint="eastAsia" w:ascii="仿宋" w:hAnsi="仿宋" w:eastAsia="仿宋" w:cs="仿宋"/>
                <w:color w:val="auto"/>
                <w:sz w:val="24"/>
                <w:highlight w:val="none"/>
                <w:lang w:val="en-US" w:eastAsia="zh-CN" w:bidi="ar"/>
              </w:rPr>
            </w:pPr>
          </w:p>
        </w:tc>
        <w:tc>
          <w:tcPr>
            <w:tcW w:w="4791" w:type="dxa"/>
            <w:noWrap w:val="0"/>
            <w:vAlign w:val="center"/>
          </w:tcPr>
          <w:p>
            <w:pPr>
              <w:widowControl/>
              <w:adjustRightInd/>
              <w:spacing w:line="36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4.2所投设备的软件功能是否符合及满足与现有校园虚拟三维地图数据对接及融合，是否能完全实现用户的要求</w:t>
            </w:r>
            <w:r>
              <w:rPr>
                <w:rFonts w:hint="eastAsia" w:ascii="仿宋" w:hAnsi="仿宋" w:eastAsia="仿宋" w:cs="仿宋"/>
                <w:color w:val="auto"/>
                <w:sz w:val="24"/>
                <w:highlight w:val="none"/>
              </w:rPr>
              <w:t>及合同履约。（评分范围：3,2,1,0）</w:t>
            </w:r>
          </w:p>
        </w:tc>
        <w:tc>
          <w:tcPr>
            <w:tcW w:w="790" w:type="dxa"/>
            <w:noWrap w:val="0"/>
            <w:vAlign w:val="center"/>
          </w:tcPr>
          <w:p>
            <w:pPr>
              <w:snapToGrid w:val="0"/>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3分</w:t>
            </w:r>
          </w:p>
        </w:tc>
        <w:tc>
          <w:tcPr>
            <w:tcW w:w="1065" w:type="dxa"/>
            <w:noWrap w:val="0"/>
            <w:vAlign w:val="center"/>
          </w:tcPr>
          <w:p>
            <w:pPr>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主观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9" w:type="dxa"/>
            <w:noWrap w:val="0"/>
            <w:vAlign w:val="center"/>
          </w:tcPr>
          <w:p>
            <w:pPr>
              <w:spacing w:line="3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w:t>
            </w:r>
          </w:p>
        </w:tc>
        <w:tc>
          <w:tcPr>
            <w:tcW w:w="1681" w:type="dxa"/>
            <w:noWrap w:val="0"/>
            <w:vAlign w:val="center"/>
          </w:tcPr>
          <w:p>
            <w:pPr>
              <w:widowControl/>
              <w:adjustRightInd/>
              <w:spacing w:line="360" w:lineRule="exact"/>
              <w:jc w:val="left"/>
              <w:rPr>
                <w:rFonts w:hint="default"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数据对接配合程度措施</w:t>
            </w:r>
          </w:p>
        </w:tc>
        <w:tc>
          <w:tcPr>
            <w:tcW w:w="4791" w:type="dxa"/>
            <w:noWrap w:val="0"/>
            <w:vAlign w:val="center"/>
          </w:tcPr>
          <w:p>
            <w:pPr>
              <w:widowControl/>
              <w:adjustRightInd/>
              <w:spacing w:line="36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设备厂家在安装调试阶段需做好全方位的配合工作，根据现有平台开发方技术要求提供所需的协议及接口，不仅限常规协议接口，根据配合程度酌情打分：3,2,1,0）</w:t>
            </w:r>
          </w:p>
        </w:tc>
        <w:tc>
          <w:tcPr>
            <w:tcW w:w="790" w:type="dxa"/>
            <w:noWrap w:val="0"/>
            <w:vAlign w:val="center"/>
          </w:tcPr>
          <w:p>
            <w:pPr>
              <w:snapToGrid w:val="0"/>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3分</w:t>
            </w:r>
          </w:p>
        </w:tc>
        <w:tc>
          <w:tcPr>
            <w:tcW w:w="1065" w:type="dxa"/>
            <w:noWrap w:val="0"/>
            <w:vAlign w:val="center"/>
          </w:tcPr>
          <w:p>
            <w:pPr>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主观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9" w:type="dxa"/>
            <w:vMerge w:val="restart"/>
            <w:noWrap w:val="0"/>
            <w:vAlign w:val="center"/>
          </w:tcPr>
          <w:p>
            <w:pPr>
              <w:spacing w:line="3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6</w:t>
            </w:r>
          </w:p>
        </w:tc>
        <w:tc>
          <w:tcPr>
            <w:tcW w:w="1681" w:type="dxa"/>
            <w:vMerge w:val="restart"/>
            <w:noWrap w:val="0"/>
            <w:vAlign w:val="center"/>
          </w:tcPr>
          <w:p>
            <w:pPr>
              <w:widowControl/>
              <w:adjustRightInd/>
              <w:spacing w:line="360" w:lineRule="exact"/>
              <w:jc w:val="left"/>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项目组织实施方案</w:t>
            </w:r>
          </w:p>
        </w:tc>
        <w:tc>
          <w:tcPr>
            <w:tcW w:w="4791" w:type="dxa"/>
            <w:noWrap w:val="0"/>
            <w:vAlign w:val="center"/>
          </w:tcPr>
          <w:p>
            <w:pPr>
              <w:widowControl/>
              <w:adjustRightInd/>
              <w:spacing w:line="36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6.1施工总体部署、施工及调试技术方案、确保施工质量方案</w:t>
            </w:r>
            <w:r>
              <w:rPr>
                <w:rFonts w:hint="eastAsia" w:ascii="仿宋" w:hAnsi="仿宋" w:eastAsia="仿宋" w:cs="仿宋"/>
                <w:color w:val="auto"/>
                <w:sz w:val="24"/>
                <w:highlight w:val="none"/>
              </w:rPr>
              <w:t>，针对采购需求及实际特点、有利于采购标的实现及合同履约。（评分范围：3,2,1,0）</w:t>
            </w:r>
          </w:p>
        </w:tc>
        <w:tc>
          <w:tcPr>
            <w:tcW w:w="790" w:type="dxa"/>
            <w:noWrap w:val="0"/>
            <w:vAlign w:val="center"/>
          </w:tcPr>
          <w:p>
            <w:pPr>
              <w:snapToGrid w:val="0"/>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3分</w:t>
            </w:r>
          </w:p>
        </w:tc>
        <w:tc>
          <w:tcPr>
            <w:tcW w:w="1065" w:type="dxa"/>
            <w:noWrap w:val="0"/>
            <w:vAlign w:val="center"/>
          </w:tcPr>
          <w:p>
            <w:pPr>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主观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9" w:type="dxa"/>
            <w:vMerge w:val="continue"/>
            <w:noWrap w:val="0"/>
            <w:vAlign w:val="center"/>
          </w:tcPr>
          <w:p>
            <w:pPr>
              <w:spacing w:line="360" w:lineRule="exact"/>
              <w:jc w:val="center"/>
              <w:rPr>
                <w:rFonts w:hint="eastAsia" w:ascii="仿宋" w:hAnsi="仿宋" w:eastAsia="仿宋" w:cs="仿宋"/>
                <w:bCs/>
                <w:color w:val="auto"/>
                <w:sz w:val="24"/>
                <w:highlight w:val="none"/>
                <w:lang w:val="en-US" w:eastAsia="zh-CN"/>
              </w:rPr>
            </w:pPr>
          </w:p>
        </w:tc>
        <w:tc>
          <w:tcPr>
            <w:tcW w:w="1681" w:type="dxa"/>
            <w:vMerge w:val="continue"/>
            <w:noWrap w:val="0"/>
            <w:vAlign w:val="center"/>
          </w:tcPr>
          <w:p>
            <w:pPr>
              <w:widowControl/>
              <w:adjustRightInd/>
              <w:spacing w:line="360" w:lineRule="exact"/>
              <w:jc w:val="left"/>
              <w:rPr>
                <w:rFonts w:hint="eastAsia" w:ascii="仿宋" w:hAnsi="仿宋" w:eastAsia="仿宋" w:cs="仿宋"/>
                <w:color w:val="auto"/>
                <w:sz w:val="24"/>
                <w:highlight w:val="none"/>
                <w:lang w:val="en-US" w:eastAsia="zh-CN" w:bidi="ar"/>
              </w:rPr>
            </w:pPr>
          </w:p>
        </w:tc>
        <w:tc>
          <w:tcPr>
            <w:tcW w:w="4791" w:type="dxa"/>
            <w:noWrap w:val="0"/>
            <w:vAlign w:val="center"/>
          </w:tcPr>
          <w:p>
            <w:pPr>
              <w:widowControl/>
              <w:adjustRightInd/>
              <w:spacing w:line="36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6.2施工准备计划方案、确保按时完工的保障措施</w:t>
            </w:r>
            <w:r>
              <w:rPr>
                <w:rFonts w:hint="eastAsia" w:ascii="仿宋" w:hAnsi="仿宋" w:eastAsia="仿宋" w:cs="仿宋"/>
                <w:color w:val="auto"/>
                <w:sz w:val="24"/>
                <w:highlight w:val="none"/>
              </w:rPr>
              <w:t>，针对采购需求及实际特点、有利于采购标的实现及合同履约。（评分范围：3,2,1,0）</w:t>
            </w:r>
          </w:p>
        </w:tc>
        <w:tc>
          <w:tcPr>
            <w:tcW w:w="790" w:type="dxa"/>
            <w:noWrap w:val="0"/>
            <w:vAlign w:val="center"/>
          </w:tcPr>
          <w:p>
            <w:pPr>
              <w:snapToGrid w:val="0"/>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3分</w:t>
            </w:r>
          </w:p>
        </w:tc>
        <w:tc>
          <w:tcPr>
            <w:tcW w:w="1065" w:type="dxa"/>
            <w:noWrap w:val="0"/>
            <w:vAlign w:val="center"/>
          </w:tcPr>
          <w:p>
            <w:pPr>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主观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79" w:type="dxa"/>
            <w:vMerge w:val="continue"/>
            <w:noWrap w:val="0"/>
            <w:vAlign w:val="center"/>
          </w:tcPr>
          <w:p>
            <w:pPr>
              <w:spacing w:line="360" w:lineRule="exact"/>
              <w:jc w:val="center"/>
              <w:rPr>
                <w:rFonts w:hint="eastAsia" w:ascii="仿宋" w:hAnsi="仿宋" w:eastAsia="仿宋" w:cs="仿宋"/>
                <w:bCs/>
                <w:color w:val="auto"/>
                <w:sz w:val="24"/>
                <w:highlight w:val="none"/>
                <w:lang w:val="en-US" w:eastAsia="zh-CN"/>
              </w:rPr>
            </w:pPr>
          </w:p>
        </w:tc>
        <w:tc>
          <w:tcPr>
            <w:tcW w:w="1681" w:type="dxa"/>
            <w:vMerge w:val="continue"/>
            <w:noWrap w:val="0"/>
            <w:vAlign w:val="center"/>
          </w:tcPr>
          <w:p>
            <w:pPr>
              <w:widowControl/>
              <w:adjustRightInd/>
              <w:spacing w:line="360" w:lineRule="exact"/>
              <w:jc w:val="left"/>
              <w:rPr>
                <w:rFonts w:hint="eastAsia" w:ascii="仿宋" w:hAnsi="仿宋" w:eastAsia="仿宋" w:cs="仿宋"/>
                <w:color w:val="auto"/>
                <w:sz w:val="24"/>
                <w:highlight w:val="none"/>
                <w:lang w:val="en-US" w:eastAsia="zh-CN" w:bidi="ar"/>
              </w:rPr>
            </w:pPr>
          </w:p>
        </w:tc>
        <w:tc>
          <w:tcPr>
            <w:tcW w:w="4791" w:type="dxa"/>
            <w:noWrap w:val="0"/>
            <w:vAlign w:val="center"/>
          </w:tcPr>
          <w:p>
            <w:pPr>
              <w:widowControl/>
              <w:adjustRightInd/>
              <w:spacing w:line="36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6.3确保文明施工组织方案、确保安全施工组织方案</w:t>
            </w:r>
            <w:r>
              <w:rPr>
                <w:rFonts w:hint="eastAsia" w:ascii="仿宋" w:hAnsi="仿宋" w:eastAsia="仿宋" w:cs="仿宋"/>
                <w:color w:val="auto"/>
                <w:sz w:val="24"/>
                <w:highlight w:val="none"/>
              </w:rPr>
              <w:t>，针对采购需求及实际特点、有利于采购标的实现及合同履约。（评分范围：3,2,1,0）</w:t>
            </w:r>
          </w:p>
        </w:tc>
        <w:tc>
          <w:tcPr>
            <w:tcW w:w="790" w:type="dxa"/>
            <w:noWrap w:val="0"/>
            <w:vAlign w:val="center"/>
          </w:tcPr>
          <w:p>
            <w:pPr>
              <w:snapToGrid w:val="0"/>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3分</w:t>
            </w:r>
          </w:p>
        </w:tc>
        <w:tc>
          <w:tcPr>
            <w:tcW w:w="1065" w:type="dxa"/>
            <w:noWrap w:val="0"/>
            <w:vAlign w:val="center"/>
          </w:tcPr>
          <w:p>
            <w:pPr>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主观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9" w:type="dxa"/>
            <w:vMerge w:val="restart"/>
            <w:noWrap w:val="0"/>
            <w:vAlign w:val="center"/>
          </w:tcPr>
          <w:p>
            <w:pPr>
              <w:spacing w:line="3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7</w:t>
            </w:r>
          </w:p>
        </w:tc>
        <w:tc>
          <w:tcPr>
            <w:tcW w:w="1681" w:type="dxa"/>
            <w:vMerge w:val="restart"/>
            <w:noWrap w:val="0"/>
            <w:vAlign w:val="center"/>
          </w:tcPr>
          <w:p>
            <w:pPr>
              <w:widowControl/>
              <w:adjustRightInd/>
              <w:spacing w:line="360" w:lineRule="exact"/>
              <w:jc w:val="left"/>
              <w:rPr>
                <w:rFonts w:hint="default"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运维服务保障</w:t>
            </w:r>
          </w:p>
        </w:tc>
        <w:tc>
          <w:tcPr>
            <w:tcW w:w="4791" w:type="dxa"/>
            <w:noWrap w:val="0"/>
            <w:vAlign w:val="center"/>
          </w:tcPr>
          <w:p>
            <w:pPr>
              <w:widowControl/>
              <w:adjustRightInd/>
              <w:spacing w:line="36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7.1结合本项目的特点，提供整套汽车充电管理及解决方案，方案总体上能够契合本项目实际情况，各方面考虑周全的，配套服务周到完备。（评分范围：3,2,1,0）</w:t>
            </w:r>
          </w:p>
        </w:tc>
        <w:tc>
          <w:tcPr>
            <w:tcW w:w="790" w:type="dxa"/>
            <w:noWrap w:val="0"/>
            <w:vAlign w:val="center"/>
          </w:tcPr>
          <w:p>
            <w:pPr>
              <w:snapToGrid w:val="0"/>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3分</w:t>
            </w:r>
          </w:p>
        </w:tc>
        <w:tc>
          <w:tcPr>
            <w:tcW w:w="1065" w:type="dxa"/>
            <w:noWrap w:val="0"/>
            <w:vAlign w:val="center"/>
          </w:tcPr>
          <w:p>
            <w:pPr>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主观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9" w:type="dxa"/>
            <w:vMerge w:val="continue"/>
            <w:noWrap w:val="0"/>
            <w:vAlign w:val="center"/>
          </w:tcPr>
          <w:p>
            <w:pPr>
              <w:spacing w:line="360" w:lineRule="exact"/>
              <w:jc w:val="center"/>
              <w:rPr>
                <w:rFonts w:hint="eastAsia" w:ascii="仿宋" w:hAnsi="仿宋" w:eastAsia="仿宋" w:cs="仿宋"/>
                <w:bCs/>
                <w:color w:val="auto"/>
                <w:sz w:val="24"/>
                <w:highlight w:val="none"/>
                <w:lang w:val="en-US" w:eastAsia="zh-CN"/>
              </w:rPr>
            </w:pPr>
          </w:p>
        </w:tc>
        <w:tc>
          <w:tcPr>
            <w:tcW w:w="1681" w:type="dxa"/>
            <w:vMerge w:val="continue"/>
            <w:noWrap w:val="0"/>
            <w:vAlign w:val="center"/>
          </w:tcPr>
          <w:p>
            <w:pPr>
              <w:widowControl/>
              <w:adjustRightInd/>
              <w:spacing w:line="360" w:lineRule="exact"/>
              <w:jc w:val="left"/>
              <w:rPr>
                <w:rFonts w:hint="eastAsia" w:ascii="仿宋" w:hAnsi="仿宋" w:eastAsia="仿宋" w:cs="仿宋"/>
                <w:color w:val="auto"/>
                <w:sz w:val="24"/>
                <w:highlight w:val="none"/>
                <w:lang w:val="en-US" w:eastAsia="zh-CN" w:bidi="ar"/>
              </w:rPr>
            </w:pPr>
          </w:p>
        </w:tc>
        <w:tc>
          <w:tcPr>
            <w:tcW w:w="4791" w:type="dxa"/>
            <w:noWrap w:val="0"/>
            <w:vAlign w:val="center"/>
          </w:tcPr>
          <w:p>
            <w:pPr>
              <w:widowControl/>
              <w:adjustRightInd/>
              <w:spacing w:line="36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7.2提供配套的充电运营管理平台，有利于采购标的实现及合同履约。（评分范围：3,2,1,0）</w:t>
            </w:r>
          </w:p>
        </w:tc>
        <w:tc>
          <w:tcPr>
            <w:tcW w:w="790" w:type="dxa"/>
            <w:noWrap w:val="0"/>
            <w:vAlign w:val="center"/>
          </w:tcPr>
          <w:p>
            <w:pPr>
              <w:snapToGrid w:val="0"/>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3分</w:t>
            </w:r>
          </w:p>
        </w:tc>
        <w:tc>
          <w:tcPr>
            <w:tcW w:w="1065" w:type="dxa"/>
            <w:noWrap w:val="0"/>
            <w:vAlign w:val="center"/>
          </w:tcPr>
          <w:p>
            <w:pPr>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主观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9" w:type="dxa"/>
            <w:vMerge w:val="restart"/>
            <w:noWrap w:val="0"/>
            <w:vAlign w:val="center"/>
          </w:tcPr>
          <w:p>
            <w:pPr>
              <w:spacing w:line="3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8</w:t>
            </w:r>
          </w:p>
        </w:tc>
        <w:tc>
          <w:tcPr>
            <w:tcW w:w="1681" w:type="dxa"/>
            <w:vMerge w:val="restart"/>
            <w:noWrap w:val="0"/>
            <w:vAlign w:val="center"/>
          </w:tcPr>
          <w:p>
            <w:pPr>
              <w:widowControl/>
              <w:adjustRightInd/>
              <w:spacing w:line="360" w:lineRule="exact"/>
              <w:jc w:val="left"/>
              <w:rPr>
                <w:rFonts w:hint="default"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服务人员情况</w:t>
            </w:r>
          </w:p>
        </w:tc>
        <w:tc>
          <w:tcPr>
            <w:tcW w:w="4791" w:type="dxa"/>
            <w:noWrap w:val="0"/>
            <w:vAlign w:val="center"/>
          </w:tcPr>
          <w:p>
            <w:pPr>
              <w:widowControl/>
              <w:adjustRightInd/>
              <w:spacing w:line="360" w:lineRule="exact"/>
              <w:jc w:val="left"/>
              <w:rPr>
                <w:rFonts w:hint="eastAsia" w:ascii="仿宋" w:hAnsi="仿宋" w:eastAsia="仿宋" w:cs="仿宋"/>
                <w:color w:val="auto"/>
                <w:sz w:val="24"/>
                <w:highlight w:val="none"/>
                <w:lang w:val="en-US" w:eastAsia="zh-CN"/>
              </w:rPr>
            </w:pPr>
            <w:r>
              <w:rPr>
                <w:rFonts w:hint="eastAsia" w:ascii="仿宋" w:hAnsi="仿宋" w:eastAsia="仿宋" w:cs="仿宋"/>
                <w:b w:val="0"/>
                <w:bCs/>
                <w:color w:val="auto"/>
                <w:kern w:val="0"/>
                <w:sz w:val="24"/>
                <w:highlight w:val="none"/>
                <w:lang w:val="en-US" w:eastAsia="zh-CN" w:bidi="ar"/>
              </w:rPr>
              <w:t>8.1</w:t>
            </w:r>
            <w:r>
              <w:rPr>
                <w:rFonts w:hint="eastAsia" w:ascii="仿宋" w:hAnsi="仿宋" w:eastAsia="仿宋" w:cs="仿宋"/>
                <w:b w:val="0"/>
                <w:bCs/>
                <w:color w:val="auto"/>
                <w:kern w:val="0"/>
                <w:sz w:val="24"/>
                <w:highlight w:val="none"/>
                <w:lang w:bidi="ar"/>
              </w:rPr>
              <w:t>拟派项目负责人的专业素质、技术能力、组织协调能力、</w:t>
            </w:r>
            <w:r>
              <w:rPr>
                <w:rFonts w:hint="eastAsia" w:ascii="仿宋" w:hAnsi="仿宋" w:eastAsia="仿宋" w:cs="仿宋"/>
                <w:b w:val="0"/>
                <w:bCs/>
                <w:color w:val="auto"/>
                <w:kern w:val="0"/>
                <w:sz w:val="24"/>
                <w:highlight w:val="none"/>
                <w:lang w:bidi="ar"/>
              </w:rPr>
              <w:t>与招标项目具体特点和实际需求相适应或与合同履约有关的同类项目实施经验情况。（提供相关证明材料及近3个月在职社保缴纳记录，未提供不得分）。（评分范围：2,1,0</w:t>
            </w:r>
            <w:r>
              <w:rPr>
                <w:rFonts w:hint="eastAsia" w:ascii="仿宋" w:hAnsi="仿宋" w:eastAsia="仿宋" w:cs="仿宋"/>
                <w:b w:val="0"/>
                <w:bCs/>
                <w:color w:val="auto"/>
                <w:kern w:val="0"/>
                <w:sz w:val="24"/>
                <w:highlight w:val="none"/>
                <w:lang w:val="en-US" w:eastAsia="zh-CN" w:bidi="ar"/>
              </w:rPr>
              <w:t>.5,0</w:t>
            </w:r>
            <w:r>
              <w:rPr>
                <w:rFonts w:hint="eastAsia" w:ascii="仿宋" w:hAnsi="仿宋" w:eastAsia="仿宋" w:cs="仿宋"/>
                <w:b w:val="0"/>
                <w:bCs/>
                <w:color w:val="auto"/>
                <w:kern w:val="0"/>
                <w:sz w:val="24"/>
                <w:highlight w:val="none"/>
                <w:lang w:bidi="ar"/>
              </w:rPr>
              <w:t>）</w:t>
            </w:r>
          </w:p>
        </w:tc>
        <w:tc>
          <w:tcPr>
            <w:tcW w:w="790" w:type="dxa"/>
            <w:noWrap w:val="0"/>
            <w:vAlign w:val="center"/>
          </w:tcPr>
          <w:p>
            <w:pPr>
              <w:snapToGrid w:val="0"/>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2分</w:t>
            </w:r>
          </w:p>
        </w:tc>
        <w:tc>
          <w:tcPr>
            <w:tcW w:w="1065" w:type="dxa"/>
            <w:noWrap w:val="0"/>
            <w:vAlign w:val="center"/>
          </w:tcPr>
          <w:p>
            <w:pPr>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主观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9" w:type="dxa"/>
            <w:vMerge w:val="continue"/>
            <w:noWrap w:val="0"/>
            <w:vAlign w:val="center"/>
          </w:tcPr>
          <w:p>
            <w:pPr>
              <w:spacing w:line="360" w:lineRule="exact"/>
              <w:jc w:val="center"/>
              <w:rPr>
                <w:rFonts w:hint="eastAsia" w:ascii="仿宋" w:hAnsi="仿宋" w:eastAsia="仿宋" w:cs="仿宋"/>
                <w:bCs/>
                <w:color w:val="auto"/>
                <w:sz w:val="24"/>
                <w:highlight w:val="none"/>
                <w:lang w:val="en-US" w:eastAsia="zh-CN"/>
              </w:rPr>
            </w:pPr>
          </w:p>
        </w:tc>
        <w:tc>
          <w:tcPr>
            <w:tcW w:w="1681" w:type="dxa"/>
            <w:vMerge w:val="continue"/>
            <w:noWrap w:val="0"/>
            <w:vAlign w:val="center"/>
          </w:tcPr>
          <w:p>
            <w:pPr>
              <w:widowControl/>
              <w:adjustRightInd/>
              <w:spacing w:line="360" w:lineRule="exact"/>
              <w:jc w:val="left"/>
              <w:rPr>
                <w:rFonts w:hint="default" w:ascii="仿宋" w:hAnsi="仿宋" w:eastAsia="仿宋" w:cs="仿宋"/>
                <w:color w:val="auto"/>
                <w:sz w:val="24"/>
                <w:highlight w:val="none"/>
                <w:lang w:val="en-US" w:eastAsia="zh-CN" w:bidi="ar"/>
              </w:rPr>
            </w:pPr>
          </w:p>
        </w:tc>
        <w:tc>
          <w:tcPr>
            <w:tcW w:w="4791" w:type="dxa"/>
            <w:noWrap w:val="0"/>
            <w:vAlign w:val="center"/>
          </w:tcPr>
          <w:p>
            <w:pPr>
              <w:widowControl/>
              <w:adjustRightInd/>
              <w:spacing w:line="36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8.2其他团队人员（项目技术负责人除外）配置方案。人员数量充足、管理制度完善明确、同类项目实施经验丰富，配置结构合理，专业职责分工明确，针对采购需求及实际特点、有利于采购标的实现及合同履约。（评分范围：2,1,0.5,0）</w:t>
            </w:r>
          </w:p>
        </w:tc>
        <w:tc>
          <w:tcPr>
            <w:tcW w:w="790" w:type="dxa"/>
            <w:noWrap w:val="0"/>
            <w:vAlign w:val="center"/>
          </w:tcPr>
          <w:p>
            <w:pPr>
              <w:snapToGrid w:val="0"/>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2分</w:t>
            </w:r>
          </w:p>
        </w:tc>
        <w:tc>
          <w:tcPr>
            <w:tcW w:w="1065" w:type="dxa"/>
            <w:noWrap w:val="0"/>
            <w:vAlign w:val="center"/>
          </w:tcPr>
          <w:p>
            <w:pPr>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主观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9" w:type="dxa"/>
            <w:noWrap w:val="0"/>
            <w:vAlign w:val="center"/>
          </w:tcPr>
          <w:p>
            <w:pPr>
              <w:spacing w:line="3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9</w:t>
            </w:r>
          </w:p>
        </w:tc>
        <w:tc>
          <w:tcPr>
            <w:tcW w:w="1681" w:type="dxa"/>
            <w:noWrap w:val="0"/>
            <w:vAlign w:val="center"/>
          </w:tcPr>
          <w:p>
            <w:pPr>
              <w:widowControl/>
              <w:adjustRightInd/>
              <w:spacing w:line="360" w:lineRule="exact"/>
              <w:jc w:val="left"/>
              <w:rPr>
                <w:rFonts w:hint="default" w:ascii="仿宋" w:hAnsi="仿宋" w:eastAsia="仿宋" w:cs="仿宋"/>
                <w:color w:val="auto"/>
                <w:sz w:val="24"/>
                <w:highlight w:val="none"/>
                <w:lang w:val="en-US" w:eastAsia="zh-CN" w:bidi="ar"/>
              </w:rPr>
            </w:pPr>
            <w:r>
              <w:rPr>
                <w:rFonts w:hint="default" w:ascii="仿宋" w:hAnsi="仿宋" w:eastAsia="仿宋" w:cs="仿宋"/>
                <w:color w:val="auto"/>
                <w:sz w:val="24"/>
                <w:highlight w:val="none"/>
                <w:lang w:val="en-US" w:eastAsia="zh-CN" w:bidi="ar"/>
              </w:rPr>
              <w:t>质量保证措施</w:t>
            </w:r>
          </w:p>
        </w:tc>
        <w:tc>
          <w:tcPr>
            <w:tcW w:w="4791" w:type="dxa"/>
            <w:noWrap w:val="0"/>
            <w:vAlign w:val="center"/>
          </w:tcPr>
          <w:p>
            <w:pPr>
              <w:widowControl/>
              <w:adjustRightInd/>
              <w:spacing w:line="36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建立了本项目的质量保障工作机制，内部校审制度、质量管理人员安排、材料质量控制、质量控制点的设置及成品保护措施。（评分范围：3,2,1,0）</w:t>
            </w:r>
          </w:p>
        </w:tc>
        <w:tc>
          <w:tcPr>
            <w:tcW w:w="790" w:type="dxa"/>
            <w:noWrap w:val="0"/>
            <w:vAlign w:val="center"/>
          </w:tcPr>
          <w:p>
            <w:pPr>
              <w:snapToGrid w:val="0"/>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3分</w:t>
            </w:r>
          </w:p>
        </w:tc>
        <w:tc>
          <w:tcPr>
            <w:tcW w:w="1065" w:type="dxa"/>
            <w:noWrap w:val="0"/>
            <w:vAlign w:val="center"/>
          </w:tcPr>
          <w:p>
            <w:pPr>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主观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9" w:type="dxa"/>
            <w:noWrap w:val="0"/>
            <w:vAlign w:val="center"/>
          </w:tcPr>
          <w:p>
            <w:pPr>
              <w:spacing w:line="3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10</w:t>
            </w:r>
          </w:p>
        </w:tc>
        <w:tc>
          <w:tcPr>
            <w:tcW w:w="1681" w:type="dxa"/>
            <w:noWrap w:val="0"/>
            <w:vAlign w:val="center"/>
          </w:tcPr>
          <w:p>
            <w:pPr>
              <w:widowControl/>
              <w:adjustRightInd/>
              <w:spacing w:line="360" w:lineRule="exact"/>
              <w:jc w:val="left"/>
              <w:rPr>
                <w:rFonts w:hint="default" w:ascii="仿宋" w:hAnsi="仿宋" w:eastAsia="仿宋" w:cs="仿宋"/>
                <w:color w:val="auto"/>
                <w:sz w:val="24"/>
                <w:highlight w:val="none"/>
                <w:lang w:val="en-US" w:eastAsia="zh-CN" w:bidi="ar"/>
              </w:rPr>
            </w:pPr>
            <w:r>
              <w:rPr>
                <w:rFonts w:hint="default" w:ascii="仿宋" w:hAnsi="仿宋" w:eastAsia="仿宋" w:cs="仿宋"/>
                <w:color w:val="auto"/>
                <w:sz w:val="24"/>
                <w:highlight w:val="none"/>
                <w:lang w:val="en-US" w:eastAsia="zh-CN" w:bidi="ar"/>
              </w:rPr>
              <w:t>进度控制方案</w:t>
            </w:r>
          </w:p>
        </w:tc>
        <w:tc>
          <w:tcPr>
            <w:tcW w:w="4791" w:type="dxa"/>
            <w:noWrap w:val="0"/>
            <w:vAlign w:val="center"/>
          </w:tcPr>
          <w:p>
            <w:pPr>
              <w:widowControl/>
              <w:adjustRightInd/>
              <w:spacing w:line="36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提供进度控制的方案（包括但不限于进度控制目标、进度控制内容、进度控制方法）：方案详细全面、充分、针对采购需求及实际特点、有利于采购标的实现及合同履约。（评分范围：3,2,1,0）</w:t>
            </w:r>
          </w:p>
        </w:tc>
        <w:tc>
          <w:tcPr>
            <w:tcW w:w="790" w:type="dxa"/>
            <w:noWrap w:val="0"/>
            <w:vAlign w:val="center"/>
          </w:tcPr>
          <w:p>
            <w:pPr>
              <w:snapToGrid w:val="0"/>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3分</w:t>
            </w:r>
          </w:p>
        </w:tc>
        <w:tc>
          <w:tcPr>
            <w:tcW w:w="1065" w:type="dxa"/>
            <w:noWrap w:val="0"/>
            <w:vAlign w:val="center"/>
          </w:tcPr>
          <w:p>
            <w:pPr>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主观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79" w:type="dxa"/>
            <w:vMerge w:val="restart"/>
            <w:noWrap w:val="0"/>
            <w:vAlign w:val="center"/>
          </w:tcPr>
          <w:p>
            <w:pPr>
              <w:spacing w:line="3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11</w:t>
            </w:r>
          </w:p>
        </w:tc>
        <w:tc>
          <w:tcPr>
            <w:tcW w:w="1681" w:type="dxa"/>
            <w:vMerge w:val="restart"/>
            <w:noWrap w:val="0"/>
            <w:vAlign w:val="center"/>
          </w:tcPr>
          <w:p>
            <w:pPr>
              <w:widowControl/>
              <w:adjustRightInd/>
              <w:spacing w:line="360" w:lineRule="exact"/>
              <w:jc w:val="left"/>
              <w:rPr>
                <w:rFonts w:hint="default" w:ascii="仿宋" w:hAnsi="仿宋" w:eastAsia="仿宋" w:cs="仿宋"/>
                <w:color w:val="auto"/>
                <w:sz w:val="24"/>
                <w:highlight w:val="none"/>
                <w:lang w:val="en-US" w:eastAsia="zh-CN" w:bidi="ar"/>
              </w:rPr>
            </w:pPr>
            <w:r>
              <w:rPr>
                <w:rFonts w:hint="default" w:ascii="仿宋" w:hAnsi="仿宋" w:eastAsia="仿宋" w:cs="仿宋"/>
                <w:color w:val="auto"/>
                <w:sz w:val="24"/>
                <w:highlight w:val="none"/>
                <w:lang w:val="en-US" w:eastAsia="zh-CN" w:bidi="ar"/>
              </w:rPr>
              <w:t>售后服务</w:t>
            </w:r>
          </w:p>
        </w:tc>
        <w:tc>
          <w:tcPr>
            <w:tcW w:w="4791" w:type="dxa"/>
            <w:noWrap w:val="0"/>
            <w:vAlign w:val="center"/>
          </w:tcPr>
          <w:p>
            <w:pPr>
              <w:widowControl/>
              <w:adjustRightInd/>
              <w:spacing w:line="360" w:lineRule="exact"/>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11.1售后服务承诺，包括服务内容、服务承诺、响应时间、服务方式、人员配备、应急服务等内容。（评分范围：3,2,1,0）</w:t>
            </w:r>
          </w:p>
        </w:tc>
        <w:tc>
          <w:tcPr>
            <w:tcW w:w="790" w:type="dxa"/>
            <w:noWrap w:val="0"/>
            <w:vAlign w:val="center"/>
          </w:tcPr>
          <w:p>
            <w:pPr>
              <w:snapToGrid w:val="0"/>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3分</w:t>
            </w:r>
          </w:p>
        </w:tc>
        <w:tc>
          <w:tcPr>
            <w:tcW w:w="1065" w:type="dxa"/>
            <w:noWrap w:val="0"/>
            <w:vAlign w:val="center"/>
          </w:tcPr>
          <w:p>
            <w:pPr>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主观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9" w:type="dxa"/>
            <w:vMerge w:val="continue"/>
            <w:noWrap w:val="0"/>
            <w:vAlign w:val="center"/>
          </w:tcPr>
          <w:p>
            <w:pPr>
              <w:spacing w:line="360" w:lineRule="exact"/>
              <w:jc w:val="center"/>
              <w:rPr>
                <w:rFonts w:hint="eastAsia" w:ascii="仿宋" w:hAnsi="仿宋" w:eastAsia="仿宋" w:cs="仿宋"/>
                <w:bCs/>
                <w:color w:val="auto"/>
                <w:sz w:val="24"/>
                <w:highlight w:val="none"/>
                <w:lang w:val="en-US" w:eastAsia="zh-CN"/>
              </w:rPr>
            </w:pPr>
          </w:p>
        </w:tc>
        <w:tc>
          <w:tcPr>
            <w:tcW w:w="1681" w:type="dxa"/>
            <w:vMerge w:val="continue"/>
            <w:noWrap w:val="0"/>
            <w:vAlign w:val="center"/>
          </w:tcPr>
          <w:p>
            <w:pPr>
              <w:widowControl/>
              <w:adjustRightInd/>
              <w:spacing w:line="360" w:lineRule="exact"/>
              <w:jc w:val="left"/>
              <w:rPr>
                <w:rFonts w:hint="default" w:ascii="仿宋" w:hAnsi="仿宋" w:eastAsia="仿宋" w:cs="仿宋"/>
                <w:color w:val="auto"/>
                <w:sz w:val="24"/>
                <w:highlight w:val="none"/>
                <w:lang w:val="en-US" w:eastAsia="zh-CN" w:bidi="ar"/>
              </w:rPr>
            </w:pPr>
          </w:p>
        </w:tc>
        <w:tc>
          <w:tcPr>
            <w:tcW w:w="4791" w:type="dxa"/>
            <w:noWrap w:val="0"/>
            <w:vAlign w:val="center"/>
          </w:tcPr>
          <w:p>
            <w:pPr>
              <w:widowControl/>
              <w:adjustRightInd/>
              <w:spacing w:line="36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11.2质保期内外的后续技术支持和维护能力情况、配件、附件、备品备件的准备和保障措施，描述内容完整详细、清晰明确、科学合理。（评分范围：2,1,0.5,0）</w:t>
            </w:r>
          </w:p>
        </w:tc>
        <w:tc>
          <w:tcPr>
            <w:tcW w:w="790" w:type="dxa"/>
            <w:noWrap w:val="0"/>
            <w:vAlign w:val="center"/>
          </w:tcPr>
          <w:p>
            <w:pPr>
              <w:snapToGrid w:val="0"/>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2分</w:t>
            </w:r>
          </w:p>
        </w:tc>
        <w:tc>
          <w:tcPr>
            <w:tcW w:w="1065" w:type="dxa"/>
            <w:noWrap w:val="0"/>
            <w:vAlign w:val="center"/>
          </w:tcPr>
          <w:p>
            <w:pPr>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主观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9" w:type="dxa"/>
            <w:noWrap w:val="0"/>
            <w:vAlign w:val="center"/>
          </w:tcPr>
          <w:p>
            <w:pPr>
              <w:spacing w:line="3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12</w:t>
            </w:r>
          </w:p>
        </w:tc>
        <w:tc>
          <w:tcPr>
            <w:tcW w:w="1681" w:type="dxa"/>
            <w:noWrap w:val="0"/>
            <w:vAlign w:val="center"/>
          </w:tcPr>
          <w:p>
            <w:pPr>
              <w:spacing w:line="360" w:lineRule="exact"/>
              <w:rPr>
                <w:rFonts w:hint="default" w:ascii="仿宋" w:hAnsi="仿宋" w:eastAsia="仿宋" w:cs="仿宋"/>
                <w:color w:val="auto"/>
                <w:sz w:val="24"/>
                <w:highlight w:val="none"/>
                <w:lang w:val="en-US" w:eastAsia="zh-CN" w:bidi="ar"/>
              </w:rPr>
            </w:pPr>
            <w:r>
              <w:rPr>
                <w:rFonts w:hint="eastAsia" w:ascii="仿宋" w:hAnsi="仿宋" w:eastAsia="仿宋" w:cs="仿宋"/>
                <w:bCs/>
                <w:color w:val="auto"/>
                <w:sz w:val="24"/>
                <w:highlight w:val="none"/>
              </w:rPr>
              <w:t>技术培训方案和措施</w:t>
            </w:r>
          </w:p>
        </w:tc>
        <w:tc>
          <w:tcPr>
            <w:tcW w:w="4791" w:type="dxa"/>
            <w:noWrap w:val="0"/>
            <w:vAlign w:val="center"/>
          </w:tcPr>
          <w:p>
            <w:pPr>
              <w:spacing w:line="36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提供技术培训的方案、内容和措施，针对采购需求及实际特点、有利于采购标的实现及合同履约。（评分范围：</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0.5,0</w:t>
            </w:r>
            <w:r>
              <w:rPr>
                <w:rFonts w:hint="eastAsia" w:ascii="仿宋" w:hAnsi="仿宋" w:eastAsia="仿宋" w:cs="仿宋"/>
                <w:color w:val="auto"/>
                <w:sz w:val="24"/>
                <w:highlight w:val="none"/>
              </w:rPr>
              <w:t>）</w:t>
            </w:r>
          </w:p>
        </w:tc>
        <w:tc>
          <w:tcPr>
            <w:tcW w:w="790" w:type="dxa"/>
            <w:noWrap w:val="0"/>
            <w:vAlign w:val="center"/>
          </w:tcPr>
          <w:p>
            <w:pPr>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分</w:t>
            </w:r>
          </w:p>
        </w:tc>
        <w:tc>
          <w:tcPr>
            <w:tcW w:w="1065" w:type="dxa"/>
            <w:noWrap w:val="0"/>
            <w:vAlign w:val="center"/>
          </w:tcPr>
          <w:p>
            <w:pPr>
              <w:spacing w:line="360" w:lineRule="exact"/>
              <w:jc w:val="center"/>
              <w:rPr>
                <w:rFonts w:hint="eastAsia" w:ascii="仿宋" w:hAnsi="仿宋" w:eastAsia="仿宋" w:cs="仿宋"/>
                <w:color w:val="auto"/>
                <w:sz w:val="24"/>
                <w:highlight w:val="none"/>
                <w:lang w:val="en-US" w:eastAsia="zh-CN" w:bidi="ar"/>
              </w:rPr>
            </w:pPr>
            <w:r>
              <w:rPr>
                <w:rFonts w:hint="eastAsia" w:ascii="仿宋" w:hAnsi="仿宋" w:eastAsia="仿宋" w:cs="仿宋"/>
                <w:bCs/>
                <w:color w:val="auto"/>
                <w:sz w:val="24"/>
                <w:highlight w:val="none"/>
              </w:rPr>
              <w:t>主观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79" w:type="dxa"/>
            <w:noWrap w:val="0"/>
            <w:vAlign w:val="center"/>
          </w:tcPr>
          <w:p>
            <w:pPr>
              <w:spacing w:line="36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13</w:t>
            </w:r>
          </w:p>
        </w:tc>
        <w:tc>
          <w:tcPr>
            <w:tcW w:w="1681" w:type="dxa"/>
            <w:noWrap w:val="0"/>
            <w:vAlign w:val="center"/>
          </w:tcPr>
          <w:p>
            <w:pPr>
              <w:spacing w:line="360" w:lineRule="exact"/>
              <w:jc w:val="left"/>
              <w:rPr>
                <w:rFonts w:hint="eastAsia" w:ascii="仿宋" w:hAnsi="仿宋" w:eastAsia="仿宋" w:cs="仿宋"/>
                <w:bCs/>
                <w:color w:val="auto"/>
                <w:sz w:val="24"/>
                <w:highlight w:val="none"/>
              </w:rPr>
            </w:pPr>
            <w:r>
              <w:rPr>
                <w:rFonts w:hint="eastAsia" w:ascii="仿宋" w:hAnsi="仿宋" w:eastAsia="仿宋" w:cs="仿宋"/>
                <w:color w:val="auto"/>
                <w:sz w:val="24"/>
                <w:highlight w:val="none"/>
              </w:rPr>
              <w:t>价格评审</w:t>
            </w:r>
          </w:p>
        </w:tc>
        <w:tc>
          <w:tcPr>
            <w:tcW w:w="4791" w:type="dxa"/>
            <w:noWrap w:val="0"/>
            <w:vAlign w:val="center"/>
          </w:tcPr>
          <w:p>
            <w:pPr>
              <w:tabs>
                <w:tab w:val="left" w:pos="0"/>
              </w:tabs>
              <w:spacing w:line="360" w:lineRule="exact"/>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有效投标报价的最低价作为评标基准价，其最低报价为满分；按［投标报价得分=（评标基准价/投标报价）*</w:t>
            </w:r>
            <w:r>
              <w:rPr>
                <w:rFonts w:hint="eastAsia" w:ascii="仿宋" w:hAnsi="仿宋" w:eastAsia="仿宋" w:cs="仿宋"/>
                <w:bCs/>
                <w:color w:val="auto"/>
                <w:sz w:val="24"/>
                <w:highlight w:val="none"/>
              </w:rPr>
              <w:t>30</w:t>
            </w:r>
            <w:r>
              <w:rPr>
                <w:rFonts w:hint="eastAsia" w:ascii="仿宋" w:hAnsi="仿宋" w:eastAsia="仿宋" w:cs="仿宋"/>
                <w:bCs/>
                <w:color w:val="auto"/>
                <w:sz w:val="24"/>
                <w:highlight w:val="none"/>
                <w:lang w:val="zh-CN"/>
              </w:rPr>
              <w:t>］的计算公式计算。</w:t>
            </w:r>
          </w:p>
          <w:p>
            <w:pPr>
              <w:tabs>
                <w:tab w:val="left" w:pos="0"/>
              </w:tabs>
              <w:spacing w:line="360" w:lineRule="exact"/>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评标过程中，不得去掉报价中的最高报价和最低报价。</w:t>
            </w:r>
          </w:p>
          <w:p>
            <w:pPr>
              <w:spacing w:line="360" w:lineRule="exact"/>
              <w:rPr>
                <w:rFonts w:hint="eastAsia" w:ascii="仿宋" w:hAnsi="仿宋" w:eastAsia="仿宋" w:cs="仿宋"/>
                <w:color w:val="auto"/>
                <w:sz w:val="24"/>
                <w:highlight w:val="none"/>
              </w:rPr>
            </w:pPr>
            <w:r>
              <w:rPr>
                <w:rFonts w:hint="eastAsia" w:ascii="仿宋" w:hAnsi="仿宋" w:eastAsia="仿宋" w:cs="仿宋"/>
                <w:bCs/>
                <w:color w:val="auto"/>
                <w:sz w:val="24"/>
                <w:highlight w:val="none"/>
                <w:lang w:val="zh-CN"/>
              </w:rPr>
              <w:t>对于未预留份额专门面向中小企业的政府采购</w:t>
            </w:r>
            <w:r>
              <w:rPr>
                <w:rFonts w:hint="eastAsia" w:ascii="仿宋" w:hAnsi="仿宋" w:eastAsia="仿宋" w:cs="仿宋"/>
                <w:bCs/>
                <w:color w:val="auto"/>
                <w:sz w:val="24"/>
                <w:highlight w:val="none"/>
                <w:lang w:val="en-US" w:eastAsia="zh-CN"/>
              </w:rPr>
              <w:t>货物</w:t>
            </w:r>
            <w:r>
              <w:rPr>
                <w:rFonts w:hint="eastAsia" w:ascii="仿宋" w:hAnsi="仿宋" w:eastAsia="仿宋" w:cs="仿宋"/>
                <w:bCs/>
                <w:color w:val="auto"/>
                <w:sz w:val="24"/>
                <w:highlight w:val="none"/>
                <w:lang w:val="zh-CN"/>
              </w:rPr>
              <w:t>项目，以及预留份额政府采购</w:t>
            </w:r>
            <w:r>
              <w:rPr>
                <w:rFonts w:hint="eastAsia" w:ascii="仿宋" w:hAnsi="仿宋" w:eastAsia="仿宋" w:cs="仿宋"/>
                <w:bCs/>
                <w:color w:val="auto"/>
                <w:sz w:val="24"/>
                <w:highlight w:val="none"/>
                <w:lang w:val="en-US" w:eastAsia="zh-CN"/>
              </w:rPr>
              <w:t>货物</w:t>
            </w:r>
            <w:r>
              <w:rPr>
                <w:rFonts w:hint="eastAsia" w:ascii="仿宋" w:hAnsi="仿宋" w:eastAsia="仿宋" w:cs="仿宋"/>
                <w:bCs/>
                <w:color w:val="auto"/>
                <w:sz w:val="24"/>
                <w:highlight w:val="none"/>
                <w:lang w:val="zh-CN"/>
              </w:rPr>
              <w:t>项目中的非预留部分标项，对小型和微型企业的投标报价给予</w:t>
            </w:r>
            <w:r>
              <w:rPr>
                <w:rFonts w:hint="eastAsia" w:ascii="仿宋" w:hAnsi="仿宋" w:eastAsia="仿宋" w:cs="仿宋"/>
                <w:bCs/>
                <w:color w:val="auto"/>
                <w:sz w:val="24"/>
                <w:highlight w:val="none"/>
              </w:rPr>
              <w:t>10</w:t>
            </w:r>
            <w:r>
              <w:rPr>
                <w:rFonts w:hint="eastAsia" w:ascii="仿宋" w:hAnsi="仿宋" w:eastAsia="仿宋" w:cs="仿宋"/>
                <w:bCs/>
                <w:color w:val="auto"/>
                <w:sz w:val="24"/>
                <w:highlight w:val="none"/>
                <w:lang w:val="zh-CN"/>
              </w:rPr>
              <w:t>%的扣除，用扣除后的价格参与评审。接受大中型企业与小微企业组成联合体或者允许大中型企业向一家或者多家小微企业分包的政府采购</w:t>
            </w:r>
            <w:r>
              <w:rPr>
                <w:rFonts w:hint="eastAsia" w:ascii="仿宋" w:hAnsi="仿宋" w:eastAsia="仿宋" w:cs="仿宋"/>
                <w:bCs/>
                <w:color w:val="auto"/>
                <w:sz w:val="24"/>
                <w:highlight w:val="none"/>
                <w:lang w:val="en-US" w:eastAsia="zh-CN"/>
              </w:rPr>
              <w:t>货物</w:t>
            </w:r>
            <w:r>
              <w:rPr>
                <w:rFonts w:hint="eastAsia" w:ascii="仿宋" w:hAnsi="仿宋" w:eastAsia="仿宋" w:cs="仿宋"/>
                <w:bCs/>
                <w:color w:val="auto"/>
                <w:sz w:val="24"/>
                <w:highlight w:val="none"/>
                <w:lang w:val="zh-CN"/>
              </w:rPr>
              <w:t>项目，对于联合协议或者分包意向协议约定小微企业的合同份额占到合同总金额30%以上的，对联合体或者大中型企业的报价给予</w:t>
            </w:r>
            <w:r>
              <w:rPr>
                <w:rFonts w:hint="eastAsia" w:ascii="仿宋" w:hAnsi="仿宋" w:eastAsia="仿宋" w:cs="仿宋"/>
                <w:bCs/>
                <w:color w:val="auto"/>
                <w:sz w:val="24"/>
                <w:highlight w:val="none"/>
              </w:rPr>
              <w:t>4</w:t>
            </w:r>
            <w:r>
              <w:rPr>
                <w:rFonts w:hint="eastAsia" w:ascii="仿宋" w:hAnsi="仿宋" w:eastAsia="仿宋" w:cs="仿宋"/>
                <w:bCs/>
                <w:color w:val="auto"/>
                <w:sz w:val="24"/>
                <w:highlight w:val="none"/>
                <w:lang w:val="zh-CN"/>
              </w:rPr>
              <w:t>%的扣除，用扣除后的价格参加评审。</w:t>
            </w:r>
          </w:p>
        </w:tc>
        <w:tc>
          <w:tcPr>
            <w:tcW w:w="790" w:type="dxa"/>
            <w:noWrap w:val="0"/>
            <w:vAlign w:val="center"/>
          </w:tcPr>
          <w:p>
            <w:pPr>
              <w:spacing w:line="36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color w:val="auto"/>
                <w:sz w:val="24"/>
                <w:highlight w:val="none"/>
              </w:rPr>
              <w:t>30分</w:t>
            </w:r>
          </w:p>
        </w:tc>
        <w:tc>
          <w:tcPr>
            <w:tcW w:w="1065" w:type="dxa"/>
            <w:noWrap w:val="0"/>
            <w:vAlign w:val="center"/>
          </w:tcPr>
          <w:p>
            <w:pPr>
              <w:spacing w:line="360" w:lineRule="exact"/>
              <w:jc w:val="center"/>
              <w:rPr>
                <w:rFonts w:hint="eastAsia" w:ascii="仿宋" w:hAnsi="仿宋" w:eastAsia="仿宋" w:cs="仿宋"/>
                <w:bCs/>
                <w:color w:val="auto"/>
                <w:sz w:val="24"/>
                <w:highlight w:val="none"/>
              </w:rPr>
            </w:pPr>
            <w:r>
              <w:rPr>
                <w:rFonts w:hint="eastAsia" w:ascii="仿宋" w:hAnsi="仿宋" w:eastAsia="仿宋" w:cs="仿宋"/>
                <w:color w:val="auto"/>
                <w:spacing w:val="6"/>
                <w:sz w:val="24"/>
                <w:highlight w:val="none"/>
                <w:lang w:val="en-US" w:eastAsia="zh-CN"/>
              </w:rPr>
              <w:t>/</w:t>
            </w:r>
          </w:p>
        </w:tc>
      </w:tr>
    </w:tbl>
    <w:p>
      <w:pPr>
        <w:rPr>
          <w:color w:val="auto"/>
          <w:highlight w:val="none"/>
          <w:lang w:val="zh-CN"/>
        </w:rPr>
      </w:pPr>
    </w:p>
    <w:p>
      <w:pPr>
        <w:adjustRightInd/>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备注：供应商编制响应文件时，建议按此目录（序号和内容）提供评审标准相应的商务技术资料。</w:t>
      </w:r>
    </w:p>
    <w:p>
      <w:pPr>
        <w:snapToGrid w:val="0"/>
        <w:spacing w:line="360" w:lineRule="auto"/>
        <w:jc w:val="center"/>
        <w:rPr>
          <w:rFonts w:ascii="仿宋" w:hAnsi="仿宋" w:eastAsia="仿宋" w:cs="仿宋"/>
          <w:b/>
          <w:color w:val="auto"/>
          <w:sz w:val="28"/>
          <w:szCs w:val="28"/>
          <w:highlight w:val="none"/>
        </w:rPr>
      </w:pPr>
      <w:r>
        <w:rPr>
          <w:rFonts w:hint="eastAsia" w:ascii="仿宋" w:hAnsi="仿宋" w:eastAsia="仿宋" w:cs="仿宋"/>
          <w:b/>
          <w:color w:val="auto"/>
          <w:sz w:val="32"/>
          <w:highlight w:val="none"/>
        </w:rPr>
        <w:t>一、评审方法</w:t>
      </w:r>
    </w:p>
    <w:p>
      <w:pPr>
        <w:adjustRightInd/>
        <w:spacing w:line="360" w:lineRule="auto"/>
        <w:ind w:firstLine="472" w:firstLineChars="196"/>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1.本项目采用综合评分法。</w:t>
      </w:r>
      <w:r>
        <w:rPr>
          <w:rFonts w:hint="eastAsia" w:ascii="仿宋" w:hAnsi="仿宋" w:eastAsia="仿宋" w:cs="仿宋"/>
          <w:color w:val="auto"/>
          <w:kern w:val="0"/>
          <w:sz w:val="24"/>
          <w:highlight w:val="none"/>
        </w:rPr>
        <w:t>综合评分法，是指响应文件满足磋商文件全部实质性要求且按评审因素的量化指标评审得分最高的供应商为成交候选供应商的评审方法。</w:t>
      </w:r>
    </w:p>
    <w:bookmarkEnd w:id="16"/>
    <w:p>
      <w:pPr>
        <w:snapToGrid w:val="0"/>
        <w:spacing w:line="360" w:lineRule="auto"/>
        <w:jc w:val="center"/>
        <w:rPr>
          <w:rFonts w:ascii="仿宋" w:hAnsi="仿宋" w:eastAsia="仿宋" w:cs="仿宋"/>
          <w:b/>
          <w:color w:val="auto"/>
          <w:sz w:val="32"/>
          <w:highlight w:val="none"/>
        </w:rPr>
      </w:pPr>
      <w:bookmarkStart w:id="17" w:name="第五部分"/>
      <w:bookmarkStart w:id="18" w:name="_Toc86217003"/>
      <w:r>
        <w:rPr>
          <w:rFonts w:hint="eastAsia" w:ascii="仿宋" w:hAnsi="仿宋" w:eastAsia="仿宋" w:cs="仿宋"/>
          <w:b/>
          <w:color w:val="auto"/>
          <w:sz w:val="32"/>
          <w:highlight w:val="none"/>
        </w:rPr>
        <w:t xml:space="preserve">   二、磋商小组的组成</w:t>
      </w:r>
    </w:p>
    <w:p>
      <w:pPr>
        <w:pStyle w:val="136"/>
        <w:spacing w:before="0"/>
        <w:ind w:firstLine="482"/>
        <w:rPr>
          <w:rFonts w:ascii="仿宋" w:hAnsi="仿宋" w:eastAsia="仿宋" w:cs="仿宋"/>
          <w:b/>
          <w:bCs/>
          <w:color w:val="auto"/>
          <w:kern w:val="0"/>
          <w:szCs w:val="24"/>
          <w:highlight w:val="none"/>
        </w:rPr>
      </w:pPr>
      <w:r>
        <w:rPr>
          <w:rFonts w:hint="eastAsia" w:ascii="仿宋" w:hAnsi="仿宋" w:eastAsia="仿宋" w:cs="仿宋"/>
          <w:b/>
          <w:bCs/>
          <w:color w:val="auto"/>
          <w:kern w:val="0"/>
          <w:szCs w:val="24"/>
          <w:highlight w:val="none"/>
        </w:rPr>
        <w:t>1.磋商小组的组成。</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磋商小组由采购人代表和评审专家共3人以上单数组成，其中评审专家人数不得少于磋商小组成员总数的2/3。采购人代表不得以评审专家身份参加本部门或本单位采购项目的评审。采购代理机构人员不得参加本机构代理的采购项目的评审。</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采用竞争性磋商方式的政府采购项目，评审专家应当从政府采购评审专家库内相关专业的专家名单中随机抽取。符合《政府采购竞争性磋商采购方式管理暂行办法》的通知(财库〔2014〕214号)第三条第四项规定情形的项目，以及情况特殊、通过随机方式难以确定合适的评审专家的项目，经主管预算单位同意，可以自行选定评审专家。技术复杂、专业性强的采购项目，评审专家中应当包含1名法律专家。</w:t>
      </w:r>
    </w:p>
    <w:p>
      <w:pPr>
        <w:pStyle w:val="136"/>
        <w:spacing w:before="0"/>
        <w:ind w:firstLine="482"/>
        <w:rPr>
          <w:rFonts w:ascii="仿宋" w:hAnsi="仿宋" w:eastAsia="仿宋" w:cs="仿宋"/>
          <w:b/>
          <w:bCs/>
          <w:color w:val="auto"/>
          <w:kern w:val="0"/>
          <w:szCs w:val="24"/>
          <w:highlight w:val="none"/>
        </w:rPr>
      </w:pPr>
      <w:r>
        <w:rPr>
          <w:rFonts w:hint="eastAsia" w:ascii="仿宋" w:hAnsi="仿宋" w:eastAsia="仿宋" w:cs="仿宋"/>
          <w:b/>
          <w:bCs/>
          <w:color w:val="auto"/>
          <w:kern w:val="0"/>
          <w:szCs w:val="24"/>
          <w:highlight w:val="none"/>
        </w:rPr>
        <w:t>2.磋商小组的组成人员的回避。</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在政府采购活动中，磋商小组的组成人员与供应商有下列利害关系之一的，应当回避：</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2.1参加采购活动前3年内与供应商存在劳动关系；</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2.2参加采购活动前3年内担任供应商的董事、监事；</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2.3参加采购活动前3年内是供应商的控股股东或者实际控制人；</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2.4与供应商的法定代表人或者负责人有夫妻、直系血亲、三代以内旁系血亲或者近姻亲关系；</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2.5与供应商有其他可能影响政府采购活动公平、公正进行的关系。</w:t>
      </w:r>
    </w:p>
    <w:p>
      <w:pPr>
        <w:snapToGrid w:val="0"/>
        <w:spacing w:line="360" w:lineRule="auto"/>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三、磋商小组的职责</w:t>
      </w:r>
    </w:p>
    <w:p>
      <w:pPr>
        <w:pStyle w:val="136"/>
        <w:spacing w:before="0"/>
        <w:ind w:firstLine="482"/>
        <w:rPr>
          <w:rFonts w:ascii="仿宋" w:hAnsi="仿宋" w:eastAsia="仿宋" w:cs="仿宋"/>
          <w:b/>
          <w:bCs/>
          <w:color w:val="auto"/>
          <w:kern w:val="0"/>
          <w:szCs w:val="24"/>
          <w:highlight w:val="none"/>
        </w:rPr>
      </w:pPr>
      <w:r>
        <w:rPr>
          <w:rFonts w:hint="eastAsia" w:ascii="仿宋" w:hAnsi="仿宋" w:eastAsia="仿宋" w:cs="仿宋"/>
          <w:b/>
          <w:bCs/>
          <w:color w:val="auto"/>
          <w:kern w:val="0"/>
          <w:szCs w:val="24"/>
          <w:highlight w:val="none"/>
        </w:rPr>
        <w:t>1.磋商小组负责具体评审事务，并独立履行下列职责：</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1.1对供应商的资格进行审查；对响应文件的有效性、完整性和响应程度进行审查；</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1.2审查、评价响应文件是否符合磋商文件的商务、技术等实质性要求；</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1.3要求供应商对响应文件有关事项作出澄清、说明或者更正；</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1.4磋商小组集中与单一供应商分别进行磋商；</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1.5确定磋商文件的变动情况，并确定提交最后报价的供应商；</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1.6根据磋商文件确定的评审办法及评审标准对提交最后报价的供应商的响应文件和最后报价采用综合评分法进行综合评分；</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1.7编制评审报告，确定成交候选人名单，以及根据采购人委托直接确定成交人；</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1.8向采购人、采购代理机构或者有关部门报告评审中发现的违法行为；</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1.9法律、法规、规章、磋商文件等规定的其它事项。</w:t>
      </w:r>
    </w:p>
    <w:p>
      <w:pPr>
        <w:pStyle w:val="136"/>
        <w:spacing w:before="0"/>
        <w:ind w:firstLine="482"/>
        <w:rPr>
          <w:rFonts w:ascii="仿宋" w:hAnsi="仿宋" w:eastAsia="仿宋" w:cs="仿宋"/>
          <w:b/>
          <w:bCs/>
          <w:color w:val="auto"/>
          <w:kern w:val="0"/>
          <w:szCs w:val="24"/>
          <w:highlight w:val="none"/>
        </w:rPr>
      </w:pPr>
      <w:r>
        <w:rPr>
          <w:rFonts w:hint="eastAsia" w:ascii="仿宋" w:hAnsi="仿宋" w:eastAsia="仿宋" w:cs="仿宋"/>
          <w:b/>
          <w:bCs/>
          <w:color w:val="auto"/>
          <w:kern w:val="0"/>
          <w:szCs w:val="24"/>
          <w:highlight w:val="none"/>
        </w:rPr>
        <w:t>2.磋商小组及其成员不得有下列行为：</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2.1确定参与本项目至评审结束前私自接触供应商；</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 xml:space="preserve">2.2接受供应商提出的“超出响应文件的范围或者改变响应文件的实质性内容”的澄清、说明或者更正； </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2.3违反评审纪律发表倾向性意见或者征询采购人的倾向性意见；</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2.4对需要专业判断的主观评审因素协商评分；</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2.5在评审过程中擅离职守，影响评审程序正常进行的；</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2.6记录、复制或者带走任何评审资料；</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2.7其他不遵守评审纪律的行为。</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磋商小组成员有2.1-2.5行为之一的，其评审意见无效，并不得获取评审劳务报酬和报销异地评审差旅费。</w:t>
      </w:r>
    </w:p>
    <w:p>
      <w:pPr>
        <w:snapToGrid w:val="0"/>
        <w:spacing w:line="360" w:lineRule="auto"/>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四、评审程序</w:t>
      </w:r>
    </w:p>
    <w:p>
      <w:pPr>
        <w:pStyle w:val="136"/>
        <w:spacing w:before="0"/>
        <w:ind w:firstLine="482"/>
        <w:rPr>
          <w:rFonts w:ascii="仿宋" w:hAnsi="仿宋" w:eastAsia="仿宋" w:cs="仿宋"/>
          <w:b/>
          <w:bCs/>
          <w:color w:val="auto"/>
          <w:kern w:val="0"/>
          <w:szCs w:val="24"/>
          <w:highlight w:val="none"/>
        </w:rPr>
      </w:pPr>
      <w:r>
        <w:rPr>
          <w:rFonts w:hint="eastAsia" w:ascii="仿宋" w:hAnsi="仿宋" w:eastAsia="仿宋" w:cs="仿宋"/>
          <w:b/>
          <w:bCs/>
          <w:color w:val="auto"/>
          <w:kern w:val="0"/>
          <w:szCs w:val="24"/>
          <w:highlight w:val="none"/>
        </w:rPr>
        <w:t>详见磋商文件“第二部分 竞争性磋商流程”。</w:t>
      </w:r>
    </w:p>
    <w:p>
      <w:pPr>
        <w:snapToGrid w:val="0"/>
        <w:spacing w:line="360" w:lineRule="auto"/>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五、评审须知</w:t>
      </w:r>
    </w:p>
    <w:p>
      <w:pPr>
        <w:pStyle w:val="136"/>
        <w:spacing w:before="0"/>
        <w:ind w:firstLine="482"/>
        <w:rPr>
          <w:rFonts w:ascii="仿宋" w:hAnsi="仿宋" w:eastAsia="仿宋" w:cs="仿宋"/>
          <w:b/>
          <w:bCs/>
          <w:color w:val="auto"/>
          <w:kern w:val="0"/>
          <w:szCs w:val="24"/>
          <w:highlight w:val="none"/>
        </w:rPr>
      </w:pPr>
      <w:r>
        <w:rPr>
          <w:rFonts w:hint="eastAsia" w:ascii="仿宋" w:hAnsi="仿宋" w:eastAsia="仿宋" w:cs="仿宋"/>
          <w:b/>
          <w:bCs/>
          <w:color w:val="auto"/>
          <w:kern w:val="0"/>
          <w:szCs w:val="24"/>
          <w:highlight w:val="none"/>
        </w:rPr>
        <w:t>1.响应文件的澄清</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对于响应文件中含义不明确、同类问题表述不一致或者有明显文字和计算错误的内容需要供应商做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pPr>
        <w:pStyle w:val="136"/>
        <w:spacing w:before="0"/>
        <w:ind w:firstLine="482"/>
        <w:rPr>
          <w:rFonts w:ascii="仿宋" w:hAnsi="仿宋" w:eastAsia="仿宋" w:cs="仿宋"/>
          <w:b/>
          <w:bCs/>
          <w:color w:val="auto"/>
          <w:kern w:val="0"/>
          <w:szCs w:val="24"/>
          <w:highlight w:val="none"/>
        </w:rPr>
      </w:pPr>
      <w:r>
        <w:rPr>
          <w:rFonts w:hint="eastAsia" w:ascii="仿宋" w:hAnsi="仿宋" w:eastAsia="仿宋" w:cs="仿宋"/>
          <w:b/>
          <w:bCs/>
          <w:color w:val="auto"/>
          <w:kern w:val="0"/>
          <w:szCs w:val="24"/>
          <w:highlight w:val="none"/>
        </w:rPr>
        <w:t>2.报价的修正原则</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磋商小组对响应文件的最后报价进行审核，对发现计算、书写等错误的，按以下原则进行修正：</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2.1《最后报价一览表》内容与响应文件中响应内容不一致的，以《最后报价一览表》为准;</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2.2大写金额和小写金额不一致的，以大写金额为准;</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2.3单价金额小数点或者百分比有明显错位的，以《最后报价一览表》的总价为准，并修改单价;</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2.4总价金额与按单价汇总金额不一致的，以单价金额计算结果为准；</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2.5同时出现两种以上不一致的，按照前款规定的顺序修正；</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2.6以修正后的总价作为最后报价。</w:t>
      </w:r>
    </w:p>
    <w:p>
      <w:pPr>
        <w:pStyle w:val="136"/>
        <w:spacing w:before="0"/>
        <w:ind w:firstLine="482"/>
        <w:rPr>
          <w:rFonts w:ascii="仿宋" w:hAnsi="仿宋" w:eastAsia="仿宋" w:cs="仿宋"/>
          <w:b/>
          <w:bCs/>
          <w:color w:val="auto"/>
          <w:kern w:val="0"/>
          <w:szCs w:val="24"/>
          <w:highlight w:val="none"/>
        </w:rPr>
      </w:pPr>
      <w:r>
        <w:rPr>
          <w:rFonts w:hint="eastAsia" w:ascii="仿宋" w:hAnsi="仿宋" w:eastAsia="仿宋" w:cs="仿宋"/>
          <w:b/>
          <w:bCs/>
          <w:color w:val="auto"/>
          <w:kern w:val="0"/>
          <w:szCs w:val="24"/>
          <w:highlight w:val="none"/>
        </w:rPr>
        <w:t>▲供应商对根据修正原则修正后的报价不确认的，响应无效。</w:t>
      </w:r>
    </w:p>
    <w:p>
      <w:pPr>
        <w:pStyle w:val="136"/>
        <w:spacing w:before="0"/>
        <w:ind w:firstLine="482"/>
        <w:rPr>
          <w:rFonts w:ascii="仿宋" w:hAnsi="仿宋" w:eastAsia="仿宋" w:cs="仿宋"/>
          <w:b/>
          <w:bCs/>
          <w:color w:val="auto"/>
          <w:kern w:val="0"/>
          <w:szCs w:val="24"/>
          <w:highlight w:val="none"/>
        </w:rPr>
      </w:pPr>
      <w:r>
        <w:rPr>
          <w:rFonts w:hint="eastAsia" w:ascii="仿宋" w:hAnsi="仿宋" w:eastAsia="仿宋" w:cs="仿宋"/>
          <w:b/>
          <w:bCs/>
          <w:color w:val="auto"/>
          <w:kern w:val="0"/>
          <w:szCs w:val="24"/>
          <w:highlight w:val="none"/>
        </w:rPr>
        <w:t>3.响应无效</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有下列情况之一的，响应无效：</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3.1单位负责人为同一人或者存在直接控股、管理关系的不同供应商参加同一合同项下的政府采购活动的（均无效）；</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 xml:space="preserve">3.2为采购项目提供整体设计、规范编制或者项目管理、监理、检测等服务的供应商再参加该采购项目的其他采购活动的； </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3.3供应商不具备磋商文件中规定的资格要求的（供应商未提供有效的资格证明文件的，视为供应商不具备磋商文件中规定的资格要求）；</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3.4如以联合体形式参加政府采购活动的，联合协议不符合磋商文件规定的联合协议要求的；</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3.5响应文件未按磋商文件的澄清、修改的内容编制，又不符合实质性要求的；</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3.6响应文件组成漏项，内容不全或内容字迹模糊辨认不清的；</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3.7响应文件中法人授权书所载内容与本项目内容有异的；</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3.8响应文件未按照磋商文件要求签署、盖章的；</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3.9采购人拟采购的产品属于政府强制采购的节能产品品目清单范围的，供应商相应的响应产品未获得国家确定的认证机构出具的、处于有效期之内的节能产品认证证书的；</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3.10响应文件含有采购人不能接受的附加条件的；</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3.11响应文件中承诺的响应有效期少于磋商文件中载明的响应有效期的；</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3.12供应商所投内容不符合磋商文件中实质性要求的；</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3.13所提交的《最后报价一览表》中出现不是唯一的、有选择性的报价的;</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3.14最后报价高于本项目采购预算或者最高限价的;</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3.15最后报价明显低于其他供应商的最后报价，有可能影响产品质量或者不能诚信履约的，未能按要求提供书面说明或者提交相关证明材料，不能证明其报价合理性的;</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3.16《最后报价一览表》填写不完整或字迹不能辨认或有漏项的；</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3.17供应商对根据修正原则修正后的最后报价不确认的；</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3.18供应商提供虚假材料响应的（包括但不限于以下情节）；</w:t>
      </w:r>
    </w:p>
    <w:p>
      <w:pPr>
        <w:pStyle w:val="970"/>
        <w:numPr>
          <w:ilvl w:val="0"/>
          <w:numId w:val="3"/>
        </w:numPr>
        <w:spacing w:line="360" w:lineRule="auto"/>
        <w:ind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使用伪造、变造的许可证件；</w:t>
      </w:r>
    </w:p>
    <w:p>
      <w:pPr>
        <w:pStyle w:val="970"/>
        <w:numPr>
          <w:ilvl w:val="0"/>
          <w:numId w:val="3"/>
        </w:numPr>
        <w:spacing w:line="360" w:lineRule="auto"/>
        <w:ind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提供虚假的财务状况或者业绩；</w:t>
      </w:r>
    </w:p>
    <w:p>
      <w:pPr>
        <w:pStyle w:val="970"/>
        <w:numPr>
          <w:ilvl w:val="0"/>
          <w:numId w:val="3"/>
        </w:numPr>
        <w:spacing w:line="360" w:lineRule="auto"/>
        <w:ind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提供虚假的项目负责人或者主要技术人员简历、劳动关系证明；</w:t>
      </w:r>
    </w:p>
    <w:p>
      <w:pPr>
        <w:pStyle w:val="970"/>
        <w:numPr>
          <w:ilvl w:val="0"/>
          <w:numId w:val="3"/>
        </w:numPr>
        <w:spacing w:line="360" w:lineRule="auto"/>
        <w:ind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提供虚假的信用状况；</w:t>
      </w:r>
    </w:p>
    <w:p>
      <w:pPr>
        <w:pStyle w:val="970"/>
        <w:numPr>
          <w:ilvl w:val="0"/>
          <w:numId w:val="3"/>
        </w:numPr>
        <w:spacing w:line="360" w:lineRule="auto"/>
        <w:ind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其他弄虚作假的行为。</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3.19供应商有恶意串通、妨碍其他供应商的竞争行为、损害采购人或者其他供应商的合法权益情形的。</w:t>
      </w:r>
    </w:p>
    <w:p>
      <w:pPr>
        <w:pStyle w:val="136"/>
        <w:spacing w:before="0"/>
        <w:ind w:firstLine="48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有下列情形之一的，属于或视为恶意串通，其响应无效：</w:t>
      </w:r>
    </w:p>
    <w:p>
      <w:pPr>
        <w:pStyle w:val="970"/>
        <w:numPr>
          <w:ilvl w:val="0"/>
          <w:numId w:val="4"/>
        </w:numPr>
        <w:spacing w:line="360" w:lineRule="auto"/>
        <w:ind w:left="1259"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供应商直接或者间接从采购人或者采购代理机构处获得其他供应商的相关情况并修改其响应文件；</w:t>
      </w:r>
    </w:p>
    <w:p>
      <w:pPr>
        <w:pStyle w:val="970"/>
        <w:numPr>
          <w:ilvl w:val="0"/>
          <w:numId w:val="4"/>
        </w:numPr>
        <w:spacing w:line="360" w:lineRule="auto"/>
        <w:ind w:left="1259"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供应商按照采购人或者采购代理机构的授意撤换、修改投标文件或者响应文件；</w:t>
      </w:r>
    </w:p>
    <w:p>
      <w:pPr>
        <w:pStyle w:val="970"/>
        <w:numPr>
          <w:ilvl w:val="0"/>
          <w:numId w:val="4"/>
        </w:numPr>
        <w:spacing w:line="360" w:lineRule="auto"/>
        <w:ind w:left="1259"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供应商之间协商报价、技术方案等投标文件或者响应文件的实质性内容；</w:t>
      </w:r>
    </w:p>
    <w:p>
      <w:pPr>
        <w:pStyle w:val="970"/>
        <w:numPr>
          <w:ilvl w:val="0"/>
          <w:numId w:val="4"/>
        </w:numPr>
        <w:spacing w:line="360" w:lineRule="auto"/>
        <w:ind w:left="1259"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属于同一集团、协会、商会等组织成员的供应商按照该组织要求协同参加政府采购活动；</w:t>
      </w:r>
    </w:p>
    <w:p>
      <w:pPr>
        <w:pStyle w:val="970"/>
        <w:numPr>
          <w:ilvl w:val="0"/>
          <w:numId w:val="4"/>
        </w:numPr>
        <w:spacing w:line="360" w:lineRule="auto"/>
        <w:ind w:left="1259"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供应商之间事先约定由某一特定供应商中标、成交；</w:t>
      </w:r>
    </w:p>
    <w:p>
      <w:pPr>
        <w:pStyle w:val="970"/>
        <w:numPr>
          <w:ilvl w:val="0"/>
          <w:numId w:val="4"/>
        </w:numPr>
        <w:spacing w:line="360" w:lineRule="auto"/>
        <w:ind w:left="1259"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供应商之间商定部分供应商放弃参加政府采购活动或者放弃中标、成交；</w:t>
      </w:r>
    </w:p>
    <w:p>
      <w:pPr>
        <w:pStyle w:val="970"/>
        <w:numPr>
          <w:ilvl w:val="0"/>
          <w:numId w:val="4"/>
        </w:numPr>
        <w:spacing w:line="360" w:lineRule="auto"/>
        <w:ind w:left="1259"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供应商与采购人或者采购代理机构之间、供应商相互之间，为谋求特定供应商中标、成交或者排斥其他供应商的其他串通行为。</w:t>
      </w:r>
    </w:p>
    <w:p>
      <w:pPr>
        <w:pStyle w:val="970"/>
        <w:numPr>
          <w:ilvl w:val="0"/>
          <w:numId w:val="4"/>
        </w:numPr>
        <w:spacing w:line="360" w:lineRule="auto"/>
        <w:ind w:left="1259"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不同供应商的响应文件由同一单位或者个人编制；</w:t>
      </w:r>
    </w:p>
    <w:p>
      <w:pPr>
        <w:pStyle w:val="970"/>
        <w:numPr>
          <w:ilvl w:val="0"/>
          <w:numId w:val="4"/>
        </w:numPr>
        <w:spacing w:line="360" w:lineRule="auto"/>
        <w:ind w:left="1259"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不同供应商委托同一单位或者个人办理响应事宜；</w:t>
      </w:r>
    </w:p>
    <w:p>
      <w:pPr>
        <w:pStyle w:val="970"/>
        <w:numPr>
          <w:ilvl w:val="0"/>
          <w:numId w:val="4"/>
        </w:numPr>
        <w:spacing w:line="360" w:lineRule="auto"/>
        <w:ind w:left="1259"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不同供应商的响应文件载明的项目管理成员或者联系人员为同一人；</w:t>
      </w:r>
    </w:p>
    <w:p>
      <w:pPr>
        <w:pStyle w:val="970"/>
        <w:numPr>
          <w:ilvl w:val="0"/>
          <w:numId w:val="4"/>
        </w:numPr>
        <w:spacing w:line="360" w:lineRule="auto"/>
        <w:ind w:left="1259"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不同供应商的响应文件异常一致或者最后报价呈规律性差异；</w:t>
      </w:r>
    </w:p>
    <w:p>
      <w:pPr>
        <w:pStyle w:val="970"/>
        <w:numPr>
          <w:ilvl w:val="0"/>
          <w:numId w:val="4"/>
        </w:numPr>
        <w:spacing w:line="360" w:lineRule="auto"/>
        <w:ind w:left="1259"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不同供应商的响应文件相互混装。</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3.20供应商仅提交备份响应文件，没有在电子交易平台传输提交响应文件的，响应无效；</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3.21法律、法规、规章（适用本市的）及省级以上规范性文件（适用本市的）规定的其他无效情形。</w:t>
      </w:r>
    </w:p>
    <w:p>
      <w:pPr>
        <w:pStyle w:val="136"/>
        <w:spacing w:before="0"/>
        <w:ind w:firstLine="482"/>
        <w:rPr>
          <w:rFonts w:ascii="仿宋" w:hAnsi="仿宋" w:eastAsia="仿宋" w:cs="仿宋"/>
          <w:b/>
          <w:bCs/>
          <w:color w:val="auto"/>
          <w:kern w:val="0"/>
          <w:szCs w:val="24"/>
          <w:highlight w:val="none"/>
        </w:rPr>
      </w:pPr>
      <w:r>
        <w:rPr>
          <w:rFonts w:hint="eastAsia" w:ascii="仿宋" w:hAnsi="仿宋" w:eastAsia="仿宋" w:cs="仿宋"/>
          <w:b/>
          <w:bCs/>
          <w:color w:val="auto"/>
          <w:kern w:val="0"/>
          <w:szCs w:val="24"/>
          <w:highlight w:val="none"/>
        </w:rPr>
        <w:t>4.重新开展采购活动</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出现下列情形之一的，采购代理机构应当终止竞争性磋商采购活动，通过电子交易平台发布项目终止公告并说明原因，重新开展采购活动：</w:t>
      </w:r>
    </w:p>
    <w:p>
      <w:pPr>
        <w:spacing w:line="360" w:lineRule="auto"/>
        <w:ind w:firstLine="465" w:firstLineChars="194"/>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（1）因情况变化，不再符合规定的竞争性磋商采购方式适用情形的；</w:t>
      </w:r>
    </w:p>
    <w:p>
      <w:pPr>
        <w:spacing w:line="360" w:lineRule="auto"/>
        <w:ind w:firstLine="465" w:firstLineChars="194"/>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（2）出现影响采购公正的违法、违规行为的；</w:t>
      </w:r>
    </w:p>
    <w:p>
      <w:pPr>
        <w:spacing w:line="360" w:lineRule="auto"/>
        <w:ind w:firstLine="465" w:firstLineChars="194"/>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（3）在采购过程中符合要求的供应商或者最后报价未超过采购预算的供应商不足3家的（有特殊规定的从其规定）。</w:t>
      </w:r>
    </w:p>
    <w:p>
      <w:pPr>
        <w:pStyle w:val="136"/>
        <w:spacing w:before="0"/>
        <w:ind w:firstLine="482"/>
        <w:rPr>
          <w:rFonts w:ascii="仿宋" w:hAnsi="仿宋" w:eastAsia="仿宋" w:cs="仿宋"/>
          <w:b/>
          <w:bCs/>
          <w:color w:val="auto"/>
          <w:kern w:val="0"/>
          <w:szCs w:val="24"/>
          <w:highlight w:val="none"/>
        </w:rPr>
      </w:pPr>
      <w:r>
        <w:rPr>
          <w:rFonts w:hint="eastAsia" w:ascii="仿宋" w:hAnsi="仿宋" w:eastAsia="仿宋" w:cs="仿宋"/>
          <w:b/>
          <w:bCs/>
          <w:color w:val="auto"/>
          <w:kern w:val="0"/>
          <w:szCs w:val="24"/>
          <w:highlight w:val="none"/>
        </w:rPr>
        <w:t>5. 终止采购活动</w:t>
      </w:r>
    </w:p>
    <w:p>
      <w:pPr>
        <w:spacing w:line="360" w:lineRule="auto"/>
        <w:ind w:firstLine="465" w:firstLineChars="194"/>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在采购活动中因重大变故，采购任务取消的，采购代理机构将终止采购活动，通过电子交易平台通知所有参加采购活动的供应商，并将项目实施情况和采购任务取消原因报送本级财政部门。</w:t>
      </w:r>
    </w:p>
    <w:p>
      <w:pPr>
        <w:spacing w:line="360" w:lineRule="auto"/>
        <w:ind w:firstLine="482" w:firstLineChars="200"/>
        <w:rPr>
          <w:rFonts w:ascii="仿宋" w:hAnsi="仿宋" w:eastAsia="仿宋" w:cs="仿宋"/>
          <w:color w:val="auto"/>
          <w:kern w:val="0"/>
          <w:sz w:val="24"/>
          <w:highlight w:val="none"/>
        </w:rPr>
      </w:pPr>
      <w:r>
        <w:rPr>
          <w:rFonts w:hint="eastAsia" w:ascii="仿宋" w:hAnsi="仿宋" w:eastAsia="仿宋" w:cs="仿宋"/>
          <w:b/>
          <w:bCs/>
          <w:color w:val="auto"/>
          <w:kern w:val="0"/>
          <w:sz w:val="24"/>
          <w:highlight w:val="none"/>
        </w:rPr>
        <w:t>6.采购代理机构有权对磋商小组各成员的评分情况和评审意见进行合理性和合规性审查</w:t>
      </w:r>
      <w:r>
        <w:rPr>
          <w:rFonts w:hint="eastAsia" w:ascii="仿宋" w:hAnsi="仿宋" w:eastAsia="仿宋" w:cs="仿宋"/>
          <w:color w:val="auto"/>
          <w:kern w:val="0"/>
          <w:sz w:val="24"/>
          <w:highlight w:val="none"/>
        </w:rPr>
        <w:t>，如发现磋商小组成员的评审意见带有明显倾向性，或不按规定程序和标准评审、计分的，磋商小组成员应进行书面澄清和说明；磋商小组成员拒不接受采购代理机构审查的，采购代理机构将向同级政府采购监督管理部门报告并予以处理。</w:t>
      </w:r>
    </w:p>
    <w:p>
      <w:pPr>
        <w:snapToGrid w:val="0"/>
        <w:spacing w:line="360" w:lineRule="auto"/>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六、评审过程的保密与录像</w:t>
      </w:r>
    </w:p>
    <w:p>
      <w:pPr>
        <w:spacing w:line="360" w:lineRule="auto"/>
        <w:ind w:firstLine="482" w:firstLineChars="200"/>
        <w:rPr>
          <w:rFonts w:ascii="仿宋" w:hAnsi="仿宋" w:eastAsia="仿宋" w:cs="仿宋"/>
          <w:color w:val="auto"/>
          <w:kern w:val="0"/>
          <w:sz w:val="24"/>
          <w:highlight w:val="none"/>
        </w:rPr>
      </w:pPr>
      <w:r>
        <w:rPr>
          <w:rFonts w:hint="eastAsia" w:ascii="仿宋" w:hAnsi="仿宋" w:eastAsia="仿宋" w:cs="仿宋"/>
          <w:b/>
          <w:bCs/>
          <w:color w:val="auto"/>
          <w:kern w:val="0"/>
          <w:sz w:val="24"/>
          <w:highlight w:val="none"/>
        </w:rPr>
        <w:t>1.保密。</w:t>
      </w:r>
      <w:r>
        <w:rPr>
          <w:rFonts w:hint="eastAsia" w:ascii="仿宋" w:hAnsi="仿宋" w:eastAsia="仿宋" w:cs="仿宋"/>
          <w:color w:val="auto"/>
          <w:kern w:val="0"/>
          <w:sz w:val="24"/>
          <w:highlight w:val="none"/>
        </w:rPr>
        <w:t>评审活动在严格保密的情况下进行。评审过程中凡是与采购响应文件评审和比较、成交人推荐等评审有关的情况，以及涉及国家秘密和商业秘密等信息，磋商小组成员、采购人和采购代理机构工作人员、相关监督人员等与评审有关的人员应当予以保密。</w:t>
      </w:r>
    </w:p>
    <w:p>
      <w:pPr>
        <w:spacing w:line="360" w:lineRule="auto"/>
        <w:ind w:firstLine="482" w:firstLineChars="200"/>
        <w:rPr>
          <w:rFonts w:ascii="仿宋" w:hAnsi="仿宋" w:eastAsia="仿宋" w:cs="仿宋"/>
          <w:b/>
          <w:color w:val="auto"/>
          <w:sz w:val="36"/>
          <w:szCs w:val="36"/>
          <w:highlight w:val="none"/>
        </w:rPr>
      </w:pPr>
      <w:r>
        <w:rPr>
          <w:rFonts w:hint="eastAsia" w:ascii="仿宋" w:hAnsi="仿宋" w:eastAsia="仿宋" w:cs="仿宋"/>
          <w:b/>
          <w:bCs/>
          <w:color w:val="auto"/>
          <w:kern w:val="0"/>
          <w:sz w:val="24"/>
          <w:highlight w:val="none"/>
        </w:rPr>
        <w:t>2.录音录像。</w:t>
      </w:r>
      <w:r>
        <w:rPr>
          <w:rFonts w:hint="eastAsia" w:ascii="仿宋" w:hAnsi="仿宋" w:eastAsia="仿宋" w:cs="仿宋"/>
          <w:color w:val="auto"/>
          <w:kern w:val="0"/>
          <w:sz w:val="24"/>
          <w:highlight w:val="none"/>
        </w:rPr>
        <w:t>采购代理机构对评审工作现场进行全过程录音录像，录音录像资料作为采购项目文件随其他文件一并存档。</w:t>
      </w:r>
    </w:p>
    <w:p>
      <w:pP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拟签订的合同文本</w:t>
      </w:r>
    </w:p>
    <w:p>
      <w:pPr>
        <w:pStyle w:val="32"/>
        <w:spacing w:line="360" w:lineRule="auto"/>
        <w:ind w:firstLine="420"/>
        <w:rPr>
          <w:rFonts w:ascii="仿宋" w:hAnsi="仿宋" w:eastAsia="仿宋" w:cs="仿宋"/>
          <w:color w:val="auto"/>
          <w:sz w:val="32"/>
          <w:szCs w:val="32"/>
          <w:highlight w:val="none"/>
        </w:rPr>
      </w:pPr>
    </w:p>
    <w:p>
      <w:pPr>
        <w:spacing w:line="360" w:lineRule="auto"/>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合同编号：</w:t>
      </w:r>
      <w:r>
        <w:rPr>
          <w:rFonts w:hint="eastAsia" w:ascii="仿宋" w:hAnsi="仿宋" w:eastAsia="仿宋" w:cs="仿宋"/>
          <w:color w:val="auto"/>
          <w:sz w:val="32"/>
          <w:szCs w:val="32"/>
          <w:highlight w:val="none"/>
          <w:u w:val="single"/>
        </w:rPr>
        <w:t xml:space="preserve">           </w:t>
      </w:r>
    </w:p>
    <w:p>
      <w:pPr>
        <w:spacing w:line="360" w:lineRule="auto"/>
        <w:rPr>
          <w:rFonts w:ascii="仿宋" w:hAnsi="仿宋" w:eastAsia="仿宋" w:cs="仿宋"/>
          <w:color w:val="auto"/>
          <w:sz w:val="32"/>
          <w:szCs w:val="32"/>
          <w:highlight w:val="none"/>
          <w:u w:val="single"/>
        </w:rPr>
      </w:pPr>
    </w:p>
    <w:p>
      <w:pPr>
        <w:pStyle w:val="706"/>
        <w:ind w:leftChars="0" w:firstLine="3013" w:firstLineChars="682"/>
        <w:jc w:val="left"/>
        <w:rPr>
          <w:rFonts w:ascii="仿宋" w:hAnsi="仿宋" w:eastAsia="仿宋" w:cs="仿宋"/>
          <w:b/>
          <w:color w:val="auto"/>
          <w:sz w:val="44"/>
          <w:szCs w:val="44"/>
          <w:highlight w:val="none"/>
        </w:rPr>
      </w:pPr>
    </w:p>
    <w:p>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政府采购合同参考范本</w:t>
      </w:r>
    </w:p>
    <w:p>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（货物类）</w:t>
      </w:r>
    </w:p>
    <w:p>
      <w:pPr>
        <w:pStyle w:val="706"/>
        <w:ind w:firstLine="640"/>
        <w:rPr>
          <w:rFonts w:ascii="仿宋" w:hAnsi="仿宋" w:eastAsia="仿宋" w:cs="仿宋"/>
          <w:color w:val="auto"/>
          <w:sz w:val="32"/>
          <w:szCs w:val="32"/>
          <w:highlight w:val="none"/>
        </w:rPr>
      </w:pPr>
    </w:p>
    <w:p>
      <w:pPr>
        <w:spacing w:before="120" w:line="360" w:lineRule="auto"/>
        <w:ind w:left="960"/>
        <w:rPr>
          <w:rFonts w:ascii="仿宋" w:hAnsi="仿宋" w:eastAsia="仿宋" w:cs="仿宋"/>
          <w:color w:val="auto"/>
          <w:sz w:val="32"/>
          <w:szCs w:val="32"/>
          <w:highlight w:val="none"/>
        </w:rPr>
      </w:pPr>
    </w:p>
    <w:p>
      <w:pPr>
        <w:spacing w:before="120" w:line="360" w:lineRule="auto"/>
        <w:ind w:left="96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项目名称：</w:t>
      </w:r>
      <w:r>
        <w:rPr>
          <w:rFonts w:hint="eastAsia" w:ascii="仿宋" w:hAnsi="仿宋" w:eastAsia="仿宋" w:cs="仿宋"/>
          <w:color w:val="auto"/>
          <w:sz w:val="32"/>
          <w:szCs w:val="32"/>
          <w:highlight w:val="none"/>
          <w:u w:val="single"/>
        </w:rPr>
        <w:t xml:space="preserve">                                   </w:t>
      </w:r>
    </w:p>
    <w:p>
      <w:pPr>
        <w:spacing w:line="360" w:lineRule="auto"/>
        <w:rPr>
          <w:rFonts w:ascii="仿宋" w:hAnsi="仿宋" w:eastAsia="仿宋" w:cs="仿宋"/>
          <w:color w:val="auto"/>
          <w:sz w:val="32"/>
          <w:szCs w:val="32"/>
          <w:highlight w:val="none"/>
        </w:rPr>
      </w:pPr>
    </w:p>
    <w:p>
      <w:pPr>
        <w:spacing w:before="120" w:line="360" w:lineRule="auto"/>
        <w:ind w:left="96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甲方：</w:t>
      </w:r>
      <w:r>
        <w:rPr>
          <w:rFonts w:hint="eastAsia" w:ascii="仿宋" w:hAnsi="仿宋" w:eastAsia="仿宋" w:cs="仿宋"/>
          <w:color w:val="auto"/>
          <w:sz w:val="32"/>
          <w:szCs w:val="32"/>
          <w:highlight w:val="none"/>
          <w:u w:val="single"/>
        </w:rPr>
        <w:t xml:space="preserve">                                       </w:t>
      </w:r>
    </w:p>
    <w:p>
      <w:pPr>
        <w:spacing w:before="120" w:line="360" w:lineRule="auto"/>
        <w:ind w:left="96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乙方：</w:t>
      </w:r>
      <w:r>
        <w:rPr>
          <w:rFonts w:hint="eastAsia" w:ascii="仿宋" w:hAnsi="仿宋" w:eastAsia="仿宋" w:cs="仿宋"/>
          <w:color w:val="auto"/>
          <w:sz w:val="32"/>
          <w:szCs w:val="32"/>
          <w:highlight w:val="none"/>
          <w:u w:val="single"/>
        </w:rPr>
        <w:t xml:space="preserve">                                       </w:t>
      </w:r>
    </w:p>
    <w:p>
      <w:pPr>
        <w:spacing w:before="120" w:line="360" w:lineRule="auto"/>
        <w:ind w:firstLine="960" w:firstLineChars="30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签订地：</w:t>
      </w:r>
      <w:r>
        <w:rPr>
          <w:rFonts w:hint="eastAsia" w:ascii="仿宋" w:hAnsi="仿宋" w:eastAsia="仿宋" w:cs="仿宋"/>
          <w:color w:val="auto"/>
          <w:sz w:val="32"/>
          <w:szCs w:val="32"/>
          <w:highlight w:val="none"/>
          <w:u w:val="single"/>
        </w:rPr>
        <w:t xml:space="preserve">                                     </w:t>
      </w:r>
    </w:p>
    <w:p>
      <w:pPr>
        <w:spacing w:before="120" w:line="360" w:lineRule="auto"/>
        <w:ind w:firstLine="960" w:firstLineChars="30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签订日期：</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rPr>
        <w:t>月</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rPr>
        <w:t>日</w:t>
      </w:r>
    </w:p>
    <w:p>
      <w:pPr>
        <w:rPr>
          <w:rFonts w:ascii="仿宋" w:hAnsi="仿宋" w:eastAsia="仿宋" w:cs="仿宋"/>
          <w:color w:val="auto"/>
          <w:sz w:val="24"/>
          <w:highlight w:val="none"/>
        </w:rPr>
      </w:pPr>
    </w:p>
    <w:p>
      <w:pPr>
        <w:rPr>
          <w:rFonts w:ascii="仿宋" w:hAnsi="仿宋" w:eastAsia="仿宋" w:cs="仿宋"/>
          <w:color w:val="auto"/>
          <w:sz w:val="24"/>
          <w:highlight w:val="none"/>
        </w:rPr>
      </w:pPr>
      <w:r>
        <w:rPr>
          <w:rFonts w:hint="eastAsia" w:ascii="仿宋" w:hAnsi="仿宋" w:eastAsia="仿宋" w:cs="仿宋"/>
          <w:color w:val="auto"/>
          <w:sz w:val="24"/>
          <w:highlight w:val="none"/>
        </w:rPr>
        <w:br w:type="page"/>
      </w:r>
    </w:p>
    <w:p>
      <w:pPr>
        <w:pStyle w:val="32"/>
        <w:spacing w:line="360" w:lineRule="auto"/>
        <w:ind w:firstLine="420"/>
        <w:rPr>
          <w:rFonts w:ascii="仿宋" w:hAnsi="仿宋" w:cs="仿宋"/>
          <w:color w:val="auto"/>
          <w:sz w:val="24"/>
          <w:szCs w:val="24"/>
          <w:highlight w:val="none"/>
        </w:rPr>
      </w:pPr>
      <w:r>
        <w:rPr>
          <w:rFonts w:hint="eastAsia" w:ascii="仿宋" w:hAnsi="仿宋" w:eastAsia="仿宋" w:cs="仿宋"/>
          <w:color w:val="auto"/>
          <w:sz w:val="24"/>
          <w:szCs w:val="24"/>
          <w:highlight w:val="none"/>
        </w:rPr>
        <w:t xml:space="preserve">甲  方（采购人）： </w:t>
      </w:r>
    </w:p>
    <w:p>
      <w:pPr>
        <w:pStyle w:val="32"/>
        <w:spacing w:line="360" w:lineRule="auto"/>
        <w:ind w:firstLine="42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乙  方（供应商）： </w:t>
      </w:r>
    </w:p>
    <w:p>
      <w:pPr>
        <w:pStyle w:val="32"/>
        <w:spacing w:line="360" w:lineRule="auto"/>
        <w:ind w:firstLine="42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采购代理机构（鉴证方）：</w:t>
      </w:r>
    </w:p>
    <w:p>
      <w:pPr>
        <w:spacing w:line="360" w:lineRule="auto"/>
        <w:ind w:firstLine="420"/>
        <w:jc w:val="center"/>
        <w:rPr>
          <w:rFonts w:ascii="仿宋" w:hAnsi="仿宋" w:eastAsia="仿宋" w:cs="仿宋"/>
          <w:color w:val="auto"/>
          <w:sz w:val="24"/>
          <w:highlight w:val="none"/>
        </w:rPr>
      </w:pPr>
    </w:p>
    <w:p>
      <w:pPr>
        <w:snapToGrid w:val="0"/>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根据《中华人民共和国民法典》等法律法规和浙江交通职业技术学院</w:t>
      </w:r>
      <w:r>
        <w:rPr>
          <w:rFonts w:hint="eastAsia" w:ascii="仿宋" w:hAnsi="仿宋" w:eastAsia="仿宋" w:cs="仿宋"/>
          <w:bCs/>
          <w:color w:val="auto"/>
          <w:sz w:val="24"/>
          <w:highlight w:val="none"/>
          <w:lang w:eastAsia="zh-CN"/>
        </w:rPr>
        <w:t>新能源汽车充电桩系统建设</w:t>
      </w:r>
      <w:r>
        <w:rPr>
          <w:rFonts w:hint="eastAsia" w:ascii="仿宋" w:hAnsi="仿宋" w:eastAsia="仿宋" w:cs="仿宋"/>
          <w:bCs/>
          <w:color w:val="auto"/>
          <w:sz w:val="24"/>
          <w:highlight w:val="none"/>
        </w:rPr>
        <w:t>项目（采购编号：</w:t>
      </w:r>
      <w:r>
        <w:rPr>
          <w:rFonts w:hint="eastAsia" w:ascii="仿宋" w:hAnsi="仿宋" w:eastAsia="仿宋" w:cs="仿宋"/>
          <w:bCs/>
          <w:color w:val="auto"/>
          <w:sz w:val="24"/>
          <w:highlight w:val="none"/>
          <w:lang w:eastAsia="zh-CN"/>
        </w:rPr>
        <w:t>BSZB2024-AZZC131</w:t>
      </w:r>
      <w:r>
        <w:rPr>
          <w:rFonts w:hint="eastAsia" w:ascii="仿宋" w:hAnsi="仿宋" w:eastAsia="仿宋" w:cs="仿宋"/>
          <w:bCs/>
          <w:color w:val="auto"/>
          <w:sz w:val="24"/>
          <w:highlight w:val="none"/>
        </w:rPr>
        <w:t>），磋商文件，磋商响应文件、磋商记录等相关材料；经双方协商，同意签订本合同，共同遵守。</w:t>
      </w:r>
    </w:p>
    <w:p>
      <w:pPr>
        <w:pStyle w:val="32"/>
        <w:spacing w:line="360" w:lineRule="auto"/>
        <w:ind w:firstLine="42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一、采购产品清单及合同价格  </w:t>
      </w:r>
    </w:p>
    <w:tbl>
      <w:tblPr>
        <w:tblStyle w:val="63"/>
        <w:tblW w:w="8937"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2084"/>
        <w:gridCol w:w="1695"/>
        <w:gridCol w:w="1247"/>
        <w:gridCol w:w="1247"/>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357" w:type="dxa"/>
            <w:vAlign w:val="center"/>
          </w:tcPr>
          <w:p>
            <w:pPr>
              <w:spacing w:line="36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设备名称</w:t>
            </w:r>
          </w:p>
        </w:tc>
        <w:tc>
          <w:tcPr>
            <w:tcW w:w="2084" w:type="dxa"/>
            <w:vAlign w:val="center"/>
          </w:tcPr>
          <w:p>
            <w:pPr>
              <w:spacing w:line="36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 规格/型号</w:t>
            </w:r>
          </w:p>
        </w:tc>
        <w:tc>
          <w:tcPr>
            <w:tcW w:w="1695" w:type="dxa"/>
            <w:vAlign w:val="center"/>
          </w:tcPr>
          <w:p>
            <w:pPr>
              <w:spacing w:line="36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技术参数</w:t>
            </w:r>
          </w:p>
        </w:tc>
        <w:tc>
          <w:tcPr>
            <w:tcW w:w="1247" w:type="dxa"/>
            <w:vAlign w:val="center"/>
          </w:tcPr>
          <w:p>
            <w:pPr>
              <w:spacing w:line="36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p>
        </w:tc>
        <w:tc>
          <w:tcPr>
            <w:tcW w:w="1247" w:type="dxa"/>
            <w:vAlign w:val="center"/>
          </w:tcPr>
          <w:p>
            <w:pPr>
              <w:spacing w:line="36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单价</w:t>
            </w:r>
          </w:p>
        </w:tc>
        <w:tc>
          <w:tcPr>
            <w:tcW w:w="1307" w:type="dxa"/>
            <w:vAlign w:val="center"/>
          </w:tcPr>
          <w:p>
            <w:pPr>
              <w:spacing w:line="36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57" w:type="dxa"/>
            <w:vAlign w:val="center"/>
          </w:tcPr>
          <w:p>
            <w:pPr>
              <w:spacing w:line="360" w:lineRule="auto"/>
              <w:ind w:firstLine="480" w:firstLineChars="200"/>
              <w:rPr>
                <w:rFonts w:ascii="仿宋" w:hAnsi="仿宋" w:eastAsia="仿宋" w:cs="仿宋"/>
                <w:bCs/>
                <w:color w:val="auto"/>
                <w:sz w:val="24"/>
                <w:highlight w:val="none"/>
              </w:rPr>
            </w:pPr>
          </w:p>
        </w:tc>
        <w:tc>
          <w:tcPr>
            <w:tcW w:w="2084" w:type="dxa"/>
            <w:vAlign w:val="center"/>
          </w:tcPr>
          <w:p>
            <w:pPr>
              <w:spacing w:line="360" w:lineRule="auto"/>
              <w:ind w:firstLine="480" w:firstLineChars="200"/>
              <w:rPr>
                <w:rFonts w:ascii="仿宋" w:hAnsi="仿宋" w:eastAsia="仿宋" w:cs="仿宋"/>
                <w:bCs/>
                <w:color w:val="auto"/>
                <w:sz w:val="24"/>
                <w:highlight w:val="none"/>
              </w:rPr>
            </w:pPr>
          </w:p>
        </w:tc>
        <w:tc>
          <w:tcPr>
            <w:tcW w:w="1695" w:type="dxa"/>
            <w:vAlign w:val="center"/>
          </w:tcPr>
          <w:p>
            <w:pPr>
              <w:spacing w:line="360" w:lineRule="auto"/>
              <w:ind w:firstLine="480" w:firstLineChars="200"/>
              <w:rPr>
                <w:rFonts w:ascii="仿宋" w:hAnsi="仿宋" w:eastAsia="仿宋" w:cs="仿宋"/>
                <w:bCs/>
                <w:color w:val="auto"/>
                <w:sz w:val="24"/>
                <w:highlight w:val="none"/>
              </w:rPr>
            </w:pPr>
          </w:p>
        </w:tc>
        <w:tc>
          <w:tcPr>
            <w:tcW w:w="1247" w:type="dxa"/>
            <w:vAlign w:val="center"/>
          </w:tcPr>
          <w:p>
            <w:pPr>
              <w:spacing w:line="360" w:lineRule="auto"/>
              <w:ind w:firstLine="480" w:firstLineChars="200"/>
              <w:rPr>
                <w:rFonts w:ascii="仿宋" w:hAnsi="仿宋" w:eastAsia="仿宋" w:cs="仿宋"/>
                <w:bCs/>
                <w:color w:val="auto"/>
                <w:sz w:val="24"/>
                <w:highlight w:val="none"/>
              </w:rPr>
            </w:pPr>
          </w:p>
        </w:tc>
        <w:tc>
          <w:tcPr>
            <w:tcW w:w="1247" w:type="dxa"/>
            <w:vAlign w:val="center"/>
          </w:tcPr>
          <w:p>
            <w:pPr>
              <w:spacing w:line="360" w:lineRule="auto"/>
              <w:ind w:firstLine="480" w:firstLineChars="200"/>
              <w:rPr>
                <w:rFonts w:ascii="仿宋" w:hAnsi="仿宋" w:eastAsia="仿宋" w:cs="仿宋"/>
                <w:bCs/>
                <w:color w:val="auto"/>
                <w:sz w:val="24"/>
                <w:highlight w:val="none"/>
              </w:rPr>
            </w:pPr>
          </w:p>
        </w:tc>
        <w:tc>
          <w:tcPr>
            <w:tcW w:w="1307" w:type="dxa"/>
            <w:tcBorders>
              <w:bottom w:val="single" w:color="auto" w:sz="4" w:space="0"/>
            </w:tcBorders>
            <w:vAlign w:val="center"/>
          </w:tcPr>
          <w:p>
            <w:pPr>
              <w:spacing w:line="360" w:lineRule="auto"/>
              <w:ind w:firstLine="480" w:firstLineChars="200"/>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57" w:type="dxa"/>
            <w:vAlign w:val="center"/>
          </w:tcPr>
          <w:p>
            <w:pPr>
              <w:spacing w:line="360" w:lineRule="auto"/>
              <w:ind w:firstLine="480" w:firstLineChars="200"/>
              <w:rPr>
                <w:rFonts w:ascii="仿宋" w:hAnsi="仿宋" w:eastAsia="仿宋" w:cs="仿宋"/>
                <w:bCs/>
                <w:color w:val="auto"/>
                <w:sz w:val="24"/>
                <w:highlight w:val="none"/>
              </w:rPr>
            </w:pPr>
          </w:p>
        </w:tc>
        <w:tc>
          <w:tcPr>
            <w:tcW w:w="2084" w:type="dxa"/>
            <w:vAlign w:val="center"/>
          </w:tcPr>
          <w:p>
            <w:pPr>
              <w:spacing w:line="360" w:lineRule="auto"/>
              <w:ind w:firstLine="480" w:firstLineChars="200"/>
              <w:rPr>
                <w:rFonts w:ascii="仿宋" w:hAnsi="仿宋" w:eastAsia="仿宋" w:cs="仿宋"/>
                <w:bCs/>
                <w:color w:val="auto"/>
                <w:sz w:val="24"/>
                <w:highlight w:val="none"/>
              </w:rPr>
            </w:pPr>
          </w:p>
        </w:tc>
        <w:tc>
          <w:tcPr>
            <w:tcW w:w="1695" w:type="dxa"/>
            <w:vAlign w:val="center"/>
          </w:tcPr>
          <w:p>
            <w:pPr>
              <w:spacing w:line="360" w:lineRule="auto"/>
              <w:ind w:firstLine="480" w:firstLineChars="200"/>
              <w:rPr>
                <w:rFonts w:ascii="仿宋" w:hAnsi="仿宋" w:eastAsia="仿宋" w:cs="仿宋"/>
                <w:bCs/>
                <w:color w:val="auto"/>
                <w:sz w:val="24"/>
                <w:highlight w:val="none"/>
              </w:rPr>
            </w:pPr>
          </w:p>
        </w:tc>
        <w:tc>
          <w:tcPr>
            <w:tcW w:w="1247" w:type="dxa"/>
            <w:vAlign w:val="center"/>
          </w:tcPr>
          <w:p>
            <w:pPr>
              <w:spacing w:line="360" w:lineRule="auto"/>
              <w:ind w:firstLine="480" w:firstLineChars="200"/>
              <w:rPr>
                <w:rFonts w:ascii="仿宋" w:hAnsi="仿宋" w:eastAsia="仿宋" w:cs="仿宋"/>
                <w:bCs/>
                <w:color w:val="auto"/>
                <w:sz w:val="24"/>
                <w:highlight w:val="none"/>
              </w:rPr>
            </w:pPr>
          </w:p>
        </w:tc>
        <w:tc>
          <w:tcPr>
            <w:tcW w:w="1247" w:type="dxa"/>
            <w:vAlign w:val="center"/>
          </w:tcPr>
          <w:p>
            <w:pPr>
              <w:spacing w:line="360" w:lineRule="auto"/>
              <w:ind w:firstLine="480" w:firstLineChars="200"/>
              <w:rPr>
                <w:rFonts w:ascii="仿宋" w:hAnsi="仿宋" w:eastAsia="仿宋" w:cs="仿宋"/>
                <w:bCs/>
                <w:color w:val="auto"/>
                <w:sz w:val="24"/>
                <w:highlight w:val="none"/>
              </w:rPr>
            </w:pPr>
          </w:p>
        </w:tc>
        <w:tc>
          <w:tcPr>
            <w:tcW w:w="1307" w:type="dxa"/>
            <w:tcBorders>
              <w:bottom w:val="single" w:color="auto" w:sz="4" w:space="0"/>
            </w:tcBorders>
            <w:vAlign w:val="center"/>
          </w:tcPr>
          <w:p>
            <w:pPr>
              <w:spacing w:line="360" w:lineRule="auto"/>
              <w:ind w:firstLine="480" w:firstLineChars="200"/>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57" w:type="dxa"/>
            <w:vAlign w:val="center"/>
          </w:tcPr>
          <w:p>
            <w:pPr>
              <w:spacing w:line="360" w:lineRule="auto"/>
              <w:ind w:firstLine="480" w:firstLineChars="200"/>
              <w:rPr>
                <w:rFonts w:ascii="仿宋" w:hAnsi="仿宋" w:eastAsia="仿宋" w:cs="仿宋"/>
                <w:bCs/>
                <w:color w:val="auto"/>
                <w:sz w:val="24"/>
                <w:highlight w:val="none"/>
              </w:rPr>
            </w:pPr>
          </w:p>
        </w:tc>
        <w:tc>
          <w:tcPr>
            <w:tcW w:w="2084" w:type="dxa"/>
            <w:vAlign w:val="center"/>
          </w:tcPr>
          <w:p>
            <w:pPr>
              <w:spacing w:line="360" w:lineRule="auto"/>
              <w:ind w:firstLine="480" w:firstLineChars="200"/>
              <w:rPr>
                <w:rFonts w:ascii="仿宋" w:hAnsi="仿宋" w:eastAsia="仿宋" w:cs="仿宋"/>
                <w:bCs/>
                <w:color w:val="auto"/>
                <w:sz w:val="24"/>
                <w:highlight w:val="none"/>
              </w:rPr>
            </w:pPr>
          </w:p>
        </w:tc>
        <w:tc>
          <w:tcPr>
            <w:tcW w:w="1695" w:type="dxa"/>
            <w:vAlign w:val="center"/>
          </w:tcPr>
          <w:p>
            <w:pPr>
              <w:spacing w:line="360" w:lineRule="auto"/>
              <w:ind w:firstLine="480" w:firstLineChars="200"/>
              <w:rPr>
                <w:rFonts w:ascii="仿宋" w:hAnsi="仿宋" w:eastAsia="仿宋" w:cs="仿宋"/>
                <w:bCs/>
                <w:color w:val="auto"/>
                <w:sz w:val="24"/>
                <w:highlight w:val="none"/>
              </w:rPr>
            </w:pPr>
          </w:p>
        </w:tc>
        <w:tc>
          <w:tcPr>
            <w:tcW w:w="1247" w:type="dxa"/>
            <w:vAlign w:val="center"/>
          </w:tcPr>
          <w:p>
            <w:pPr>
              <w:spacing w:line="360" w:lineRule="auto"/>
              <w:ind w:firstLine="480" w:firstLineChars="200"/>
              <w:rPr>
                <w:rFonts w:ascii="仿宋" w:hAnsi="仿宋" w:eastAsia="仿宋" w:cs="仿宋"/>
                <w:bCs/>
                <w:color w:val="auto"/>
                <w:sz w:val="24"/>
                <w:highlight w:val="none"/>
              </w:rPr>
            </w:pPr>
          </w:p>
        </w:tc>
        <w:tc>
          <w:tcPr>
            <w:tcW w:w="1247" w:type="dxa"/>
            <w:vAlign w:val="center"/>
          </w:tcPr>
          <w:p>
            <w:pPr>
              <w:spacing w:line="360" w:lineRule="auto"/>
              <w:ind w:firstLine="480" w:firstLineChars="200"/>
              <w:rPr>
                <w:rFonts w:ascii="仿宋" w:hAnsi="仿宋" w:eastAsia="仿宋" w:cs="仿宋"/>
                <w:bCs/>
                <w:color w:val="auto"/>
                <w:sz w:val="24"/>
                <w:highlight w:val="none"/>
              </w:rPr>
            </w:pPr>
          </w:p>
        </w:tc>
        <w:tc>
          <w:tcPr>
            <w:tcW w:w="1307" w:type="dxa"/>
            <w:tcBorders>
              <w:bottom w:val="single" w:color="auto" w:sz="4" w:space="0"/>
            </w:tcBorders>
            <w:vAlign w:val="center"/>
          </w:tcPr>
          <w:p>
            <w:pPr>
              <w:spacing w:line="360" w:lineRule="auto"/>
              <w:ind w:firstLine="480" w:firstLineChars="200"/>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630" w:type="dxa"/>
            <w:gridSpan w:val="5"/>
            <w:vAlign w:val="center"/>
          </w:tcPr>
          <w:p>
            <w:pPr>
              <w:spacing w:line="360" w:lineRule="auto"/>
              <w:ind w:firstLine="6480" w:firstLineChars="2700"/>
              <w:rPr>
                <w:rFonts w:ascii="仿宋" w:hAnsi="仿宋" w:eastAsia="仿宋" w:cs="仿宋"/>
                <w:bCs/>
                <w:color w:val="auto"/>
                <w:sz w:val="24"/>
                <w:highlight w:val="none"/>
              </w:rPr>
            </w:pPr>
            <w:r>
              <w:rPr>
                <w:rFonts w:hint="eastAsia" w:ascii="仿宋" w:hAnsi="仿宋" w:eastAsia="仿宋" w:cs="仿宋"/>
                <w:bCs/>
                <w:color w:val="auto"/>
                <w:sz w:val="24"/>
                <w:highlight w:val="none"/>
              </w:rPr>
              <w:t>合计：</w:t>
            </w:r>
          </w:p>
        </w:tc>
        <w:tc>
          <w:tcPr>
            <w:tcW w:w="1307" w:type="dxa"/>
            <w:vAlign w:val="center"/>
          </w:tcPr>
          <w:p>
            <w:pPr>
              <w:spacing w:line="360" w:lineRule="auto"/>
              <w:ind w:firstLine="480" w:firstLineChars="200"/>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8937" w:type="dxa"/>
            <w:gridSpan w:val="6"/>
            <w:vAlign w:val="center"/>
          </w:tcPr>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合同总价（人民币大写）： </w:t>
            </w:r>
          </w:p>
        </w:tc>
      </w:tr>
    </w:tbl>
    <w:p>
      <w:pPr>
        <w:spacing w:line="360" w:lineRule="auto"/>
        <w:ind w:firstLine="480" w:firstLineChars="2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注：</w:t>
      </w:r>
      <w:r>
        <w:rPr>
          <w:rFonts w:hint="eastAsia" w:ascii="仿宋" w:hAnsi="仿宋" w:eastAsia="仿宋" w:cs="仿宋"/>
          <w:bCs/>
          <w:color w:val="auto"/>
          <w:sz w:val="24"/>
          <w:highlight w:val="none"/>
          <w:lang w:val="en-US" w:eastAsia="zh-CN"/>
        </w:rPr>
        <w:t>本合同价已经包括货款、标准附件、备品备件、专用工具、资料手册、包装、运输、装卸、保险、税金、货到就位以及安装、调试、培训、保修等一切税金和费用。</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二、质量保证</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1、乙方所提供的货物技术规格符合采购文件规定的技术规格，货物符合中华人民共和国的设计和制造生产标准或行业标准。</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2、乙方应保证货物是全新、未使用过的原装合格正品（包括零部件），并完全符合甲方要求的质量、规格和性能要求。</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三、技术资料</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1、乙方应按采购文件规定的时间向甲方提供使用货物的有关技术资料。</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没有甲方事先书面同意，乙方不得将由甲方提供的有关合同或任何合同条文、规格、计划、图纸、样品或资料提供给与履行本合同无关的任何其他人。即向履行本合同有关的人员提供，也是应注意保密并限于履行合同的必需范围。</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四、知识产权</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1、乙方应保证所提供的货物或其任何一部分均不会侵犯任何第三方产权。</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五、产权担保</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1、乙方保证所交付的货物的所有权完全属于乙方且无任何抵押、查封等产权瑕疵。</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六、转包或分包</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1、本合同范围的货物，应由乙方直接供应，不得转让他人供应；</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2、除非得到甲方的书面同意，乙方不得将本合同范围的货物全部或部分分包给他人供应；</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3、如有转让和未经甲方同意的分包行为，甲方有权解除合同，没收履约保证金并追究乙方的违约责任。</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七、项目实施时间、地点</w:t>
      </w:r>
    </w:p>
    <w:p>
      <w:pPr>
        <w:tabs>
          <w:tab w:val="left" w:pos="0"/>
        </w:tabs>
        <w:spacing w:line="360" w:lineRule="auto"/>
        <w:ind w:firstLine="482"/>
        <w:rPr>
          <w:rFonts w:hint="eastAsia" w:ascii="仿宋" w:hAnsi="仿宋" w:eastAsia="仿宋" w:cs="仿宋"/>
          <w:color w:val="auto"/>
          <w:kern w:val="0"/>
          <w:sz w:val="24"/>
          <w:highlight w:val="none"/>
          <w:lang w:eastAsia="zh-CN"/>
        </w:rPr>
      </w:pPr>
      <w:r>
        <w:rPr>
          <w:rFonts w:hint="eastAsia" w:ascii="仿宋" w:hAnsi="仿宋" w:eastAsia="仿宋" w:cs="仿宋"/>
          <w:bCs/>
          <w:color w:val="auto"/>
          <w:sz w:val="24"/>
          <w:highlight w:val="none"/>
        </w:rPr>
        <w:t>1、时间：</w:t>
      </w:r>
      <w:r>
        <w:rPr>
          <w:rFonts w:hint="eastAsia" w:ascii="仿宋" w:hAnsi="仿宋" w:eastAsia="仿宋" w:cs="仿宋"/>
          <w:bCs/>
          <w:color w:val="auto"/>
          <w:sz w:val="24"/>
          <w:highlight w:val="none"/>
          <w:lang w:val="en-US" w:eastAsia="zh-CN"/>
        </w:rPr>
        <w:t>合同生效并具备实施条件后45天内</w:t>
      </w:r>
      <w:r>
        <w:rPr>
          <w:rFonts w:hint="eastAsia" w:ascii="仿宋" w:hAnsi="仿宋" w:eastAsia="仿宋" w:cs="仿宋"/>
          <w:bCs/>
          <w:color w:val="auto"/>
          <w:sz w:val="24"/>
          <w:highlight w:val="none"/>
        </w:rPr>
        <w:t>完成设备供货及安装调试</w:t>
      </w:r>
      <w:r>
        <w:rPr>
          <w:rFonts w:hint="eastAsia" w:ascii="仿宋" w:hAnsi="仿宋" w:eastAsia="仿宋" w:cs="仿宋"/>
          <w:bCs/>
          <w:color w:val="auto"/>
          <w:sz w:val="24"/>
          <w:highlight w:val="none"/>
          <w:lang w:eastAsia="zh-CN"/>
        </w:rPr>
        <w:t>。</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2、地点：甲方指定地点。</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八、履约保证金</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1、乙方应在</w:t>
      </w:r>
      <w:r>
        <w:rPr>
          <w:rFonts w:hint="eastAsia" w:ascii="仿宋" w:hAnsi="仿宋" w:eastAsia="仿宋" w:cs="仿宋"/>
          <w:bCs/>
          <w:color w:val="auto"/>
          <w:sz w:val="24"/>
          <w:highlight w:val="none"/>
          <w:lang w:eastAsia="zh-CN"/>
        </w:rPr>
        <w:t>合同生效后</w:t>
      </w:r>
      <w:r>
        <w:rPr>
          <w:rFonts w:hint="eastAsia" w:ascii="仿宋" w:hAnsi="仿宋" w:eastAsia="仿宋" w:cs="仿宋"/>
          <w:bCs/>
          <w:color w:val="auto"/>
          <w:sz w:val="24"/>
          <w:highlight w:val="none"/>
        </w:rPr>
        <w:t>7个工作日内向甲方提交履约保证金为【       】元【合同金额的1%】。</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2、履约保证金用于补偿甲方因乙方不能履行其合同义务而蒙受的损失。</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3、履约保证金应使用本合同货币，按下述方式中【  D  】形式提交：</w:t>
      </w:r>
    </w:p>
    <w:p>
      <w:pPr>
        <w:spacing w:line="360" w:lineRule="auto"/>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A. 甲方可接受的在中华人民共和国注册和营业的银行出具的保函，或其他财政部门规定格式。</w:t>
      </w:r>
    </w:p>
    <w:p>
      <w:pPr>
        <w:spacing w:line="360" w:lineRule="auto"/>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B. 支票。</w:t>
      </w:r>
    </w:p>
    <w:p>
      <w:pPr>
        <w:spacing w:line="360" w:lineRule="auto"/>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C. 汇票。</w:t>
      </w:r>
    </w:p>
    <w:p>
      <w:pPr>
        <w:spacing w:line="360" w:lineRule="auto"/>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D. 其他非现金形式。</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4、如果乙方未能按合同规定履行其义务，甲方有权从履约保证金中取得补偿。</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5、履约保证金有效期限：合同签订之日起至项目验收合格后结束。</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6、履约保证金退还：有效期限满后7工作日内退还履约保证金。</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九、付款方式</w:t>
      </w:r>
    </w:p>
    <w:p>
      <w:pPr>
        <w:pStyle w:val="32"/>
        <w:spacing w:line="360" w:lineRule="auto"/>
        <w:ind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1、本合同中甲乙双方之间所发生的一切费用以人民币进行结算。</w:t>
      </w:r>
    </w:p>
    <w:p>
      <w:pPr>
        <w:pStyle w:val="32"/>
        <w:spacing w:line="360" w:lineRule="auto"/>
        <w:ind w:firstLine="480" w:firstLineChars="20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2、支付方式</w:t>
      </w:r>
    </w:p>
    <w:p>
      <w:pPr>
        <w:tabs>
          <w:tab w:val="left" w:pos="0"/>
        </w:tabs>
        <w:spacing w:line="360" w:lineRule="auto"/>
        <w:ind w:firstLine="48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合同生效</w:t>
      </w:r>
      <w:r>
        <w:rPr>
          <w:rFonts w:hint="eastAsia" w:ascii="仿宋" w:hAnsi="仿宋" w:eastAsia="仿宋" w:cs="仿宋"/>
          <w:bCs/>
          <w:color w:val="auto"/>
          <w:sz w:val="24"/>
          <w:highlight w:val="none"/>
          <w:lang w:val="en-US" w:eastAsia="zh-CN"/>
        </w:rPr>
        <w:t>并具备实施条件</w:t>
      </w:r>
      <w:r>
        <w:rPr>
          <w:rFonts w:hint="eastAsia" w:ascii="仿宋" w:hAnsi="仿宋" w:eastAsia="仿宋" w:cs="仿宋"/>
          <w:color w:val="auto"/>
          <w:kern w:val="0"/>
          <w:sz w:val="24"/>
          <w:highlight w:val="none"/>
        </w:rPr>
        <w:t>后7个工作日内，甲方支付合同总价40%的预付款；合同履行完毕并经甲方验收合格，由甲方在7个工作日内付清剩余合同款项。</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以上付款时间是指甲方完成向财政部门申报支付手续的时间，财政部门审查及实际支付可能造成的时间延误不视为甲方违约。</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每次合同款项支付，乙方需提前提供同等金额的正规发票或收据（应符合甲方财务管理要求）给甲方，甲方收到发票后按规定向财政部门申请支付。</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发票类型：增值税发票。</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3、甲方应付合同款至以下乙方指定的银行账户：</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开户名称：                     </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开户银行：                     </w:t>
      </w:r>
    </w:p>
    <w:p>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 xml:space="preserve">账    号：  </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十、税费</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本合同执行中相关的一切税费均由乙方承担。</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十一、售后服务</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设备</w:t>
      </w:r>
      <w:r>
        <w:rPr>
          <w:rFonts w:hint="eastAsia" w:ascii="仿宋" w:hAnsi="仿宋" w:eastAsia="仿宋" w:cs="仿宋"/>
          <w:color w:val="auto"/>
          <w:kern w:val="0"/>
          <w:sz w:val="24"/>
          <w:highlight w:val="none"/>
          <w:lang w:val="en-US" w:eastAsia="zh-CN"/>
        </w:rPr>
        <w:t>质保期</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年。质保期为通过验收之日起开始计算。</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因</w:t>
      </w:r>
      <w:r>
        <w:rPr>
          <w:rFonts w:hint="eastAsia" w:ascii="仿宋" w:hAnsi="仿宋" w:eastAsia="仿宋" w:cs="仿宋"/>
          <w:color w:val="auto"/>
          <w:kern w:val="0"/>
          <w:sz w:val="24"/>
          <w:highlight w:val="none"/>
          <w:lang w:val="en-US" w:eastAsia="zh-CN"/>
        </w:rPr>
        <w:t>乙方</w:t>
      </w:r>
      <w:r>
        <w:rPr>
          <w:rFonts w:hint="eastAsia" w:ascii="仿宋" w:hAnsi="仿宋" w:eastAsia="仿宋" w:cs="仿宋"/>
          <w:color w:val="auto"/>
          <w:kern w:val="0"/>
          <w:sz w:val="24"/>
          <w:highlight w:val="none"/>
        </w:rPr>
        <w:t>的原因出现问题，应免费到现场进行再次调试，直至设备恢复正常为止。</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在质保期内，免费提供维修及软件维护、升级等技术支持服务；所有产品维修服务、软件维护、升级均为上门服务，由此产生的费用均不再收取。</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设备出现故障，</w:t>
      </w:r>
      <w:r>
        <w:rPr>
          <w:rFonts w:hint="eastAsia" w:ascii="仿宋" w:hAnsi="仿宋" w:eastAsia="仿宋" w:cs="仿宋"/>
          <w:color w:val="auto"/>
          <w:kern w:val="0"/>
          <w:sz w:val="24"/>
          <w:highlight w:val="none"/>
          <w:lang w:val="en-US" w:eastAsia="zh-CN"/>
        </w:rPr>
        <w:t>乙方</w:t>
      </w:r>
      <w:r>
        <w:rPr>
          <w:rFonts w:hint="eastAsia" w:ascii="仿宋" w:hAnsi="仿宋" w:eastAsia="仿宋" w:cs="仿宋"/>
          <w:color w:val="auto"/>
          <w:kern w:val="0"/>
          <w:sz w:val="24"/>
          <w:highlight w:val="none"/>
        </w:rPr>
        <w:t>应在接到报修通知后，1小时内响应，8小时内赶到现场，24小时内排除故障。</w:t>
      </w:r>
    </w:p>
    <w:p>
      <w:pPr>
        <w:numPr>
          <w:ilvl w:val="0"/>
          <w:numId w:val="0"/>
        </w:numPr>
        <w:spacing w:line="360" w:lineRule="auto"/>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十二、安装调试（若需要安装调试）</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1、安装地点：甲方指定地点。</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2、安装标准：符合我国国家有关技术规范要求和技术标准。</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3、乙方应免费提供合同货物的安装服务。</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4、乙方在投标文件中应提供安装调试计划、对安装场地和环境的要求。</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十三、验收</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乙方应提供合同货物的有效检验文件，经甲方认可后，与货物的性能指标一起作为合同货物验收标准。甲方对合同货物验收合格后，双方共同签署验收合格证书，验收中发现合同货物达不到验收标准或合同规定的性能指标，乙方必须更换合同货物，并负担由此给甲方造成的损失，直到验收合格为止。</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2、乙方应于投标文件中提供合同货物的验收标准和检测办法，并在验收中提供甲方认可的相应检测手段，验收标准应符合中国有关的国家、地方、行业的标准，经甲方确认后作为验收的依据。</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3、如乙方委托国内代理（或其他机构）负责安装或配合安装，应在签约时指明，但乙方仍要对合同货物及其安装质量负全部责任。</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十四、货物包装、发运及运输</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1、乙方应在货物发运前对其进行满足运输距离、防潮、防震、防锈和防破损装卸等要求包装，以保证货物安全运达甲方指定地点。</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2、使用说明书、质量检验证明书、随配附件和工具以及清单一并附于货物内。</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3、乙方在货物发运手续办理毕后24小时内货到甲方48小时前通知甲方，以准备接货。</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4、货物在交付甲方前发生的风险均由乙方负责。</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5、货物在规定的交付期限内由乙方送达甲方指定的地点视为交付，乙方同时需通知甲方货物已送达。</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十五、违约责任</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1、甲方无正当理由拒收货物的，甲方向乙方偿付拒收货款总值的百分之五的违约金。</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2、甲方无故逾期验收和支付手续的，甲方应按逾期付款总额每日万分之五向乙方支付违约金。</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乙方逾期交付货物的，乙方应按逾期交货总额每日千分之六向甲方支付违约金，由甲方从待付款中扣除。逾期超过约定日期10个工作日不能交货的，甲方可以解除本合同。乙方因逾期交货或因其他违约行为导致甲方解除合同的，乙方应向甲方支付合同总价5%的违约金，如造成甲方损失超过违约金的，超出部分由乙方继续承担赔偿责任。</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4、乙方所交的货物品种、型号、规格、技术参数、质量不符合合同规定及招标文件规定标准的，甲方有权拒收该货物，乙方愿意更换货物但逾期交货的，按乙方逾期交货处理。乙方拒绝更换货物的甲方可单方面解除合同并追究对方的违约责任。</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十六、不可抗力事件处理</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1、在合同有效期内，任何一方因不可抗力事件导致不能履行合同，则合同有效期可延长，其延长时间与不可抗力影响期相同。</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2、不可抗力事件发生后，应立即通知对方，并寄送有关权威机构出具的证明。</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3、不可抗力事件延续120天以上，双方应通过友好协商，确定是否继续履行合同。</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十七、诉讼</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1、双方在执行合同中所发生的一切争议，应通过协商解决。如协商不成，可向甲方所在地法院起诉。</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十八、合同的生效及其它</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1、本合同经甲方、乙方、鉴证方法定代表人或授权代表签字并加盖公章后生效。</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2、本合同未尽事宜，遵照《民法典》有关条文执行。</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3、本合同正本一式伍份，具有同等法律效力，甲乙双方各执二份、鉴证方执一份。合同自签字盖章之日起生效。</w:t>
      </w:r>
    </w:p>
    <w:p>
      <w:pPr>
        <w:pStyle w:val="32"/>
        <w:spacing w:line="360" w:lineRule="auto"/>
        <w:ind w:firstLine="420"/>
        <w:rPr>
          <w:rFonts w:ascii="仿宋" w:hAnsi="仿宋" w:eastAsia="仿宋" w:cs="仿宋"/>
          <w:color w:val="auto"/>
          <w:spacing w:val="6"/>
          <w:sz w:val="24"/>
          <w:szCs w:val="24"/>
          <w:highlight w:val="none"/>
        </w:rPr>
      </w:pPr>
    </w:p>
    <w:tbl>
      <w:tblPr>
        <w:tblStyle w:val="63"/>
        <w:tblW w:w="93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0"/>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甲方：（公章）</w:t>
            </w:r>
          </w:p>
        </w:tc>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乙方：（公章）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_GB2312" w:hAnsi="仿宋" w:eastAsia="仿宋_GB2312" w:cs="仿宋_GB2312"/>
                <w:color w:val="auto"/>
                <w:sz w:val="24"/>
                <w:highlight w:val="none"/>
              </w:rPr>
            </w:pPr>
            <w:r>
              <w:rPr>
                <w:rFonts w:hint="eastAsia" w:ascii="仿宋" w:hAnsi="仿宋" w:eastAsia="仿宋" w:cs="仿宋"/>
                <w:color w:val="auto"/>
                <w:spacing w:val="6"/>
                <w:sz w:val="24"/>
                <w:highlight w:val="none"/>
              </w:rPr>
              <w:t>法定代表人或授权代表</w:t>
            </w:r>
            <w:r>
              <w:rPr>
                <w:rFonts w:hint="eastAsia" w:ascii="仿宋_GB2312" w:hAnsi="仿宋" w:eastAsia="仿宋_GB2312" w:cs="仿宋_GB2312"/>
                <w:color w:val="auto"/>
                <w:sz w:val="24"/>
                <w:highlight w:val="none"/>
              </w:rPr>
              <w:t>：</w:t>
            </w:r>
          </w:p>
          <w:p>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（签名）</w:t>
            </w:r>
          </w:p>
        </w:tc>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_GB2312" w:hAnsi="仿宋" w:eastAsia="仿宋_GB2312" w:cs="仿宋_GB2312"/>
                <w:color w:val="auto"/>
                <w:sz w:val="24"/>
                <w:highlight w:val="none"/>
              </w:rPr>
            </w:pPr>
            <w:r>
              <w:rPr>
                <w:rFonts w:hint="eastAsia" w:ascii="仿宋" w:hAnsi="仿宋" w:eastAsia="仿宋" w:cs="仿宋"/>
                <w:color w:val="auto"/>
                <w:spacing w:val="6"/>
                <w:sz w:val="24"/>
                <w:highlight w:val="none"/>
              </w:rPr>
              <w:t>法定代表人或授权代表</w:t>
            </w:r>
            <w:r>
              <w:rPr>
                <w:rFonts w:hint="eastAsia" w:ascii="仿宋_GB2312" w:hAnsi="仿宋" w:eastAsia="仿宋_GB2312" w:cs="仿宋_GB2312"/>
                <w:color w:val="auto"/>
                <w:sz w:val="24"/>
                <w:highlight w:val="none"/>
              </w:rPr>
              <w:t>：</w:t>
            </w:r>
          </w:p>
          <w:p>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地址：</w:t>
            </w:r>
          </w:p>
        </w:tc>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电话：</w:t>
            </w:r>
          </w:p>
        </w:tc>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开户银行：</w:t>
            </w:r>
          </w:p>
        </w:tc>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帐号：</w:t>
            </w:r>
          </w:p>
        </w:tc>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帐号：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签名日期：      年    月    日</w:t>
            </w:r>
          </w:p>
        </w:tc>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签名日期：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合同鉴证方：（公章）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_GB2312" w:hAnsi="仿宋" w:eastAsia="仿宋_GB2312" w:cs="仿宋_GB2312"/>
                <w:color w:val="auto"/>
                <w:sz w:val="24"/>
                <w:highlight w:val="none"/>
              </w:rPr>
            </w:pPr>
            <w:r>
              <w:rPr>
                <w:rFonts w:hint="eastAsia" w:ascii="仿宋" w:hAnsi="仿宋" w:eastAsia="仿宋" w:cs="仿宋"/>
                <w:color w:val="auto"/>
                <w:spacing w:val="6"/>
                <w:sz w:val="24"/>
                <w:highlight w:val="none"/>
              </w:rPr>
              <w:t>法定代表人或授权代表</w:t>
            </w:r>
            <w:r>
              <w:rPr>
                <w:rFonts w:hint="eastAsia" w:ascii="仿宋_GB2312" w:hAnsi="仿宋" w:eastAsia="仿宋_GB2312" w:cs="仿宋_GB2312"/>
                <w:color w:val="auto"/>
                <w:sz w:val="24"/>
                <w:highlight w:val="none"/>
              </w:rPr>
              <w:t>：</w:t>
            </w:r>
          </w:p>
          <w:p>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地址：杭州市西湖区振华路200号瑞鼎大厦B座606室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电话：0571-87916090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鉴证日期：      年    月    日</w:t>
            </w:r>
          </w:p>
        </w:tc>
      </w:tr>
    </w:tbl>
    <w:p>
      <w:pPr>
        <w:snapToGrid w:val="0"/>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br w:type="page"/>
      </w:r>
    </w:p>
    <w:p>
      <w:pPr>
        <w:snapToGrid w:val="0"/>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第七部分</w:t>
      </w:r>
      <w:bookmarkEnd w:id="17"/>
      <w:r>
        <w:rPr>
          <w:rFonts w:hint="eastAsia" w:ascii="仿宋" w:hAnsi="仿宋" w:eastAsia="仿宋" w:cs="仿宋"/>
          <w:b/>
          <w:color w:val="auto"/>
          <w:sz w:val="36"/>
          <w:szCs w:val="20"/>
          <w:highlight w:val="none"/>
        </w:rPr>
        <w:t xml:space="preserve"> </w:t>
      </w:r>
      <w:bookmarkEnd w:id="18"/>
      <w:r>
        <w:rPr>
          <w:rFonts w:hint="eastAsia" w:ascii="仿宋" w:hAnsi="仿宋" w:eastAsia="仿宋" w:cs="仿宋"/>
          <w:b/>
          <w:color w:val="auto"/>
          <w:sz w:val="36"/>
          <w:szCs w:val="20"/>
          <w:highlight w:val="none"/>
        </w:rPr>
        <w:t>应提交的有关格式范例</w:t>
      </w:r>
    </w:p>
    <w:p>
      <w:pPr>
        <w:spacing w:line="360" w:lineRule="auto"/>
        <w:jc w:val="center"/>
        <w:outlineLvl w:val="0"/>
        <w:rPr>
          <w:rFonts w:ascii="仿宋" w:hAnsi="仿宋" w:eastAsia="仿宋" w:cs="仿宋"/>
          <w:b/>
          <w:color w:val="auto"/>
          <w:kern w:val="0"/>
          <w:sz w:val="36"/>
          <w:szCs w:val="36"/>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（3）落实政府采购政策需满足的资格要求…………………………………………（页码）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（4）本项目的特定资格要求…………………………………………………………（页码）</w:t>
      </w:r>
    </w:p>
    <w:p>
      <w:pPr>
        <w:snapToGrid w:val="0"/>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ascii="仿宋" w:hAnsi="仿宋" w:eastAsia="仿宋" w:cs="仿宋"/>
          <w:color w:val="auto"/>
          <w:sz w:val="24"/>
          <w:highlight w:val="none"/>
        </w:rPr>
      </w:pPr>
    </w:p>
    <w:p>
      <w:pPr>
        <w:shd w:val="clear" w:color="auto" w:fill="FFFFFF"/>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浙江交通职业技术学院、杭州博实招标代理有限公司：</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rPr>
        <w:t>浙江交通职业技术学院</w:t>
      </w:r>
      <w:r>
        <w:rPr>
          <w:rFonts w:hint="eastAsia" w:ascii="仿宋" w:hAnsi="仿宋" w:eastAsia="仿宋" w:cs="仿宋"/>
          <w:color w:val="auto"/>
          <w:sz w:val="24"/>
          <w:highlight w:val="none"/>
          <w:u w:val="single"/>
          <w:lang w:eastAsia="zh-CN"/>
        </w:rPr>
        <w:t>新能源汽车充电桩系统建设</w:t>
      </w:r>
      <w:r>
        <w:rPr>
          <w:rFonts w:hint="eastAsia" w:ascii="仿宋" w:hAnsi="仿宋" w:eastAsia="仿宋" w:cs="仿宋"/>
          <w:color w:val="auto"/>
          <w:sz w:val="24"/>
          <w:highlight w:val="none"/>
          <w:u w:val="single"/>
        </w:rPr>
        <w:t>项目【项目编号：</w:t>
      </w:r>
      <w:r>
        <w:rPr>
          <w:rFonts w:hint="eastAsia" w:ascii="仿宋" w:hAnsi="仿宋" w:eastAsia="仿宋" w:cs="仿宋"/>
          <w:color w:val="auto"/>
          <w:sz w:val="24"/>
          <w:highlight w:val="none"/>
          <w:u w:val="single"/>
          <w:lang w:eastAsia="zh-CN"/>
        </w:rPr>
        <w:t>BSZB2024-AZZC131</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政府采购活动，郑重承诺：</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（一）具备《中华人民共和国政府采购法》第二十二条规定的条件：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4560" w:firstLineChars="1900"/>
        <w:rPr>
          <w:rFonts w:ascii="仿宋" w:hAnsi="仿宋" w:eastAsia="仿宋" w:cs="仿宋"/>
          <w:color w:val="auto"/>
          <w:sz w:val="24"/>
          <w:highlight w:val="none"/>
        </w:rPr>
      </w:pPr>
    </w:p>
    <w:p>
      <w:pPr>
        <w:snapToGrid w:val="0"/>
        <w:spacing w:line="360" w:lineRule="auto"/>
        <w:ind w:firstLine="4560" w:firstLineChars="1900"/>
        <w:rPr>
          <w:rFonts w:ascii="仿宋" w:hAnsi="仿宋" w:eastAsia="仿宋" w:cs="仿宋"/>
          <w:color w:val="auto"/>
          <w:sz w:val="24"/>
          <w:highlight w:val="none"/>
        </w:rPr>
      </w:pPr>
    </w:p>
    <w:p>
      <w:pPr>
        <w:snapToGrid w:val="0"/>
        <w:spacing w:line="360" w:lineRule="auto"/>
        <w:ind w:firstLine="4560" w:firstLineChars="1900"/>
        <w:rPr>
          <w:rFonts w:ascii="仿宋" w:hAnsi="仿宋" w:eastAsia="仿宋" w:cs="仿宋"/>
          <w:color w:val="auto"/>
          <w:sz w:val="24"/>
          <w:highlight w:val="none"/>
        </w:rPr>
      </w:pPr>
      <w:r>
        <w:rPr>
          <w:rFonts w:hint="eastAsia" w:ascii="仿宋" w:hAnsi="仿宋" w:eastAsia="仿宋" w:cs="仿宋"/>
          <w:color w:val="auto"/>
          <w:sz w:val="24"/>
          <w:highlight w:val="none"/>
        </w:rPr>
        <w:t>响应供应商</w:t>
      </w:r>
      <w:r>
        <w:rPr>
          <w:rFonts w:hint="eastAsia" w:ascii="仿宋" w:hAnsi="仿宋" w:eastAsia="仿宋" w:cs="仿宋"/>
          <w:color w:val="auto"/>
          <w:sz w:val="24"/>
          <w:highlight w:val="none"/>
          <w:lang w:val="zh-CN"/>
        </w:rPr>
        <w:t>名称(电子签名)：</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日期</w:t>
      </w:r>
      <w:r>
        <w:rPr>
          <w:rFonts w:hint="eastAsia" w:ascii="仿宋" w:hAnsi="仿宋" w:eastAsia="仿宋" w:cs="仿宋"/>
          <w:color w:val="auto"/>
          <w:sz w:val="24"/>
          <w:highlight w:val="none"/>
        </w:rPr>
        <w:t xml:space="preserve">：  年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日</w:t>
      </w:r>
    </w:p>
    <w:p>
      <w:pPr>
        <w:widowControl/>
        <w:spacing w:line="360" w:lineRule="auto"/>
        <w:ind w:firstLine="482" w:firstLineChars="200"/>
        <w:jc w:val="center"/>
        <w:rPr>
          <w:rFonts w:ascii="仿宋" w:hAnsi="仿宋" w:eastAsia="仿宋" w:cs="仿宋"/>
          <w:b/>
          <w:color w:val="auto"/>
          <w:kern w:val="0"/>
          <w:sz w:val="24"/>
          <w:highlight w:val="none"/>
        </w:rPr>
      </w:pPr>
    </w:p>
    <w:p>
      <w:pPr>
        <w:widowControl/>
        <w:spacing w:line="360" w:lineRule="auto"/>
        <w:ind w:firstLine="643" w:firstLineChars="200"/>
        <w:jc w:val="center"/>
        <w:rPr>
          <w:rFonts w:ascii="仿宋" w:hAnsi="仿宋" w:eastAsia="仿宋" w:cs="仿宋"/>
          <w:b/>
          <w:color w:val="auto"/>
          <w:kern w:val="0"/>
          <w:sz w:val="32"/>
          <w:szCs w:val="32"/>
          <w:highlight w:val="none"/>
        </w:rPr>
      </w:pPr>
    </w:p>
    <w:p>
      <w:pPr>
        <w:widowControl/>
        <w:spacing w:line="360" w:lineRule="auto"/>
        <w:ind w:firstLine="643" w:firstLineChars="200"/>
        <w:jc w:val="center"/>
        <w:rPr>
          <w:rFonts w:ascii="仿宋" w:hAnsi="仿宋" w:eastAsia="仿宋" w:cs="仿宋"/>
          <w:b/>
          <w:color w:val="auto"/>
          <w:kern w:val="0"/>
          <w:sz w:val="32"/>
          <w:szCs w:val="32"/>
          <w:highlight w:val="none"/>
        </w:rPr>
      </w:pPr>
    </w:p>
    <w:p>
      <w:pPr>
        <w:widowControl/>
        <w:spacing w:line="360" w:lineRule="auto"/>
        <w:ind w:firstLine="643" w:firstLineChars="200"/>
        <w:jc w:val="center"/>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snapToGrid w:val="0"/>
        <w:spacing w:line="360" w:lineRule="auto"/>
        <w:ind w:right="480"/>
        <w:jc w:val="center"/>
        <w:rPr>
          <w:rFonts w:ascii="仿宋" w:hAnsi="仿宋" w:eastAsia="仿宋" w:cs="仿宋"/>
          <w:b/>
          <w:color w:val="auto"/>
          <w:kern w:val="0"/>
          <w:sz w:val="24"/>
          <w:highlight w:val="none"/>
        </w:rPr>
      </w:pPr>
    </w:p>
    <w:p>
      <w:pPr>
        <w:snapToGrid w:val="0"/>
        <w:spacing w:line="360" w:lineRule="auto"/>
        <w:ind w:right="480"/>
        <w:jc w:val="center"/>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[以联合体形式参与的，提供联合协议（附件5）；本项目不接受联合体或者供应商不以联合体形式投参与的，则不需要提供]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三、落实政府采购政策需满足的资格要求</w:t>
      </w:r>
    </w:p>
    <w:p>
      <w:pPr>
        <w:spacing w:line="360" w:lineRule="auto"/>
        <w:rPr>
          <w:rFonts w:ascii="仿宋" w:hAnsi="仿宋" w:eastAsia="仿宋" w:cs="仿宋"/>
          <w:color w:val="auto"/>
          <w:sz w:val="24"/>
          <w:highlight w:val="non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（根据磋商文件第一部分竞争性磋商邀请公告中落实政府采购政策需满足的资格要求选择提供相应的材料；未要求的，无需提供）</w:t>
      </w:r>
    </w:p>
    <w:p>
      <w:pPr>
        <w:snapToGrid w:val="0"/>
        <w:spacing w:before="50" w:after="50" w:line="360" w:lineRule="auto"/>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a.专门面向中小企业，货物全部由符合政策要求的中小企业（或小微企业）制造的，提供相应的中小企业声明函（附件7）。 </w:t>
      </w:r>
    </w:p>
    <w:p>
      <w:pPr>
        <w:widowControl/>
        <w:spacing w:line="360" w:lineRule="auto"/>
        <w:ind w:firstLine="480"/>
        <w:jc w:val="left"/>
        <w:rPr>
          <w:rFonts w:ascii="仿宋" w:hAnsi="仿宋" w:eastAsia="仿宋" w:cs="仿宋"/>
          <w:color w:val="auto"/>
          <w:sz w:val="24"/>
          <w:highlight w:val="none"/>
        </w:rPr>
      </w:pPr>
    </w:p>
    <w:p>
      <w:pPr>
        <w:widowControl/>
        <w:spacing w:line="360" w:lineRule="auto"/>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b.要求以联合体形式参加的，提供联合协议（附件5）和中小企业声明函（附件7），联合协议中中小企业合同金额应当达到竞争性磋商文件载明的比例；如果供应商本身提供所有标的均由中小企业承接的，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pPr>
        <w:snapToGrid w:val="0"/>
        <w:spacing w:before="50" w:after="50"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kern w:val="0"/>
          <w:sz w:val="32"/>
          <w:szCs w:val="32"/>
          <w:highlight w:val="none"/>
        </w:rPr>
      </w:pPr>
      <w:r>
        <w:rPr>
          <w:rFonts w:hint="eastAsia" w:ascii="仿宋" w:hAnsi="仿宋" w:eastAsia="仿宋" w:cs="仿宋"/>
          <w:color w:val="auto"/>
          <w:sz w:val="24"/>
          <w:highlight w:val="none"/>
        </w:rPr>
        <w:t>c、要求合同分包的，提供分包意向协议（附件6）和中小企业声明（附件7），分包意向协议中中小企业合同金额应当达到竞争性磋商文件载明的比例；如果供应商本身提供的所有标的均由中小企业承接的，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pacing w:line="360" w:lineRule="auto"/>
        <w:jc w:val="center"/>
        <w:rPr>
          <w:rFonts w:ascii="仿宋" w:hAnsi="仿宋" w:eastAsia="仿宋"/>
          <w:b/>
          <w:color w:val="auto"/>
          <w:sz w:val="32"/>
          <w:szCs w:val="32"/>
          <w:highlight w:val="none"/>
        </w:rPr>
      </w:pPr>
      <w:r>
        <w:rPr>
          <w:rFonts w:hint="eastAsia" w:ascii="仿宋" w:hAnsi="仿宋" w:eastAsia="仿宋" w:cs="仿宋_GB2312"/>
          <w:b/>
          <w:color w:val="auto"/>
          <w:sz w:val="32"/>
          <w:szCs w:val="32"/>
          <w:highlight w:val="none"/>
        </w:rPr>
        <w:t>中小企业声明函</w:t>
      </w:r>
      <w:r>
        <w:rPr>
          <w:rFonts w:hint="eastAsia" w:ascii="仿宋" w:hAnsi="仿宋" w:eastAsia="仿宋"/>
          <w:b/>
          <w:color w:val="auto"/>
          <w:sz w:val="32"/>
          <w:szCs w:val="32"/>
          <w:highlight w:val="none"/>
        </w:rPr>
        <w:t>（货物）</w:t>
      </w:r>
    </w:p>
    <w:p>
      <w:pPr>
        <w:spacing w:line="360" w:lineRule="auto"/>
        <w:rPr>
          <w:rFonts w:ascii="仿宋" w:hAnsi="仿宋" w:eastAsia="仿宋"/>
          <w:color w:val="auto"/>
          <w:highlight w:val="none"/>
        </w:rPr>
      </w:pPr>
    </w:p>
    <w:p>
      <w:pPr>
        <w:spacing w:line="360" w:lineRule="auto"/>
        <w:ind w:firstLine="360" w:firstLineChars="150"/>
        <w:jc w:val="left"/>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本公司（联合体）郑重声明，根据《政府采购促进中小企业发展管理办法》（财库﹝2020﹞46 号）的规定，本公司（联合体）参加</w:t>
      </w:r>
      <w:r>
        <w:rPr>
          <w:rFonts w:hint="eastAsia" w:ascii="仿宋" w:hAnsi="仿宋" w:eastAsia="仿宋" w:cs="仿宋"/>
          <w:b/>
          <w:bCs/>
          <w:color w:val="auto"/>
          <w:sz w:val="24"/>
          <w:highlight w:val="none"/>
        </w:rPr>
        <w:t xml:space="preserve"> </w:t>
      </w:r>
      <w:r>
        <w:rPr>
          <w:rFonts w:hint="eastAsia" w:ascii="仿宋" w:hAnsi="仿宋" w:eastAsia="仿宋" w:cs="仿宋"/>
          <w:b/>
          <w:bCs/>
          <w:color w:val="auto"/>
          <w:sz w:val="24"/>
          <w:highlight w:val="none"/>
          <w:u w:val="single"/>
        </w:rPr>
        <w:t xml:space="preserve">（请填写：采购人） </w:t>
      </w:r>
      <w:r>
        <w:rPr>
          <w:rFonts w:hint="eastAsia" w:ascii="仿宋" w:hAnsi="仿宋" w:eastAsia="仿宋" w:cs="仿宋"/>
          <w:b/>
          <w:bCs/>
          <w:color w:val="auto"/>
          <w:sz w:val="24"/>
          <w:highlight w:val="none"/>
        </w:rPr>
        <w:t>的</w:t>
      </w:r>
      <w:r>
        <w:rPr>
          <w:rFonts w:hint="eastAsia" w:ascii="仿宋" w:hAnsi="仿宋" w:eastAsia="仿宋" w:cs="仿宋"/>
          <w:b/>
          <w:bCs/>
          <w:color w:val="auto"/>
          <w:sz w:val="24"/>
          <w:highlight w:val="none"/>
          <w:u w:val="single"/>
        </w:rPr>
        <w:t xml:space="preserve"> （请填写：项目名称） </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1. </w:t>
      </w:r>
      <w:r>
        <w:rPr>
          <w:rFonts w:hint="eastAsia" w:ascii="仿宋" w:hAnsi="仿宋" w:eastAsia="仿宋" w:cs="仿宋"/>
          <w:b/>
          <w:bCs/>
          <w:color w:val="auto"/>
          <w:sz w:val="24"/>
          <w:highlight w:val="none"/>
          <w:u w:val="single"/>
        </w:rPr>
        <w:t>（标的名称</w:t>
      </w:r>
      <w:r>
        <w:rPr>
          <w:rFonts w:hint="eastAsia" w:ascii="仿宋" w:hAnsi="仿宋" w:eastAsia="仿宋" w:cs="仿宋"/>
          <w:b/>
          <w:bCs/>
          <w:color w:val="auto"/>
          <w:sz w:val="24"/>
          <w:highlight w:val="none"/>
          <w:u w:val="single"/>
          <w:lang w:eastAsia="zh-CN"/>
        </w:rPr>
        <w:t>：</w:t>
      </w:r>
      <w:r>
        <w:rPr>
          <w:rFonts w:hint="eastAsia" w:ascii="仿宋" w:hAnsi="仿宋" w:eastAsia="仿宋" w:cs="仿宋"/>
          <w:b/>
          <w:bCs/>
          <w:color w:val="auto"/>
          <w:sz w:val="24"/>
          <w:highlight w:val="none"/>
          <w:u w:val="single"/>
          <w:lang w:val="en-US" w:eastAsia="zh-CN"/>
        </w:rPr>
        <w:t>按工程量清单中的具体设备名称填写</w:t>
      </w:r>
      <w:r>
        <w:rPr>
          <w:rFonts w:hint="eastAsia" w:ascii="仿宋" w:hAnsi="仿宋" w:eastAsia="仿宋" w:cs="仿宋"/>
          <w:b/>
          <w:bCs/>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b/>
          <w:bCs/>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u w:val="single"/>
          <w:lang w:val="en-US" w:eastAsia="zh-CN"/>
        </w:rPr>
        <w:t xml:space="preserve">请选择填写： </w:t>
      </w:r>
      <w:r>
        <w:rPr>
          <w:rFonts w:hint="eastAsia" w:ascii="仿宋" w:hAnsi="仿宋" w:eastAsia="仿宋" w:cs="仿宋"/>
          <w:b/>
          <w:bCs/>
          <w:color w:val="auto"/>
          <w:sz w:val="24"/>
          <w:highlight w:val="none"/>
          <w:u w:val="single"/>
        </w:rPr>
        <w:t>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b/>
          <w:bCs/>
          <w:color w:val="auto"/>
          <w:sz w:val="24"/>
          <w:highlight w:val="none"/>
        </w:rPr>
        <w:t xml:space="preserve"> </w:t>
      </w:r>
      <w:r>
        <w:rPr>
          <w:rFonts w:hint="eastAsia" w:ascii="仿宋" w:hAnsi="仿宋" w:eastAsia="仿宋" w:cs="仿宋"/>
          <w:b/>
          <w:bCs/>
          <w:color w:val="auto"/>
          <w:sz w:val="24"/>
          <w:highlight w:val="none"/>
          <w:u w:val="single"/>
        </w:rPr>
        <w:t>（标的名称</w:t>
      </w:r>
      <w:r>
        <w:rPr>
          <w:rFonts w:hint="eastAsia" w:ascii="仿宋" w:hAnsi="仿宋" w:eastAsia="仿宋" w:cs="仿宋"/>
          <w:b/>
          <w:bCs/>
          <w:color w:val="auto"/>
          <w:sz w:val="24"/>
          <w:highlight w:val="none"/>
          <w:u w:val="single"/>
          <w:lang w:eastAsia="zh-CN"/>
        </w:rPr>
        <w:t>：</w:t>
      </w:r>
      <w:r>
        <w:rPr>
          <w:rFonts w:hint="eastAsia" w:ascii="仿宋" w:hAnsi="仿宋" w:eastAsia="仿宋" w:cs="仿宋"/>
          <w:b/>
          <w:bCs/>
          <w:color w:val="auto"/>
          <w:sz w:val="24"/>
          <w:highlight w:val="none"/>
          <w:u w:val="single"/>
          <w:lang w:val="en-US" w:eastAsia="zh-CN"/>
        </w:rPr>
        <w:t>按工程量清单中的具体设备名称填写</w:t>
      </w:r>
      <w:r>
        <w:rPr>
          <w:rFonts w:hint="eastAsia" w:ascii="仿宋" w:hAnsi="仿宋" w:eastAsia="仿宋" w:cs="仿宋"/>
          <w:b/>
          <w:bCs/>
          <w:color w:val="auto"/>
          <w:sz w:val="24"/>
          <w:highlight w:val="none"/>
          <w:u w:val="single"/>
        </w:rPr>
        <w:t>）</w:t>
      </w:r>
      <w:r>
        <w:rPr>
          <w:rFonts w:hint="eastAsia" w:ascii="仿宋" w:hAnsi="仿宋" w:eastAsia="仿宋" w:cs="仿宋"/>
          <w:color w:val="auto"/>
          <w:sz w:val="24"/>
          <w:highlight w:val="none"/>
        </w:rPr>
        <w:t xml:space="preserve"> ，属于</w:t>
      </w:r>
      <w:r>
        <w:rPr>
          <w:rFonts w:hint="eastAsia" w:ascii="仿宋" w:hAnsi="仿宋" w:eastAsia="仿宋" w:cs="仿宋"/>
          <w:b/>
          <w:bCs/>
          <w:color w:val="auto"/>
          <w:sz w:val="24"/>
          <w:highlight w:val="none"/>
        </w:rPr>
        <w:t xml:space="preserve"> </w:t>
      </w:r>
      <w:r>
        <w:rPr>
          <w:rFonts w:hint="eastAsia" w:ascii="仿宋" w:hAnsi="仿宋" w:eastAsia="仿宋" w:cs="仿宋"/>
          <w:b/>
          <w:bCs/>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u w:val="single"/>
          <w:lang w:val="en-US" w:eastAsia="zh-CN"/>
        </w:rPr>
        <w:t xml:space="preserve">请选择填写： </w:t>
      </w:r>
      <w:r>
        <w:rPr>
          <w:rFonts w:hint="eastAsia" w:ascii="仿宋" w:hAnsi="仿宋" w:eastAsia="仿宋" w:cs="仿宋"/>
          <w:b/>
          <w:bCs/>
          <w:color w:val="auto"/>
          <w:sz w:val="24"/>
          <w:highlight w:val="none"/>
          <w:u w:val="single"/>
        </w:rPr>
        <w:t>中型企业、小型企业、微型企业）</w:t>
      </w:r>
      <w:r>
        <w:rPr>
          <w:rFonts w:hint="eastAsia" w:ascii="仿宋" w:hAnsi="仿宋" w:eastAsia="仿宋" w:cs="仿宋"/>
          <w:b/>
          <w:bCs/>
          <w:color w:val="auto"/>
          <w:sz w:val="24"/>
          <w:highlight w:val="none"/>
        </w:rPr>
        <w:t xml:space="preserve"> </w:t>
      </w: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ascii="仿宋" w:hAnsi="仿宋" w:eastAsia="仿宋" w:cs="仿宋_GB2312"/>
          <w:color w:val="auto"/>
          <w:sz w:val="24"/>
          <w:highlight w:val="none"/>
        </w:rPr>
      </w:pPr>
    </w:p>
    <w:p>
      <w:pPr>
        <w:spacing w:line="360" w:lineRule="auto"/>
        <w:ind w:right="1760"/>
        <w:jc w:val="right"/>
        <w:rPr>
          <w:rFonts w:ascii="仿宋" w:hAnsi="仿宋" w:eastAsia="仿宋"/>
          <w:color w:val="auto"/>
          <w:sz w:val="24"/>
          <w:highlight w:val="none"/>
        </w:rPr>
      </w:pPr>
      <w:r>
        <w:rPr>
          <w:rFonts w:hint="eastAsia" w:ascii="仿宋" w:hAnsi="仿宋" w:eastAsia="仿宋" w:cs="仿宋_GB2312"/>
          <w:color w:val="auto"/>
          <w:sz w:val="24"/>
          <w:highlight w:val="none"/>
        </w:rPr>
        <w:t>响应供应商名称(电子签名)</w:t>
      </w:r>
      <w:r>
        <w:rPr>
          <w:rFonts w:hint="eastAsia" w:ascii="仿宋" w:hAnsi="仿宋" w:eastAsia="仿宋"/>
          <w:color w:val="auto"/>
          <w:sz w:val="24"/>
          <w:highlight w:val="none"/>
        </w:rPr>
        <w:t>：</w:t>
      </w:r>
    </w:p>
    <w:p>
      <w:pPr>
        <w:spacing w:line="360" w:lineRule="auto"/>
        <w:ind w:right="1120" w:firstLine="4800" w:firstLineChars="2000"/>
        <w:rPr>
          <w:rFonts w:ascii="仿宋" w:hAnsi="仿宋" w:eastAsia="仿宋"/>
          <w:color w:val="auto"/>
          <w:sz w:val="24"/>
          <w:highlight w:val="none"/>
        </w:rPr>
      </w:pPr>
      <w:r>
        <w:rPr>
          <w:rFonts w:hint="eastAsia" w:ascii="仿宋" w:hAnsi="仿宋" w:eastAsia="仿宋"/>
          <w:color w:val="auto"/>
          <w:sz w:val="24"/>
          <w:highlight w:val="none"/>
        </w:rPr>
        <w:t>日</w:t>
      </w:r>
      <w:r>
        <w:rPr>
          <w:rFonts w:ascii="仿宋" w:hAnsi="仿宋" w:eastAsia="仿宋"/>
          <w:color w:val="auto"/>
          <w:sz w:val="24"/>
          <w:highlight w:val="none"/>
        </w:rPr>
        <w:t xml:space="preserve"> </w:t>
      </w:r>
      <w:r>
        <w:rPr>
          <w:rFonts w:hint="eastAsia" w:ascii="仿宋" w:hAnsi="仿宋" w:eastAsia="仿宋"/>
          <w:color w:val="auto"/>
          <w:sz w:val="24"/>
          <w:highlight w:val="none"/>
        </w:rPr>
        <w:t>期：</w:t>
      </w:r>
    </w:p>
    <w:p>
      <w:pPr>
        <w:spacing w:line="360" w:lineRule="auto"/>
        <w:ind w:firstLine="480" w:firstLineChars="200"/>
        <w:rPr>
          <w:rFonts w:ascii="仿宋" w:hAnsi="仿宋" w:eastAsia="仿宋"/>
          <w:color w:val="auto"/>
          <w:sz w:val="24"/>
          <w:highlight w:val="none"/>
        </w:rPr>
      </w:pP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1、填写要求：</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①从业人员、营业收入、资产总额填报上一年度数据，无上一年度数据的新成立企业可不填报；</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②中型企业、小型企业、微型企业等3种企业类型，结合以上数据，依据《中小企业划型标准规定》（工信部联企业〔2011〕300号）确定；</w:t>
      </w:r>
    </w:p>
    <w:p>
      <w:pPr>
        <w:pageBreakBefore w:val="0"/>
        <w:widowControl w:val="0"/>
        <w:kinsoku/>
        <w:wordWrap/>
        <w:overflowPunct/>
        <w:topLinePunct w:val="0"/>
        <w:autoSpaceDE/>
        <w:autoSpaceDN/>
        <w:bidi w:val="0"/>
        <w:snapToGrid/>
        <w:spacing w:line="360" w:lineRule="auto"/>
        <w:ind w:left="559" w:leftChars="266" w:firstLine="0" w:firstLineChars="0"/>
        <w:textAlignment w:val="auto"/>
        <w:rPr>
          <w:rFonts w:hint="eastAsia" w:ascii="仿宋" w:hAnsi="仿宋" w:eastAsia="仿宋" w:cs="仿宋"/>
          <w:b/>
          <w:bCs/>
          <w:color w:val="auto"/>
          <w:kern w:val="0"/>
          <w:sz w:val="28"/>
          <w:szCs w:val="28"/>
          <w:highlight w:val="none"/>
          <w:lang w:val="zh-CN" w:eastAsia="zh-CN" w:bidi="ar-SA"/>
        </w:rPr>
      </w:pPr>
      <w:r>
        <w:rPr>
          <w:rFonts w:hint="eastAsia" w:ascii="仿宋" w:hAnsi="仿宋" w:eastAsia="仿宋" w:cs="仿宋"/>
          <w:b/>
          <w:bCs/>
          <w:color w:val="auto"/>
          <w:kern w:val="0"/>
          <w:sz w:val="28"/>
          <w:szCs w:val="28"/>
          <w:highlight w:val="none"/>
          <w:lang w:val="zh-CN" w:eastAsia="zh-CN" w:bidi="ar-SA"/>
        </w:rPr>
        <w:t>（</w:t>
      </w:r>
      <w:r>
        <w:rPr>
          <w:rFonts w:hint="eastAsia" w:ascii="仿宋" w:hAnsi="仿宋" w:eastAsia="仿宋" w:cs="仿宋"/>
          <w:b/>
          <w:bCs/>
          <w:color w:val="auto"/>
          <w:kern w:val="0"/>
          <w:sz w:val="28"/>
          <w:szCs w:val="28"/>
          <w:highlight w:val="none"/>
          <w:lang w:val="en-US" w:eastAsia="zh-CN" w:bidi="ar-SA"/>
        </w:rPr>
        <w:t>1</w:t>
      </w:r>
      <w:r>
        <w:rPr>
          <w:rFonts w:hint="eastAsia" w:ascii="仿宋" w:hAnsi="仿宋" w:eastAsia="仿宋" w:cs="仿宋"/>
          <w:b/>
          <w:bCs/>
          <w:color w:val="auto"/>
          <w:kern w:val="0"/>
          <w:sz w:val="28"/>
          <w:szCs w:val="28"/>
          <w:highlight w:val="none"/>
          <w:lang w:val="zh-CN" w:eastAsia="zh-CN" w:bidi="ar-SA"/>
        </w:rPr>
        <w:t>）</w:t>
      </w:r>
      <w:r>
        <w:rPr>
          <w:rFonts w:hint="eastAsia" w:ascii="仿宋" w:hAnsi="仿宋" w:eastAsia="仿宋" w:cs="仿宋"/>
          <w:b/>
          <w:bCs/>
          <w:color w:val="auto"/>
          <w:kern w:val="0"/>
          <w:sz w:val="28"/>
          <w:szCs w:val="28"/>
          <w:highlight w:val="none"/>
          <w:u w:val="single"/>
          <w:lang w:val="en-US" w:eastAsia="zh-CN" w:bidi="ar-SA"/>
        </w:rPr>
        <w:t>标的名称：</w:t>
      </w:r>
      <w:r>
        <w:rPr>
          <w:rFonts w:hint="eastAsia" w:ascii="仿宋" w:hAnsi="仿宋" w:eastAsia="仿宋" w:cs="仿宋"/>
          <w:b/>
          <w:bCs/>
          <w:color w:val="auto"/>
          <w:kern w:val="0"/>
          <w:sz w:val="28"/>
          <w:szCs w:val="28"/>
          <w:highlight w:val="none"/>
          <w:u w:val="single"/>
          <w:lang w:val="zh-CN" w:eastAsia="zh-CN" w:bidi="ar-SA"/>
        </w:rPr>
        <w:t>“工程量清单”</w:t>
      </w:r>
      <w:r>
        <w:rPr>
          <w:rFonts w:hint="eastAsia" w:ascii="仿宋" w:hAnsi="仿宋" w:eastAsia="仿宋" w:cs="仿宋"/>
          <w:b/>
          <w:bCs/>
          <w:color w:val="auto"/>
          <w:kern w:val="0"/>
          <w:sz w:val="28"/>
          <w:szCs w:val="28"/>
          <w:highlight w:val="none"/>
          <w:u w:val="single"/>
          <w:lang w:val="en-US" w:eastAsia="zh-CN" w:bidi="ar-SA"/>
        </w:rPr>
        <w:t>序号1-5项内容</w:t>
      </w:r>
      <w:r>
        <w:rPr>
          <w:rFonts w:hint="eastAsia" w:ascii="仿宋" w:hAnsi="仿宋" w:eastAsia="仿宋" w:cs="仿宋"/>
          <w:b/>
          <w:bCs/>
          <w:color w:val="auto"/>
          <w:kern w:val="0"/>
          <w:sz w:val="28"/>
          <w:szCs w:val="28"/>
          <w:highlight w:val="none"/>
          <w:u w:val="single"/>
          <w:lang w:val="zh-CN" w:eastAsia="zh-CN" w:bidi="ar-SA"/>
        </w:rPr>
        <w:t xml:space="preserve">，属于 </w:t>
      </w:r>
      <w:r>
        <w:rPr>
          <w:rFonts w:hint="eastAsia" w:ascii="仿宋" w:hAnsi="仿宋" w:eastAsia="仿宋" w:cs="仿宋"/>
          <w:b/>
          <w:bCs/>
          <w:color w:val="auto"/>
          <w:kern w:val="0"/>
          <w:sz w:val="28"/>
          <w:szCs w:val="28"/>
          <w:highlight w:val="none"/>
          <w:u w:val="single"/>
          <w:lang w:val="en-US" w:eastAsia="zh-CN" w:bidi="ar-SA"/>
        </w:rPr>
        <w:t>工业</w:t>
      </w:r>
      <w:r>
        <w:rPr>
          <w:rFonts w:hint="eastAsia" w:ascii="仿宋" w:hAnsi="仿宋" w:eastAsia="仿宋" w:cs="仿宋"/>
          <w:b/>
          <w:bCs/>
          <w:color w:val="auto"/>
          <w:kern w:val="0"/>
          <w:sz w:val="28"/>
          <w:szCs w:val="28"/>
          <w:highlight w:val="none"/>
          <w:u w:val="single"/>
          <w:lang w:val="zh-CN" w:eastAsia="zh-CN" w:bidi="ar-SA"/>
        </w:rPr>
        <w:t xml:space="preserve"> </w:t>
      </w:r>
      <w:r>
        <w:rPr>
          <w:rFonts w:hint="eastAsia" w:ascii="仿宋" w:hAnsi="仿宋" w:eastAsia="仿宋" w:cs="仿宋"/>
          <w:b/>
          <w:bCs/>
          <w:color w:val="auto"/>
          <w:kern w:val="0"/>
          <w:sz w:val="28"/>
          <w:szCs w:val="28"/>
          <w:highlight w:val="none"/>
          <w:u w:val="single"/>
          <w:lang w:val="en-US" w:eastAsia="zh-CN" w:bidi="ar-SA"/>
        </w:rPr>
        <w:t>行业</w:t>
      </w:r>
      <w:r>
        <w:rPr>
          <w:rFonts w:hint="eastAsia" w:ascii="仿宋" w:hAnsi="仿宋" w:eastAsia="仿宋" w:cs="仿宋"/>
          <w:b/>
          <w:bCs/>
          <w:color w:val="auto"/>
          <w:kern w:val="0"/>
          <w:sz w:val="28"/>
          <w:szCs w:val="28"/>
          <w:highlight w:val="none"/>
          <w:lang w:val="zh-CN" w:eastAsia="zh-CN" w:bidi="ar-SA"/>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Style w:val="3"/>
        <w:pageBreakBefore w:val="0"/>
        <w:widowControl w:val="0"/>
        <w:kinsoku/>
        <w:wordWrap/>
        <w:overflowPunct/>
        <w:topLinePunct w:val="0"/>
        <w:autoSpaceDE/>
        <w:autoSpaceDN/>
        <w:bidi w:val="0"/>
        <w:snapToGrid/>
        <w:spacing w:line="360" w:lineRule="auto"/>
        <w:ind w:left="435" w:leftChars="202" w:hanging="11" w:hangingChars="4"/>
        <w:jc w:val="both"/>
        <w:textAlignment w:val="auto"/>
        <w:rPr>
          <w:rFonts w:hint="eastAsia" w:ascii="仿宋" w:eastAsia="仿宋" w:cs="仿宋"/>
          <w:b/>
          <w:bCs/>
          <w:color w:val="auto"/>
          <w:kern w:val="0"/>
          <w:sz w:val="28"/>
          <w:szCs w:val="28"/>
          <w:highlight w:val="none"/>
          <w:lang w:eastAsia="zh-CN"/>
        </w:rPr>
      </w:pPr>
    </w:p>
    <w:p>
      <w:pPr>
        <w:pStyle w:val="3"/>
        <w:pageBreakBefore w:val="0"/>
        <w:widowControl w:val="0"/>
        <w:kinsoku/>
        <w:wordWrap/>
        <w:overflowPunct/>
        <w:topLinePunct w:val="0"/>
        <w:autoSpaceDE/>
        <w:autoSpaceDN/>
        <w:bidi w:val="0"/>
        <w:snapToGrid/>
        <w:spacing w:line="360" w:lineRule="auto"/>
        <w:ind w:left="435" w:leftChars="202" w:hanging="11" w:hangingChars="4"/>
        <w:jc w:val="both"/>
        <w:textAlignment w:val="auto"/>
        <w:rPr>
          <w:rFonts w:hint="eastAsia" w:ascii="仿宋" w:eastAsia="仿宋" w:cs="仿宋"/>
          <w:b/>
          <w:bCs/>
          <w:color w:val="auto"/>
          <w:kern w:val="0"/>
          <w:sz w:val="28"/>
          <w:szCs w:val="28"/>
          <w:highlight w:val="none"/>
          <w:lang w:eastAsia="zh-CN"/>
        </w:rPr>
      </w:pPr>
      <w:r>
        <w:rPr>
          <w:rFonts w:hint="eastAsia" w:ascii="仿宋" w:eastAsia="仿宋" w:cs="仿宋"/>
          <w:b/>
          <w:bCs/>
          <w:color w:val="auto"/>
          <w:kern w:val="0"/>
          <w:sz w:val="28"/>
          <w:szCs w:val="28"/>
          <w:highlight w:val="none"/>
          <w:lang w:eastAsia="zh-CN"/>
        </w:rPr>
        <w:t>（</w:t>
      </w:r>
      <w:r>
        <w:rPr>
          <w:rFonts w:hint="eastAsia" w:ascii="仿宋" w:eastAsia="仿宋" w:cs="仿宋"/>
          <w:b/>
          <w:bCs/>
          <w:color w:val="auto"/>
          <w:kern w:val="0"/>
          <w:sz w:val="28"/>
          <w:szCs w:val="28"/>
          <w:highlight w:val="none"/>
          <w:lang w:val="en-US" w:eastAsia="zh-CN"/>
        </w:rPr>
        <w:t>2</w:t>
      </w:r>
      <w:r>
        <w:rPr>
          <w:rFonts w:hint="eastAsia" w:ascii="仿宋" w:eastAsia="仿宋" w:cs="仿宋"/>
          <w:b/>
          <w:bCs/>
          <w:color w:val="auto"/>
          <w:kern w:val="0"/>
          <w:sz w:val="28"/>
          <w:szCs w:val="28"/>
          <w:highlight w:val="none"/>
          <w:lang w:eastAsia="zh-CN"/>
        </w:rPr>
        <w:t>）</w:t>
      </w:r>
      <w:r>
        <w:rPr>
          <w:rFonts w:hint="eastAsia" w:ascii="仿宋" w:eastAsia="仿宋" w:cs="仿宋"/>
          <w:b/>
          <w:bCs/>
          <w:color w:val="auto"/>
          <w:sz w:val="28"/>
          <w:szCs w:val="28"/>
          <w:highlight w:val="none"/>
          <w:u w:val="single"/>
        </w:rPr>
        <w:t>“工程量清单”</w:t>
      </w:r>
      <w:r>
        <w:rPr>
          <w:rFonts w:hint="eastAsia" w:ascii="仿宋" w:eastAsia="仿宋" w:cs="仿宋"/>
          <w:b/>
          <w:bCs/>
          <w:color w:val="auto"/>
          <w:sz w:val="28"/>
          <w:szCs w:val="28"/>
          <w:highlight w:val="none"/>
          <w:u w:val="single"/>
          <w:lang w:val="en-US" w:eastAsia="zh-CN"/>
        </w:rPr>
        <w:t>序号6-8项内容</w:t>
      </w:r>
      <w:r>
        <w:rPr>
          <w:rFonts w:hint="eastAsia" w:ascii="仿宋" w:eastAsia="仿宋" w:cs="仿宋"/>
          <w:b/>
          <w:bCs/>
          <w:color w:val="auto"/>
          <w:kern w:val="0"/>
          <w:sz w:val="28"/>
          <w:szCs w:val="28"/>
          <w:highlight w:val="none"/>
        </w:rPr>
        <w:t>，</w:t>
      </w:r>
      <w:r>
        <w:rPr>
          <w:rFonts w:hint="eastAsia" w:ascii="仿宋" w:eastAsia="仿宋" w:cs="仿宋"/>
          <w:b/>
          <w:bCs/>
          <w:color w:val="auto"/>
          <w:sz w:val="28"/>
          <w:szCs w:val="28"/>
          <w:highlight w:val="none"/>
        </w:rPr>
        <w:t>属于</w:t>
      </w:r>
      <w:r>
        <w:rPr>
          <w:rFonts w:hint="eastAsia" w:ascii="仿宋" w:eastAsia="仿宋" w:cs="仿宋"/>
          <w:b/>
          <w:bCs/>
          <w:color w:val="auto"/>
          <w:kern w:val="0"/>
          <w:sz w:val="28"/>
          <w:szCs w:val="28"/>
          <w:highlight w:val="none"/>
          <w:u w:val="single"/>
        </w:rPr>
        <w:t xml:space="preserve"> </w:t>
      </w:r>
      <w:r>
        <w:rPr>
          <w:rFonts w:hint="eastAsia" w:ascii="仿宋" w:eastAsia="仿宋" w:cs="仿宋"/>
          <w:b/>
          <w:bCs/>
          <w:color w:val="auto"/>
          <w:sz w:val="28"/>
          <w:szCs w:val="28"/>
          <w:highlight w:val="none"/>
          <w:u w:val="single"/>
          <w:lang w:val="en-US" w:eastAsia="zh-CN"/>
        </w:rPr>
        <w:t>软件和信息技术服务业</w:t>
      </w:r>
      <w:r>
        <w:rPr>
          <w:rFonts w:hint="eastAsia" w:ascii="仿宋" w:eastAsia="仿宋" w:cs="仿宋"/>
          <w:b/>
          <w:bCs/>
          <w:color w:val="auto"/>
          <w:kern w:val="0"/>
          <w:sz w:val="28"/>
          <w:szCs w:val="28"/>
          <w:highlight w:val="none"/>
          <w:u w:val="single"/>
        </w:rPr>
        <w:t xml:space="preserve"> </w:t>
      </w:r>
      <w:r>
        <w:rPr>
          <w:rFonts w:hint="eastAsia" w:ascii="仿宋" w:eastAsia="仿宋" w:cs="仿宋"/>
          <w:b/>
          <w:bCs/>
          <w:color w:val="auto"/>
          <w:sz w:val="28"/>
          <w:szCs w:val="28"/>
          <w:highlight w:val="none"/>
          <w:lang w:val="en-US"/>
        </w:rPr>
        <w:t>行业</w:t>
      </w:r>
      <w:r>
        <w:rPr>
          <w:rFonts w:hint="eastAsia" w:ascii="仿宋" w:eastAsia="仿宋" w:cs="仿宋"/>
          <w:b/>
          <w:bCs/>
          <w:color w:val="auto"/>
          <w:kern w:val="0"/>
          <w:sz w:val="28"/>
          <w:szCs w:val="28"/>
          <w:highlight w:val="none"/>
          <w:lang w:eastAsia="zh-CN"/>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pageBreakBefore w:val="0"/>
        <w:widowControl w:val="0"/>
        <w:kinsoku/>
        <w:wordWrap/>
        <w:overflowPunct/>
        <w:topLinePunct w:val="0"/>
        <w:autoSpaceDE/>
        <w:autoSpaceDN/>
        <w:bidi w:val="0"/>
        <w:snapToGrid/>
        <w:spacing w:line="360" w:lineRule="auto"/>
        <w:ind w:left="559" w:leftChars="266" w:firstLine="0" w:firstLineChars="0"/>
        <w:textAlignment w:val="auto"/>
        <w:rPr>
          <w:rFonts w:hint="eastAsia" w:ascii="仿宋" w:eastAsia="仿宋" w:cs="仿宋"/>
          <w:b/>
          <w:bCs/>
          <w:color w:val="auto"/>
          <w:kern w:val="0"/>
          <w:sz w:val="28"/>
          <w:szCs w:val="28"/>
          <w:highlight w:val="none"/>
          <w:lang w:eastAsia="zh-CN"/>
        </w:rPr>
      </w:pPr>
    </w:p>
    <w:p>
      <w:pPr>
        <w:pageBreakBefore w:val="0"/>
        <w:widowControl w:val="0"/>
        <w:kinsoku/>
        <w:wordWrap/>
        <w:overflowPunct/>
        <w:topLinePunct w:val="0"/>
        <w:autoSpaceDE/>
        <w:autoSpaceDN/>
        <w:bidi w:val="0"/>
        <w:snapToGrid/>
        <w:spacing w:line="360" w:lineRule="auto"/>
        <w:ind w:left="559" w:leftChars="266" w:firstLine="0" w:firstLineChars="0"/>
        <w:textAlignment w:val="auto"/>
        <w:rPr>
          <w:rFonts w:hint="eastAsia" w:ascii="仿宋" w:hAnsi="仿宋" w:eastAsia="仿宋" w:cs="仿宋"/>
          <w:b/>
          <w:bCs/>
          <w:color w:val="auto"/>
          <w:sz w:val="28"/>
          <w:szCs w:val="28"/>
          <w:highlight w:val="none"/>
          <w:u w:val="single"/>
        </w:rPr>
      </w:pPr>
      <w:r>
        <w:rPr>
          <w:rFonts w:hint="eastAsia" w:ascii="仿宋" w:eastAsia="仿宋" w:cs="仿宋"/>
          <w:b/>
          <w:bCs/>
          <w:color w:val="auto"/>
          <w:kern w:val="0"/>
          <w:sz w:val="28"/>
          <w:szCs w:val="28"/>
          <w:highlight w:val="none"/>
          <w:lang w:eastAsia="zh-CN"/>
        </w:rPr>
        <w:t>（</w:t>
      </w:r>
      <w:r>
        <w:rPr>
          <w:rFonts w:hint="eastAsia" w:ascii="仿宋" w:eastAsia="仿宋" w:cs="仿宋"/>
          <w:b/>
          <w:bCs/>
          <w:color w:val="auto"/>
          <w:kern w:val="0"/>
          <w:sz w:val="28"/>
          <w:szCs w:val="28"/>
          <w:highlight w:val="none"/>
          <w:lang w:val="en-US" w:eastAsia="zh-CN"/>
        </w:rPr>
        <w:t>3</w:t>
      </w:r>
      <w:r>
        <w:rPr>
          <w:rFonts w:hint="eastAsia" w:ascii="仿宋" w:eastAsia="仿宋" w:cs="仿宋"/>
          <w:b/>
          <w:bCs/>
          <w:color w:val="auto"/>
          <w:kern w:val="0"/>
          <w:sz w:val="28"/>
          <w:szCs w:val="28"/>
          <w:highlight w:val="none"/>
          <w:lang w:eastAsia="zh-CN"/>
        </w:rPr>
        <w:t>）</w:t>
      </w:r>
      <w:r>
        <w:rPr>
          <w:rFonts w:hint="eastAsia" w:ascii="仿宋" w:eastAsia="仿宋" w:cs="仿宋"/>
          <w:b/>
          <w:bCs/>
          <w:color w:val="auto"/>
          <w:sz w:val="28"/>
          <w:szCs w:val="28"/>
          <w:highlight w:val="none"/>
          <w:u w:val="single"/>
        </w:rPr>
        <w:t>“工程量清单”</w:t>
      </w:r>
      <w:r>
        <w:rPr>
          <w:rFonts w:hint="eastAsia" w:ascii="仿宋" w:eastAsia="仿宋" w:cs="仿宋"/>
          <w:b/>
          <w:bCs/>
          <w:color w:val="auto"/>
          <w:sz w:val="28"/>
          <w:szCs w:val="28"/>
          <w:highlight w:val="none"/>
          <w:u w:val="single"/>
          <w:lang w:val="en-US" w:eastAsia="zh-CN"/>
        </w:rPr>
        <w:t>序号9-10项内容</w:t>
      </w:r>
      <w:r>
        <w:rPr>
          <w:rFonts w:hint="eastAsia" w:ascii="仿宋" w:eastAsia="仿宋" w:cs="仿宋"/>
          <w:b/>
          <w:bCs/>
          <w:color w:val="auto"/>
          <w:kern w:val="0"/>
          <w:sz w:val="28"/>
          <w:szCs w:val="28"/>
          <w:highlight w:val="none"/>
        </w:rPr>
        <w:t>，</w:t>
      </w:r>
      <w:r>
        <w:rPr>
          <w:rFonts w:hint="eastAsia" w:ascii="仿宋" w:eastAsia="仿宋" w:cs="仿宋"/>
          <w:b/>
          <w:bCs/>
          <w:color w:val="auto"/>
          <w:sz w:val="28"/>
          <w:szCs w:val="28"/>
          <w:highlight w:val="none"/>
        </w:rPr>
        <w:t>属于</w:t>
      </w:r>
      <w:r>
        <w:rPr>
          <w:rFonts w:hint="eastAsia" w:ascii="仿宋" w:eastAsia="仿宋" w:cs="仿宋"/>
          <w:b/>
          <w:bCs/>
          <w:color w:val="auto"/>
          <w:kern w:val="0"/>
          <w:sz w:val="28"/>
          <w:szCs w:val="28"/>
          <w:highlight w:val="none"/>
          <w:u w:val="single"/>
        </w:rPr>
        <w:t xml:space="preserve"> </w:t>
      </w:r>
      <w:r>
        <w:rPr>
          <w:rFonts w:hint="eastAsia" w:ascii="仿宋" w:eastAsia="仿宋" w:cs="仿宋"/>
          <w:b/>
          <w:bCs/>
          <w:color w:val="auto"/>
          <w:sz w:val="28"/>
          <w:szCs w:val="28"/>
          <w:highlight w:val="none"/>
          <w:u w:val="single"/>
          <w:lang w:val="en-US" w:eastAsia="zh-CN"/>
        </w:rPr>
        <w:t>建筑业</w:t>
      </w:r>
      <w:r>
        <w:rPr>
          <w:rFonts w:hint="eastAsia" w:ascii="仿宋" w:eastAsia="仿宋" w:cs="仿宋"/>
          <w:b/>
          <w:bCs/>
          <w:color w:val="auto"/>
          <w:kern w:val="0"/>
          <w:sz w:val="28"/>
          <w:szCs w:val="28"/>
          <w:highlight w:val="none"/>
          <w:u w:val="single"/>
        </w:rPr>
        <w:t xml:space="preserve"> </w:t>
      </w:r>
      <w:r>
        <w:rPr>
          <w:rFonts w:hint="eastAsia" w:ascii="仿宋" w:eastAsia="仿宋" w:cs="仿宋"/>
          <w:b/>
          <w:bCs/>
          <w:color w:val="auto"/>
          <w:sz w:val="28"/>
          <w:szCs w:val="28"/>
          <w:highlight w:val="none"/>
          <w:lang w:val="en-US"/>
        </w:rPr>
        <w:t>行业</w:t>
      </w:r>
      <w:r>
        <w:rPr>
          <w:rFonts w:hint="eastAsia" w:ascii="仿宋" w:eastAsia="仿宋" w:cs="仿宋"/>
          <w:b/>
          <w:bCs/>
          <w:color w:val="auto"/>
          <w:kern w:val="0"/>
          <w:sz w:val="28"/>
          <w:szCs w:val="28"/>
          <w:highlight w:val="none"/>
          <w:lang w:eastAsia="zh-CN"/>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60" w:lineRule="auto"/>
        <w:ind w:firstLine="562" w:firstLineChars="200"/>
        <w:rPr>
          <w:rFonts w:hint="eastAsia" w:ascii="仿宋" w:hAnsi="仿宋" w:eastAsia="仿宋"/>
          <w:b/>
          <w:bCs/>
          <w:color w:val="auto"/>
          <w:sz w:val="28"/>
          <w:szCs w:val="28"/>
          <w:highlight w:val="none"/>
        </w:rPr>
      </w:pPr>
    </w:p>
    <w:p>
      <w:pPr>
        <w:spacing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③如采购内容包含有多个标的物时，各投标人必须针对所有标的物制造商情况进行说明，且标的物品牌应与报价明细表上的品牌一致。只有当每个采购标的物都由中小企业生产且使用该中小企业商号或者注册商标的，才能视作中小企业投标。</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firstLine="480" w:firstLineChars="200"/>
        <w:rPr>
          <w:rFonts w:ascii="仿宋" w:hAnsi="仿宋" w:eastAsia="仿宋"/>
          <w:color w:val="auto"/>
          <w:sz w:val="24"/>
          <w:highlight w:val="none"/>
        </w:rPr>
      </w:pP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四、本项目的特定资格要求</w:t>
      </w:r>
    </w:p>
    <w:p>
      <w:pPr>
        <w:spacing w:line="360" w:lineRule="auto"/>
        <w:jc w:val="center"/>
        <w:rPr>
          <w:rFonts w:ascii="仿宋" w:hAnsi="仿宋" w:eastAsia="仿宋" w:cs="仿宋"/>
          <w:color w:val="auto"/>
          <w:sz w:val="24"/>
          <w:highlight w:val="none"/>
        </w:rPr>
      </w:pPr>
    </w:p>
    <w:p>
      <w:pPr>
        <w:rPr>
          <w:rFonts w:ascii="仿宋" w:hAnsi="仿宋" w:eastAsia="仿宋" w:cs="仿宋"/>
          <w:color w:val="auto"/>
          <w:highlight w:val="none"/>
        </w:rPr>
      </w:pPr>
    </w:p>
    <w:p>
      <w:pPr>
        <w:spacing w:line="360" w:lineRule="auto"/>
        <w:ind w:right="420"/>
        <w:jc w:val="cente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t>无</w:t>
      </w:r>
    </w:p>
    <w:p>
      <w:pP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br w:type="page"/>
      </w:r>
    </w:p>
    <w:p>
      <w:pPr>
        <w:spacing w:line="360" w:lineRule="auto"/>
        <w:ind w:right="420" w:firstLine="3614" w:firstLineChars="100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60"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numPr>
          <w:ilvl w:val="255"/>
          <w:numId w:val="0"/>
        </w:num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（1）响应函……………………………………………………………………………（页码）</w:t>
      </w:r>
    </w:p>
    <w:p>
      <w:pPr>
        <w:numPr>
          <w:ilvl w:val="255"/>
          <w:numId w:val="0"/>
        </w:num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（2）授权委托书或法定代表人（单位负责人、自然人本人）身份证明…………（页码）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（3）分包意向协议……………………………………………………………………（页码）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（4）符合性审查资料…………………………………………………………………（页码）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（5）评审标准相应的商务技术资料…………………………………………………（页码）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val="en-US" w:eastAsia="zh-CN"/>
        </w:rPr>
        <w:t>投标标的清单</w:t>
      </w:r>
      <w:r>
        <w:rPr>
          <w:rFonts w:hint="eastAsia" w:ascii="仿宋" w:hAnsi="仿宋" w:eastAsia="仿宋" w:cs="仿宋"/>
          <w:color w:val="auto"/>
          <w:sz w:val="24"/>
          <w:highlight w:val="none"/>
        </w:rPr>
        <w:t>……………………………………………………………………（页码）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）商务技术偏离表…………………………………………………………………（页码）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sz w:val="24"/>
          <w:highlight w:val="none"/>
        </w:rPr>
        <w:t>………………………………………………（页码）</w:t>
      </w:r>
    </w:p>
    <w:p>
      <w:pPr>
        <w:snapToGrid w:val="0"/>
        <w:spacing w:line="360" w:lineRule="auto"/>
        <w:jc w:val="center"/>
        <w:rPr>
          <w:rFonts w:ascii="仿宋" w:hAnsi="仿宋" w:eastAsia="仿宋" w:cs="仿宋"/>
          <w:b/>
          <w:color w:val="auto"/>
          <w:kern w:val="0"/>
          <w:sz w:val="24"/>
          <w:szCs w:val="32"/>
          <w:highlight w:val="none"/>
          <w:lang w:val="zh-CN"/>
        </w:rPr>
        <w:sectPr>
          <w:headerReference r:id="rId4" w:type="first"/>
          <w:footerReference r:id="rId6" w:type="first"/>
          <w:headerReference r:id="rId3" w:type="default"/>
          <w:footerReference r:id="rId5" w:type="default"/>
          <w:pgSz w:w="11906" w:h="16838"/>
          <w:pgMar w:top="1440" w:right="1417" w:bottom="1440" w:left="1417" w:header="851" w:footer="992" w:gutter="0"/>
          <w:cols w:space="720" w:num="1"/>
          <w:titlePg/>
          <w:rtlGutter w:val="0"/>
          <w:docGrid w:linePitch="312" w:charSpace="0"/>
        </w:sectPr>
      </w:pPr>
    </w:p>
    <w:p>
      <w:pPr>
        <w:snapToGrid w:val="0"/>
        <w:jc w:val="center"/>
        <w:rPr>
          <w:rFonts w:ascii="仿宋" w:hAnsi="仿宋" w:eastAsia="仿宋" w:cs="仿宋"/>
          <w:b/>
          <w:bCs/>
          <w:color w:val="auto"/>
          <w:sz w:val="32"/>
          <w:szCs w:val="32"/>
          <w:highlight w:val="none"/>
          <w:lang w:val="zh-CN"/>
        </w:rPr>
      </w:pPr>
      <w:r>
        <w:rPr>
          <w:rFonts w:hint="eastAsia" w:ascii="仿宋" w:hAnsi="仿宋" w:eastAsia="仿宋" w:cs="仿宋"/>
          <w:b/>
          <w:bCs/>
          <w:color w:val="auto"/>
          <w:sz w:val="32"/>
          <w:szCs w:val="32"/>
          <w:highlight w:val="none"/>
          <w:lang w:val="zh-CN"/>
        </w:rPr>
        <w:t>一、响应函</w:t>
      </w:r>
    </w:p>
    <w:p>
      <w:pPr>
        <w:snapToGrid w:val="0"/>
        <w:spacing w:line="360" w:lineRule="auto"/>
        <w:rPr>
          <w:rFonts w:ascii="仿宋" w:hAnsi="仿宋" w:eastAsia="仿宋" w:cs="仿宋"/>
          <w:color w:val="auto"/>
          <w:sz w:val="24"/>
          <w:highlight w:val="none"/>
        </w:rPr>
      </w:pPr>
    </w:p>
    <w:p>
      <w:pPr>
        <w:shd w:val="clear" w:color="auto" w:fill="FFFFFF"/>
        <w:snapToGrid w:val="0"/>
        <w:spacing w:line="360" w:lineRule="auto"/>
        <w:rPr>
          <w:rFonts w:ascii="仿宋" w:hAnsi="仿宋" w:eastAsia="仿宋" w:cs="仿宋"/>
          <w:color w:val="auto"/>
          <w:sz w:val="28"/>
          <w:szCs w:val="28"/>
          <w:highlight w:val="none"/>
        </w:rPr>
      </w:pPr>
      <w:r>
        <w:rPr>
          <w:rFonts w:hint="eastAsia" w:ascii="仿宋" w:hAnsi="仿宋" w:eastAsia="仿宋" w:cs="仿宋"/>
          <w:color w:val="auto"/>
          <w:sz w:val="24"/>
          <w:highlight w:val="none"/>
        </w:rPr>
        <w:t>浙江交通职业技术学院、杭州博实招标代理有限公司：</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我方参与你方组织的</w:t>
      </w:r>
      <w:r>
        <w:rPr>
          <w:rFonts w:hint="eastAsia" w:ascii="仿宋" w:hAnsi="仿宋" w:eastAsia="仿宋" w:cs="仿宋"/>
          <w:color w:val="auto"/>
          <w:sz w:val="24"/>
          <w:highlight w:val="none"/>
          <w:u w:val="single"/>
        </w:rPr>
        <w:t>浙江交通职业技术学院</w:t>
      </w:r>
      <w:r>
        <w:rPr>
          <w:rFonts w:hint="eastAsia" w:ascii="仿宋" w:hAnsi="仿宋" w:eastAsia="仿宋" w:cs="仿宋"/>
          <w:color w:val="auto"/>
          <w:sz w:val="24"/>
          <w:highlight w:val="none"/>
          <w:u w:val="single"/>
          <w:lang w:eastAsia="zh-CN"/>
        </w:rPr>
        <w:t>新能源汽车充电桩系统建设</w:t>
      </w:r>
      <w:r>
        <w:rPr>
          <w:rFonts w:hint="eastAsia" w:ascii="仿宋" w:hAnsi="仿宋" w:eastAsia="仿宋" w:cs="仿宋"/>
          <w:color w:val="auto"/>
          <w:sz w:val="24"/>
          <w:highlight w:val="none"/>
          <w:u w:val="single"/>
        </w:rPr>
        <w:t>项目【项目编号：</w:t>
      </w:r>
      <w:r>
        <w:rPr>
          <w:rFonts w:hint="eastAsia" w:ascii="仿宋" w:hAnsi="仿宋" w:eastAsia="仿宋" w:cs="仿宋"/>
          <w:color w:val="auto"/>
          <w:sz w:val="24"/>
          <w:highlight w:val="none"/>
          <w:u w:val="single"/>
          <w:lang w:eastAsia="zh-CN"/>
        </w:rPr>
        <w:t>BSZB2024-AZZC131</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采购的有关活动，并对此项目提交响应文件及报价。为此：</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1、我方承诺响应文件有效期从提交响应文件的截止之日起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本响应文件在响应文件有效期满之前均具有约束力。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2、我方的响应文件包括以下内容：</w:t>
      </w:r>
    </w:p>
    <w:p>
      <w:pPr>
        <w:snapToGrid w:val="0"/>
        <w:spacing w:line="360" w:lineRule="auto"/>
        <w:ind w:left="210" w:leftChars="1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2.1资格文件：</w:t>
      </w:r>
    </w:p>
    <w:p>
      <w:pPr>
        <w:snapToGrid w:val="0"/>
        <w:spacing w:line="360"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2.1.1承诺函；</w:t>
      </w:r>
    </w:p>
    <w:p>
      <w:pPr>
        <w:snapToGrid w:val="0"/>
        <w:spacing w:line="360"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w:t>
      </w:r>
      <w:r>
        <w:rPr>
          <w:rFonts w:hint="eastAsia" w:ascii="仿宋" w:hAnsi="仿宋" w:eastAsia="仿宋" w:cs="仿宋"/>
          <w:snapToGrid w:val="0"/>
          <w:color w:val="auto"/>
          <w:kern w:val="28"/>
          <w:sz w:val="24"/>
          <w:szCs w:val="20"/>
          <w:highlight w:val="none"/>
        </w:rPr>
        <w:t>联合协议（如果有)；</w:t>
      </w:r>
    </w:p>
    <w:p>
      <w:pPr>
        <w:snapToGrid w:val="0"/>
        <w:spacing w:line="360"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2.1.3落实政府采购政策需满足的资格要求（如果有）；</w:t>
      </w:r>
    </w:p>
    <w:p>
      <w:pPr>
        <w:snapToGrid w:val="0"/>
        <w:spacing w:line="360"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2.1.4本项目的特定资格要求（如果有）。</w:t>
      </w:r>
    </w:p>
    <w:p>
      <w:pPr>
        <w:snapToGrid w:val="0"/>
        <w:spacing w:line="360" w:lineRule="auto"/>
        <w:ind w:left="210" w:leftChars="100"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pPr>
        <w:snapToGrid w:val="0"/>
        <w:spacing w:line="360"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pPr>
        <w:snapToGrid w:val="0"/>
        <w:spacing w:line="360"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2.2.2授权委托书或法定代表人（单位负责人）身份证明；</w:t>
      </w:r>
    </w:p>
    <w:p>
      <w:pPr>
        <w:snapToGrid w:val="0"/>
        <w:spacing w:line="360"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2.2.3分包意向协议（如果有）；</w:t>
      </w:r>
    </w:p>
    <w:p>
      <w:pPr>
        <w:snapToGrid w:val="0"/>
        <w:spacing w:line="360"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2.2.4符合性审查资料；</w:t>
      </w:r>
    </w:p>
    <w:p>
      <w:pPr>
        <w:snapToGrid w:val="0"/>
        <w:spacing w:line="360"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2.2.5评审标准相应的商务技术资料；</w:t>
      </w:r>
    </w:p>
    <w:p>
      <w:pPr>
        <w:snapToGrid w:val="0"/>
        <w:spacing w:line="360"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2.2.6商务技术偏离表；</w:t>
      </w:r>
    </w:p>
    <w:p>
      <w:pPr>
        <w:snapToGrid w:val="0"/>
        <w:spacing w:line="360" w:lineRule="auto"/>
        <w:ind w:left="420" w:leftChars="200"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7</w:t>
      </w:r>
      <w:r>
        <w:rPr>
          <w:rFonts w:hint="eastAsia" w:ascii="仿宋" w:hAnsi="仿宋" w:eastAsia="仿宋" w:cs="仿宋"/>
          <w:color w:val="auto"/>
          <w:sz w:val="24"/>
          <w:highlight w:val="none"/>
          <w:lang w:val="zh-CN"/>
        </w:rPr>
        <w:t>政府采购供应商廉洁自律承诺书；</w:t>
      </w:r>
    </w:p>
    <w:p>
      <w:pPr>
        <w:snapToGrid w:val="0"/>
        <w:spacing w:line="360" w:lineRule="auto"/>
        <w:ind w:left="210" w:leftChars="1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pPr>
        <w:snapToGrid w:val="0"/>
        <w:spacing w:line="360"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2.3.1初次报价一览表；</w:t>
      </w:r>
    </w:p>
    <w:p>
      <w:pPr>
        <w:snapToGrid w:val="0"/>
        <w:spacing w:line="360"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2.3.2最后报价一览表（此表在项目评审时提供）；</w:t>
      </w:r>
    </w:p>
    <w:p>
      <w:pPr>
        <w:snapToGrid w:val="0"/>
        <w:spacing w:line="360" w:lineRule="auto"/>
        <w:ind w:left="420" w:leftChars="2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2.3.3中小企业声明函（如果有）。</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3、我方承诺除商务技术偏离表列出的偏离外，我方响应采购文件的全部要求。</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4、如我方成交，我方承诺：</w:t>
      </w:r>
    </w:p>
    <w:p>
      <w:pPr>
        <w:snapToGrid w:val="0"/>
        <w:spacing w:line="360" w:lineRule="auto"/>
        <w:ind w:left="210" w:leftChars="1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4.1在收到成交通知书后，在成交通知书规定的期限内与你方签订合同； </w:t>
      </w:r>
    </w:p>
    <w:p>
      <w:pPr>
        <w:snapToGrid w:val="0"/>
        <w:spacing w:line="360" w:lineRule="auto"/>
        <w:ind w:left="210" w:leftChars="1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pPr>
        <w:snapToGrid w:val="0"/>
        <w:spacing w:line="360" w:lineRule="auto"/>
        <w:ind w:left="210" w:leftChars="1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4.3按照采购文件要求提交履约保证金； </w:t>
      </w:r>
    </w:p>
    <w:p>
      <w:pPr>
        <w:snapToGrid w:val="0"/>
        <w:spacing w:line="360" w:lineRule="auto"/>
        <w:ind w:left="210" w:leftChars="1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pPr>
        <w:snapToGrid w:val="0"/>
        <w:spacing w:line="360" w:lineRule="auto"/>
        <w:ind w:left="210" w:leftChars="10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5、其他补充说明: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napToGrid w:val="0"/>
        <w:spacing w:line="360" w:lineRule="auto"/>
        <w:ind w:firstLine="4560" w:firstLineChars="1900"/>
        <w:rPr>
          <w:rFonts w:ascii="仿宋" w:hAnsi="仿宋" w:eastAsia="仿宋" w:cs="仿宋"/>
          <w:color w:val="auto"/>
          <w:sz w:val="24"/>
          <w:highlight w:val="none"/>
        </w:rPr>
      </w:pPr>
    </w:p>
    <w:p>
      <w:pPr>
        <w:snapToGrid w:val="0"/>
        <w:spacing w:line="360" w:lineRule="auto"/>
        <w:ind w:firstLine="4560" w:firstLineChars="1900"/>
        <w:rPr>
          <w:rFonts w:ascii="仿宋" w:hAnsi="仿宋" w:eastAsia="仿宋" w:cs="仿宋"/>
          <w:color w:val="auto"/>
          <w:sz w:val="24"/>
          <w:highlight w:val="none"/>
        </w:rPr>
      </w:pPr>
    </w:p>
    <w:p>
      <w:pPr>
        <w:snapToGrid w:val="0"/>
        <w:spacing w:line="360" w:lineRule="auto"/>
        <w:ind w:firstLine="4560" w:firstLineChars="1900"/>
        <w:rPr>
          <w:rFonts w:ascii="仿宋" w:hAnsi="仿宋" w:eastAsia="仿宋" w:cs="仿宋"/>
          <w:color w:val="auto"/>
          <w:sz w:val="24"/>
          <w:highlight w:val="none"/>
        </w:rPr>
      </w:pPr>
      <w:r>
        <w:rPr>
          <w:rFonts w:hint="eastAsia" w:ascii="仿宋" w:hAnsi="仿宋" w:eastAsia="仿宋" w:cs="仿宋"/>
          <w:color w:val="auto"/>
          <w:sz w:val="24"/>
          <w:highlight w:val="none"/>
        </w:rPr>
        <w:t>响应供应商</w:t>
      </w:r>
      <w:r>
        <w:rPr>
          <w:rFonts w:hint="eastAsia" w:ascii="仿宋" w:hAnsi="仿宋" w:eastAsia="仿宋" w:cs="仿宋"/>
          <w:color w:val="auto"/>
          <w:sz w:val="24"/>
          <w:highlight w:val="none"/>
          <w:lang w:val="zh-CN"/>
        </w:rPr>
        <w:t>名称(电子签名)：</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日期</w:t>
      </w:r>
      <w:r>
        <w:rPr>
          <w:rFonts w:hint="eastAsia" w:ascii="仿宋" w:hAnsi="仿宋" w:eastAsia="仿宋" w:cs="仿宋"/>
          <w:color w:val="auto"/>
          <w:sz w:val="24"/>
          <w:highlight w:val="none"/>
        </w:rPr>
        <w:t xml:space="preserve">：  年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日</w:t>
      </w:r>
    </w:p>
    <w:p>
      <w:pPr>
        <w:snapToGrid w:val="0"/>
        <w:spacing w:line="360" w:lineRule="auto"/>
        <w:ind w:left="420" w:leftChars="200" w:firstLine="4200" w:firstLineChars="1750"/>
        <w:rPr>
          <w:rFonts w:ascii="仿宋" w:hAnsi="仿宋" w:eastAsia="仿宋" w:cs="仿宋"/>
          <w:color w:val="auto"/>
          <w:kern w:val="0"/>
          <w:sz w:val="24"/>
          <w:highlight w:val="none"/>
          <w:u w:val="singl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napToGrid w:val="0"/>
        <w:spacing w:line="360" w:lineRule="auto"/>
        <w:jc w:val="center"/>
        <w:rPr>
          <w:rFonts w:ascii="仿宋" w:hAnsi="仿宋" w:eastAsia="仿宋" w:cs="仿宋"/>
          <w:b/>
          <w:color w:val="auto"/>
          <w:kern w:val="0"/>
          <w:sz w:val="32"/>
          <w:szCs w:val="32"/>
          <w:highlight w:val="none"/>
        </w:rPr>
      </w:pPr>
    </w:p>
    <w:p>
      <w:pPr>
        <w:snapToGrid w:val="0"/>
        <w:spacing w:line="360" w:lineRule="auto"/>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sectPr>
          <w:pgSz w:w="11906" w:h="16838"/>
          <w:pgMar w:top="1440" w:right="1417" w:bottom="1440" w:left="1417" w:header="851" w:footer="992" w:gutter="0"/>
          <w:cols w:space="720" w:num="1"/>
          <w:titlePg/>
          <w:rtlGutter w:val="0"/>
          <w:docGrid w:linePitch="312" w:charSpace="0"/>
        </w:sectPr>
      </w:pPr>
    </w:p>
    <w:p>
      <w:pPr>
        <w:snapToGrid w:val="0"/>
        <w:jc w:val="center"/>
        <w:rPr>
          <w:rFonts w:ascii="仿宋" w:hAnsi="仿宋" w:eastAsia="仿宋" w:cs="仿宋"/>
          <w:b/>
          <w:bCs/>
          <w:color w:val="auto"/>
          <w:sz w:val="32"/>
          <w:szCs w:val="32"/>
          <w:highlight w:val="none"/>
          <w:lang w:val="zh-CN"/>
        </w:rPr>
      </w:pPr>
      <w:r>
        <w:rPr>
          <w:rFonts w:hint="eastAsia" w:ascii="仿宋" w:hAnsi="仿宋" w:eastAsia="仿宋" w:cs="仿宋"/>
          <w:b/>
          <w:bCs/>
          <w:color w:val="auto"/>
          <w:sz w:val="32"/>
          <w:szCs w:val="32"/>
          <w:highlight w:val="none"/>
          <w:lang w:val="zh-CN"/>
        </w:rPr>
        <w:t>二、授权委托书或法定代表人（单位负责人、自然人本人）身份证明</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jc w:val="center"/>
        <w:rPr>
          <w:rFonts w:ascii="仿宋" w:hAnsi="仿宋" w:eastAsia="仿宋" w:cs="仿宋"/>
          <w:b/>
          <w:bCs/>
          <w:color w:val="auto"/>
          <w:sz w:val="32"/>
          <w:szCs w:val="32"/>
          <w:highlight w:val="none"/>
          <w:lang w:val="zh-CN"/>
        </w:rPr>
      </w:pPr>
      <w:r>
        <w:rPr>
          <w:rFonts w:hint="eastAsia" w:ascii="仿宋" w:hAnsi="仿宋" w:eastAsia="仿宋" w:cs="仿宋"/>
          <w:b/>
          <w:bCs/>
          <w:color w:val="auto"/>
          <w:sz w:val="32"/>
          <w:szCs w:val="32"/>
          <w:highlight w:val="none"/>
          <w:lang w:val="zh-CN"/>
        </w:rPr>
        <w:t>授权委托书（适用于非联合体</w:t>
      </w:r>
      <w:r>
        <w:rPr>
          <w:rFonts w:hint="eastAsia" w:ascii="仿宋" w:hAnsi="仿宋" w:eastAsia="仿宋" w:cs="仿宋"/>
          <w:b/>
          <w:bCs/>
          <w:color w:val="auto"/>
          <w:sz w:val="32"/>
          <w:szCs w:val="32"/>
          <w:highlight w:val="none"/>
        </w:rPr>
        <w:t>响应</w:t>
      </w:r>
      <w:r>
        <w:rPr>
          <w:rFonts w:hint="eastAsia" w:ascii="仿宋" w:hAnsi="仿宋" w:eastAsia="仿宋" w:cs="仿宋"/>
          <w:b/>
          <w:bCs/>
          <w:color w:val="auto"/>
          <w:sz w:val="32"/>
          <w:szCs w:val="32"/>
          <w:highlight w:val="none"/>
          <w:lang w:val="zh-CN"/>
        </w:rPr>
        <w:t>）</w:t>
      </w:r>
    </w:p>
    <w:p>
      <w:pPr>
        <w:snapToGrid w:val="0"/>
        <w:spacing w:line="360" w:lineRule="auto"/>
        <w:rPr>
          <w:rFonts w:ascii="仿宋" w:hAnsi="仿宋" w:eastAsia="仿宋" w:cs="仿宋"/>
          <w:color w:val="auto"/>
          <w:sz w:val="24"/>
          <w:highlight w:val="none"/>
        </w:rPr>
      </w:pPr>
    </w:p>
    <w:p>
      <w:pPr>
        <w:shd w:val="clear" w:color="auto" w:fill="FFFFFF"/>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浙江交通职业技术学院、杭州博实招标代理有限公司：</w:t>
      </w:r>
    </w:p>
    <w:p>
      <w:pPr>
        <w:snapToGrid w:val="0"/>
        <w:spacing w:line="360" w:lineRule="auto"/>
        <w:ind w:firstLine="576"/>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u w:val="single"/>
        </w:rPr>
        <w:t>浙江交通职业技术学院</w:t>
      </w:r>
      <w:r>
        <w:rPr>
          <w:rFonts w:hint="eastAsia" w:ascii="仿宋" w:hAnsi="仿宋" w:eastAsia="仿宋" w:cs="仿宋"/>
          <w:color w:val="auto"/>
          <w:sz w:val="24"/>
          <w:highlight w:val="none"/>
          <w:u w:val="single"/>
          <w:lang w:eastAsia="zh-CN"/>
        </w:rPr>
        <w:t>新能源汽车充电桩系统建设</w:t>
      </w:r>
      <w:r>
        <w:rPr>
          <w:rFonts w:hint="eastAsia" w:ascii="仿宋" w:hAnsi="仿宋" w:eastAsia="仿宋" w:cs="仿宋"/>
          <w:color w:val="auto"/>
          <w:sz w:val="24"/>
          <w:highlight w:val="none"/>
          <w:u w:val="single"/>
        </w:rPr>
        <w:t>项目【项目编号：</w:t>
      </w:r>
      <w:r>
        <w:rPr>
          <w:rFonts w:hint="eastAsia" w:ascii="仿宋" w:hAnsi="仿宋" w:eastAsia="仿宋" w:cs="仿宋"/>
          <w:color w:val="auto"/>
          <w:sz w:val="24"/>
          <w:highlight w:val="none"/>
          <w:u w:val="single"/>
          <w:lang w:eastAsia="zh-CN"/>
        </w:rPr>
        <w:t>BSZB2024-AZZC131</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政府采购</w:t>
      </w:r>
      <w:r>
        <w:rPr>
          <w:rFonts w:hint="eastAsia" w:ascii="仿宋" w:hAnsi="仿宋" w:eastAsia="仿宋" w:cs="仿宋"/>
          <w:color w:val="auto"/>
          <w:kern w:val="0"/>
          <w:sz w:val="24"/>
          <w:highlight w:val="none"/>
        </w:rPr>
        <w:t>响应</w:t>
      </w:r>
      <w:r>
        <w:rPr>
          <w:rFonts w:hint="eastAsia" w:ascii="仿宋" w:hAnsi="仿宋" w:eastAsia="仿宋" w:cs="仿宋"/>
          <w:color w:val="auto"/>
          <w:kern w:val="0"/>
          <w:sz w:val="24"/>
          <w:highlight w:val="none"/>
          <w:lang w:val="zh-CN"/>
        </w:rPr>
        <w:t>的一切事项，其法律后果由我方承担。</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pPr>
        <w:snapToGrid w:val="0"/>
        <w:spacing w:line="360" w:lineRule="auto"/>
        <w:ind w:left="4549" w:leftChars="2166"/>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sz w:val="24"/>
          <w:highlight w:val="none"/>
        </w:rPr>
        <w:t>响应供应商</w:t>
      </w:r>
      <w:r>
        <w:rPr>
          <w:rFonts w:hint="eastAsia" w:ascii="仿宋" w:hAnsi="仿宋" w:eastAsia="仿宋" w:cs="仿宋"/>
          <w:color w:val="auto"/>
          <w:sz w:val="24"/>
          <w:highlight w:val="none"/>
          <w:lang w:val="zh-CN"/>
        </w:rPr>
        <w:t>名称(电子签名)：</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日期</w:t>
      </w:r>
      <w:r>
        <w:rPr>
          <w:rFonts w:hint="eastAsia" w:ascii="仿宋" w:hAnsi="仿宋" w:eastAsia="仿宋" w:cs="仿宋"/>
          <w:color w:val="auto"/>
          <w:sz w:val="24"/>
          <w:highlight w:val="none"/>
        </w:rPr>
        <w:t xml:space="preserve">：  年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日</w:t>
      </w:r>
    </w:p>
    <w:p>
      <w:pPr>
        <w:snapToGrid w:val="0"/>
        <w:spacing w:line="360" w:lineRule="auto"/>
        <w:rPr>
          <w:rFonts w:ascii="仿宋" w:hAnsi="仿宋" w:eastAsia="仿宋" w:cs="仿宋"/>
          <w:color w:val="auto"/>
          <w:kern w:val="0"/>
          <w:sz w:val="24"/>
          <w:highlight w:val="none"/>
          <w:lang w:val="zh-CN"/>
        </w:rPr>
      </w:pPr>
    </w:p>
    <w:p>
      <w:pPr>
        <w:snapToGrid w:val="0"/>
        <w:spacing w:line="360" w:lineRule="auto"/>
        <w:rPr>
          <w:rFonts w:ascii="仿宋" w:hAnsi="仿宋" w:eastAsia="仿宋" w:cs="仿宋"/>
          <w:color w:val="auto"/>
          <w:sz w:val="24"/>
          <w:highlight w:val="none"/>
        </w:rPr>
      </w:pPr>
    </w:p>
    <w:p>
      <w:pPr>
        <w:snapToGrid w:val="0"/>
        <w:jc w:val="center"/>
        <w:rPr>
          <w:rFonts w:ascii="仿宋" w:hAnsi="仿宋" w:eastAsia="仿宋" w:cs="仿宋"/>
          <w:b/>
          <w:bCs/>
          <w:color w:val="auto"/>
          <w:sz w:val="32"/>
          <w:szCs w:val="32"/>
          <w:highlight w:val="none"/>
          <w:lang w:val="zh-CN"/>
        </w:rPr>
      </w:pPr>
      <w:r>
        <w:rPr>
          <w:rFonts w:hint="eastAsia" w:ascii="仿宋" w:hAnsi="仿宋" w:eastAsia="仿宋" w:cs="仿宋"/>
          <w:b/>
          <w:bCs/>
          <w:color w:val="auto"/>
          <w:sz w:val="32"/>
          <w:szCs w:val="32"/>
          <w:highlight w:val="none"/>
          <w:lang w:val="zh-CN"/>
        </w:rPr>
        <w:t>授权委托书（适用于联合体</w:t>
      </w:r>
      <w:r>
        <w:rPr>
          <w:rFonts w:hint="eastAsia" w:ascii="仿宋" w:hAnsi="仿宋" w:eastAsia="仿宋" w:cs="仿宋"/>
          <w:b/>
          <w:bCs/>
          <w:color w:val="auto"/>
          <w:sz w:val="32"/>
          <w:szCs w:val="32"/>
          <w:highlight w:val="none"/>
        </w:rPr>
        <w:t>响应</w:t>
      </w:r>
      <w:r>
        <w:rPr>
          <w:rFonts w:hint="eastAsia" w:ascii="仿宋" w:hAnsi="仿宋" w:eastAsia="仿宋" w:cs="仿宋"/>
          <w:b/>
          <w:bCs/>
          <w:color w:val="auto"/>
          <w:sz w:val="32"/>
          <w:szCs w:val="32"/>
          <w:highlight w:val="none"/>
          <w:lang w:val="zh-CN"/>
        </w:rPr>
        <w:t>）</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rPr>
        <w:t>（项目名称）【项目编号：（采购编号）】</w:t>
      </w:r>
      <w:r>
        <w:rPr>
          <w:rFonts w:hint="eastAsia" w:ascii="仿宋" w:hAnsi="仿宋" w:eastAsia="仿宋" w:cs="仿宋"/>
          <w:color w:val="auto"/>
          <w:kern w:val="0"/>
          <w:sz w:val="24"/>
          <w:highlight w:val="none"/>
          <w:lang w:val="zh-CN"/>
        </w:rPr>
        <w:t>政府采购</w:t>
      </w:r>
      <w:r>
        <w:rPr>
          <w:rFonts w:hint="eastAsia" w:ascii="仿宋" w:hAnsi="仿宋" w:eastAsia="仿宋" w:cs="仿宋"/>
          <w:color w:val="auto"/>
          <w:kern w:val="0"/>
          <w:sz w:val="24"/>
          <w:highlight w:val="none"/>
        </w:rPr>
        <w:t>响应</w:t>
      </w:r>
      <w:r>
        <w:rPr>
          <w:rFonts w:hint="eastAsia" w:ascii="仿宋" w:hAnsi="仿宋" w:eastAsia="仿宋" w:cs="仿宋"/>
          <w:color w:val="auto"/>
          <w:kern w:val="0"/>
          <w:sz w:val="24"/>
          <w:highlight w:val="none"/>
          <w:lang w:val="zh-CN"/>
        </w:rPr>
        <w:t>的一切事项，其法律后果由我方承担。</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jc w:val="center"/>
        <w:rPr>
          <w:rFonts w:ascii="仿宋" w:hAnsi="仿宋" w:eastAsia="仿宋" w:cs="仿宋"/>
          <w:b/>
          <w:bCs/>
          <w:color w:val="auto"/>
          <w:sz w:val="32"/>
          <w:szCs w:val="32"/>
          <w:highlight w:val="none"/>
          <w:lang w:val="zh-CN"/>
        </w:rPr>
      </w:pPr>
    </w:p>
    <w:p>
      <w:pPr>
        <w:snapToGrid w:val="0"/>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zh-CN"/>
        </w:rPr>
        <w:t>法定代表人、单位负责人或自然人本人</w:t>
      </w:r>
      <w:r>
        <w:rPr>
          <w:rFonts w:hint="eastAsia" w:ascii="仿宋" w:hAnsi="仿宋" w:eastAsia="仿宋" w:cs="仿宋"/>
          <w:b/>
          <w:bCs/>
          <w:color w:val="auto"/>
          <w:sz w:val="32"/>
          <w:szCs w:val="32"/>
          <w:highlight w:val="none"/>
        </w:rPr>
        <w:t>的身份证明（适用于法定代表人、单位负责人或者自然人本人代表供应商参加响应）</w:t>
      </w:r>
    </w:p>
    <w:p>
      <w:pPr>
        <w:pStyle w:val="154"/>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54"/>
              <w:adjustRightIn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pPr>
              <w:pStyle w:val="154"/>
              <w:adjustRightInd w:val="0"/>
              <w:spacing w:line="360" w:lineRule="auto"/>
              <w:rPr>
                <w:rFonts w:ascii="仿宋" w:hAnsi="仿宋" w:eastAsia="仿宋" w:cs="仿宋"/>
                <w:bCs/>
                <w:color w:val="auto"/>
                <w:sz w:val="24"/>
                <w:highlight w:val="none"/>
              </w:rPr>
            </w:pPr>
          </w:p>
        </w:tc>
      </w:tr>
    </w:tbl>
    <w:p>
      <w:pPr>
        <w:snapToGrid w:val="0"/>
        <w:spacing w:line="360" w:lineRule="auto"/>
        <w:ind w:firstLine="576"/>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ind w:firstLine="4560" w:firstLineChars="1900"/>
        <w:rPr>
          <w:rFonts w:ascii="仿宋" w:hAnsi="仿宋" w:eastAsia="仿宋" w:cs="仿宋"/>
          <w:color w:val="auto"/>
          <w:sz w:val="24"/>
          <w:highlight w:val="none"/>
        </w:rPr>
      </w:pPr>
    </w:p>
    <w:p>
      <w:pPr>
        <w:snapToGrid w:val="0"/>
        <w:spacing w:line="360" w:lineRule="auto"/>
        <w:ind w:firstLine="4560" w:firstLineChars="1900"/>
        <w:rPr>
          <w:rFonts w:ascii="仿宋" w:hAnsi="仿宋" w:eastAsia="仿宋" w:cs="仿宋"/>
          <w:color w:val="auto"/>
          <w:sz w:val="24"/>
          <w:highlight w:val="none"/>
        </w:rPr>
      </w:pPr>
    </w:p>
    <w:p>
      <w:pPr>
        <w:snapToGrid w:val="0"/>
        <w:spacing w:line="360" w:lineRule="auto"/>
        <w:ind w:firstLine="4560" w:firstLineChars="1900"/>
        <w:rPr>
          <w:rFonts w:ascii="仿宋" w:hAnsi="仿宋" w:eastAsia="仿宋" w:cs="仿宋"/>
          <w:color w:val="auto"/>
          <w:sz w:val="24"/>
          <w:highlight w:val="none"/>
        </w:rPr>
      </w:pPr>
      <w:r>
        <w:rPr>
          <w:rFonts w:hint="eastAsia" w:ascii="仿宋" w:hAnsi="仿宋" w:eastAsia="仿宋" w:cs="仿宋"/>
          <w:color w:val="auto"/>
          <w:sz w:val="24"/>
          <w:highlight w:val="none"/>
        </w:rPr>
        <w:t>响应供应商</w:t>
      </w:r>
      <w:r>
        <w:rPr>
          <w:rFonts w:hint="eastAsia" w:ascii="仿宋" w:hAnsi="仿宋" w:eastAsia="仿宋" w:cs="仿宋"/>
          <w:color w:val="auto"/>
          <w:sz w:val="24"/>
          <w:highlight w:val="none"/>
          <w:lang w:val="zh-CN"/>
        </w:rPr>
        <w:t>名称(电子签名)：</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日期</w:t>
      </w:r>
      <w:r>
        <w:rPr>
          <w:rFonts w:hint="eastAsia" w:ascii="仿宋" w:hAnsi="仿宋" w:eastAsia="仿宋" w:cs="仿宋"/>
          <w:color w:val="auto"/>
          <w:sz w:val="24"/>
          <w:highlight w:val="none"/>
        </w:rPr>
        <w:t xml:space="preserve">：  年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日</w:t>
      </w:r>
    </w:p>
    <w:p>
      <w:pPr>
        <w:spacing w:line="360" w:lineRule="auto"/>
        <w:jc w:val="center"/>
        <w:rPr>
          <w:rFonts w:ascii="仿宋" w:hAnsi="仿宋" w:eastAsia="仿宋" w:cs="仿宋"/>
          <w:color w:val="auto"/>
          <w:kern w:val="0"/>
          <w:sz w:val="24"/>
          <w:highlight w:val="none"/>
          <w:lang w:val="zh-CN"/>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snapToGrid w:val="0"/>
        <w:spacing w:line="360" w:lineRule="auto"/>
        <w:ind w:right="480"/>
        <w:rPr>
          <w:rFonts w:ascii="仿宋" w:hAnsi="仿宋" w:eastAsia="仿宋" w:cs="仿宋"/>
          <w:b/>
          <w:color w:val="auto"/>
          <w:kern w:val="0"/>
          <w:sz w:val="32"/>
          <w:szCs w:val="32"/>
          <w:highlight w:val="none"/>
        </w:rPr>
        <w:sectPr>
          <w:pgSz w:w="11906" w:h="16838"/>
          <w:pgMar w:top="1440" w:right="1417" w:bottom="1440" w:left="1417" w:header="851" w:footer="992" w:gutter="0"/>
          <w:cols w:space="720" w:num="1"/>
          <w:titlePg/>
          <w:rtlGutter w:val="0"/>
          <w:docGrid w:linePitch="312" w:charSpace="0"/>
        </w:sectPr>
      </w:pPr>
    </w:p>
    <w:p>
      <w:pPr>
        <w:snapToGrid w:val="0"/>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三、分包意向协议</w:t>
      </w:r>
    </w:p>
    <w:p>
      <w:pPr>
        <w:widowControl/>
        <w:spacing w:line="360" w:lineRule="auto"/>
        <w:ind w:firstLine="120" w:firstLineChars="50"/>
        <w:jc w:val="left"/>
        <w:rPr>
          <w:rFonts w:ascii="仿宋" w:hAnsi="仿宋" w:eastAsia="仿宋" w:cs="仿宋"/>
          <w:color w:val="auto"/>
          <w:sz w:val="24"/>
          <w:highlight w:val="none"/>
        </w:rPr>
      </w:pPr>
      <w:bookmarkStart w:id="19" w:name="_Hlk101169080"/>
    </w:p>
    <w:bookmarkEnd w:id="19"/>
    <w:p>
      <w:pPr>
        <w:widowControl/>
        <w:spacing w:line="360" w:lineRule="auto"/>
        <w:ind w:firstLine="120" w:firstLineChars="50"/>
        <w:jc w:val="left"/>
        <w:rPr>
          <w:rFonts w:ascii="仿宋" w:hAnsi="仿宋" w:eastAsia="仿宋" w:cs="仿宋"/>
          <w:b/>
          <w:bCs/>
          <w:color w:val="auto"/>
          <w:sz w:val="32"/>
          <w:szCs w:val="32"/>
          <w:highlight w:val="none"/>
        </w:rPr>
      </w:pPr>
      <w:r>
        <w:rPr>
          <w:rFonts w:hint="eastAsia" w:ascii="仿宋" w:hAnsi="仿宋" w:eastAsia="仿宋" w:cs="仿宋"/>
          <w:b/>
          <w:color w:val="auto"/>
          <w:kern w:val="0"/>
          <w:sz w:val="24"/>
          <w:highlight w:val="none"/>
        </w:rPr>
        <w:t>[</w:t>
      </w:r>
      <w:r>
        <w:rPr>
          <w:rFonts w:hint="eastAsia" w:ascii="仿宋" w:hAnsi="仿宋" w:eastAsia="仿宋" w:cs="仿宋"/>
          <w:b/>
          <w:color w:val="auto"/>
          <w:sz w:val="24"/>
          <w:highlight w:val="none"/>
        </w:rPr>
        <w:t>成交后以分包方式履行合同的，提供分包意向协议（附件6）；采购人不同意分包或者供应商成交后不以分包方式履行合同的，则不需</w:t>
      </w:r>
      <w:r>
        <w:rPr>
          <w:rFonts w:hint="eastAsia" w:ascii="仿宋" w:hAnsi="仿宋" w:eastAsia="仿宋" w:cs="仿宋"/>
          <w:b/>
          <w:color w:val="auto"/>
          <w:kern w:val="0"/>
          <w:sz w:val="24"/>
          <w:highlight w:val="none"/>
        </w:rPr>
        <w:t>要提供。]</w:t>
      </w:r>
    </w:p>
    <w:p>
      <w:pPr>
        <w:snapToGrid w:val="0"/>
        <w:jc w:val="center"/>
        <w:rPr>
          <w:rFonts w:ascii="仿宋" w:hAnsi="仿宋" w:eastAsia="仿宋" w:cs="仿宋"/>
          <w:b/>
          <w:bCs/>
          <w:color w:val="auto"/>
          <w:sz w:val="32"/>
          <w:szCs w:val="32"/>
          <w:highlight w:val="none"/>
        </w:rPr>
      </w:pPr>
    </w:p>
    <w:p>
      <w:pPr>
        <w:snapToGrid w:val="0"/>
        <w:jc w:val="center"/>
        <w:rPr>
          <w:rFonts w:ascii="仿宋" w:hAnsi="仿宋" w:eastAsia="仿宋" w:cs="仿宋"/>
          <w:b/>
          <w:bCs/>
          <w:color w:val="auto"/>
          <w:sz w:val="32"/>
          <w:szCs w:val="32"/>
          <w:highlight w:val="none"/>
        </w:rPr>
      </w:pPr>
    </w:p>
    <w:p>
      <w:pPr>
        <w:snapToGrid w:val="0"/>
        <w:jc w:val="center"/>
        <w:rPr>
          <w:rFonts w:ascii="仿宋" w:hAnsi="仿宋" w:eastAsia="仿宋" w:cs="仿宋"/>
          <w:b/>
          <w:bCs/>
          <w:color w:val="auto"/>
          <w:sz w:val="32"/>
          <w:szCs w:val="32"/>
          <w:highlight w:val="none"/>
        </w:rPr>
      </w:pPr>
    </w:p>
    <w:p>
      <w:pPr>
        <w:snapToGrid w:val="0"/>
        <w:jc w:val="center"/>
        <w:rPr>
          <w:rFonts w:ascii="仿宋" w:hAnsi="仿宋" w:eastAsia="仿宋" w:cs="仿宋"/>
          <w:b/>
          <w:bCs/>
          <w:color w:val="auto"/>
          <w:sz w:val="32"/>
          <w:szCs w:val="32"/>
          <w:highlight w:val="none"/>
        </w:rPr>
      </w:pPr>
    </w:p>
    <w:p>
      <w:pPr>
        <w:snapToGrid w:val="0"/>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四、符合性审查资料</w:t>
      </w:r>
    </w:p>
    <w:p>
      <w:pPr>
        <w:jc w:val="center"/>
        <w:rPr>
          <w:rFonts w:ascii="仿宋" w:hAnsi="仿宋" w:eastAsia="仿宋" w:cs="仿宋"/>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027"/>
        <w:gridCol w:w="2693"/>
        <w:gridCol w:w="2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pacing w:line="360" w:lineRule="auto"/>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序号</w:t>
            </w:r>
          </w:p>
        </w:tc>
        <w:tc>
          <w:tcPr>
            <w:tcW w:w="4027" w:type="dxa"/>
            <w:vAlign w:val="center"/>
          </w:tcPr>
          <w:p>
            <w:pPr>
              <w:spacing w:line="360" w:lineRule="auto"/>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实质性要求</w:t>
            </w:r>
          </w:p>
        </w:tc>
        <w:tc>
          <w:tcPr>
            <w:tcW w:w="2693" w:type="dxa"/>
            <w:vAlign w:val="center"/>
          </w:tcPr>
          <w:p>
            <w:pPr>
              <w:spacing w:line="360" w:lineRule="auto"/>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需要提供的符合性审查资料</w:t>
            </w:r>
          </w:p>
        </w:tc>
        <w:tc>
          <w:tcPr>
            <w:tcW w:w="2240" w:type="dxa"/>
            <w:vAlign w:val="center"/>
          </w:tcPr>
          <w:p>
            <w:pPr>
              <w:spacing w:line="360" w:lineRule="auto"/>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磋商响应中的</w:t>
            </w:r>
          </w:p>
          <w:p>
            <w:pPr>
              <w:spacing w:line="360" w:lineRule="auto"/>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jc w:val="center"/>
              <w:rPr>
                <w:rFonts w:ascii="仿宋" w:hAnsi="仿宋" w:eastAsia="仿宋"/>
                <w:color w:val="auto"/>
                <w:sz w:val="24"/>
                <w:szCs w:val="28"/>
                <w:highlight w:val="none"/>
              </w:rPr>
            </w:pPr>
            <w:r>
              <w:rPr>
                <w:rFonts w:ascii="仿宋" w:hAnsi="仿宋" w:eastAsia="仿宋"/>
                <w:color w:val="auto"/>
                <w:sz w:val="24"/>
                <w:szCs w:val="28"/>
                <w:highlight w:val="none"/>
              </w:rPr>
              <w:t>1</w:t>
            </w:r>
          </w:p>
        </w:tc>
        <w:tc>
          <w:tcPr>
            <w:tcW w:w="4027" w:type="dxa"/>
          </w:tcPr>
          <w:p>
            <w:pPr>
              <w:spacing w:line="360" w:lineRule="auto"/>
              <w:jc w:val="left"/>
              <w:rPr>
                <w:rFonts w:ascii="仿宋" w:hAnsi="仿宋" w:eastAsia="仿宋"/>
                <w:color w:val="auto"/>
                <w:sz w:val="24"/>
                <w:szCs w:val="28"/>
                <w:highlight w:val="none"/>
              </w:rPr>
            </w:pPr>
            <w:r>
              <w:rPr>
                <w:rFonts w:hint="eastAsia" w:ascii="仿宋" w:hAnsi="仿宋" w:eastAsia="仿宋"/>
                <w:color w:val="auto"/>
                <w:sz w:val="24"/>
                <w:szCs w:val="28"/>
                <w:highlight w:val="none"/>
              </w:rPr>
              <w:t>磋商响应文件按照磋商文件要求签署、盖章。</w:t>
            </w:r>
          </w:p>
        </w:tc>
        <w:tc>
          <w:tcPr>
            <w:tcW w:w="2693" w:type="dxa"/>
            <w:vAlign w:val="center"/>
          </w:tcPr>
          <w:p>
            <w:pPr>
              <w:spacing w:line="360" w:lineRule="auto"/>
              <w:jc w:val="left"/>
              <w:rPr>
                <w:rFonts w:ascii="仿宋" w:hAnsi="仿宋" w:eastAsia="仿宋"/>
                <w:color w:val="auto"/>
                <w:sz w:val="24"/>
                <w:szCs w:val="28"/>
                <w:highlight w:val="none"/>
              </w:rPr>
            </w:pPr>
            <w:r>
              <w:rPr>
                <w:rFonts w:hint="eastAsia" w:ascii="仿宋" w:hAnsi="仿宋" w:eastAsia="仿宋"/>
                <w:color w:val="auto"/>
                <w:sz w:val="24"/>
                <w:szCs w:val="28"/>
                <w:highlight w:val="none"/>
              </w:rPr>
              <w:t>需要使用电子签名或者签字盖章的磋商响应文件的组成部分</w:t>
            </w:r>
          </w:p>
        </w:tc>
        <w:tc>
          <w:tcPr>
            <w:tcW w:w="2240" w:type="dxa"/>
          </w:tcPr>
          <w:p>
            <w:pPr>
              <w:spacing w:line="360" w:lineRule="auto"/>
              <w:jc w:val="center"/>
              <w:rPr>
                <w:rFonts w:ascii="仿宋" w:hAnsi="仿宋" w:eastAsia="仿宋"/>
                <w:color w:val="auto"/>
                <w:sz w:val="24"/>
                <w:szCs w:val="28"/>
                <w:highlight w:val="none"/>
              </w:rPr>
            </w:pPr>
          </w:p>
          <w:p>
            <w:pPr>
              <w:spacing w:line="360" w:lineRule="auto"/>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见磋商响应文件</w:t>
            </w:r>
          </w:p>
          <w:p>
            <w:pPr>
              <w:spacing w:line="360" w:lineRule="auto"/>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第</w:t>
            </w:r>
            <w:r>
              <w:rPr>
                <w:rFonts w:ascii="仿宋" w:hAnsi="仿宋" w:eastAsia="仿宋"/>
                <w:color w:val="auto"/>
                <w:sz w:val="24"/>
                <w:szCs w:val="28"/>
                <w:highlight w:val="none"/>
                <w:u w:val="single"/>
              </w:rPr>
              <w:t xml:space="preserve">  </w:t>
            </w:r>
            <w:r>
              <w:rPr>
                <w:rFonts w:hint="eastAsia" w:ascii="仿宋" w:hAnsi="仿宋" w:eastAsia="仿宋"/>
                <w:color w:val="auto"/>
                <w:sz w:val="24"/>
                <w:szCs w:val="28"/>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2</w:t>
            </w:r>
          </w:p>
        </w:tc>
        <w:tc>
          <w:tcPr>
            <w:tcW w:w="4027" w:type="dxa"/>
          </w:tcPr>
          <w:p>
            <w:pPr>
              <w:spacing w:line="360" w:lineRule="auto"/>
              <w:jc w:val="left"/>
              <w:rPr>
                <w:rFonts w:ascii="仿宋" w:hAnsi="仿宋" w:eastAsia="仿宋"/>
                <w:color w:val="auto"/>
                <w:sz w:val="24"/>
                <w:szCs w:val="28"/>
                <w:highlight w:val="none"/>
              </w:rPr>
            </w:pPr>
            <w:r>
              <w:rPr>
                <w:rFonts w:hint="eastAsia" w:ascii="仿宋" w:hAnsi="仿宋" w:eastAsia="仿宋"/>
                <w:color w:val="auto"/>
                <w:sz w:val="24"/>
                <w:szCs w:val="28"/>
                <w:highlight w:val="none"/>
              </w:rPr>
              <w:t>磋商响应文件中承诺的投标有效期不少于磋商文件中载明的投标有效期。</w:t>
            </w:r>
          </w:p>
        </w:tc>
        <w:tc>
          <w:tcPr>
            <w:tcW w:w="2693" w:type="dxa"/>
            <w:vAlign w:val="center"/>
          </w:tcPr>
          <w:p>
            <w:pPr>
              <w:spacing w:line="360" w:lineRule="auto"/>
              <w:jc w:val="left"/>
              <w:rPr>
                <w:rFonts w:ascii="仿宋" w:hAnsi="仿宋" w:eastAsia="仿宋"/>
                <w:color w:val="auto"/>
                <w:sz w:val="24"/>
                <w:szCs w:val="28"/>
                <w:highlight w:val="none"/>
              </w:rPr>
            </w:pPr>
            <w:r>
              <w:rPr>
                <w:rFonts w:hint="eastAsia" w:ascii="仿宋" w:hAnsi="仿宋" w:eastAsia="仿宋"/>
                <w:color w:val="auto"/>
                <w:sz w:val="24"/>
                <w:szCs w:val="28"/>
                <w:highlight w:val="none"/>
              </w:rPr>
              <w:t>响应函</w:t>
            </w:r>
          </w:p>
        </w:tc>
        <w:tc>
          <w:tcPr>
            <w:tcW w:w="2240" w:type="dxa"/>
          </w:tcPr>
          <w:p>
            <w:pPr>
              <w:spacing w:line="360" w:lineRule="auto"/>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见磋商响应文件</w:t>
            </w:r>
          </w:p>
          <w:p>
            <w:pPr>
              <w:spacing w:line="360" w:lineRule="auto"/>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第</w:t>
            </w:r>
            <w:r>
              <w:rPr>
                <w:rFonts w:ascii="仿宋" w:hAnsi="仿宋" w:eastAsia="仿宋"/>
                <w:color w:val="auto"/>
                <w:sz w:val="24"/>
                <w:szCs w:val="28"/>
                <w:highlight w:val="none"/>
                <w:u w:val="single"/>
              </w:rPr>
              <w:t xml:space="preserve">  </w:t>
            </w:r>
            <w:r>
              <w:rPr>
                <w:rFonts w:hint="eastAsia" w:ascii="仿宋" w:hAnsi="仿宋" w:eastAsia="仿宋"/>
                <w:color w:val="auto"/>
                <w:sz w:val="24"/>
                <w:szCs w:val="28"/>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3</w:t>
            </w:r>
          </w:p>
        </w:tc>
        <w:tc>
          <w:tcPr>
            <w:tcW w:w="4027" w:type="dxa"/>
          </w:tcPr>
          <w:p>
            <w:pPr>
              <w:spacing w:line="360" w:lineRule="auto"/>
              <w:jc w:val="left"/>
              <w:rPr>
                <w:rFonts w:ascii="仿宋" w:hAnsi="仿宋" w:eastAsia="仿宋"/>
                <w:color w:val="auto"/>
                <w:sz w:val="24"/>
                <w:szCs w:val="28"/>
                <w:highlight w:val="none"/>
              </w:rPr>
            </w:pPr>
            <w:r>
              <w:rPr>
                <w:rFonts w:hint="eastAsia" w:ascii="仿宋" w:hAnsi="仿宋" w:eastAsia="仿宋"/>
                <w:color w:val="auto"/>
                <w:sz w:val="24"/>
                <w:szCs w:val="28"/>
                <w:highlight w:val="none"/>
              </w:rPr>
              <w:t>磋商响应文件满足磋商文件的其它实质性要求。</w:t>
            </w:r>
          </w:p>
        </w:tc>
        <w:tc>
          <w:tcPr>
            <w:tcW w:w="2693" w:type="dxa"/>
            <w:vAlign w:val="center"/>
          </w:tcPr>
          <w:p>
            <w:pPr>
              <w:spacing w:line="360" w:lineRule="auto"/>
              <w:jc w:val="left"/>
              <w:rPr>
                <w:rFonts w:ascii="仿宋" w:hAnsi="仿宋" w:eastAsia="仿宋"/>
                <w:color w:val="auto"/>
                <w:sz w:val="24"/>
                <w:szCs w:val="28"/>
                <w:highlight w:val="none"/>
              </w:rPr>
            </w:pPr>
            <w:r>
              <w:rPr>
                <w:rFonts w:hint="eastAsia" w:ascii="仿宋" w:hAnsi="仿宋" w:eastAsia="仿宋"/>
                <w:color w:val="auto"/>
                <w:sz w:val="24"/>
                <w:szCs w:val="28"/>
                <w:highlight w:val="none"/>
              </w:rPr>
              <w:t>磋商文件其它实质性要求相应的材料（“▲”</w:t>
            </w:r>
            <w:r>
              <w:rPr>
                <w:rFonts w:ascii="仿宋" w:hAnsi="仿宋" w:eastAsia="仿宋"/>
                <w:color w:val="auto"/>
                <w:sz w:val="24"/>
                <w:szCs w:val="28"/>
                <w:highlight w:val="none"/>
              </w:rPr>
              <w:t xml:space="preserve"> </w:t>
            </w:r>
            <w:r>
              <w:rPr>
                <w:rFonts w:hint="eastAsia" w:ascii="仿宋" w:hAnsi="仿宋" w:eastAsia="仿宋"/>
                <w:color w:val="auto"/>
                <w:sz w:val="24"/>
                <w:szCs w:val="28"/>
                <w:highlight w:val="none"/>
              </w:rPr>
              <w:t>系指实质性要求条款，采购文件无其它实质性要求的，无需提供）</w:t>
            </w:r>
          </w:p>
        </w:tc>
        <w:tc>
          <w:tcPr>
            <w:tcW w:w="2240" w:type="dxa"/>
          </w:tcPr>
          <w:p>
            <w:pPr>
              <w:spacing w:line="360" w:lineRule="auto"/>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见磋商响应文件</w:t>
            </w:r>
          </w:p>
          <w:p>
            <w:pPr>
              <w:spacing w:line="360" w:lineRule="auto"/>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第</w:t>
            </w:r>
            <w:r>
              <w:rPr>
                <w:rFonts w:ascii="仿宋" w:hAnsi="仿宋" w:eastAsia="仿宋"/>
                <w:color w:val="auto"/>
                <w:sz w:val="24"/>
                <w:szCs w:val="28"/>
                <w:highlight w:val="none"/>
                <w:u w:val="single"/>
              </w:rPr>
              <w:t xml:space="preserve">  </w:t>
            </w:r>
            <w:r>
              <w:rPr>
                <w:rFonts w:hint="eastAsia" w:ascii="仿宋" w:hAnsi="仿宋" w:eastAsia="仿宋"/>
                <w:color w:val="auto"/>
                <w:sz w:val="24"/>
                <w:szCs w:val="28"/>
                <w:highlight w:val="none"/>
              </w:rPr>
              <w:t>页</w:t>
            </w:r>
          </w:p>
        </w:tc>
      </w:tr>
    </w:tbl>
    <w:p>
      <w:pPr>
        <w:spacing w:line="360" w:lineRule="auto"/>
        <w:ind w:right="420"/>
        <w:rPr>
          <w:rFonts w:ascii="仿宋" w:hAnsi="仿宋" w:eastAsia="仿宋" w:cs="仿宋"/>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 xml:space="preserve">            </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pPr>
        <w:snapToGrid w:val="0"/>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五、评审标准相应的商务技术资料</w:t>
      </w:r>
    </w:p>
    <w:p>
      <w:pPr>
        <w:snapToGrid w:val="0"/>
        <w:spacing w:line="360" w:lineRule="auto"/>
        <w:jc w:val="center"/>
        <w:rPr>
          <w:rFonts w:ascii="仿宋" w:hAnsi="仿宋" w:eastAsia="仿宋" w:cs="仿宋"/>
          <w:b/>
          <w:color w:val="auto"/>
          <w:sz w:val="24"/>
          <w:highlight w:val="none"/>
        </w:rPr>
      </w:pPr>
    </w:p>
    <w:p>
      <w:pPr>
        <w:snapToGrid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（按磋商文件第五部分评审办法提供资料）</w:t>
      </w:r>
    </w:p>
    <w:p>
      <w:pPr>
        <w:snapToGrid w:val="0"/>
        <w:jc w:val="center"/>
        <w:rPr>
          <w:rFonts w:hint="eastAsia" w:ascii="仿宋" w:hAnsi="仿宋" w:eastAsia="仿宋" w:cs="仿宋"/>
          <w:b/>
          <w:bCs/>
          <w:color w:val="auto"/>
          <w:sz w:val="32"/>
          <w:szCs w:val="32"/>
          <w:highlight w:val="none"/>
        </w:rPr>
      </w:pPr>
    </w:p>
    <w:p>
      <w:pPr>
        <w:snapToGrid w:val="0"/>
        <w:jc w:val="center"/>
        <w:rPr>
          <w:rFonts w:hint="eastAsia" w:ascii="仿宋" w:hAnsi="仿宋" w:eastAsia="仿宋" w:cs="仿宋"/>
          <w:b/>
          <w:bCs/>
          <w:color w:val="auto"/>
          <w:sz w:val="32"/>
          <w:szCs w:val="32"/>
          <w:highlight w:val="none"/>
        </w:rPr>
      </w:pPr>
    </w:p>
    <w:p>
      <w:pPr>
        <w:snapToGrid w:val="0"/>
        <w:jc w:val="center"/>
        <w:rPr>
          <w:rFonts w:hint="eastAsia" w:ascii="仿宋" w:hAnsi="仿宋" w:eastAsia="仿宋" w:cs="仿宋"/>
          <w:b/>
          <w:bCs/>
          <w:color w:val="auto"/>
          <w:sz w:val="32"/>
          <w:szCs w:val="32"/>
          <w:highlight w:val="none"/>
        </w:rPr>
      </w:pPr>
    </w:p>
    <w:p>
      <w:pPr>
        <w:snapToGrid w:val="0"/>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六、投标标的清单</w:t>
      </w:r>
    </w:p>
    <w:tbl>
      <w:tblPr>
        <w:tblStyle w:val="63"/>
        <w:tblW w:w="9676" w:type="dxa"/>
        <w:tblInd w:w="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815"/>
        <w:gridCol w:w="956"/>
        <w:gridCol w:w="4522"/>
        <w:gridCol w:w="624"/>
        <w:gridCol w:w="1115"/>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581" w:type="dxa"/>
            <w:vAlign w:val="center"/>
          </w:tcPr>
          <w:p>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序号</w:t>
            </w:r>
          </w:p>
        </w:tc>
        <w:tc>
          <w:tcPr>
            <w:tcW w:w="815" w:type="dxa"/>
            <w:vAlign w:val="center"/>
          </w:tcPr>
          <w:p>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名称</w:t>
            </w:r>
          </w:p>
        </w:tc>
        <w:tc>
          <w:tcPr>
            <w:tcW w:w="956" w:type="dxa"/>
            <w:vAlign w:val="center"/>
          </w:tcPr>
          <w:p>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规格型号</w:t>
            </w:r>
          </w:p>
        </w:tc>
        <w:tc>
          <w:tcPr>
            <w:tcW w:w="4522" w:type="dxa"/>
            <w:vAlign w:val="center"/>
          </w:tcPr>
          <w:p>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主要功能、技术参数（请响应供应商必须详细列出所投货物具体参数、指标和性能）</w:t>
            </w:r>
          </w:p>
        </w:tc>
        <w:tc>
          <w:tcPr>
            <w:tcW w:w="624" w:type="dxa"/>
            <w:vAlign w:val="center"/>
          </w:tcPr>
          <w:p>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数量</w:t>
            </w:r>
          </w:p>
        </w:tc>
        <w:tc>
          <w:tcPr>
            <w:tcW w:w="1115" w:type="dxa"/>
            <w:vAlign w:val="center"/>
          </w:tcPr>
          <w:p>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品牌</w:t>
            </w:r>
          </w:p>
          <w:p>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产地</w:t>
            </w:r>
          </w:p>
        </w:tc>
        <w:tc>
          <w:tcPr>
            <w:tcW w:w="1063" w:type="dxa"/>
            <w:vAlign w:val="center"/>
          </w:tcPr>
          <w:p>
            <w:pPr>
              <w:jc w:val="center"/>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581" w:type="dxa"/>
          </w:tcPr>
          <w:p>
            <w:pPr>
              <w:spacing w:line="500" w:lineRule="exact"/>
              <w:ind w:firstLine="480"/>
              <w:rPr>
                <w:rFonts w:ascii="宋体" w:hAnsi="宋体" w:cs="宋体"/>
                <w:color w:val="auto"/>
                <w:szCs w:val="21"/>
                <w:highlight w:val="none"/>
              </w:rPr>
            </w:pPr>
          </w:p>
        </w:tc>
        <w:tc>
          <w:tcPr>
            <w:tcW w:w="815" w:type="dxa"/>
          </w:tcPr>
          <w:p>
            <w:pPr>
              <w:spacing w:line="500" w:lineRule="exact"/>
              <w:ind w:firstLine="480"/>
              <w:rPr>
                <w:rFonts w:ascii="宋体" w:hAnsi="宋体" w:cs="宋体"/>
                <w:color w:val="auto"/>
                <w:szCs w:val="21"/>
                <w:highlight w:val="none"/>
              </w:rPr>
            </w:pPr>
          </w:p>
        </w:tc>
        <w:tc>
          <w:tcPr>
            <w:tcW w:w="956" w:type="dxa"/>
          </w:tcPr>
          <w:p>
            <w:pPr>
              <w:spacing w:line="500" w:lineRule="exact"/>
              <w:ind w:firstLine="480"/>
              <w:rPr>
                <w:rFonts w:ascii="宋体" w:hAnsi="宋体" w:cs="宋体"/>
                <w:color w:val="auto"/>
                <w:szCs w:val="21"/>
                <w:highlight w:val="none"/>
              </w:rPr>
            </w:pPr>
          </w:p>
        </w:tc>
        <w:tc>
          <w:tcPr>
            <w:tcW w:w="4522" w:type="dxa"/>
          </w:tcPr>
          <w:p>
            <w:pPr>
              <w:spacing w:line="500" w:lineRule="exact"/>
              <w:ind w:firstLine="480"/>
              <w:rPr>
                <w:rFonts w:ascii="宋体" w:hAnsi="宋体" w:cs="宋体"/>
                <w:color w:val="auto"/>
                <w:szCs w:val="21"/>
                <w:highlight w:val="none"/>
              </w:rPr>
            </w:pPr>
          </w:p>
        </w:tc>
        <w:tc>
          <w:tcPr>
            <w:tcW w:w="624" w:type="dxa"/>
          </w:tcPr>
          <w:p>
            <w:pPr>
              <w:spacing w:line="500" w:lineRule="exact"/>
              <w:ind w:firstLine="480"/>
              <w:rPr>
                <w:rFonts w:ascii="宋体" w:hAnsi="宋体" w:cs="宋体"/>
                <w:color w:val="auto"/>
                <w:szCs w:val="21"/>
                <w:highlight w:val="none"/>
              </w:rPr>
            </w:pPr>
          </w:p>
        </w:tc>
        <w:tc>
          <w:tcPr>
            <w:tcW w:w="1115" w:type="dxa"/>
          </w:tcPr>
          <w:p>
            <w:pPr>
              <w:spacing w:line="500" w:lineRule="exact"/>
              <w:ind w:firstLine="480"/>
              <w:rPr>
                <w:rFonts w:ascii="宋体" w:hAnsi="宋体" w:cs="宋体"/>
                <w:color w:val="auto"/>
                <w:szCs w:val="21"/>
                <w:highlight w:val="none"/>
              </w:rPr>
            </w:pPr>
          </w:p>
        </w:tc>
        <w:tc>
          <w:tcPr>
            <w:tcW w:w="1063" w:type="dxa"/>
          </w:tcPr>
          <w:p>
            <w:pPr>
              <w:spacing w:line="500" w:lineRule="exact"/>
              <w:ind w:firstLine="48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581" w:type="dxa"/>
          </w:tcPr>
          <w:p>
            <w:pPr>
              <w:spacing w:line="500" w:lineRule="exact"/>
              <w:ind w:firstLine="480"/>
              <w:rPr>
                <w:rFonts w:ascii="宋体" w:hAnsi="宋体" w:cs="宋体"/>
                <w:color w:val="auto"/>
                <w:szCs w:val="21"/>
                <w:highlight w:val="none"/>
              </w:rPr>
            </w:pPr>
          </w:p>
        </w:tc>
        <w:tc>
          <w:tcPr>
            <w:tcW w:w="815" w:type="dxa"/>
          </w:tcPr>
          <w:p>
            <w:pPr>
              <w:spacing w:line="500" w:lineRule="exact"/>
              <w:ind w:firstLine="480"/>
              <w:rPr>
                <w:rFonts w:ascii="宋体" w:hAnsi="宋体" w:cs="宋体"/>
                <w:color w:val="auto"/>
                <w:szCs w:val="21"/>
                <w:highlight w:val="none"/>
              </w:rPr>
            </w:pPr>
          </w:p>
        </w:tc>
        <w:tc>
          <w:tcPr>
            <w:tcW w:w="956" w:type="dxa"/>
          </w:tcPr>
          <w:p>
            <w:pPr>
              <w:spacing w:line="500" w:lineRule="exact"/>
              <w:ind w:firstLine="480"/>
              <w:rPr>
                <w:rFonts w:ascii="宋体" w:hAnsi="宋体" w:cs="宋体"/>
                <w:color w:val="auto"/>
                <w:szCs w:val="21"/>
                <w:highlight w:val="none"/>
              </w:rPr>
            </w:pPr>
          </w:p>
        </w:tc>
        <w:tc>
          <w:tcPr>
            <w:tcW w:w="4522" w:type="dxa"/>
          </w:tcPr>
          <w:p>
            <w:pPr>
              <w:spacing w:line="500" w:lineRule="exact"/>
              <w:ind w:firstLine="480"/>
              <w:rPr>
                <w:rFonts w:ascii="宋体" w:hAnsi="宋体" w:cs="宋体"/>
                <w:color w:val="auto"/>
                <w:szCs w:val="21"/>
                <w:highlight w:val="none"/>
              </w:rPr>
            </w:pPr>
          </w:p>
        </w:tc>
        <w:tc>
          <w:tcPr>
            <w:tcW w:w="624" w:type="dxa"/>
          </w:tcPr>
          <w:p>
            <w:pPr>
              <w:spacing w:line="500" w:lineRule="exact"/>
              <w:ind w:firstLine="480"/>
              <w:rPr>
                <w:rFonts w:ascii="宋体" w:hAnsi="宋体" w:cs="宋体"/>
                <w:color w:val="auto"/>
                <w:szCs w:val="21"/>
                <w:highlight w:val="none"/>
              </w:rPr>
            </w:pPr>
          </w:p>
        </w:tc>
        <w:tc>
          <w:tcPr>
            <w:tcW w:w="1115" w:type="dxa"/>
          </w:tcPr>
          <w:p>
            <w:pPr>
              <w:spacing w:line="500" w:lineRule="exact"/>
              <w:ind w:firstLine="480"/>
              <w:rPr>
                <w:rFonts w:ascii="宋体" w:hAnsi="宋体" w:cs="宋体"/>
                <w:color w:val="auto"/>
                <w:szCs w:val="21"/>
                <w:highlight w:val="none"/>
              </w:rPr>
            </w:pPr>
          </w:p>
        </w:tc>
        <w:tc>
          <w:tcPr>
            <w:tcW w:w="1063" w:type="dxa"/>
          </w:tcPr>
          <w:p>
            <w:pPr>
              <w:spacing w:line="500" w:lineRule="exact"/>
              <w:ind w:firstLine="48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81" w:type="dxa"/>
          </w:tcPr>
          <w:p>
            <w:pPr>
              <w:spacing w:line="500" w:lineRule="exact"/>
              <w:ind w:firstLine="480"/>
              <w:rPr>
                <w:rFonts w:ascii="宋体" w:hAnsi="宋体" w:cs="宋体"/>
                <w:color w:val="auto"/>
                <w:szCs w:val="21"/>
                <w:highlight w:val="none"/>
              </w:rPr>
            </w:pPr>
          </w:p>
        </w:tc>
        <w:tc>
          <w:tcPr>
            <w:tcW w:w="815" w:type="dxa"/>
          </w:tcPr>
          <w:p>
            <w:pPr>
              <w:spacing w:line="500" w:lineRule="exact"/>
              <w:ind w:firstLine="480"/>
              <w:rPr>
                <w:rFonts w:ascii="宋体" w:hAnsi="宋体" w:cs="宋体"/>
                <w:color w:val="auto"/>
                <w:szCs w:val="21"/>
                <w:highlight w:val="none"/>
              </w:rPr>
            </w:pPr>
          </w:p>
        </w:tc>
        <w:tc>
          <w:tcPr>
            <w:tcW w:w="956" w:type="dxa"/>
          </w:tcPr>
          <w:p>
            <w:pPr>
              <w:spacing w:line="500" w:lineRule="exact"/>
              <w:ind w:firstLine="480"/>
              <w:rPr>
                <w:rFonts w:ascii="宋体" w:hAnsi="宋体" w:cs="宋体"/>
                <w:color w:val="auto"/>
                <w:szCs w:val="21"/>
                <w:highlight w:val="none"/>
              </w:rPr>
            </w:pPr>
          </w:p>
        </w:tc>
        <w:tc>
          <w:tcPr>
            <w:tcW w:w="4522" w:type="dxa"/>
          </w:tcPr>
          <w:p>
            <w:pPr>
              <w:spacing w:line="500" w:lineRule="exact"/>
              <w:ind w:firstLine="480"/>
              <w:rPr>
                <w:rFonts w:ascii="宋体" w:hAnsi="宋体" w:cs="宋体"/>
                <w:color w:val="auto"/>
                <w:szCs w:val="21"/>
                <w:highlight w:val="none"/>
              </w:rPr>
            </w:pPr>
          </w:p>
        </w:tc>
        <w:tc>
          <w:tcPr>
            <w:tcW w:w="624" w:type="dxa"/>
          </w:tcPr>
          <w:p>
            <w:pPr>
              <w:spacing w:line="500" w:lineRule="exact"/>
              <w:ind w:firstLine="480"/>
              <w:rPr>
                <w:rFonts w:ascii="宋体" w:hAnsi="宋体" w:cs="宋体"/>
                <w:color w:val="auto"/>
                <w:szCs w:val="21"/>
                <w:highlight w:val="none"/>
              </w:rPr>
            </w:pPr>
          </w:p>
        </w:tc>
        <w:tc>
          <w:tcPr>
            <w:tcW w:w="1115" w:type="dxa"/>
          </w:tcPr>
          <w:p>
            <w:pPr>
              <w:spacing w:line="500" w:lineRule="exact"/>
              <w:ind w:firstLine="480"/>
              <w:rPr>
                <w:rFonts w:ascii="宋体" w:hAnsi="宋体" w:cs="宋体"/>
                <w:color w:val="auto"/>
                <w:szCs w:val="21"/>
                <w:highlight w:val="none"/>
              </w:rPr>
            </w:pPr>
          </w:p>
        </w:tc>
        <w:tc>
          <w:tcPr>
            <w:tcW w:w="1063" w:type="dxa"/>
          </w:tcPr>
          <w:p>
            <w:pPr>
              <w:spacing w:line="500" w:lineRule="exact"/>
              <w:ind w:firstLine="480"/>
              <w:rPr>
                <w:rFonts w:ascii="宋体" w:hAnsi="宋体" w:cs="宋体"/>
                <w:color w:val="auto"/>
                <w:szCs w:val="21"/>
                <w:highlight w:val="none"/>
              </w:rPr>
            </w:pPr>
          </w:p>
        </w:tc>
      </w:tr>
    </w:tbl>
    <w:p>
      <w:pPr>
        <w:jc w:val="center"/>
        <w:rPr>
          <w:rFonts w:ascii="仿宋_GB2312" w:hAnsi="仿宋" w:eastAsia="仿宋_GB2312" w:cs="仿宋_GB2312"/>
          <w:b/>
          <w:color w:val="auto"/>
          <w:kern w:val="0"/>
          <w:sz w:val="32"/>
          <w:szCs w:val="32"/>
          <w:highlight w:val="none"/>
        </w:rPr>
      </w:pPr>
    </w:p>
    <w:p>
      <w:pPr>
        <w:rPr>
          <w:rFonts w:hint="eastAsia" w:ascii="仿宋" w:hAnsi="仿宋" w:eastAsia="仿宋" w:cs="仿宋"/>
          <w:b/>
          <w:bCs/>
          <w:color w:val="auto"/>
          <w:sz w:val="32"/>
          <w:szCs w:val="32"/>
          <w:highlight w:val="none"/>
        </w:rPr>
      </w:pPr>
    </w:p>
    <w:p>
      <w:pP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pPr>
        <w:snapToGrid w:val="0"/>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bCs/>
          <w:color w:val="auto"/>
          <w:sz w:val="32"/>
          <w:szCs w:val="32"/>
          <w:highlight w:val="none"/>
        </w:rPr>
        <w:t>、商务技术偏离表</w:t>
      </w:r>
    </w:p>
    <w:p>
      <w:pPr>
        <w:pStyle w:val="62"/>
        <w:ind w:left="840" w:leftChars="400" w:firstLine="0" w:firstLineChars="0"/>
        <w:rPr>
          <w:rFonts w:ascii="仿宋" w:hAnsi="仿宋" w:eastAsia="仿宋" w:cs="仿宋"/>
          <w:color w:val="auto"/>
          <w:highlight w:val="none"/>
        </w:rPr>
      </w:pP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354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磋商响应文件章节及具体内容</w:t>
            </w:r>
          </w:p>
        </w:tc>
        <w:tc>
          <w:tcPr>
            <w:tcW w:w="127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bl>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填表说明：</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（1）对</w:t>
      </w:r>
      <w:r>
        <w:rPr>
          <w:rFonts w:hint="eastAsia" w:ascii="仿宋" w:hAnsi="仿宋" w:eastAsia="仿宋" w:cs="仿宋"/>
          <w:color w:val="auto"/>
          <w:sz w:val="24"/>
          <w:highlight w:val="none"/>
        </w:rPr>
        <w:t>磋商</w:t>
      </w:r>
      <w:r>
        <w:rPr>
          <w:rFonts w:hint="eastAsia" w:ascii="仿宋" w:hAnsi="仿宋" w:eastAsia="仿宋" w:cs="仿宋"/>
          <w:color w:val="auto"/>
          <w:kern w:val="0"/>
          <w:sz w:val="24"/>
          <w:highlight w:val="none"/>
          <w:lang w:val="zh-CN"/>
        </w:rPr>
        <w:t>文件有任何偏离（包括正偏离及负偏离）均应汇总并填写在此表中。</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（2）完全满足</w:t>
      </w:r>
      <w:r>
        <w:rPr>
          <w:rFonts w:hint="eastAsia" w:ascii="仿宋" w:hAnsi="仿宋" w:eastAsia="仿宋" w:cs="仿宋"/>
          <w:color w:val="auto"/>
          <w:sz w:val="24"/>
          <w:highlight w:val="none"/>
        </w:rPr>
        <w:t>磋商</w:t>
      </w:r>
      <w:r>
        <w:rPr>
          <w:rFonts w:hint="eastAsia" w:ascii="仿宋" w:hAnsi="仿宋" w:eastAsia="仿宋" w:cs="仿宋"/>
          <w:color w:val="auto"/>
          <w:kern w:val="0"/>
          <w:sz w:val="24"/>
          <w:highlight w:val="none"/>
          <w:lang w:val="zh-CN"/>
        </w:rPr>
        <w:t>文件要求的供应商只需填写【完全满足</w:t>
      </w:r>
      <w:r>
        <w:rPr>
          <w:rFonts w:hint="eastAsia" w:ascii="仿宋" w:hAnsi="仿宋" w:eastAsia="仿宋" w:cs="仿宋"/>
          <w:color w:val="auto"/>
          <w:sz w:val="24"/>
          <w:highlight w:val="none"/>
        </w:rPr>
        <w:t>磋商</w:t>
      </w:r>
      <w:r>
        <w:rPr>
          <w:rFonts w:hint="eastAsia" w:ascii="仿宋" w:hAnsi="仿宋" w:eastAsia="仿宋" w:cs="仿宋"/>
          <w:color w:val="auto"/>
          <w:kern w:val="0"/>
          <w:sz w:val="24"/>
          <w:highlight w:val="none"/>
          <w:lang w:val="zh-CN"/>
        </w:rPr>
        <w:t>文件的全部要求】。</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（3）若供应商以未在偏离表中列出的负偏离为由，不按</w:t>
      </w:r>
      <w:r>
        <w:rPr>
          <w:rFonts w:hint="eastAsia" w:ascii="仿宋" w:hAnsi="仿宋" w:eastAsia="仿宋" w:cs="仿宋"/>
          <w:color w:val="auto"/>
          <w:sz w:val="24"/>
          <w:highlight w:val="none"/>
        </w:rPr>
        <w:t>磋商</w:t>
      </w:r>
      <w:r>
        <w:rPr>
          <w:rFonts w:hint="eastAsia" w:ascii="仿宋" w:hAnsi="仿宋" w:eastAsia="仿宋" w:cs="仿宋"/>
          <w:color w:val="auto"/>
          <w:kern w:val="0"/>
          <w:sz w:val="24"/>
          <w:highlight w:val="none"/>
          <w:lang w:val="zh-CN"/>
        </w:rPr>
        <w:t>文件要求签约，采购人有权取消该供应商的成交资格，并按有关规定重新确定成交供应商或另行采购。</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w:t>
      </w:r>
      <w:r>
        <w:rPr>
          <w:rFonts w:hint="eastAsia" w:ascii="仿宋" w:hAnsi="仿宋" w:eastAsia="仿宋" w:cs="仿宋"/>
          <w:color w:val="auto"/>
          <w:sz w:val="24"/>
          <w:highlight w:val="none"/>
        </w:rPr>
        <w:t>磋商</w:t>
      </w:r>
      <w:r>
        <w:rPr>
          <w:rFonts w:hint="eastAsia" w:ascii="仿宋" w:hAnsi="仿宋" w:eastAsia="仿宋" w:cs="仿宋"/>
          <w:color w:val="auto"/>
          <w:kern w:val="0"/>
          <w:sz w:val="24"/>
          <w:highlight w:val="none"/>
          <w:lang w:val="zh-CN"/>
        </w:rPr>
        <w:t>响应文件响应内容对</w:t>
      </w:r>
      <w:r>
        <w:rPr>
          <w:rFonts w:hint="eastAsia" w:ascii="仿宋" w:hAnsi="仿宋" w:eastAsia="仿宋" w:cs="仿宋"/>
          <w:color w:val="auto"/>
          <w:sz w:val="24"/>
          <w:highlight w:val="none"/>
        </w:rPr>
        <w:t>磋商</w:t>
      </w:r>
      <w:r>
        <w:rPr>
          <w:rFonts w:hint="eastAsia" w:ascii="仿宋" w:hAnsi="仿宋" w:eastAsia="仿宋" w:cs="仿宋"/>
          <w:color w:val="auto"/>
          <w:kern w:val="0"/>
          <w:sz w:val="24"/>
          <w:highlight w:val="none"/>
          <w:lang w:val="zh-CN"/>
        </w:rPr>
        <w:t>文件要求如有偏离均应填写偏离表，如不填写，采购人有权视作</w:t>
      </w:r>
      <w:r>
        <w:rPr>
          <w:rFonts w:hint="eastAsia" w:ascii="仿宋" w:hAnsi="仿宋" w:eastAsia="仿宋" w:cs="仿宋"/>
          <w:color w:val="auto"/>
          <w:sz w:val="24"/>
          <w:highlight w:val="none"/>
        </w:rPr>
        <w:t>磋商</w:t>
      </w:r>
      <w:r>
        <w:rPr>
          <w:rFonts w:hint="eastAsia" w:ascii="仿宋" w:hAnsi="仿宋" w:eastAsia="仿宋" w:cs="仿宋"/>
          <w:color w:val="auto"/>
          <w:kern w:val="0"/>
          <w:sz w:val="24"/>
          <w:highlight w:val="none"/>
          <w:lang w:val="zh-CN"/>
        </w:rPr>
        <w:t>响应文件完全响应</w:t>
      </w:r>
      <w:r>
        <w:rPr>
          <w:rFonts w:hint="eastAsia" w:ascii="仿宋" w:hAnsi="仿宋" w:eastAsia="仿宋" w:cs="仿宋"/>
          <w:color w:val="auto"/>
          <w:sz w:val="24"/>
          <w:highlight w:val="none"/>
        </w:rPr>
        <w:t>磋商</w:t>
      </w:r>
      <w:r>
        <w:rPr>
          <w:rFonts w:hint="eastAsia" w:ascii="仿宋" w:hAnsi="仿宋" w:eastAsia="仿宋" w:cs="仿宋"/>
          <w:color w:val="auto"/>
          <w:kern w:val="0"/>
          <w:sz w:val="24"/>
          <w:highlight w:val="none"/>
          <w:lang w:val="zh-CN"/>
        </w:rPr>
        <w:t>文件要求。</w:t>
      </w:r>
    </w:p>
    <w:p>
      <w:pP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pPr>
        <w:snapToGrid w:val="0"/>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ascii="仿宋" w:hAnsi="仿宋" w:eastAsia="仿宋" w:cs="仿宋"/>
          <w:color w:val="auto"/>
          <w:sz w:val="24"/>
          <w:highlight w:val="none"/>
        </w:rPr>
      </w:pPr>
    </w:p>
    <w:p>
      <w:pPr>
        <w:shd w:val="clear" w:color="auto" w:fill="FFFFFF"/>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浙江交通职业技术学院、杭州博实招标代理有限公司：</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五、不为项目有关人员个人装修住房、婚丧嫁娶、配偶子女工作安排等提供好处；</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六、严格遵守《中华人民共和国政府采购法》《中华人民共和国招标投标法》《中华人民共和国民法典》等法律法规，诚实守信，合法经营，坚决抵制各种违法违纪行为。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ascii="仿宋" w:hAnsi="仿宋" w:eastAsia="仿宋" w:cs="仿宋"/>
          <w:color w:val="auto"/>
          <w:kern w:val="0"/>
          <w:sz w:val="24"/>
          <w:highlight w:val="none"/>
        </w:rPr>
        <w:t>省财政厅</w:t>
      </w:r>
      <w:r>
        <w:rPr>
          <w:rFonts w:hint="eastAsia" w:ascii="仿宋" w:hAnsi="仿宋" w:eastAsia="仿宋" w:cs="仿宋"/>
          <w:color w:val="auto"/>
          <w:kern w:val="0"/>
          <w:sz w:val="24"/>
          <w:highlight w:val="none"/>
          <w:lang w:val="zh-CN"/>
        </w:rPr>
        <w:t>。由此引起的相应损失均由我单位承担。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snapToGrid w:val="0"/>
        <w:spacing w:line="360" w:lineRule="auto"/>
        <w:ind w:firstLine="4560" w:firstLineChars="1900"/>
        <w:rPr>
          <w:rFonts w:ascii="仿宋" w:hAnsi="仿宋" w:eastAsia="仿宋" w:cs="仿宋"/>
          <w:color w:val="auto"/>
          <w:sz w:val="24"/>
          <w:highlight w:val="none"/>
        </w:rPr>
      </w:pPr>
      <w:r>
        <w:rPr>
          <w:rFonts w:hint="eastAsia" w:ascii="仿宋" w:hAnsi="仿宋" w:eastAsia="仿宋" w:cs="仿宋"/>
          <w:color w:val="auto"/>
          <w:sz w:val="24"/>
          <w:highlight w:val="none"/>
        </w:rPr>
        <w:t>响应供应商</w:t>
      </w:r>
      <w:r>
        <w:rPr>
          <w:rFonts w:hint="eastAsia" w:ascii="仿宋" w:hAnsi="仿宋" w:eastAsia="仿宋" w:cs="仿宋"/>
          <w:color w:val="auto"/>
          <w:sz w:val="24"/>
          <w:highlight w:val="none"/>
          <w:lang w:val="zh-CN"/>
        </w:rPr>
        <w:t>名称(电子签名)：</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日期</w:t>
      </w:r>
      <w:r>
        <w:rPr>
          <w:rFonts w:hint="eastAsia" w:ascii="仿宋" w:hAnsi="仿宋" w:eastAsia="仿宋" w:cs="仿宋"/>
          <w:color w:val="auto"/>
          <w:sz w:val="24"/>
          <w:highlight w:val="none"/>
        </w:rPr>
        <w:t xml:space="preserve">：  年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日</w:t>
      </w:r>
    </w:p>
    <w:p>
      <w:pPr>
        <w:spacing w:line="360" w:lineRule="auto"/>
        <w:jc w:val="center"/>
        <w:rPr>
          <w:rFonts w:ascii="仿宋" w:hAnsi="仿宋" w:eastAsia="仿宋" w:cs="仿宋"/>
          <w:b/>
          <w:bCs/>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 w:hAnsi="仿宋" w:eastAsia="仿宋" w:cs="仿宋"/>
          <w:b/>
          <w:bCs/>
          <w:color w:val="auto"/>
          <w:sz w:val="24"/>
          <w:highlight w:val="none"/>
        </w:rPr>
        <w:sectPr>
          <w:footerReference r:id="rId8" w:type="first"/>
          <w:footerReference r:id="rId7" w:type="default"/>
          <w:pgSz w:w="11906" w:h="16838"/>
          <w:pgMar w:top="1440" w:right="1417" w:bottom="1440" w:left="1417" w:header="851" w:footer="992" w:gutter="0"/>
          <w:cols w:space="720" w:num="1"/>
          <w:titlePg/>
          <w:rtlGutter w:val="0"/>
          <w:docGrid w:linePitch="312" w:charSpace="0"/>
        </w:sect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（1）初次报价一览表………………………………………………………………（页码）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（2）最后报价一览表（此表在项目评审时提供）………………………………（页码）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（3）中小企业声明函………………………………………………………………（页码）</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pStyle w:val="697"/>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footerReference r:id="rId11" w:type="first"/>
          <w:headerReference r:id="rId9" w:type="default"/>
          <w:footerReference r:id="rId10" w:type="default"/>
          <w:pgSz w:w="11906" w:h="16838"/>
          <w:pgMar w:top="1440" w:right="1417" w:bottom="1440" w:left="1417" w:header="851" w:footer="992" w:gutter="0"/>
          <w:cols w:space="720" w:num="1"/>
          <w:titlePg/>
          <w:rtlGutter w:val="0"/>
          <w:docGrid w:linePitch="312" w:charSpace="0"/>
        </w:sectPr>
      </w:pPr>
    </w:p>
    <w:p>
      <w:pPr>
        <w:pStyle w:val="697"/>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一、初次报价一览表</w:t>
      </w:r>
    </w:p>
    <w:p>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浙江交通职业技术学院、杭州博实招标代理有限公司</w:t>
      </w:r>
      <w:r>
        <w:rPr>
          <w:rFonts w:hint="eastAsia" w:ascii="仿宋" w:hAnsi="仿宋" w:eastAsia="仿宋" w:cs="仿宋"/>
          <w:color w:val="auto"/>
          <w:sz w:val="24"/>
          <w:highlight w:val="none"/>
          <w:lang w:val="zh-CN"/>
        </w:rPr>
        <w:t>：</w:t>
      </w:r>
    </w:p>
    <w:p>
      <w:pPr>
        <w:widowControl/>
        <w:spacing w:line="360"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按你方磋商文件要求，</w:t>
      </w:r>
      <w:r>
        <w:rPr>
          <w:rFonts w:hint="eastAsia" w:ascii="仿宋" w:hAnsi="仿宋" w:eastAsia="仿宋" w:cs="仿宋"/>
          <w:color w:val="auto"/>
          <w:sz w:val="24"/>
          <w:highlight w:val="none"/>
        </w:rPr>
        <w:t>我们即</w:t>
      </w:r>
      <w:r>
        <w:rPr>
          <w:rFonts w:hint="eastAsia" w:ascii="仿宋" w:hAnsi="仿宋" w:eastAsia="仿宋" w:cs="仿宋"/>
          <w:color w:val="auto"/>
          <w:sz w:val="24"/>
          <w:highlight w:val="none"/>
          <w:lang w:val="zh-CN"/>
        </w:rPr>
        <w:t>本响应文件签字方，谨此向你方发出要约如下：如你方接受本响应，我方承诺按照如下报价表的价格完成</w:t>
      </w:r>
      <w:r>
        <w:rPr>
          <w:rFonts w:hint="eastAsia" w:ascii="仿宋" w:hAnsi="仿宋" w:eastAsia="仿宋" w:cs="仿宋"/>
          <w:color w:val="auto"/>
          <w:sz w:val="24"/>
          <w:highlight w:val="none"/>
          <w:u w:val="single"/>
        </w:rPr>
        <w:t>浙江交通职业技术学院</w:t>
      </w:r>
      <w:r>
        <w:rPr>
          <w:rFonts w:hint="eastAsia" w:ascii="仿宋" w:hAnsi="仿宋" w:eastAsia="仿宋" w:cs="仿宋"/>
          <w:color w:val="auto"/>
          <w:sz w:val="24"/>
          <w:highlight w:val="none"/>
          <w:u w:val="single"/>
          <w:lang w:eastAsia="zh-CN"/>
        </w:rPr>
        <w:t>新能源汽车充电桩系统建设</w:t>
      </w:r>
      <w:r>
        <w:rPr>
          <w:rFonts w:hint="eastAsia" w:ascii="仿宋" w:hAnsi="仿宋" w:eastAsia="仿宋" w:cs="仿宋"/>
          <w:color w:val="auto"/>
          <w:sz w:val="24"/>
          <w:highlight w:val="none"/>
          <w:u w:val="single"/>
        </w:rPr>
        <w:t>项目【项目编号：</w:t>
      </w:r>
      <w:r>
        <w:rPr>
          <w:rFonts w:hint="eastAsia" w:ascii="仿宋" w:hAnsi="仿宋" w:eastAsia="仿宋" w:cs="仿宋"/>
          <w:color w:val="auto"/>
          <w:sz w:val="24"/>
          <w:highlight w:val="none"/>
          <w:u w:val="single"/>
          <w:lang w:eastAsia="zh-CN"/>
        </w:rPr>
        <w:t>BSZB2024-AZZC131</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lang w:val="zh-CN"/>
        </w:rPr>
        <w:t>的实施。</w:t>
      </w:r>
    </w:p>
    <w:p>
      <w:pPr>
        <w:snapToGrid w:val="0"/>
        <w:spacing w:line="360" w:lineRule="auto"/>
        <w:ind w:left="480"/>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rPr>
        <w:t>初次</w:t>
      </w:r>
      <w:r>
        <w:rPr>
          <w:rFonts w:hint="eastAsia" w:ascii="仿宋" w:hAnsi="仿宋" w:eastAsia="仿宋" w:cs="仿宋"/>
          <w:b/>
          <w:color w:val="auto"/>
          <w:kern w:val="0"/>
          <w:sz w:val="24"/>
          <w:highlight w:val="none"/>
          <w:lang w:val="zh-CN"/>
        </w:rPr>
        <w:t>报价一览表(单位均为人民币元)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440"/>
        <w:gridCol w:w="1845"/>
        <w:gridCol w:w="2729"/>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898" w:type="dxa"/>
            <w:vAlign w:val="center"/>
          </w:tcPr>
          <w:p>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40" w:type="dxa"/>
            <w:vAlign w:val="center"/>
          </w:tcPr>
          <w:p>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5" w:type="dxa"/>
            <w:vAlign w:val="center"/>
          </w:tcPr>
          <w:p>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w:t>
            </w:r>
          </w:p>
          <w:p>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（如果有）</w:t>
            </w:r>
          </w:p>
        </w:tc>
        <w:tc>
          <w:tcPr>
            <w:tcW w:w="2729" w:type="dxa"/>
            <w:vAlign w:val="center"/>
          </w:tcPr>
          <w:p>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spacing w:line="400" w:lineRule="exact"/>
              <w:jc w:val="center"/>
              <w:rPr>
                <w:rFonts w:ascii="仿宋" w:hAnsi="仿宋" w:eastAsia="仿宋" w:cs="仿宋"/>
                <w:b/>
                <w:color w:val="auto"/>
                <w:sz w:val="24"/>
                <w:highlight w:val="none"/>
              </w:rPr>
            </w:pPr>
          </w:p>
          <w:p>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400" w:lineRule="exact"/>
              <w:jc w:val="center"/>
              <w:rPr>
                <w:rFonts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98" w:type="dxa"/>
            <w:vAlign w:val="center"/>
          </w:tcPr>
          <w:p>
            <w:pPr>
              <w:spacing w:line="360" w:lineRule="auto"/>
              <w:jc w:val="center"/>
              <w:rPr>
                <w:rFonts w:ascii="仿宋" w:hAnsi="仿宋" w:eastAsia="仿宋" w:cs="仿宋"/>
                <w:bCs/>
                <w:color w:val="auto"/>
                <w:sz w:val="24"/>
                <w:highlight w:val="none"/>
              </w:rPr>
            </w:pPr>
          </w:p>
        </w:tc>
        <w:tc>
          <w:tcPr>
            <w:tcW w:w="1440" w:type="dxa"/>
            <w:vAlign w:val="center"/>
          </w:tcPr>
          <w:p>
            <w:pPr>
              <w:spacing w:line="360" w:lineRule="auto"/>
              <w:jc w:val="center"/>
              <w:rPr>
                <w:rFonts w:ascii="仿宋" w:hAnsi="仿宋" w:eastAsia="仿宋" w:cs="仿宋"/>
                <w:bCs/>
                <w:color w:val="auto"/>
                <w:sz w:val="24"/>
                <w:highlight w:val="none"/>
              </w:rPr>
            </w:pPr>
          </w:p>
        </w:tc>
        <w:tc>
          <w:tcPr>
            <w:tcW w:w="1845" w:type="dxa"/>
            <w:vAlign w:val="center"/>
          </w:tcPr>
          <w:p>
            <w:pPr>
              <w:snapToGrid w:val="0"/>
              <w:spacing w:line="360" w:lineRule="auto"/>
              <w:jc w:val="center"/>
              <w:rPr>
                <w:rFonts w:ascii="仿宋" w:hAnsi="仿宋" w:eastAsia="仿宋" w:cs="仿宋"/>
                <w:color w:val="auto"/>
                <w:sz w:val="24"/>
                <w:highlight w:val="none"/>
              </w:rPr>
            </w:pPr>
          </w:p>
        </w:tc>
        <w:tc>
          <w:tcPr>
            <w:tcW w:w="2729" w:type="dxa"/>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559" w:type="dxa"/>
            <w:vAlign w:val="center"/>
          </w:tcPr>
          <w:p>
            <w:pPr>
              <w:spacing w:line="360" w:lineRule="auto"/>
              <w:jc w:val="center"/>
              <w:rPr>
                <w:rFonts w:ascii="仿宋" w:hAnsi="仿宋" w:eastAsia="仿宋" w:cs="仿宋"/>
                <w:color w:val="auto"/>
                <w:sz w:val="24"/>
                <w:highlight w:val="none"/>
              </w:rPr>
            </w:pPr>
          </w:p>
        </w:tc>
        <w:tc>
          <w:tcPr>
            <w:tcW w:w="1984" w:type="dxa"/>
            <w:vAlign w:val="center"/>
          </w:tcPr>
          <w:p>
            <w:pPr>
              <w:spacing w:line="360" w:lineRule="auto"/>
              <w:jc w:val="center"/>
              <w:rPr>
                <w:rFonts w:ascii="仿宋" w:hAnsi="仿宋" w:eastAsia="仿宋" w:cs="仿宋"/>
                <w:color w:val="auto"/>
                <w:sz w:val="24"/>
                <w:highlight w:val="none"/>
              </w:rPr>
            </w:pPr>
          </w:p>
        </w:tc>
        <w:tc>
          <w:tcPr>
            <w:tcW w:w="3119"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98" w:type="dxa"/>
            <w:vAlign w:val="center"/>
          </w:tcPr>
          <w:p>
            <w:pPr>
              <w:spacing w:line="360" w:lineRule="auto"/>
              <w:jc w:val="center"/>
              <w:rPr>
                <w:rFonts w:ascii="仿宋" w:hAnsi="仿宋" w:eastAsia="仿宋" w:cs="仿宋"/>
                <w:bCs/>
                <w:color w:val="auto"/>
                <w:sz w:val="24"/>
                <w:highlight w:val="none"/>
              </w:rPr>
            </w:pPr>
          </w:p>
        </w:tc>
        <w:tc>
          <w:tcPr>
            <w:tcW w:w="1440" w:type="dxa"/>
            <w:vAlign w:val="center"/>
          </w:tcPr>
          <w:p>
            <w:pPr>
              <w:spacing w:line="360" w:lineRule="auto"/>
              <w:jc w:val="center"/>
              <w:rPr>
                <w:rFonts w:ascii="仿宋" w:hAnsi="仿宋" w:eastAsia="仿宋" w:cs="仿宋"/>
                <w:bCs/>
                <w:color w:val="auto"/>
                <w:sz w:val="24"/>
                <w:highlight w:val="none"/>
              </w:rPr>
            </w:pPr>
          </w:p>
        </w:tc>
        <w:tc>
          <w:tcPr>
            <w:tcW w:w="1845" w:type="dxa"/>
            <w:vAlign w:val="center"/>
          </w:tcPr>
          <w:p>
            <w:pPr>
              <w:snapToGrid w:val="0"/>
              <w:spacing w:line="360" w:lineRule="auto"/>
              <w:jc w:val="center"/>
              <w:rPr>
                <w:rFonts w:ascii="仿宋" w:hAnsi="仿宋" w:eastAsia="仿宋" w:cs="仿宋"/>
                <w:color w:val="auto"/>
                <w:sz w:val="24"/>
                <w:highlight w:val="none"/>
              </w:rPr>
            </w:pPr>
          </w:p>
        </w:tc>
        <w:tc>
          <w:tcPr>
            <w:tcW w:w="2729" w:type="dxa"/>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559" w:type="dxa"/>
            <w:vAlign w:val="center"/>
          </w:tcPr>
          <w:p>
            <w:pPr>
              <w:spacing w:line="360" w:lineRule="auto"/>
              <w:jc w:val="center"/>
              <w:rPr>
                <w:rFonts w:ascii="仿宋" w:hAnsi="仿宋" w:eastAsia="仿宋" w:cs="仿宋"/>
                <w:color w:val="auto"/>
                <w:sz w:val="24"/>
                <w:highlight w:val="none"/>
              </w:rPr>
            </w:pPr>
          </w:p>
        </w:tc>
        <w:tc>
          <w:tcPr>
            <w:tcW w:w="1984" w:type="dxa"/>
            <w:vAlign w:val="center"/>
          </w:tcPr>
          <w:p>
            <w:pPr>
              <w:spacing w:line="360" w:lineRule="auto"/>
              <w:jc w:val="center"/>
              <w:rPr>
                <w:rFonts w:ascii="仿宋" w:hAnsi="仿宋" w:eastAsia="仿宋" w:cs="仿宋"/>
                <w:color w:val="auto"/>
                <w:sz w:val="24"/>
                <w:highlight w:val="none"/>
              </w:rPr>
            </w:pPr>
          </w:p>
        </w:tc>
        <w:tc>
          <w:tcPr>
            <w:tcW w:w="3119"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98" w:type="dxa"/>
            <w:vAlign w:val="center"/>
          </w:tcPr>
          <w:p>
            <w:pPr>
              <w:spacing w:line="360" w:lineRule="auto"/>
              <w:jc w:val="center"/>
              <w:rPr>
                <w:rFonts w:ascii="仿宋" w:hAnsi="仿宋" w:eastAsia="仿宋" w:cs="仿宋"/>
                <w:bCs/>
                <w:color w:val="auto"/>
                <w:sz w:val="24"/>
                <w:highlight w:val="none"/>
              </w:rPr>
            </w:pPr>
          </w:p>
        </w:tc>
        <w:tc>
          <w:tcPr>
            <w:tcW w:w="1440" w:type="dxa"/>
            <w:vAlign w:val="center"/>
          </w:tcPr>
          <w:p>
            <w:pPr>
              <w:spacing w:line="360" w:lineRule="auto"/>
              <w:jc w:val="center"/>
              <w:rPr>
                <w:rFonts w:ascii="仿宋" w:hAnsi="仿宋" w:eastAsia="仿宋" w:cs="仿宋"/>
                <w:bCs/>
                <w:color w:val="auto"/>
                <w:sz w:val="24"/>
                <w:highlight w:val="none"/>
              </w:rPr>
            </w:pPr>
          </w:p>
        </w:tc>
        <w:tc>
          <w:tcPr>
            <w:tcW w:w="1845" w:type="dxa"/>
            <w:vAlign w:val="center"/>
          </w:tcPr>
          <w:p>
            <w:pPr>
              <w:snapToGrid w:val="0"/>
              <w:spacing w:line="360" w:lineRule="auto"/>
              <w:jc w:val="center"/>
              <w:rPr>
                <w:rFonts w:ascii="仿宋" w:hAnsi="仿宋" w:eastAsia="仿宋" w:cs="仿宋"/>
                <w:color w:val="auto"/>
                <w:sz w:val="24"/>
                <w:highlight w:val="none"/>
              </w:rPr>
            </w:pPr>
          </w:p>
        </w:tc>
        <w:tc>
          <w:tcPr>
            <w:tcW w:w="2729" w:type="dxa"/>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559" w:type="dxa"/>
            <w:vAlign w:val="center"/>
          </w:tcPr>
          <w:p>
            <w:pPr>
              <w:spacing w:line="360" w:lineRule="auto"/>
              <w:jc w:val="center"/>
              <w:rPr>
                <w:rFonts w:ascii="仿宋" w:hAnsi="仿宋" w:eastAsia="仿宋" w:cs="仿宋"/>
                <w:color w:val="auto"/>
                <w:sz w:val="24"/>
                <w:highlight w:val="none"/>
              </w:rPr>
            </w:pPr>
          </w:p>
        </w:tc>
        <w:tc>
          <w:tcPr>
            <w:tcW w:w="1984" w:type="dxa"/>
            <w:vAlign w:val="center"/>
          </w:tcPr>
          <w:p>
            <w:pPr>
              <w:spacing w:line="360" w:lineRule="auto"/>
              <w:jc w:val="center"/>
              <w:rPr>
                <w:rFonts w:ascii="仿宋" w:hAnsi="仿宋" w:eastAsia="仿宋" w:cs="仿宋"/>
                <w:color w:val="auto"/>
                <w:sz w:val="24"/>
                <w:highlight w:val="none"/>
              </w:rPr>
            </w:pPr>
          </w:p>
        </w:tc>
        <w:tc>
          <w:tcPr>
            <w:tcW w:w="3119"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spacing w:line="360" w:lineRule="auto"/>
              <w:jc w:val="center"/>
              <w:rPr>
                <w:rFonts w:ascii="仿宋" w:hAnsi="仿宋" w:eastAsia="仿宋" w:cs="仿宋"/>
                <w:color w:val="auto"/>
                <w:sz w:val="24"/>
                <w:highlight w:val="none"/>
              </w:rPr>
            </w:pPr>
          </w:p>
        </w:tc>
      </w:tr>
    </w:tbl>
    <w:p>
      <w:pPr>
        <w:autoSpaceDE w:val="0"/>
        <w:autoSpaceDN w:val="0"/>
        <w:spacing w:line="360" w:lineRule="auto"/>
        <w:ind w:left="2"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注：</w:t>
      </w:r>
    </w:p>
    <w:p>
      <w:pPr>
        <w:autoSpaceDE w:val="0"/>
        <w:autoSpaceDN w:val="0"/>
        <w:spacing w:line="360" w:lineRule="auto"/>
        <w:ind w:left="2"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1、供应商需按本表格式填写，否则视为响应文件含有采购人不能接受的附加条件，响应无效。</w:t>
      </w:r>
    </w:p>
    <w:p>
      <w:pPr>
        <w:snapToGrid w:val="0"/>
        <w:spacing w:line="360" w:lineRule="auto"/>
        <w:ind w:firstLine="482"/>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rPr>
        <w:t>2</w:t>
      </w:r>
      <w:r>
        <w:rPr>
          <w:rFonts w:hint="eastAsia" w:ascii="仿宋_GB2312" w:hAnsi="仿宋" w:eastAsia="仿宋_GB2312" w:cs="仿宋_GB2312"/>
          <w:color w:val="auto"/>
          <w:kern w:val="0"/>
          <w:sz w:val="24"/>
          <w:highlight w:val="none"/>
          <w:lang w:val="zh-CN"/>
        </w:rPr>
        <w:t>、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采购内容未包含在《开标一览表（报价表）》名称栏中，投标人不能作出合理解释的，视为投标文件含有采购人不能接受的附加条件的，投标无效。</w:t>
      </w:r>
    </w:p>
    <w:p>
      <w:pPr>
        <w:autoSpaceDE w:val="0"/>
        <w:autoSpaceDN w:val="0"/>
        <w:spacing w:line="360" w:lineRule="auto"/>
        <w:ind w:left="2"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snapToGrid w:val="0"/>
        <w:spacing w:line="360" w:lineRule="auto"/>
        <w:ind w:firstLine="5760" w:firstLineChars="2400"/>
        <w:rPr>
          <w:rFonts w:ascii="仿宋" w:hAnsi="仿宋" w:eastAsia="仿宋" w:cs="仿宋"/>
          <w:color w:val="auto"/>
          <w:sz w:val="24"/>
          <w:highlight w:val="none"/>
        </w:rPr>
      </w:pPr>
    </w:p>
    <w:p>
      <w:pPr>
        <w:snapToGrid w:val="0"/>
        <w:spacing w:line="360" w:lineRule="auto"/>
        <w:ind w:firstLine="6480" w:firstLineChars="2700"/>
        <w:rPr>
          <w:rFonts w:ascii="仿宋" w:hAnsi="仿宋" w:eastAsia="仿宋" w:cs="仿宋"/>
          <w:color w:val="auto"/>
          <w:sz w:val="24"/>
          <w:highlight w:val="none"/>
        </w:rPr>
      </w:pPr>
    </w:p>
    <w:p>
      <w:pPr>
        <w:snapToGrid w:val="0"/>
        <w:spacing w:line="360" w:lineRule="auto"/>
        <w:ind w:firstLine="6480" w:firstLineChars="2700"/>
        <w:rPr>
          <w:rFonts w:ascii="仿宋" w:hAnsi="仿宋" w:eastAsia="仿宋" w:cs="仿宋"/>
          <w:color w:val="auto"/>
          <w:sz w:val="24"/>
          <w:highlight w:val="none"/>
        </w:rPr>
      </w:pPr>
      <w:r>
        <w:rPr>
          <w:rFonts w:hint="eastAsia" w:ascii="仿宋" w:hAnsi="仿宋" w:eastAsia="仿宋" w:cs="仿宋"/>
          <w:color w:val="auto"/>
          <w:sz w:val="24"/>
          <w:highlight w:val="none"/>
        </w:rPr>
        <w:t>响应供应商</w:t>
      </w:r>
      <w:r>
        <w:rPr>
          <w:rFonts w:hint="eastAsia" w:ascii="仿宋" w:hAnsi="仿宋" w:eastAsia="仿宋" w:cs="仿宋"/>
          <w:color w:val="auto"/>
          <w:sz w:val="24"/>
          <w:highlight w:val="none"/>
          <w:lang w:val="zh-CN"/>
        </w:rPr>
        <w:t>名称(电子签名)：</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日期</w:t>
      </w:r>
      <w:r>
        <w:rPr>
          <w:rFonts w:hint="eastAsia" w:ascii="仿宋" w:hAnsi="仿宋" w:eastAsia="仿宋" w:cs="仿宋"/>
          <w:color w:val="auto"/>
          <w:sz w:val="24"/>
          <w:highlight w:val="none"/>
        </w:rPr>
        <w:t xml:space="preserve">：  年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日</w:t>
      </w:r>
    </w:p>
    <w:p>
      <w:pPr>
        <w:pStyle w:val="697"/>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pPr>
        <w:pStyle w:val="697"/>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二、最后报价一览表</w:t>
      </w:r>
      <w:r>
        <w:rPr>
          <w:rFonts w:hint="eastAsia" w:ascii="仿宋" w:hAnsi="仿宋" w:eastAsia="仿宋" w:cs="仿宋"/>
          <w:color w:val="auto"/>
          <w:sz w:val="24"/>
          <w:highlight w:val="none"/>
        </w:rPr>
        <w:t>（此表在项目评审时提供，无需做入响应文件中）</w:t>
      </w:r>
    </w:p>
    <w:p>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浙江交通职业技术学院、杭州博实招标代理有限公司</w:t>
      </w:r>
      <w:r>
        <w:rPr>
          <w:rFonts w:hint="eastAsia" w:ascii="仿宋" w:hAnsi="仿宋" w:eastAsia="仿宋" w:cs="仿宋"/>
          <w:color w:val="auto"/>
          <w:sz w:val="24"/>
          <w:highlight w:val="none"/>
          <w:lang w:val="zh-CN"/>
        </w:rPr>
        <w:t>：</w:t>
      </w:r>
    </w:p>
    <w:p>
      <w:pPr>
        <w:widowControl/>
        <w:spacing w:line="360"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按你方磋商文件要求，</w:t>
      </w:r>
      <w:r>
        <w:rPr>
          <w:rFonts w:hint="eastAsia" w:ascii="仿宋" w:hAnsi="仿宋" w:eastAsia="仿宋" w:cs="仿宋"/>
          <w:color w:val="auto"/>
          <w:sz w:val="24"/>
          <w:highlight w:val="none"/>
        </w:rPr>
        <w:t>我们即</w:t>
      </w:r>
      <w:r>
        <w:rPr>
          <w:rFonts w:hint="eastAsia" w:ascii="仿宋" w:hAnsi="仿宋" w:eastAsia="仿宋" w:cs="仿宋"/>
          <w:color w:val="auto"/>
          <w:sz w:val="24"/>
          <w:highlight w:val="none"/>
          <w:lang w:val="zh-CN"/>
        </w:rPr>
        <w:t>本响应文件签字方，谨此向你方发出要约如下：如你方接受本响应，我方承诺按照如下报价表的价格完成</w:t>
      </w:r>
      <w:r>
        <w:rPr>
          <w:rFonts w:hint="eastAsia" w:ascii="仿宋" w:hAnsi="仿宋" w:eastAsia="仿宋" w:cs="仿宋"/>
          <w:color w:val="auto"/>
          <w:sz w:val="24"/>
          <w:highlight w:val="none"/>
          <w:u w:val="single"/>
        </w:rPr>
        <w:t>浙江交通职业技术学院</w:t>
      </w:r>
      <w:r>
        <w:rPr>
          <w:rFonts w:hint="eastAsia" w:ascii="仿宋" w:hAnsi="仿宋" w:eastAsia="仿宋" w:cs="仿宋"/>
          <w:color w:val="auto"/>
          <w:sz w:val="24"/>
          <w:highlight w:val="none"/>
          <w:u w:val="single"/>
          <w:lang w:eastAsia="zh-CN"/>
        </w:rPr>
        <w:t>新能源汽车充电桩系统建设</w:t>
      </w:r>
      <w:r>
        <w:rPr>
          <w:rFonts w:hint="eastAsia" w:ascii="仿宋" w:hAnsi="仿宋" w:eastAsia="仿宋" w:cs="仿宋"/>
          <w:color w:val="auto"/>
          <w:sz w:val="24"/>
          <w:highlight w:val="none"/>
          <w:u w:val="single"/>
        </w:rPr>
        <w:t>项目【项目编号：</w:t>
      </w:r>
      <w:r>
        <w:rPr>
          <w:rFonts w:hint="eastAsia" w:ascii="仿宋" w:hAnsi="仿宋" w:eastAsia="仿宋" w:cs="仿宋"/>
          <w:color w:val="auto"/>
          <w:sz w:val="24"/>
          <w:highlight w:val="none"/>
          <w:u w:val="single"/>
          <w:lang w:eastAsia="zh-CN"/>
        </w:rPr>
        <w:t>BSZB2024-AZZC131</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lang w:val="zh-CN"/>
        </w:rPr>
        <w:t>的实施。</w:t>
      </w:r>
    </w:p>
    <w:p>
      <w:pPr>
        <w:snapToGrid w:val="0"/>
        <w:spacing w:line="360" w:lineRule="auto"/>
        <w:ind w:left="480"/>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rPr>
        <w:t>最后</w:t>
      </w:r>
      <w:r>
        <w:rPr>
          <w:rFonts w:hint="eastAsia" w:ascii="仿宋" w:hAnsi="仿宋" w:eastAsia="仿宋" w:cs="仿宋"/>
          <w:b/>
          <w:color w:val="auto"/>
          <w:kern w:val="0"/>
          <w:sz w:val="24"/>
          <w:highlight w:val="none"/>
          <w:lang w:val="zh-CN"/>
        </w:rPr>
        <w:t>报价一览表(单位均为人民币元)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440"/>
        <w:gridCol w:w="1845"/>
        <w:gridCol w:w="2729"/>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898" w:type="dxa"/>
            <w:vAlign w:val="center"/>
          </w:tcPr>
          <w:p>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40" w:type="dxa"/>
            <w:vAlign w:val="center"/>
          </w:tcPr>
          <w:p>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5" w:type="dxa"/>
            <w:vAlign w:val="center"/>
          </w:tcPr>
          <w:p>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w:t>
            </w:r>
          </w:p>
          <w:p>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（如果有）</w:t>
            </w:r>
          </w:p>
        </w:tc>
        <w:tc>
          <w:tcPr>
            <w:tcW w:w="2729" w:type="dxa"/>
            <w:vAlign w:val="center"/>
          </w:tcPr>
          <w:p>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spacing w:line="400" w:lineRule="exact"/>
              <w:jc w:val="center"/>
              <w:rPr>
                <w:rFonts w:ascii="仿宋" w:hAnsi="仿宋" w:eastAsia="仿宋" w:cs="仿宋"/>
                <w:b/>
                <w:color w:val="auto"/>
                <w:sz w:val="24"/>
                <w:highlight w:val="none"/>
              </w:rPr>
            </w:pPr>
          </w:p>
          <w:p>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400" w:lineRule="exact"/>
              <w:jc w:val="center"/>
              <w:rPr>
                <w:rFonts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98" w:type="dxa"/>
            <w:vAlign w:val="center"/>
          </w:tcPr>
          <w:p>
            <w:pPr>
              <w:spacing w:line="360" w:lineRule="auto"/>
              <w:jc w:val="center"/>
              <w:rPr>
                <w:rFonts w:ascii="仿宋" w:hAnsi="仿宋" w:eastAsia="仿宋" w:cs="仿宋"/>
                <w:bCs/>
                <w:color w:val="auto"/>
                <w:sz w:val="24"/>
                <w:highlight w:val="none"/>
              </w:rPr>
            </w:pPr>
          </w:p>
        </w:tc>
        <w:tc>
          <w:tcPr>
            <w:tcW w:w="1440" w:type="dxa"/>
            <w:vAlign w:val="center"/>
          </w:tcPr>
          <w:p>
            <w:pPr>
              <w:spacing w:line="360" w:lineRule="auto"/>
              <w:jc w:val="center"/>
              <w:rPr>
                <w:rFonts w:ascii="仿宋" w:hAnsi="仿宋" w:eastAsia="仿宋" w:cs="仿宋"/>
                <w:bCs/>
                <w:color w:val="auto"/>
                <w:sz w:val="24"/>
                <w:highlight w:val="none"/>
              </w:rPr>
            </w:pPr>
          </w:p>
        </w:tc>
        <w:tc>
          <w:tcPr>
            <w:tcW w:w="1845" w:type="dxa"/>
            <w:vAlign w:val="center"/>
          </w:tcPr>
          <w:p>
            <w:pPr>
              <w:snapToGrid w:val="0"/>
              <w:spacing w:line="360" w:lineRule="auto"/>
              <w:jc w:val="center"/>
              <w:rPr>
                <w:rFonts w:ascii="仿宋" w:hAnsi="仿宋" w:eastAsia="仿宋" w:cs="仿宋"/>
                <w:color w:val="auto"/>
                <w:sz w:val="24"/>
                <w:highlight w:val="none"/>
              </w:rPr>
            </w:pPr>
          </w:p>
        </w:tc>
        <w:tc>
          <w:tcPr>
            <w:tcW w:w="2729" w:type="dxa"/>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559" w:type="dxa"/>
            <w:vAlign w:val="center"/>
          </w:tcPr>
          <w:p>
            <w:pPr>
              <w:spacing w:line="360" w:lineRule="auto"/>
              <w:jc w:val="center"/>
              <w:rPr>
                <w:rFonts w:ascii="仿宋" w:hAnsi="仿宋" w:eastAsia="仿宋" w:cs="仿宋"/>
                <w:color w:val="auto"/>
                <w:sz w:val="24"/>
                <w:highlight w:val="none"/>
              </w:rPr>
            </w:pPr>
          </w:p>
        </w:tc>
        <w:tc>
          <w:tcPr>
            <w:tcW w:w="1984" w:type="dxa"/>
            <w:vAlign w:val="center"/>
          </w:tcPr>
          <w:p>
            <w:pPr>
              <w:spacing w:line="360" w:lineRule="auto"/>
              <w:jc w:val="center"/>
              <w:rPr>
                <w:rFonts w:ascii="仿宋" w:hAnsi="仿宋" w:eastAsia="仿宋" w:cs="仿宋"/>
                <w:color w:val="auto"/>
                <w:sz w:val="24"/>
                <w:highlight w:val="none"/>
              </w:rPr>
            </w:pPr>
          </w:p>
        </w:tc>
        <w:tc>
          <w:tcPr>
            <w:tcW w:w="3119"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98" w:type="dxa"/>
            <w:vAlign w:val="center"/>
          </w:tcPr>
          <w:p>
            <w:pPr>
              <w:spacing w:line="360" w:lineRule="auto"/>
              <w:jc w:val="center"/>
              <w:rPr>
                <w:rFonts w:ascii="仿宋" w:hAnsi="仿宋" w:eastAsia="仿宋" w:cs="仿宋"/>
                <w:bCs/>
                <w:color w:val="auto"/>
                <w:sz w:val="24"/>
                <w:highlight w:val="none"/>
              </w:rPr>
            </w:pPr>
          </w:p>
        </w:tc>
        <w:tc>
          <w:tcPr>
            <w:tcW w:w="1440" w:type="dxa"/>
            <w:vAlign w:val="center"/>
          </w:tcPr>
          <w:p>
            <w:pPr>
              <w:spacing w:line="360" w:lineRule="auto"/>
              <w:jc w:val="center"/>
              <w:rPr>
                <w:rFonts w:ascii="仿宋" w:hAnsi="仿宋" w:eastAsia="仿宋" w:cs="仿宋"/>
                <w:bCs/>
                <w:color w:val="auto"/>
                <w:sz w:val="24"/>
                <w:highlight w:val="none"/>
              </w:rPr>
            </w:pPr>
          </w:p>
        </w:tc>
        <w:tc>
          <w:tcPr>
            <w:tcW w:w="1845" w:type="dxa"/>
            <w:vAlign w:val="center"/>
          </w:tcPr>
          <w:p>
            <w:pPr>
              <w:snapToGrid w:val="0"/>
              <w:spacing w:line="360" w:lineRule="auto"/>
              <w:jc w:val="center"/>
              <w:rPr>
                <w:rFonts w:ascii="仿宋" w:hAnsi="仿宋" w:eastAsia="仿宋" w:cs="仿宋"/>
                <w:color w:val="auto"/>
                <w:sz w:val="24"/>
                <w:highlight w:val="none"/>
              </w:rPr>
            </w:pPr>
          </w:p>
        </w:tc>
        <w:tc>
          <w:tcPr>
            <w:tcW w:w="2729" w:type="dxa"/>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559" w:type="dxa"/>
            <w:vAlign w:val="center"/>
          </w:tcPr>
          <w:p>
            <w:pPr>
              <w:spacing w:line="360" w:lineRule="auto"/>
              <w:jc w:val="center"/>
              <w:rPr>
                <w:rFonts w:ascii="仿宋" w:hAnsi="仿宋" w:eastAsia="仿宋" w:cs="仿宋"/>
                <w:color w:val="auto"/>
                <w:sz w:val="24"/>
                <w:highlight w:val="none"/>
              </w:rPr>
            </w:pPr>
          </w:p>
        </w:tc>
        <w:tc>
          <w:tcPr>
            <w:tcW w:w="1984" w:type="dxa"/>
            <w:vAlign w:val="center"/>
          </w:tcPr>
          <w:p>
            <w:pPr>
              <w:spacing w:line="360" w:lineRule="auto"/>
              <w:jc w:val="center"/>
              <w:rPr>
                <w:rFonts w:ascii="仿宋" w:hAnsi="仿宋" w:eastAsia="仿宋" w:cs="仿宋"/>
                <w:color w:val="auto"/>
                <w:sz w:val="24"/>
                <w:highlight w:val="none"/>
              </w:rPr>
            </w:pPr>
          </w:p>
        </w:tc>
        <w:tc>
          <w:tcPr>
            <w:tcW w:w="3119"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98" w:type="dxa"/>
            <w:vAlign w:val="center"/>
          </w:tcPr>
          <w:p>
            <w:pPr>
              <w:spacing w:line="360" w:lineRule="auto"/>
              <w:jc w:val="center"/>
              <w:rPr>
                <w:rFonts w:ascii="仿宋" w:hAnsi="仿宋" w:eastAsia="仿宋" w:cs="仿宋"/>
                <w:bCs/>
                <w:color w:val="auto"/>
                <w:sz w:val="24"/>
                <w:highlight w:val="none"/>
              </w:rPr>
            </w:pPr>
          </w:p>
        </w:tc>
        <w:tc>
          <w:tcPr>
            <w:tcW w:w="1440" w:type="dxa"/>
            <w:vAlign w:val="center"/>
          </w:tcPr>
          <w:p>
            <w:pPr>
              <w:spacing w:line="360" w:lineRule="auto"/>
              <w:jc w:val="center"/>
              <w:rPr>
                <w:rFonts w:ascii="仿宋" w:hAnsi="仿宋" w:eastAsia="仿宋" w:cs="仿宋"/>
                <w:bCs/>
                <w:color w:val="auto"/>
                <w:sz w:val="24"/>
                <w:highlight w:val="none"/>
              </w:rPr>
            </w:pPr>
          </w:p>
        </w:tc>
        <w:tc>
          <w:tcPr>
            <w:tcW w:w="1845" w:type="dxa"/>
            <w:vAlign w:val="center"/>
          </w:tcPr>
          <w:p>
            <w:pPr>
              <w:snapToGrid w:val="0"/>
              <w:spacing w:line="360" w:lineRule="auto"/>
              <w:jc w:val="center"/>
              <w:rPr>
                <w:rFonts w:ascii="仿宋" w:hAnsi="仿宋" w:eastAsia="仿宋" w:cs="仿宋"/>
                <w:color w:val="auto"/>
                <w:sz w:val="24"/>
                <w:highlight w:val="none"/>
              </w:rPr>
            </w:pPr>
          </w:p>
        </w:tc>
        <w:tc>
          <w:tcPr>
            <w:tcW w:w="2729" w:type="dxa"/>
            <w:vAlign w:val="center"/>
          </w:tcPr>
          <w:p>
            <w:pPr>
              <w:snapToGrid w:val="0"/>
              <w:spacing w:line="360" w:lineRule="auto"/>
              <w:jc w:val="center"/>
              <w:rPr>
                <w:rFonts w:ascii="仿宋" w:hAnsi="仿宋" w:eastAsia="仿宋" w:cs="仿宋"/>
                <w:color w:val="auto"/>
                <w:sz w:val="24"/>
                <w:highlight w:val="none"/>
              </w:rPr>
            </w:pPr>
          </w:p>
        </w:tc>
        <w:tc>
          <w:tcPr>
            <w:tcW w:w="993" w:type="dxa"/>
            <w:vAlign w:val="center"/>
          </w:tcPr>
          <w:p>
            <w:pPr>
              <w:snapToGrid w:val="0"/>
              <w:spacing w:line="360" w:lineRule="auto"/>
              <w:jc w:val="center"/>
              <w:rPr>
                <w:rFonts w:ascii="仿宋" w:hAnsi="仿宋" w:eastAsia="仿宋" w:cs="仿宋"/>
                <w:color w:val="auto"/>
                <w:sz w:val="24"/>
                <w:highlight w:val="none"/>
              </w:rPr>
            </w:pPr>
          </w:p>
        </w:tc>
        <w:tc>
          <w:tcPr>
            <w:tcW w:w="1559" w:type="dxa"/>
            <w:vAlign w:val="center"/>
          </w:tcPr>
          <w:p>
            <w:pPr>
              <w:spacing w:line="360" w:lineRule="auto"/>
              <w:jc w:val="center"/>
              <w:rPr>
                <w:rFonts w:ascii="仿宋" w:hAnsi="仿宋" w:eastAsia="仿宋" w:cs="仿宋"/>
                <w:color w:val="auto"/>
                <w:sz w:val="24"/>
                <w:highlight w:val="none"/>
              </w:rPr>
            </w:pPr>
          </w:p>
        </w:tc>
        <w:tc>
          <w:tcPr>
            <w:tcW w:w="1984" w:type="dxa"/>
            <w:vAlign w:val="center"/>
          </w:tcPr>
          <w:p>
            <w:pPr>
              <w:spacing w:line="360" w:lineRule="auto"/>
              <w:jc w:val="center"/>
              <w:rPr>
                <w:rFonts w:ascii="仿宋" w:hAnsi="仿宋" w:eastAsia="仿宋" w:cs="仿宋"/>
                <w:color w:val="auto"/>
                <w:sz w:val="24"/>
                <w:highlight w:val="none"/>
              </w:rPr>
            </w:pPr>
          </w:p>
        </w:tc>
        <w:tc>
          <w:tcPr>
            <w:tcW w:w="3119"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spacing w:line="360" w:lineRule="auto"/>
              <w:jc w:val="center"/>
              <w:rPr>
                <w:rFonts w:ascii="仿宋" w:hAnsi="仿宋" w:eastAsia="仿宋" w:cs="仿宋"/>
                <w:color w:val="auto"/>
                <w:sz w:val="24"/>
                <w:highlight w:val="none"/>
              </w:rPr>
            </w:pPr>
          </w:p>
        </w:tc>
      </w:tr>
    </w:tbl>
    <w:p>
      <w:pPr>
        <w:autoSpaceDE w:val="0"/>
        <w:autoSpaceDN w:val="0"/>
        <w:spacing w:line="360" w:lineRule="auto"/>
        <w:ind w:left="2"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注：</w:t>
      </w:r>
    </w:p>
    <w:p>
      <w:pPr>
        <w:autoSpaceDE w:val="0"/>
        <w:autoSpaceDN w:val="0"/>
        <w:spacing w:line="360" w:lineRule="auto"/>
        <w:ind w:left="2"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1、供应商需按本表格式填写，否则视为响应文件含有采购人不能接受的附加条件，响应无效。</w:t>
      </w:r>
    </w:p>
    <w:p>
      <w:pPr>
        <w:snapToGrid w:val="0"/>
        <w:spacing w:line="360" w:lineRule="auto"/>
        <w:ind w:firstLine="482"/>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rPr>
        <w:t>2</w:t>
      </w:r>
      <w:r>
        <w:rPr>
          <w:rFonts w:hint="eastAsia" w:ascii="仿宋_GB2312" w:hAnsi="仿宋" w:eastAsia="仿宋_GB2312" w:cs="仿宋_GB2312"/>
          <w:color w:val="auto"/>
          <w:kern w:val="0"/>
          <w:sz w:val="24"/>
          <w:highlight w:val="none"/>
          <w:lang w:val="zh-CN"/>
        </w:rPr>
        <w:t>、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采购内容未包含在《开标一览表（报价表）》名称栏中，</w:t>
      </w:r>
      <w:r>
        <w:rPr>
          <w:rFonts w:hint="eastAsia" w:ascii="仿宋_GB2312" w:hAnsi="仿宋" w:eastAsia="仿宋_GB2312" w:cs="仿宋_GB2312"/>
          <w:color w:val="auto"/>
          <w:kern w:val="0"/>
          <w:sz w:val="24"/>
          <w:highlight w:val="none"/>
          <w:lang w:val="en-US" w:eastAsia="zh-CN"/>
        </w:rPr>
        <w:t>供应商</w:t>
      </w:r>
      <w:r>
        <w:rPr>
          <w:rFonts w:hint="eastAsia" w:ascii="仿宋_GB2312" w:hAnsi="仿宋" w:eastAsia="仿宋_GB2312" w:cs="仿宋_GB2312"/>
          <w:color w:val="auto"/>
          <w:kern w:val="0"/>
          <w:sz w:val="24"/>
          <w:highlight w:val="none"/>
          <w:lang w:val="zh-CN"/>
        </w:rPr>
        <w:t>不能作出合理解释的，视为投标文件含有采购人不能接受的附加条件的，投标无效。</w:t>
      </w:r>
    </w:p>
    <w:p>
      <w:pPr>
        <w:autoSpaceDE w:val="0"/>
        <w:autoSpaceDN w:val="0"/>
        <w:spacing w:line="360" w:lineRule="auto"/>
        <w:ind w:left="2"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autoSpaceDE w:val="0"/>
        <w:autoSpaceDN w:val="0"/>
        <w:spacing w:line="360" w:lineRule="auto"/>
        <w:ind w:left="2"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4</w:t>
      </w:r>
      <w:r>
        <w:rPr>
          <w:rFonts w:hint="eastAsia" w:ascii="仿宋" w:hAnsi="仿宋" w:eastAsia="仿宋" w:cs="仿宋"/>
          <w:color w:val="auto"/>
          <w:kern w:val="0"/>
          <w:sz w:val="24"/>
          <w:highlight w:val="none"/>
          <w:lang w:val="zh-CN"/>
        </w:rPr>
        <w:t>、特别提示：采购代理机构将对</w:t>
      </w:r>
      <w:r>
        <w:rPr>
          <w:rFonts w:hint="eastAsia" w:ascii="仿宋" w:hAnsi="仿宋" w:eastAsia="仿宋" w:cs="仿宋"/>
          <w:color w:val="auto"/>
          <w:kern w:val="0"/>
          <w:sz w:val="24"/>
          <w:highlight w:val="none"/>
        </w:rPr>
        <w:t>本表</w:t>
      </w:r>
      <w:r>
        <w:rPr>
          <w:rFonts w:hint="eastAsia" w:ascii="仿宋" w:hAnsi="仿宋" w:eastAsia="仿宋" w:cs="仿宋"/>
          <w:color w:val="auto"/>
          <w:kern w:val="0"/>
          <w:sz w:val="24"/>
          <w:highlight w:val="none"/>
          <w:lang w:val="zh-CN"/>
        </w:rPr>
        <w:t>予以公示。</w:t>
      </w:r>
    </w:p>
    <w:p>
      <w:pPr>
        <w:snapToGrid w:val="0"/>
        <w:spacing w:line="360" w:lineRule="auto"/>
        <w:ind w:firstLine="6240" w:firstLineChars="2600"/>
        <w:rPr>
          <w:rFonts w:ascii="仿宋" w:hAnsi="仿宋" w:eastAsia="仿宋" w:cs="仿宋"/>
          <w:color w:val="auto"/>
          <w:sz w:val="24"/>
          <w:highlight w:val="none"/>
        </w:rPr>
      </w:pPr>
    </w:p>
    <w:p>
      <w:pPr>
        <w:snapToGrid w:val="0"/>
        <w:spacing w:line="360" w:lineRule="auto"/>
        <w:ind w:firstLine="6240" w:firstLineChars="2600"/>
        <w:rPr>
          <w:rFonts w:ascii="仿宋" w:hAnsi="仿宋" w:eastAsia="仿宋" w:cs="仿宋"/>
          <w:color w:val="auto"/>
          <w:sz w:val="24"/>
          <w:highlight w:val="none"/>
        </w:rPr>
      </w:pPr>
    </w:p>
    <w:p>
      <w:pPr>
        <w:snapToGrid w:val="0"/>
        <w:spacing w:line="360" w:lineRule="auto"/>
        <w:ind w:firstLine="6240" w:firstLineChars="2600"/>
        <w:rPr>
          <w:rFonts w:ascii="仿宋" w:hAnsi="仿宋" w:eastAsia="仿宋" w:cs="仿宋"/>
          <w:color w:val="auto"/>
          <w:sz w:val="24"/>
          <w:highlight w:val="none"/>
        </w:rPr>
      </w:pPr>
      <w:r>
        <w:rPr>
          <w:rFonts w:hint="eastAsia" w:ascii="仿宋" w:hAnsi="仿宋" w:eastAsia="仿宋" w:cs="仿宋"/>
          <w:color w:val="auto"/>
          <w:sz w:val="24"/>
          <w:highlight w:val="none"/>
        </w:rPr>
        <w:t>响应供应商</w:t>
      </w:r>
      <w:r>
        <w:rPr>
          <w:rFonts w:hint="eastAsia" w:ascii="仿宋" w:hAnsi="仿宋" w:eastAsia="仿宋" w:cs="仿宋"/>
          <w:color w:val="auto"/>
          <w:sz w:val="24"/>
          <w:highlight w:val="none"/>
          <w:lang w:val="zh-CN"/>
        </w:rPr>
        <w:t>名称(电子签名)：</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日期</w:t>
      </w:r>
      <w:r>
        <w:rPr>
          <w:rFonts w:hint="eastAsia" w:ascii="仿宋" w:hAnsi="仿宋" w:eastAsia="仿宋" w:cs="仿宋"/>
          <w:color w:val="auto"/>
          <w:sz w:val="24"/>
          <w:highlight w:val="none"/>
        </w:rPr>
        <w:t xml:space="preserve">：  年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日</w:t>
      </w:r>
    </w:p>
    <w:p>
      <w:pPr>
        <w:pStyle w:val="697"/>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697"/>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697"/>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697"/>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6838" w:h="11906" w:orient="landscape"/>
          <w:pgMar w:top="1440" w:right="1417" w:bottom="1440" w:left="1417" w:header="851" w:footer="992" w:gutter="0"/>
          <w:cols w:space="0" w:num="1"/>
          <w:titlePg/>
          <w:rtlGutter w:val="0"/>
          <w:docGrid w:linePitch="312" w:charSpace="0"/>
        </w:sectPr>
      </w:pPr>
    </w:p>
    <w:p>
      <w:pPr>
        <w:pStyle w:val="697"/>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三、</w:t>
      </w:r>
      <w:r>
        <w:rPr>
          <w:rFonts w:hint="eastAsia" w:ascii="仿宋" w:hAnsi="仿宋" w:eastAsia="仿宋" w:cs="仿宋"/>
          <w:color w:val="auto"/>
          <w:sz w:val="32"/>
          <w:szCs w:val="32"/>
          <w:highlight w:val="none"/>
        </w:rPr>
        <w:t>中小企业声明函</w:t>
      </w:r>
      <w:bookmarkStart w:id="20" w:name="_Hlk101259491"/>
      <w:r>
        <w:rPr>
          <w:rFonts w:hint="eastAsia" w:ascii="仿宋" w:hAnsi="仿宋" w:eastAsia="仿宋" w:cs="仿宋"/>
          <w:color w:val="auto"/>
          <w:sz w:val="32"/>
          <w:szCs w:val="32"/>
          <w:highlight w:val="none"/>
        </w:rPr>
        <w:t>（如果有）</w:t>
      </w:r>
      <w:bookmarkEnd w:id="20"/>
    </w:p>
    <w:p>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竞争性磋商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697"/>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jc w:val="left"/>
        <w:rPr>
          <w:rFonts w:ascii="仿宋" w:hAnsi="仿宋" w:eastAsia="仿宋" w:cs="仿宋"/>
          <w:color w:val="auto"/>
          <w:highlight w:val="none"/>
        </w:rPr>
      </w:pPr>
      <w:bookmarkStart w:id="21" w:name="_Toc465665161"/>
      <w:r>
        <w:rPr>
          <w:rFonts w:hint="eastAsia" w:ascii="仿宋" w:hAnsi="仿宋" w:eastAsia="仿宋" w:cs="仿宋"/>
          <w:color w:val="auto"/>
          <w:highlight w:val="none"/>
        </w:rPr>
        <w:br w:type="page"/>
      </w:r>
    </w:p>
    <w:p>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bookmarkEnd w:id="21"/>
    </w:p>
    <w:p>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w:t>
      </w:r>
    </w:p>
    <w:p>
      <w:pPr>
        <w:spacing w:line="360" w:lineRule="auto"/>
        <w:jc w:val="center"/>
        <w:rPr>
          <w:rFonts w:ascii="仿宋" w:hAnsi="仿宋" w:eastAsia="仿宋" w:cs="仿宋"/>
          <w:b/>
          <w:color w:val="auto"/>
          <w:spacing w:val="6"/>
          <w:sz w:val="32"/>
          <w:szCs w:val="32"/>
          <w:highlight w:val="none"/>
        </w:rPr>
      </w:pPr>
      <w:bookmarkStart w:id="22" w:name="OLE_LINK14"/>
      <w:bookmarkStart w:id="23" w:name="OLE_LINK13"/>
      <w:r>
        <w:rPr>
          <w:rFonts w:hint="eastAsia" w:ascii="仿宋" w:hAnsi="仿宋" w:eastAsia="仿宋" w:cs="仿宋"/>
          <w:b/>
          <w:color w:val="auto"/>
          <w:spacing w:val="6"/>
          <w:sz w:val="32"/>
          <w:szCs w:val="32"/>
          <w:highlight w:val="none"/>
        </w:rPr>
        <w:t>残疾人福利性单位声明函</w:t>
      </w:r>
    </w:p>
    <w:bookmarkEnd w:id="22"/>
    <w:bookmarkEnd w:id="23"/>
    <w:p>
      <w:pPr>
        <w:spacing w:line="360" w:lineRule="auto"/>
        <w:rPr>
          <w:rFonts w:ascii="仿宋" w:hAnsi="仿宋" w:eastAsia="仿宋" w:cs="仿宋"/>
          <w:b/>
          <w:color w:val="auto"/>
          <w:spacing w:val="6"/>
          <w:sz w:val="30"/>
          <w:szCs w:val="30"/>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ascii="仿宋" w:hAnsi="仿宋" w:eastAsia="仿宋" w:cs="仿宋"/>
          <w:color w:val="auto"/>
          <w:sz w:val="24"/>
          <w:highlight w:val="none"/>
        </w:rPr>
      </w:pPr>
    </w:p>
    <w:p>
      <w:pPr>
        <w:snapToGrid w:val="0"/>
        <w:spacing w:line="360" w:lineRule="auto"/>
        <w:ind w:firstLine="4560" w:firstLineChars="1900"/>
        <w:rPr>
          <w:rFonts w:ascii="仿宋" w:hAnsi="仿宋" w:eastAsia="仿宋" w:cs="仿宋"/>
          <w:color w:val="auto"/>
          <w:sz w:val="24"/>
          <w:highlight w:val="none"/>
        </w:rPr>
      </w:pPr>
      <w:r>
        <w:rPr>
          <w:rFonts w:hint="eastAsia" w:ascii="仿宋" w:hAnsi="仿宋" w:eastAsia="仿宋" w:cs="仿宋"/>
          <w:color w:val="auto"/>
          <w:sz w:val="24"/>
          <w:highlight w:val="none"/>
        </w:rPr>
        <w:t>响应供应商</w:t>
      </w:r>
      <w:r>
        <w:rPr>
          <w:rFonts w:hint="eastAsia" w:ascii="仿宋" w:hAnsi="仿宋" w:eastAsia="仿宋" w:cs="仿宋"/>
          <w:color w:val="auto"/>
          <w:sz w:val="24"/>
          <w:highlight w:val="none"/>
          <w:lang w:val="zh-CN"/>
        </w:rPr>
        <w:t>名称(电子签名)：</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日期</w:t>
      </w:r>
      <w:r>
        <w:rPr>
          <w:rFonts w:hint="eastAsia" w:ascii="仿宋" w:hAnsi="仿宋" w:eastAsia="仿宋" w:cs="仿宋"/>
          <w:color w:val="auto"/>
          <w:sz w:val="24"/>
          <w:highlight w:val="none"/>
        </w:rPr>
        <w:t xml:space="preserve">：  年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日</w:t>
      </w:r>
    </w:p>
    <w:p>
      <w:pPr>
        <w:tabs>
          <w:tab w:val="left" w:pos="4860"/>
        </w:tabs>
        <w:spacing w:line="360" w:lineRule="auto"/>
        <w:ind w:right="1560" w:firstLine="480" w:firstLineChars="200"/>
        <w:jc w:val="center"/>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pacing w:line="360" w:lineRule="auto"/>
        <w:ind w:firstLine="420" w:firstLineChars="200"/>
        <w:rPr>
          <w:rFonts w:ascii="仿宋" w:hAnsi="仿宋" w:eastAsia="仿宋" w:cs="仿宋"/>
          <w:color w:val="auto"/>
          <w:highlight w:val="none"/>
        </w:rPr>
      </w:pPr>
    </w:p>
    <w:p>
      <w:pPr>
        <w:spacing w:line="360" w:lineRule="auto"/>
        <w:ind w:firstLine="420" w:firstLineChars="200"/>
        <w:rPr>
          <w:rFonts w:ascii="仿宋" w:hAnsi="仿宋" w:eastAsia="仿宋" w:cs="仿宋"/>
          <w:color w:val="auto"/>
          <w:highlight w:val="none"/>
        </w:rPr>
      </w:pPr>
    </w:p>
    <w:p>
      <w:pPr>
        <w:spacing w:line="360" w:lineRule="auto"/>
        <w:ind w:firstLine="420" w:firstLineChars="200"/>
        <w:rPr>
          <w:rFonts w:ascii="仿宋" w:hAnsi="仿宋" w:eastAsia="仿宋" w:cs="仿宋"/>
          <w:color w:val="auto"/>
          <w:highlight w:val="none"/>
        </w:rPr>
      </w:pPr>
    </w:p>
    <w:p>
      <w:pPr>
        <w:spacing w:line="360" w:lineRule="auto"/>
        <w:ind w:firstLine="420" w:firstLineChars="200"/>
        <w:rPr>
          <w:rFonts w:ascii="仿宋" w:hAnsi="仿宋" w:eastAsia="仿宋" w:cs="仿宋"/>
          <w:color w:val="auto"/>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附件2：质疑函范本及制作说明</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ascii="仿宋" w:hAnsi="仿宋" w:eastAsia="仿宋" w:cs="仿宋"/>
          <w:b/>
          <w:bCs/>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附件3：投诉书范本及制作说明</w:t>
      </w:r>
    </w:p>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highlight w:val="none"/>
        </w:rPr>
      </w:pPr>
    </w:p>
    <w:p>
      <w:pPr>
        <w:pStyle w:val="84"/>
        <w:rPr>
          <w:rFonts w:ascii="仿宋" w:hAnsi="仿宋" w:eastAsia="仿宋" w:cs="仿宋"/>
          <w:color w:val="auto"/>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pPr>
        <w:spacing w:line="360" w:lineRule="auto"/>
        <w:rPr>
          <w:rFonts w:ascii="仿宋" w:hAnsi="仿宋" w:eastAsia="仿宋" w:cs="仿宋"/>
          <w:color w:val="auto"/>
          <w:sz w:val="24"/>
          <w:highlight w:val="none"/>
          <w:u w:val="singl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(供应商全称)是中华人民共和国依法登记注册的合法企业，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你方组织的（项目名称）项目【项目编号：（采购编号）】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供应商（法定名称章）：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w:t>供应商</w:t>
      </w:r>
      <w:r>
        <w:rPr>
          <w:rFonts w:hint="eastAsia" w:ascii="仿宋" w:hAnsi="仿宋" w:eastAsia="仿宋" w:cs="仿宋"/>
          <w:color w:val="auto"/>
          <w:sz w:val="24"/>
          <w:highlight w:val="none"/>
        </w:rPr>
        <w:t>法定名称章（印模）                供应商“XX专用章”（印模）</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autoSpaceDE w:val="0"/>
        <w:autoSpaceDN w:val="0"/>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lang w:val="zh-CN"/>
        </w:rPr>
        <w:t>联合协议</w:t>
      </w:r>
    </w:p>
    <w:p>
      <w:pPr>
        <w:spacing w:line="360" w:lineRule="auto"/>
        <w:ind w:firstLine="482" w:firstLineChars="200"/>
        <w:rPr>
          <w:rFonts w:ascii="仿宋" w:hAnsi="仿宋" w:eastAsia="仿宋" w:cs="仿宋"/>
          <w:b/>
          <w:color w:val="auto"/>
          <w:sz w:val="24"/>
          <w:highlight w:val="none"/>
        </w:rPr>
      </w:pP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（以联合体形式响应的，提供联合协议；本项目不接受联合体响应或者供应商不以联合体形式响应的，则不需要提供）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组成一个联合体，以一个供应商的身份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 xml:space="preserve">【项目编号：（采购编号）】响应。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，代表所有联合体成员负责响应和合同实施阶段的主办、协调工作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授权代表根据磋商文件规定及采购内容而对采购人、采购代理机构所作的任何合法承诺，包括书面澄清及相应等均对联合体各方产生约束力。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三、本次联合响应中，分工如下：</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四、联合体成员中小企业合同份额（如果有）。</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24" w:name="_Hlk101131882"/>
      <w:r>
        <w:rPr>
          <w:rFonts w:hint="eastAsia" w:ascii="仿宋" w:hAnsi="仿宋" w:eastAsia="仿宋" w:cs="仿宋"/>
          <w:color w:val="auto"/>
          <w:kern w:val="0"/>
          <w:sz w:val="24"/>
          <w:highlight w:val="none"/>
          <w:u w:val="single"/>
        </w:rPr>
        <w:t>联合体成员X,……</w:t>
      </w:r>
      <w:bookmarkEnd w:id="24"/>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25"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25"/>
      <w:r>
        <w:rPr>
          <w:rFonts w:hint="eastAsia" w:ascii="仿宋" w:hAnsi="仿宋" w:eastAsia="仿宋" w:cs="仿宋"/>
          <w:b/>
          <w:color w:val="auto"/>
          <w:kern w:val="0"/>
          <w:sz w:val="24"/>
          <w:highlight w:val="none"/>
          <w:lang w:val="zh-CN"/>
        </w:rPr>
        <w:t>）</w:t>
      </w:r>
    </w:p>
    <w:p>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2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26"/>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五、如果成交，</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六、有关本次联合响应的其他事宜：</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附件6：</w:t>
      </w: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（项目名称）【项目编号：（采购编号）】</w:t>
      </w:r>
      <w:r>
        <w:rPr>
          <w:rFonts w:hint="eastAsia" w:ascii="仿宋" w:hAnsi="仿宋" w:eastAsia="仿宋" w:cs="仿宋"/>
          <w:color w:val="auto"/>
          <w:kern w:val="0"/>
          <w:sz w:val="24"/>
          <w:highlight w:val="none"/>
          <w:lang w:val="zh-CN"/>
        </w:rPr>
        <w:t>的成交供应商，将依法采取分包方式履行合同。</w:t>
      </w: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ind w:firstLine="305"/>
        <w:rPr>
          <w:rFonts w:ascii="仿宋" w:hAnsi="仿宋" w:eastAsia="仿宋" w:cs="仿宋"/>
          <w:color w:val="auto"/>
          <w:kern w:val="0"/>
          <w:sz w:val="24"/>
          <w:highlight w:val="none"/>
          <w:lang w:val="zh-CN"/>
        </w:rPr>
      </w:pPr>
      <w:r>
        <w:rPr>
          <w:rFonts w:hint="eastAsia" w:ascii="仿宋" w:hAnsi="仿宋" w:eastAsia="仿宋" w:cs="仿宋"/>
          <w:color w:val="auto"/>
          <w:highlight w:val="none"/>
          <w:lang w:val="zh-CN"/>
        </w:rPr>
        <w:t xml:space="preserve"> </w:t>
      </w:r>
      <w:r>
        <w:rPr>
          <w:rFonts w:hint="eastAsia" w:ascii="仿宋" w:hAnsi="仿宋" w:eastAsia="仿宋" w:cs="仿宋"/>
          <w:color w:val="auto"/>
          <w:kern w:val="0"/>
          <w:sz w:val="24"/>
          <w:highlight w:val="none"/>
          <w:lang w:val="zh-CN"/>
        </w:rPr>
        <w:t>二、分包供应商中小企业合同份额（如果有）</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要求合同分包形式参加的项目或采购包，供应商按磋商文件第一部分竞争性磋商邀请公告申请人的资格要求中规定的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供应商名称(电子签名)：</w:t>
      </w:r>
    </w:p>
    <w:p>
      <w:pPr>
        <w:snapToGrid w:val="0"/>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autoSpaceDE w:val="0"/>
        <w:autoSpaceDN w:val="0"/>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附件7：</w:t>
      </w:r>
      <w:r>
        <w:rPr>
          <w:rFonts w:hint="eastAsia" w:ascii="仿宋" w:hAnsi="仿宋" w:eastAsia="仿宋" w:cs="仿宋"/>
          <w:b/>
          <w:color w:val="auto"/>
          <w:sz w:val="32"/>
          <w:szCs w:val="32"/>
          <w:highlight w:val="none"/>
        </w:rPr>
        <w:t>中小企业声明函</w:t>
      </w:r>
    </w:p>
    <w:p>
      <w:pPr>
        <w:spacing w:line="360" w:lineRule="auto"/>
        <w:jc w:val="center"/>
        <w:rPr>
          <w:rFonts w:ascii="仿宋" w:hAnsi="仿宋" w:eastAsia="仿宋" w:cs="仿宋"/>
          <w:color w:val="auto"/>
          <w:sz w:val="24"/>
          <w:highlight w:val="none"/>
          <w:u w:val="single"/>
        </w:rPr>
      </w:pPr>
    </w:p>
    <w:p>
      <w:pPr>
        <w:spacing w:line="360" w:lineRule="auto"/>
        <w:jc w:val="center"/>
        <w:rPr>
          <w:rFonts w:ascii="仿宋" w:hAnsi="仿宋" w:eastAsia="仿宋"/>
          <w:b/>
          <w:color w:val="auto"/>
          <w:sz w:val="32"/>
          <w:szCs w:val="32"/>
          <w:highlight w:val="none"/>
        </w:rPr>
      </w:pPr>
      <w:r>
        <w:rPr>
          <w:rFonts w:hint="eastAsia" w:ascii="仿宋" w:hAnsi="仿宋" w:eastAsia="仿宋" w:cs="仿宋_GB2312"/>
          <w:b/>
          <w:color w:val="auto"/>
          <w:sz w:val="32"/>
          <w:szCs w:val="32"/>
          <w:highlight w:val="none"/>
        </w:rPr>
        <w:t>中小企业声明函</w:t>
      </w:r>
      <w:r>
        <w:rPr>
          <w:rFonts w:hint="eastAsia" w:ascii="仿宋" w:hAnsi="仿宋" w:eastAsia="仿宋"/>
          <w:b/>
          <w:color w:val="auto"/>
          <w:sz w:val="32"/>
          <w:szCs w:val="32"/>
          <w:highlight w:val="none"/>
        </w:rPr>
        <w:t>（货物）</w:t>
      </w:r>
    </w:p>
    <w:p>
      <w:pPr>
        <w:spacing w:line="360" w:lineRule="auto"/>
        <w:rPr>
          <w:rFonts w:ascii="仿宋" w:hAnsi="仿宋" w:eastAsia="仿宋"/>
          <w:color w:val="auto"/>
          <w:highlight w:val="none"/>
        </w:rPr>
      </w:pPr>
    </w:p>
    <w:p>
      <w:pPr>
        <w:spacing w:line="360" w:lineRule="auto"/>
        <w:ind w:firstLine="360" w:firstLineChars="150"/>
        <w:jc w:val="left"/>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本公司（联合体）郑重声明，根据《政府采购促进中小企业发展管理办法》（财库﹝2020﹞46 号）的规定，本公司（联合体）参加</w:t>
      </w:r>
      <w:r>
        <w:rPr>
          <w:rFonts w:hint="eastAsia" w:ascii="仿宋" w:hAnsi="仿宋" w:eastAsia="仿宋" w:cs="仿宋"/>
          <w:b/>
          <w:bCs/>
          <w:color w:val="auto"/>
          <w:sz w:val="24"/>
          <w:highlight w:val="none"/>
        </w:rPr>
        <w:t xml:space="preserve"> </w:t>
      </w:r>
      <w:r>
        <w:rPr>
          <w:rFonts w:hint="eastAsia" w:ascii="仿宋" w:hAnsi="仿宋" w:eastAsia="仿宋" w:cs="仿宋"/>
          <w:b/>
          <w:bCs/>
          <w:color w:val="auto"/>
          <w:sz w:val="24"/>
          <w:highlight w:val="none"/>
          <w:u w:val="single"/>
        </w:rPr>
        <w:t xml:space="preserve">（请填写：采购人） </w:t>
      </w:r>
      <w:r>
        <w:rPr>
          <w:rFonts w:hint="eastAsia" w:ascii="仿宋" w:hAnsi="仿宋" w:eastAsia="仿宋" w:cs="仿宋"/>
          <w:b/>
          <w:bCs/>
          <w:color w:val="auto"/>
          <w:sz w:val="24"/>
          <w:highlight w:val="none"/>
        </w:rPr>
        <w:t>的</w:t>
      </w:r>
      <w:r>
        <w:rPr>
          <w:rFonts w:hint="eastAsia" w:ascii="仿宋" w:hAnsi="仿宋" w:eastAsia="仿宋" w:cs="仿宋"/>
          <w:b/>
          <w:bCs/>
          <w:color w:val="auto"/>
          <w:sz w:val="24"/>
          <w:highlight w:val="none"/>
          <w:u w:val="single"/>
        </w:rPr>
        <w:t xml:space="preserve"> （请填写：项目名称） </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1. </w:t>
      </w:r>
      <w:r>
        <w:rPr>
          <w:rFonts w:hint="eastAsia" w:ascii="仿宋" w:hAnsi="仿宋" w:eastAsia="仿宋" w:cs="仿宋"/>
          <w:b/>
          <w:bCs/>
          <w:color w:val="auto"/>
          <w:sz w:val="24"/>
          <w:highlight w:val="none"/>
          <w:u w:val="single"/>
        </w:rPr>
        <w:t>（标的名称</w:t>
      </w:r>
      <w:r>
        <w:rPr>
          <w:rFonts w:hint="eastAsia" w:ascii="仿宋" w:hAnsi="仿宋" w:eastAsia="仿宋" w:cs="仿宋"/>
          <w:b/>
          <w:bCs/>
          <w:color w:val="auto"/>
          <w:sz w:val="24"/>
          <w:highlight w:val="none"/>
          <w:u w:val="single"/>
          <w:lang w:eastAsia="zh-CN"/>
        </w:rPr>
        <w:t>：</w:t>
      </w:r>
      <w:r>
        <w:rPr>
          <w:rFonts w:hint="eastAsia" w:ascii="仿宋" w:hAnsi="仿宋" w:eastAsia="仿宋" w:cs="仿宋"/>
          <w:b/>
          <w:bCs/>
          <w:color w:val="auto"/>
          <w:sz w:val="24"/>
          <w:highlight w:val="none"/>
          <w:u w:val="single"/>
          <w:lang w:val="en-US" w:eastAsia="zh-CN"/>
        </w:rPr>
        <w:t>按工程量清单中的具体设备名称填写</w:t>
      </w:r>
      <w:r>
        <w:rPr>
          <w:rFonts w:hint="eastAsia" w:ascii="仿宋" w:hAnsi="仿宋" w:eastAsia="仿宋" w:cs="仿宋"/>
          <w:b/>
          <w:bCs/>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b/>
          <w:bCs/>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u w:val="single"/>
          <w:lang w:val="en-US" w:eastAsia="zh-CN"/>
        </w:rPr>
        <w:t xml:space="preserve">请选择填写： </w:t>
      </w:r>
      <w:r>
        <w:rPr>
          <w:rFonts w:hint="eastAsia" w:ascii="仿宋" w:hAnsi="仿宋" w:eastAsia="仿宋" w:cs="仿宋"/>
          <w:b/>
          <w:bCs/>
          <w:color w:val="auto"/>
          <w:sz w:val="24"/>
          <w:highlight w:val="none"/>
          <w:u w:val="single"/>
        </w:rPr>
        <w:t>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b/>
          <w:bCs/>
          <w:color w:val="auto"/>
          <w:sz w:val="24"/>
          <w:highlight w:val="none"/>
        </w:rPr>
        <w:t xml:space="preserve"> </w:t>
      </w:r>
      <w:r>
        <w:rPr>
          <w:rFonts w:hint="eastAsia" w:ascii="仿宋" w:hAnsi="仿宋" w:eastAsia="仿宋" w:cs="仿宋"/>
          <w:b/>
          <w:bCs/>
          <w:color w:val="auto"/>
          <w:sz w:val="24"/>
          <w:highlight w:val="none"/>
          <w:u w:val="single"/>
        </w:rPr>
        <w:t>（标的名称</w:t>
      </w:r>
      <w:r>
        <w:rPr>
          <w:rFonts w:hint="eastAsia" w:ascii="仿宋" w:hAnsi="仿宋" w:eastAsia="仿宋" w:cs="仿宋"/>
          <w:b/>
          <w:bCs/>
          <w:color w:val="auto"/>
          <w:sz w:val="24"/>
          <w:highlight w:val="none"/>
          <w:u w:val="single"/>
          <w:lang w:eastAsia="zh-CN"/>
        </w:rPr>
        <w:t>：</w:t>
      </w:r>
      <w:r>
        <w:rPr>
          <w:rFonts w:hint="eastAsia" w:ascii="仿宋" w:hAnsi="仿宋" w:eastAsia="仿宋" w:cs="仿宋"/>
          <w:b/>
          <w:bCs/>
          <w:color w:val="auto"/>
          <w:sz w:val="24"/>
          <w:highlight w:val="none"/>
          <w:u w:val="single"/>
          <w:lang w:val="en-US" w:eastAsia="zh-CN"/>
        </w:rPr>
        <w:t>按工程量清单中的具体设备名称填写</w:t>
      </w:r>
      <w:r>
        <w:rPr>
          <w:rFonts w:hint="eastAsia" w:ascii="仿宋" w:hAnsi="仿宋" w:eastAsia="仿宋" w:cs="仿宋"/>
          <w:b/>
          <w:bCs/>
          <w:color w:val="auto"/>
          <w:sz w:val="24"/>
          <w:highlight w:val="none"/>
          <w:u w:val="single"/>
        </w:rPr>
        <w:t>）</w:t>
      </w:r>
      <w:r>
        <w:rPr>
          <w:rFonts w:hint="eastAsia" w:ascii="仿宋" w:hAnsi="仿宋" w:eastAsia="仿宋" w:cs="仿宋"/>
          <w:color w:val="auto"/>
          <w:sz w:val="24"/>
          <w:highlight w:val="none"/>
        </w:rPr>
        <w:t xml:space="preserve"> ，属于</w:t>
      </w:r>
      <w:r>
        <w:rPr>
          <w:rFonts w:hint="eastAsia" w:ascii="仿宋" w:hAnsi="仿宋" w:eastAsia="仿宋" w:cs="仿宋"/>
          <w:b/>
          <w:bCs/>
          <w:color w:val="auto"/>
          <w:sz w:val="24"/>
          <w:highlight w:val="none"/>
        </w:rPr>
        <w:t xml:space="preserve"> </w:t>
      </w:r>
      <w:r>
        <w:rPr>
          <w:rFonts w:hint="eastAsia" w:ascii="仿宋" w:hAnsi="仿宋" w:eastAsia="仿宋" w:cs="仿宋"/>
          <w:b/>
          <w:bCs/>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u w:val="single"/>
          <w:lang w:val="en-US" w:eastAsia="zh-CN"/>
        </w:rPr>
        <w:t xml:space="preserve">请选择填写： </w:t>
      </w:r>
      <w:r>
        <w:rPr>
          <w:rFonts w:hint="eastAsia" w:ascii="仿宋" w:hAnsi="仿宋" w:eastAsia="仿宋" w:cs="仿宋"/>
          <w:b/>
          <w:bCs/>
          <w:color w:val="auto"/>
          <w:sz w:val="24"/>
          <w:highlight w:val="none"/>
          <w:u w:val="single"/>
        </w:rPr>
        <w:t>中型企业、小型企业、微型企业）</w:t>
      </w:r>
      <w:r>
        <w:rPr>
          <w:rFonts w:hint="eastAsia" w:ascii="仿宋" w:hAnsi="仿宋" w:eastAsia="仿宋" w:cs="仿宋"/>
          <w:b/>
          <w:bCs/>
          <w:color w:val="auto"/>
          <w:sz w:val="24"/>
          <w:highlight w:val="none"/>
        </w:rPr>
        <w:t xml:space="preserve"> </w:t>
      </w: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ascii="仿宋" w:hAnsi="仿宋" w:eastAsia="仿宋" w:cs="仿宋_GB2312"/>
          <w:color w:val="auto"/>
          <w:sz w:val="24"/>
          <w:highlight w:val="none"/>
        </w:rPr>
      </w:pPr>
    </w:p>
    <w:p>
      <w:pPr>
        <w:spacing w:line="360" w:lineRule="auto"/>
        <w:ind w:right="1760"/>
        <w:jc w:val="right"/>
        <w:rPr>
          <w:rFonts w:ascii="仿宋" w:hAnsi="仿宋" w:eastAsia="仿宋"/>
          <w:color w:val="auto"/>
          <w:sz w:val="24"/>
          <w:highlight w:val="none"/>
        </w:rPr>
      </w:pPr>
      <w:r>
        <w:rPr>
          <w:rFonts w:hint="eastAsia" w:ascii="仿宋" w:hAnsi="仿宋" w:eastAsia="仿宋" w:cs="仿宋_GB2312"/>
          <w:color w:val="auto"/>
          <w:sz w:val="24"/>
          <w:highlight w:val="none"/>
        </w:rPr>
        <w:t>响应供应商名称(电子签名)</w:t>
      </w:r>
      <w:r>
        <w:rPr>
          <w:rFonts w:hint="eastAsia" w:ascii="仿宋" w:hAnsi="仿宋" w:eastAsia="仿宋"/>
          <w:color w:val="auto"/>
          <w:sz w:val="24"/>
          <w:highlight w:val="none"/>
        </w:rPr>
        <w:t>：</w:t>
      </w:r>
    </w:p>
    <w:p>
      <w:pPr>
        <w:spacing w:line="360" w:lineRule="auto"/>
        <w:ind w:right="1120" w:firstLine="4800" w:firstLineChars="2000"/>
        <w:rPr>
          <w:rFonts w:ascii="仿宋" w:hAnsi="仿宋" w:eastAsia="仿宋"/>
          <w:color w:val="auto"/>
          <w:sz w:val="24"/>
          <w:highlight w:val="none"/>
        </w:rPr>
      </w:pPr>
      <w:r>
        <w:rPr>
          <w:rFonts w:hint="eastAsia" w:ascii="仿宋" w:hAnsi="仿宋" w:eastAsia="仿宋"/>
          <w:color w:val="auto"/>
          <w:sz w:val="24"/>
          <w:highlight w:val="none"/>
        </w:rPr>
        <w:t>日</w:t>
      </w:r>
      <w:r>
        <w:rPr>
          <w:rFonts w:ascii="仿宋" w:hAnsi="仿宋" w:eastAsia="仿宋"/>
          <w:color w:val="auto"/>
          <w:sz w:val="24"/>
          <w:highlight w:val="none"/>
        </w:rPr>
        <w:t xml:space="preserve"> </w:t>
      </w:r>
      <w:r>
        <w:rPr>
          <w:rFonts w:hint="eastAsia" w:ascii="仿宋" w:hAnsi="仿宋" w:eastAsia="仿宋"/>
          <w:color w:val="auto"/>
          <w:sz w:val="24"/>
          <w:highlight w:val="none"/>
        </w:rPr>
        <w:t>期：</w:t>
      </w:r>
    </w:p>
    <w:p>
      <w:pPr>
        <w:spacing w:line="360" w:lineRule="auto"/>
        <w:ind w:firstLine="480" w:firstLineChars="200"/>
        <w:rPr>
          <w:rFonts w:ascii="仿宋" w:hAnsi="仿宋" w:eastAsia="仿宋"/>
          <w:color w:val="auto"/>
          <w:sz w:val="24"/>
          <w:highlight w:val="none"/>
        </w:rPr>
      </w:pP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1、填写要求：</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①从业人员、营业收入、资产总额填报上一年度数据，无上一年度数据的新成立企业可不填报；</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②中型企业、小型企业、微型企业等3种企业类型，结合以上数据，依据《中小企业划型标准规定》（工信部联企业〔2011〕300号）确定；</w:t>
      </w:r>
    </w:p>
    <w:p>
      <w:pPr>
        <w:pageBreakBefore w:val="0"/>
        <w:widowControl w:val="0"/>
        <w:kinsoku/>
        <w:wordWrap/>
        <w:overflowPunct/>
        <w:topLinePunct w:val="0"/>
        <w:autoSpaceDE/>
        <w:autoSpaceDN/>
        <w:bidi w:val="0"/>
        <w:snapToGrid/>
        <w:spacing w:line="360" w:lineRule="auto"/>
        <w:ind w:left="559" w:leftChars="266" w:firstLine="0" w:firstLineChars="0"/>
        <w:textAlignment w:val="auto"/>
        <w:rPr>
          <w:rFonts w:hint="eastAsia" w:ascii="仿宋" w:hAnsi="仿宋" w:eastAsia="仿宋" w:cs="仿宋"/>
          <w:b/>
          <w:bCs/>
          <w:color w:val="auto"/>
          <w:kern w:val="0"/>
          <w:sz w:val="28"/>
          <w:szCs w:val="28"/>
          <w:highlight w:val="none"/>
          <w:lang w:val="zh-CN" w:eastAsia="zh-CN" w:bidi="ar-SA"/>
        </w:rPr>
      </w:pPr>
      <w:r>
        <w:rPr>
          <w:rFonts w:hint="eastAsia" w:ascii="仿宋" w:hAnsi="仿宋" w:eastAsia="仿宋" w:cs="仿宋"/>
          <w:b/>
          <w:bCs/>
          <w:color w:val="auto"/>
          <w:kern w:val="0"/>
          <w:sz w:val="28"/>
          <w:szCs w:val="28"/>
          <w:highlight w:val="none"/>
          <w:lang w:val="zh-CN" w:eastAsia="zh-CN" w:bidi="ar-SA"/>
        </w:rPr>
        <w:t>（</w:t>
      </w:r>
      <w:r>
        <w:rPr>
          <w:rFonts w:hint="eastAsia" w:ascii="仿宋" w:hAnsi="仿宋" w:eastAsia="仿宋" w:cs="仿宋"/>
          <w:b/>
          <w:bCs/>
          <w:color w:val="auto"/>
          <w:kern w:val="0"/>
          <w:sz w:val="28"/>
          <w:szCs w:val="28"/>
          <w:highlight w:val="none"/>
          <w:lang w:val="en-US" w:eastAsia="zh-CN" w:bidi="ar-SA"/>
        </w:rPr>
        <w:t>1</w:t>
      </w:r>
      <w:r>
        <w:rPr>
          <w:rFonts w:hint="eastAsia" w:ascii="仿宋" w:hAnsi="仿宋" w:eastAsia="仿宋" w:cs="仿宋"/>
          <w:b/>
          <w:bCs/>
          <w:color w:val="auto"/>
          <w:kern w:val="0"/>
          <w:sz w:val="28"/>
          <w:szCs w:val="28"/>
          <w:highlight w:val="none"/>
          <w:lang w:val="zh-CN" w:eastAsia="zh-CN" w:bidi="ar-SA"/>
        </w:rPr>
        <w:t>）</w:t>
      </w:r>
      <w:r>
        <w:rPr>
          <w:rFonts w:hint="eastAsia" w:ascii="仿宋" w:hAnsi="仿宋" w:eastAsia="仿宋" w:cs="仿宋"/>
          <w:b/>
          <w:bCs/>
          <w:color w:val="auto"/>
          <w:kern w:val="0"/>
          <w:sz w:val="28"/>
          <w:szCs w:val="28"/>
          <w:highlight w:val="none"/>
          <w:u w:val="single"/>
          <w:lang w:val="en-US" w:eastAsia="zh-CN" w:bidi="ar-SA"/>
        </w:rPr>
        <w:t>标的名称：</w:t>
      </w:r>
      <w:r>
        <w:rPr>
          <w:rFonts w:hint="eastAsia" w:ascii="仿宋" w:hAnsi="仿宋" w:eastAsia="仿宋" w:cs="仿宋"/>
          <w:b/>
          <w:bCs/>
          <w:color w:val="auto"/>
          <w:kern w:val="0"/>
          <w:sz w:val="28"/>
          <w:szCs w:val="28"/>
          <w:highlight w:val="none"/>
          <w:u w:val="single"/>
          <w:lang w:val="zh-CN" w:eastAsia="zh-CN" w:bidi="ar-SA"/>
        </w:rPr>
        <w:t>“工程量清单”</w:t>
      </w:r>
      <w:r>
        <w:rPr>
          <w:rFonts w:hint="eastAsia" w:ascii="仿宋" w:hAnsi="仿宋" w:eastAsia="仿宋" w:cs="仿宋"/>
          <w:b/>
          <w:bCs/>
          <w:color w:val="auto"/>
          <w:kern w:val="0"/>
          <w:sz w:val="28"/>
          <w:szCs w:val="28"/>
          <w:highlight w:val="none"/>
          <w:u w:val="single"/>
          <w:lang w:val="en-US" w:eastAsia="zh-CN" w:bidi="ar-SA"/>
        </w:rPr>
        <w:t>序号1-5项内容</w:t>
      </w:r>
      <w:r>
        <w:rPr>
          <w:rFonts w:hint="eastAsia" w:ascii="仿宋" w:hAnsi="仿宋" w:eastAsia="仿宋" w:cs="仿宋"/>
          <w:b/>
          <w:bCs/>
          <w:color w:val="auto"/>
          <w:kern w:val="0"/>
          <w:sz w:val="28"/>
          <w:szCs w:val="28"/>
          <w:highlight w:val="none"/>
          <w:u w:val="single"/>
          <w:lang w:val="zh-CN" w:eastAsia="zh-CN" w:bidi="ar-SA"/>
        </w:rPr>
        <w:t xml:space="preserve">，属于 </w:t>
      </w:r>
      <w:r>
        <w:rPr>
          <w:rFonts w:hint="eastAsia" w:ascii="仿宋" w:hAnsi="仿宋" w:eastAsia="仿宋" w:cs="仿宋"/>
          <w:b/>
          <w:bCs/>
          <w:color w:val="auto"/>
          <w:kern w:val="0"/>
          <w:sz w:val="28"/>
          <w:szCs w:val="28"/>
          <w:highlight w:val="none"/>
          <w:u w:val="single"/>
          <w:lang w:val="en-US" w:eastAsia="zh-CN" w:bidi="ar-SA"/>
        </w:rPr>
        <w:t>工业</w:t>
      </w:r>
      <w:r>
        <w:rPr>
          <w:rFonts w:hint="eastAsia" w:ascii="仿宋" w:hAnsi="仿宋" w:eastAsia="仿宋" w:cs="仿宋"/>
          <w:b/>
          <w:bCs/>
          <w:color w:val="auto"/>
          <w:kern w:val="0"/>
          <w:sz w:val="28"/>
          <w:szCs w:val="28"/>
          <w:highlight w:val="none"/>
          <w:u w:val="single"/>
          <w:lang w:val="zh-CN" w:eastAsia="zh-CN" w:bidi="ar-SA"/>
        </w:rPr>
        <w:t xml:space="preserve"> </w:t>
      </w:r>
      <w:r>
        <w:rPr>
          <w:rFonts w:hint="eastAsia" w:ascii="仿宋" w:hAnsi="仿宋" w:eastAsia="仿宋" w:cs="仿宋"/>
          <w:b/>
          <w:bCs/>
          <w:color w:val="auto"/>
          <w:kern w:val="0"/>
          <w:sz w:val="28"/>
          <w:szCs w:val="28"/>
          <w:highlight w:val="none"/>
          <w:u w:val="single"/>
          <w:lang w:val="en-US" w:eastAsia="zh-CN" w:bidi="ar-SA"/>
        </w:rPr>
        <w:t>行业</w:t>
      </w:r>
      <w:r>
        <w:rPr>
          <w:rFonts w:hint="eastAsia" w:ascii="仿宋" w:hAnsi="仿宋" w:eastAsia="仿宋" w:cs="仿宋"/>
          <w:b/>
          <w:bCs/>
          <w:color w:val="auto"/>
          <w:kern w:val="0"/>
          <w:sz w:val="28"/>
          <w:szCs w:val="28"/>
          <w:highlight w:val="none"/>
          <w:lang w:val="zh-CN" w:eastAsia="zh-CN" w:bidi="ar-SA"/>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Style w:val="3"/>
        <w:pageBreakBefore w:val="0"/>
        <w:widowControl w:val="0"/>
        <w:kinsoku/>
        <w:wordWrap/>
        <w:overflowPunct/>
        <w:topLinePunct w:val="0"/>
        <w:autoSpaceDE/>
        <w:autoSpaceDN/>
        <w:bidi w:val="0"/>
        <w:snapToGrid/>
        <w:spacing w:line="360" w:lineRule="auto"/>
        <w:ind w:left="435" w:leftChars="202" w:hanging="11" w:hangingChars="4"/>
        <w:jc w:val="both"/>
        <w:textAlignment w:val="auto"/>
        <w:rPr>
          <w:rFonts w:hint="eastAsia" w:ascii="仿宋" w:eastAsia="仿宋" w:cs="仿宋"/>
          <w:b/>
          <w:bCs/>
          <w:color w:val="auto"/>
          <w:kern w:val="0"/>
          <w:sz w:val="28"/>
          <w:szCs w:val="28"/>
          <w:highlight w:val="none"/>
          <w:lang w:eastAsia="zh-CN"/>
        </w:rPr>
      </w:pPr>
    </w:p>
    <w:p>
      <w:pPr>
        <w:pStyle w:val="3"/>
        <w:pageBreakBefore w:val="0"/>
        <w:widowControl w:val="0"/>
        <w:kinsoku/>
        <w:wordWrap/>
        <w:overflowPunct/>
        <w:topLinePunct w:val="0"/>
        <w:autoSpaceDE/>
        <w:autoSpaceDN/>
        <w:bidi w:val="0"/>
        <w:snapToGrid/>
        <w:spacing w:line="360" w:lineRule="auto"/>
        <w:ind w:left="435" w:leftChars="202" w:hanging="11" w:hangingChars="4"/>
        <w:jc w:val="both"/>
        <w:textAlignment w:val="auto"/>
        <w:rPr>
          <w:rFonts w:hint="eastAsia" w:ascii="仿宋" w:eastAsia="仿宋" w:cs="仿宋"/>
          <w:b/>
          <w:bCs/>
          <w:color w:val="auto"/>
          <w:kern w:val="0"/>
          <w:sz w:val="28"/>
          <w:szCs w:val="28"/>
          <w:highlight w:val="none"/>
          <w:lang w:eastAsia="zh-CN"/>
        </w:rPr>
      </w:pPr>
      <w:r>
        <w:rPr>
          <w:rFonts w:hint="eastAsia" w:ascii="仿宋" w:eastAsia="仿宋" w:cs="仿宋"/>
          <w:b/>
          <w:bCs/>
          <w:color w:val="auto"/>
          <w:kern w:val="0"/>
          <w:sz w:val="28"/>
          <w:szCs w:val="28"/>
          <w:highlight w:val="none"/>
          <w:lang w:eastAsia="zh-CN"/>
        </w:rPr>
        <w:t>（</w:t>
      </w:r>
      <w:r>
        <w:rPr>
          <w:rFonts w:hint="eastAsia" w:ascii="仿宋" w:eastAsia="仿宋" w:cs="仿宋"/>
          <w:b/>
          <w:bCs/>
          <w:color w:val="auto"/>
          <w:kern w:val="0"/>
          <w:sz w:val="28"/>
          <w:szCs w:val="28"/>
          <w:highlight w:val="none"/>
          <w:lang w:val="en-US" w:eastAsia="zh-CN"/>
        </w:rPr>
        <w:t>2</w:t>
      </w:r>
      <w:r>
        <w:rPr>
          <w:rFonts w:hint="eastAsia" w:ascii="仿宋" w:eastAsia="仿宋" w:cs="仿宋"/>
          <w:b/>
          <w:bCs/>
          <w:color w:val="auto"/>
          <w:kern w:val="0"/>
          <w:sz w:val="28"/>
          <w:szCs w:val="28"/>
          <w:highlight w:val="none"/>
          <w:lang w:eastAsia="zh-CN"/>
        </w:rPr>
        <w:t>）</w:t>
      </w:r>
      <w:r>
        <w:rPr>
          <w:rFonts w:hint="eastAsia" w:ascii="仿宋" w:eastAsia="仿宋" w:cs="仿宋"/>
          <w:b/>
          <w:bCs/>
          <w:color w:val="auto"/>
          <w:sz w:val="28"/>
          <w:szCs w:val="28"/>
          <w:highlight w:val="none"/>
          <w:u w:val="single"/>
        </w:rPr>
        <w:t>“工程量清单”</w:t>
      </w:r>
      <w:r>
        <w:rPr>
          <w:rFonts w:hint="eastAsia" w:ascii="仿宋" w:eastAsia="仿宋" w:cs="仿宋"/>
          <w:b/>
          <w:bCs/>
          <w:color w:val="auto"/>
          <w:sz w:val="28"/>
          <w:szCs w:val="28"/>
          <w:highlight w:val="none"/>
          <w:u w:val="single"/>
          <w:lang w:val="en-US" w:eastAsia="zh-CN"/>
        </w:rPr>
        <w:t>序号6-8项内容</w:t>
      </w:r>
      <w:r>
        <w:rPr>
          <w:rFonts w:hint="eastAsia" w:ascii="仿宋" w:eastAsia="仿宋" w:cs="仿宋"/>
          <w:b/>
          <w:bCs/>
          <w:color w:val="auto"/>
          <w:kern w:val="0"/>
          <w:sz w:val="28"/>
          <w:szCs w:val="28"/>
          <w:highlight w:val="none"/>
        </w:rPr>
        <w:t>，</w:t>
      </w:r>
      <w:r>
        <w:rPr>
          <w:rFonts w:hint="eastAsia" w:ascii="仿宋" w:eastAsia="仿宋" w:cs="仿宋"/>
          <w:b/>
          <w:bCs/>
          <w:color w:val="auto"/>
          <w:sz w:val="28"/>
          <w:szCs w:val="28"/>
          <w:highlight w:val="none"/>
        </w:rPr>
        <w:t>属于</w:t>
      </w:r>
      <w:r>
        <w:rPr>
          <w:rFonts w:hint="eastAsia" w:ascii="仿宋" w:eastAsia="仿宋" w:cs="仿宋"/>
          <w:b/>
          <w:bCs/>
          <w:color w:val="auto"/>
          <w:kern w:val="0"/>
          <w:sz w:val="28"/>
          <w:szCs w:val="28"/>
          <w:highlight w:val="none"/>
          <w:u w:val="single"/>
        </w:rPr>
        <w:t xml:space="preserve"> </w:t>
      </w:r>
      <w:r>
        <w:rPr>
          <w:rFonts w:hint="eastAsia" w:ascii="仿宋" w:eastAsia="仿宋" w:cs="仿宋"/>
          <w:b/>
          <w:bCs/>
          <w:color w:val="auto"/>
          <w:sz w:val="28"/>
          <w:szCs w:val="28"/>
          <w:highlight w:val="none"/>
          <w:u w:val="single"/>
          <w:lang w:val="en-US" w:eastAsia="zh-CN"/>
        </w:rPr>
        <w:t>软件和信息技术服务业</w:t>
      </w:r>
      <w:r>
        <w:rPr>
          <w:rFonts w:hint="eastAsia" w:ascii="仿宋" w:eastAsia="仿宋" w:cs="仿宋"/>
          <w:b/>
          <w:bCs/>
          <w:color w:val="auto"/>
          <w:kern w:val="0"/>
          <w:sz w:val="28"/>
          <w:szCs w:val="28"/>
          <w:highlight w:val="none"/>
          <w:u w:val="single"/>
        </w:rPr>
        <w:t xml:space="preserve"> </w:t>
      </w:r>
      <w:r>
        <w:rPr>
          <w:rFonts w:hint="eastAsia" w:ascii="仿宋" w:eastAsia="仿宋" w:cs="仿宋"/>
          <w:b/>
          <w:bCs/>
          <w:color w:val="auto"/>
          <w:sz w:val="28"/>
          <w:szCs w:val="28"/>
          <w:highlight w:val="none"/>
          <w:lang w:val="en-US"/>
        </w:rPr>
        <w:t>行业</w:t>
      </w:r>
      <w:r>
        <w:rPr>
          <w:rFonts w:hint="eastAsia" w:ascii="仿宋" w:eastAsia="仿宋" w:cs="仿宋"/>
          <w:b/>
          <w:bCs/>
          <w:color w:val="auto"/>
          <w:kern w:val="0"/>
          <w:sz w:val="28"/>
          <w:szCs w:val="28"/>
          <w:highlight w:val="none"/>
          <w:lang w:eastAsia="zh-CN"/>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pageBreakBefore w:val="0"/>
        <w:widowControl w:val="0"/>
        <w:kinsoku/>
        <w:wordWrap/>
        <w:overflowPunct/>
        <w:topLinePunct w:val="0"/>
        <w:autoSpaceDE/>
        <w:autoSpaceDN/>
        <w:bidi w:val="0"/>
        <w:snapToGrid/>
        <w:spacing w:line="360" w:lineRule="auto"/>
        <w:ind w:left="559" w:leftChars="266" w:firstLine="0" w:firstLineChars="0"/>
        <w:textAlignment w:val="auto"/>
        <w:rPr>
          <w:rFonts w:hint="eastAsia" w:ascii="仿宋" w:eastAsia="仿宋" w:cs="仿宋"/>
          <w:b/>
          <w:bCs/>
          <w:color w:val="auto"/>
          <w:kern w:val="0"/>
          <w:sz w:val="28"/>
          <w:szCs w:val="28"/>
          <w:highlight w:val="none"/>
          <w:lang w:eastAsia="zh-CN"/>
        </w:rPr>
      </w:pPr>
    </w:p>
    <w:p>
      <w:pPr>
        <w:pageBreakBefore w:val="0"/>
        <w:widowControl w:val="0"/>
        <w:kinsoku/>
        <w:wordWrap/>
        <w:overflowPunct/>
        <w:topLinePunct w:val="0"/>
        <w:autoSpaceDE/>
        <w:autoSpaceDN/>
        <w:bidi w:val="0"/>
        <w:snapToGrid/>
        <w:spacing w:line="360" w:lineRule="auto"/>
        <w:ind w:left="559" w:leftChars="266" w:firstLine="0" w:firstLineChars="0"/>
        <w:textAlignment w:val="auto"/>
        <w:rPr>
          <w:rFonts w:hint="eastAsia" w:ascii="仿宋" w:hAnsi="仿宋" w:eastAsia="仿宋" w:cs="仿宋"/>
          <w:b/>
          <w:bCs/>
          <w:color w:val="auto"/>
          <w:sz w:val="28"/>
          <w:szCs w:val="28"/>
          <w:highlight w:val="none"/>
          <w:u w:val="single"/>
        </w:rPr>
      </w:pPr>
      <w:r>
        <w:rPr>
          <w:rFonts w:hint="eastAsia" w:ascii="仿宋" w:eastAsia="仿宋" w:cs="仿宋"/>
          <w:b/>
          <w:bCs/>
          <w:color w:val="auto"/>
          <w:kern w:val="0"/>
          <w:sz w:val="28"/>
          <w:szCs w:val="28"/>
          <w:highlight w:val="none"/>
          <w:lang w:eastAsia="zh-CN"/>
        </w:rPr>
        <w:t>（</w:t>
      </w:r>
      <w:r>
        <w:rPr>
          <w:rFonts w:hint="eastAsia" w:ascii="仿宋" w:eastAsia="仿宋" w:cs="仿宋"/>
          <w:b/>
          <w:bCs/>
          <w:color w:val="auto"/>
          <w:kern w:val="0"/>
          <w:sz w:val="28"/>
          <w:szCs w:val="28"/>
          <w:highlight w:val="none"/>
          <w:lang w:val="en-US" w:eastAsia="zh-CN"/>
        </w:rPr>
        <w:t>3</w:t>
      </w:r>
      <w:r>
        <w:rPr>
          <w:rFonts w:hint="eastAsia" w:ascii="仿宋" w:eastAsia="仿宋" w:cs="仿宋"/>
          <w:b/>
          <w:bCs/>
          <w:color w:val="auto"/>
          <w:kern w:val="0"/>
          <w:sz w:val="28"/>
          <w:szCs w:val="28"/>
          <w:highlight w:val="none"/>
          <w:lang w:eastAsia="zh-CN"/>
        </w:rPr>
        <w:t>）</w:t>
      </w:r>
      <w:r>
        <w:rPr>
          <w:rFonts w:hint="eastAsia" w:ascii="仿宋" w:eastAsia="仿宋" w:cs="仿宋"/>
          <w:b/>
          <w:bCs/>
          <w:color w:val="auto"/>
          <w:sz w:val="28"/>
          <w:szCs w:val="28"/>
          <w:highlight w:val="none"/>
          <w:u w:val="single"/>
        </w:rPr>
        <w:t>“工程量清单”</w:t>
      </w:r>
      <w:r>
        <w:rPr>
          <w:rFonts w:hint="eastAsia" w:ascii="仿宋" w:eastAsia="仿宋" w:cs="仿宋"/>
          <w:b/>
          <w:bCs/>
          <w:color w:val="auto"/>
          <w:sz w:val="28"/>
          <w:szCs w:val="28"/>
          <w:highlight w:val="none"/>
          <w:u w:val="single"/>
          <w:lang w:val="en-US" w:eastAsia="zh-CN"/>
        </w:rPr>
        <w:t>序号9-10项内容</w:t>
      </w:r>
      <w:r>
        <w:rPr>
          <w:rFonts w:hint="eastAsia" w:ascii="仿宋" w:eastAsia="仿宋" w:cs="仿宋"/>
          <w:b/>
          <w:bCs/>
          <w:color w:val="auto"/>
          <w:kern w:val="0"/>
          <w:sz w:val="28"/>
          <w:szCs w:val="28"/>
          <w:highlight w:val="none"/>
        </w:rPr>
        <w:t>，</w:t>
      </w:r>
      <w:r>
        <w:rPr>
          <w:rFonts w:hint="eastAsia" w:ascii="仿宋" w:eastAsia="仿宋" w:cs="仿宋"/>
          <w:b/>
          <w:bCs/>
          <w:color w:val="auto"/>
          <w:sz w:val="28"/>
          <w:szCs w:val="28"/>
          <w:highlight w:val="none"/>
        </w:rPr>
        <w:t>属于</w:t>
      </w:r>
      <w:r>
        <w:rPr>
          <w:rFonts w:hint="eastAsia" w:ascii="仿宋" w:eastAsia="仿宋" w:cs="仿宋"/>
          <w:b/>
          <w:bCs/>
          <w:color w:val="auto"/>
          <w:kern w:val="0"/>
          <w:sz w:val="28"/>
          <w:szCs w:val="28"/>
          <w:highlight w:val="none"/>
          <w:u w:val="single"/>
        </w:rPr>
        <w:t xml:space="preserve"> </w:t>
      </w:r>
      <w:r>
        <w:rPr>
          <w:rFonts w:hint="eastAsia" w:ascii="仿宋" w:eastAsia="仿宋" w:cs="仿宋"/>
          <w:b/>
          <w:bCs/>
          <w:color w:val="auto"/>
          <w:sz w:val="28"/>
          <w:szCs w:val="28"/>
          <w:highlight w:val="none"/>
          <w:u w:val="single"/>
          <w:lang w:val="en-US" w:eastAsia="zh-CN"/>
        </w:rPr>
        <w:t>建筑业</w:t>
      </w:r>
      <w:r>
        <w:rPr>
          <w:rFonts w:hint="eastAsia" w:ascii="仿宋" w:eastAsia="仿宋" w:cs="仿宋"/>
          <w:b/>
          <w:bCs/>
          <w:color w:val="auto"/>
          <w:kern w:val="0"/>
          <w:sz w:val="28"/>
          <w:szCs w:val="28"/>
          <w:highlight w:val="none"/>
          <w:u w:val="single"/>
        </w:rPr>
        <w:t xml:space="preserve"> </w:t>
      </w:r>
      <w:r>
        <w:rPr>
          <w:rFonts w:hint="eastAsia" w:ascii="仿宋" w:eastAsia="仿宋" w:cs="仿宋"/>
          <w:b/>
          <w:bCs/>
          <w:color w:val="auto"/>
          <w:sz w:val="28"/>
          <w:szCs w:val="28"/>
          <w:highlight w:val="none"/>
          <w:lang w:val="en-US"/>
        </w:rPr>
        <w:t>行业</w:t>
      </w:r>
      <w:r>
        <w:rPr>
          <w:rFonts w:hint="eastAsia" w:ascii="仿宋" w:eastAsia="仿宋" w:cs="仿宋"/>
          <w:b/>
          <w:bCs/>
          <w:color w:val="auto"/>
          <w:kern w:val="0"/>
          <w:sz w:val="28"/>
          <w:szCs w:val="28"/>
          <w:highlight w:val="none"/>
          <w:lang w:eastAsia="zh-CN"/>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60" w:lineRule="auto"/>
        <w:ind w:firstLine="562" w:firstLineChars="200"/>
        <w:rPr>
          <w:rFonts w:hint="eastAsia" w:ascii="仿宋" w:hAnsi="仿宋" w:eastAsia="仿宋"/>
          <w:b/>
          <w:bCs/>
          <w:color w:val="auto"/>
          <w:sz w:val="28"/>
          <w:szCs w:val="28"/>
          <w:highlight w:val="none"/>
        </w:rPr>
      </w:pPr>
    </w:p>
    <w:p>
      <w:pPr>
        <w:spacing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③如采购内容包含有多个标的物时，各投标人必须针对所有标的物制造商情况进行说明，且标的物品牌应与报价明细表上的品牌一致。只有当每个采购标的物都由中小企业生产且使用该中小企业商号或者注册商标的，才能视作中小企业投标。</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firstLine="480" w:firstLineChars="200"/>
        <w:rPr>
          <w:rFonts w:ascii="仿宋" w:hAnsi="仿宋" w:eastAsia="仿宋"/>
          <w:color w:val="auto"/>
          <w:sz w:val="24"/>
          <w:highlight w:val="none"/>
        </w:rPr>
      </w:pP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widowControl/>
        <w:spacing w:line="360" w:lineRule="auto"/>
        <w:ind w:firstLine="480" w:firstLineChars="200"/>
        <w:rPr>
          <w:rFonts w:ascii="仿宋" w:hAnsi="仿宋" w:eastAsia="仿宋" w:cs="仿宋"/>
          <w:color w:val="auto"/>
          <w:sz w:val="24"/>
          <w:highlight w:val="none"/>
        </w:rPr>
      </w:pPr>
    </w:p>
    <w:sectPr>
      <w:pgSz w:w="11906" w:h="16838"/>
      <w:pgMar w:top="1440" w:right="1417" w:bottom="1440" w:left="1417" w:header="851" w:footer="992" w:gutter="0"/>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jc w:val="right"/>
    </w:pPr>
    <w:r>
      <w:rPr>
        <w:rFonts w:hint="eastAsia"/>
      </w:rPr>
      <w:t>浙江省政府采购竞争性磋商文件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jc w:val="right"/>
    </w:pPr>
    <w:r>
      <w:t></w:t>
    </w:r>
    <w:r>
      <w:rPr>
        <w:rFonts w:hint="eastAsia"/>
      </w:rPr>
      <w:t xml:space="preserve">浙江省政府采购竞争性磋商文件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rPr>
        <w:rFonts w:ascii="仿宋_GB2312" w:eastAsia="仿宋_GB2312"/>
        <w:b/>
        <w:i/>
        <w:u w:val="single"/>
      </w:rPr>
    </w:pPr>
    <w:r>
      <w:rPr>
        <w:rFonts w:hint="eastAsia"/>
      </w:rPr>
      <w:t>浙江省</w:t>
    </w:r>
    <w:r>
      <w:rPr>
        <w:lang w:val="zh-CN"/>
      </w:rPr>
      <w:t>政府采购</w:t>
    </w:r>
    <w:r>
      <w:rPr>
        <w:rFonts w:hint="eastAsia"/>
        <w:lang w:val="zh-CN"/>
      </w:rPr>
      <w:t>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rPr>
        <w:rFonts w:hint="eastAsia" w:ascii="仿宋" w:hAnsi="仿宋" w:eastAsia="仿宋" w:cs="仿宋"/>
      </w:rPr>
      <w:t xml:space="preserve">                                                                               </w:t>
    </w:r>
    <w:r>
      <w:rPr>
        <w:rFonts w:hint="eastAsia" w:eastAsia="仿宋"/>
      </w:rPr>
      <w:t>浙江省政府采购竞争性磋商文件</w:t>
    </w:r>
    <w:r>
      <w:rPr>
        <w:rFonts w:hint="eastAsia" w:ascii="仿宋" w:hAnsi="仿宋" w:eastAsia="仿宋" w:cs="仿宋"/>
      </w:rPr>
      <w:t xml:space="preserve"> </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浙江省政府采购竞争性磋商文件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
    <w:nsid w:val="34A1552E"/>
    <w:multiLevelType w:val="multilevel"/>
    <w:tmpl w:val="34A1552E"/>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2">
    <w:nsid w:val="59706EA6"/>
    <w:multiLevelType w:val="multilevel"/>
    <w:tmpl w:val="59706EA6"/>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3">
    <w:nsid w:val="5B9B9005"/>
    <w:multiLevelType w:val="singleLevel"/>
    <w:tmpl w:val="5B9B9005"/>
    <w:lvl w:ilvl="0" w:tentative="0">
      <w:start w:val="1"/>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bordersDoNotSurroundHeader w:val="1"/>
  <w:bordersDoNotSurroundFooter w:val="1"/>
  <w:hideSpellingErrors/>
  <w:documentProtection w:enforcement="0"/>
  <w:defaultTabStop w:val="419"/>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EwNTQwYTUzZDNhMjVhNGQzYTY5NDg1ODIzYWJkOGMifQ=="/>
    <w:docVar w:name="KSO_WPS_MARK_KEY" w:val="9cfa2206-43be-4921-8e2f-04ef3a462ce8"/>
  </w:docVars>
  <w:rsids>
    <w:rsidRoot w:val="00172A27"/>
    <w:rsid w:val="00000451"/>
    <w:rsid w:val="0000108B"/>
    <w:rsid w:val="0000133D"/>
    <w:rsid w:val="00001509"/>
    <w:rsid w:val="000032B2"/>
    <w:rsid w:val="0000363B"/>
    <w:rsid w:val="0000453F"/>
    <w:rsid w:val="0000549C"/>
    <w:rsid w:val="000058BD"/>
    <w:rsid w:val="00006109"/>
    <w:rsid w:val="00006150"/>
    <w:rsid w:val="000063E8"/>
    <w:rsid w:val="00006725"/>
    <w:rsid w:val="0000675E"/>
    <w:rsid w:val="00007CAA"/>
    <w:rsid w:val="00010FE9"/>
    <w:rsid w:val="0001122F"/>
    <w:rsid w:val="00011A4B"/>
    <w:rsid w:val="00011EA7"/>
    <w:rsid w:val="00012084"/>
    <w:rsid w:val="00012251"/>
    <w:rsid w:val="0001337C"/>
    <w:rsid w:val="000138C4"/>
    <w:rsid w:val="00013C1F"/>
    <w:rsid w:val="00013F31"/>
    <w:rsid w:val="000140D8"/>
    <w:rsid w:val="00014530"/>
    <w:rsid w:val="00014BBC"/>
    <w:rsid w:val="000150EE"/>
    <w:rsid w:val="000168D8"/>
    <w:rsid w:val="00016B03"/>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471"/>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5C37"/>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843"/>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3D4"/>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43"/>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0E"/>
    <w:rsid w:val="00121EC9"/>
    <w:rsid w:val="0012208F"/>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C7B"/>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689A"/>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773"/>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0CFA"/>
    <w:rsid w:val="001A128B"/>
    <w:rsid w:val="001A1475"/>
    <w:rsid w:val="001A1F0E"/>
    <w:rsid w:val="001A2968"/>
    <w:rsid w:val="001A3335"/>
    <w:rsid w:val="001A473A"/>
    <w:rsid w:val="001A4977"/>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59D"/>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1F6"/>
    <w:rsid w:val="001F0BB5"/>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07EE9"/>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5E40"/>
    <w:rsid w:val="0021636B"/>
    <w:rsid w:val="00216387"/>
    <w:rsid w:val="00216E7B"/>
    <w:rsid w:val="00217A25"/>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6A9"/>
    <w:rsid w:val="00227DDC"/>
    <w:rsid w:val="0023079F"/>
    <w:rsid w:val="00231135"/>
    <w:rsid w:val="00231B0B"/>
    <w:rsid w:val="00231D18"/>
    <w:rsid w:val="002323F5"/>
    <w:rsid w:val="00232555"/>
    <w:rsid w:val="00233538"/>
    <w:rsid w:val="00234248"/>
    <w:rsid w:val="0023449F"/>
    <w:rsid w:val="002344F5"/>
    <w:rsid w:val="0023454D"/>
    <w:rsid w:val="00234679"/>
    <w:rsid w:val="002359FC"/>
    <w:rsid w:val="00235D49"/>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0A77"/>
    <w:rsid w:val="0025151C"/>
    <w:rsid w:val="0025184F"/>
    <w:rsid w:val="00251967"/>
    <w:rsid w:val="002527CC"/>
    <w:rsid w:val="00252F48"/>
    <w:rsid w:val="002530C0"/>
    <w:rsid w:val="00253586"/>
    <w:rsid w:val="002537FC"/>
    <w:rsid w:val="002542F8"/>
    <w:rsid w:val="002543EF"/>
    <w:rsid w:val="00254F2A"/>
    <w:rsid w:val="00255784"/>
    <w:rsid w:val="00255810"/>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835"/>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78F"/>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3B2"/>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0A5"/>
    <w:rsid w:val="003025FE"/>
    <w:rsid w:val="00302A27"/>
    <w:rsid w:val="00303AB6"/>
    <w:rsid w:val="00304640"/>
    <w:rsid w:val="00304AC1"/>
    <w:rsid w:val="00305090"/>
    <w:rsid w:val="00305454"/>
    <w:rsid w:val="00305B9F"/>
    <w:rsid w:val="00305E21"/>
    <w:rsid w:val="003066C6"/>
    <w:rsid w:val="003066FA"/>
    <w:rsid w:val="00306AD6"/>
    <w:rsid w:val="003077F4"/>
    <w:rsid w:val="00307C7E"/>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920"/>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1DBF"/>
    <w:rsid w:val="003320D7"/>
    <w:rsid w:val="00332265"/>
    <w:rsid w:val="00332862"/>
    <w:rsid w:val="00332D52"/>
    <w:rsid w:val="00333337"/>
    <w:rsid w:val="00333A28"/>
    <w:rsid w:val="00333B6C"/>
    <w:rsid w:val="00334927"/>
    <w:rsid w:val="003360AD"/>
    <w:rsid w:val="003361F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47A1B"/>
    <w:rsid w:val="0035005C"/>
    <w:rsid w:val="00350896"/>
    <w:rsid w:val="00350C31"/>
    <w:rsid w:val="00350C9F"/>
    <w:rsid w:val="00351391"/>
    <w:rsid w:val="003519CD"/>
    <w:rsid w:val="00351A3A"/>
    <w:rsid w:val="0035455F"/>
    <w:rsid w:val="00354F9B"/>
    <w:rsid w:val="00355D75"/>
    <w:rsid w:val="00355D8F"/>
    <w:rsid w:val="00356A73"/>
    <w:rsid w:val="00356FF0"/>
    <w:rsid w:val="003577EF"/>
    <w:rsid w:val="00357A3A"/>
    <w:rsid w:val="00357A60"/>
    <w:rsid w:val="00360304"/>
    <w:rsid w:val="0036075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7D9"/>
    <w:rsid w:val="003A1804"/>
    <w:rsid w:val="003A1C44"/>
    <w:rsid w:val="003A20D5"/>
    <w:rsid w:val="003A24CC"/>
    <w:rsid w:val="003A2512"/>
    <w:rsid w:val="003A2A53"/>
    <w:rsid w:val="003A2EE8"/>
    <w:rsid w:val="003A373C"/>
    <w:rsid w:val="003A5378"/>
    <w:rsid w:val="003A550C"/>
    <w:rsid w:val="003A553C"/>
    <w:rsid w:val="003A56DF"/>
    <w:rsid w:val="003A6008"/>
    <w:rsid w:val="003A6B66"/>
    <w:rsid w:val="003A703F"/>
    <w:rsid w:val="003A7E2B"/>
    <w:rsid w:val="003A7E40"/>
    <w:rsid w:val="003B0336"/>
    <w:rsid w:val="003B0A3A"/>
    <w:rsid w:val="003B0A6B"/>
    <w:rsid w:val="003B0D79"/>
    <w:rsid w:val="003B2930"/>
    <w:rsid w:val="003B2D12"/>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5F31"/>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6CEE"/>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4D2A"/>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5F5"/>
    <w:rsid w:val="0044686B"/>
    <w:rsid w:val="004475F7"/>
    <w:rsid w:val="0045057B"/>
    <w:rsid w:val="0045069B"/>
    <w:rsid w:val="00450B22"/>
    <w:rsid w:val="00451709"/>
    <w:rsid w:val="004518FA"/>
    <w:rsid w:val="00451A02"/>
    <w:rsid w:val="0045277C"/>
    <w:rsid w:val="00453507"/>
    <w:rsid w:val="00453560"/>
    <w:rsid w:val="00453592"/>
    <w:rsid w:val="004543AB"/>
    <w:rsid w:val="004545EC"/>
    <w:rsid w:val="00455967"/>
    <w:rsid w:val="00455F71"/>
    <w:rsid w:val="00456272"/>
    <w:rsid w:val="0045679C"/>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6CF7"/>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84"/>
    <w:rsid w:val="00483CF0"/>
    <w:rsid w:val="00484D4D"/>
    <w:rsid w:val="00486516"/>
    <w:rsid w:val="0048664F"/>
    <w:rsid w:val="0048677A"/>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5C2"/>
    <w:rsid w:val="004B5C96"/>
    <w:rsid w:val="004B6124"/>
    <w:rsid w:val="004B6E50"/>
    <w:rsid w:val="004B728F"/>
    <w:rsid w:val="004B7317"/>
    <w:rsid w:val="004B75B2"/>
    <w:rsid w:val="004B75C6"/>
    <w:rsid w:val="004B7A16"/>
    <w:rsid w:val="004C02C5"/>
    <w:rsid w:val="004C0BF0"/>
    <w:rsid w:val="004C0D40"/>
    <w:rsid w:val="004C0D94"/>
    <w:rsid w:val="004C0EBA"/>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4B2E"/>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3BF"/>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B65"/>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1C3D"/>
    <w:rsid w:val="00502B31"/>
    <w:rsid w:val="00502F92"/>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BF"/>
    <w:rsid w:val="005256D6"/>
    <w:rsid w:val="00525AD8"/>
    <w:rsid w:val="00525D6B"/>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1AD"/>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15E"/>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6E0"/>
    <w:rsid w:val="005C194E"/>
    <w:rsid w:val="005C1C83"/>
    <w:rsid w:val="005C1DB1"/>
    <w:rsid w:val="005C1E7B"/>
    <w:rsid w:val="005C226F"/>
    <w:rsid w:val="005C2294"/>
    <w:rsid w:val="005C2E48"/>
    <w:rsid w:val="005C3344"/>
    <w:rsid w:val="005C371A"/>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0AA6"/>
    <w:rsid w:val="005E1AB4"/>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5"/>
    <w:rsid w:val="00620336"/>
    <w:rsid w:val="006204B3"/>
    <w:rsid w:val="006204C2"/>
    <w:rsid w:val="006212D3"/>
    <w:rsid w:val="00621639"/>
    <w:rsid w:val="00622B22"/>
    <w:rsid w:val="00622F67"/>
    <w:rsid w:val="00623571"/>
    <w:rsid w:val="00623A5E"/>
    <w:rsid w:val="00625008"/>
    <w:rsid w:val="0062548B"/>
    <w:rsid w:val="006261E6"/>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77"/>
    <w:rsid w:val="006576BA"/>
    <w:rsid w:val="006600BF"/>
    <w:rsid w:val="00660AF7"/>
    <w:rsid w:val="00660D3E"/>
    <w:rsid w:val="00661691"/>
    <w:rsid w:val="006628BB"/>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B22"/>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1E4"/>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F74"/>
    <w:rsid w:val="006B7F81"/>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46E5"/>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9A3"/>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5D53"/>
    <w:rsid w:val="0073618A"/>
    <w:rsid w:val="007364A3"/>
    <w:rsid w:val="00736740"/>
    <w:rsid w:val="007370E5"/>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B4B"/>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4E39"/>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801"/>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317"/>
    <w:rsid w:val="007A2555"/>
    <w:rsid w:val="007A25FA"/>
    <w:rsid w:val="007A2DB8"/>
    <w:rsid w:val="007A2FCB"/>
    <w:rsid w:val="007A3520"/>
    <w:rsid w:val="007A3604"/>
    <w:rsid w:val="007A3878"/>
    <w:rsid w:val="007A3D85"/>
    <w:rsid w:val="007A3E0D"/>
    <w:rsid w:val="007A3FB0"/>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ABE"/>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503"/>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5D73"/>
    <w:rsid w:val="007F6260"/>
    <w:rsid w:val="007F682B"/>
    <w:rsid w:val="007F78E8"/>
    <w:rsid w:val="007F7F8F"/>
    <w:rsid w:val="00800509"/>
    <w:rsid w:val="0080078E"/>
    <w:rsid w:val="00800B7F"/>
    <w:rsid w:val="00801282"/>
    <w:rsid w:val="008012B1"/>
    <w:rsid w:val="00801D63"/>
    <w:rsid w:val="0080348B"/>
    <w:rsid w:val="00803D82"/>
    <w:rsid w:val="00803D98"/>
    <w:rsid w:val="00804D71"/>
    <w:rsid w:val="008052CE"/>
    <w:rsid w:val="0080548A"/>
    <w:rsid w:val="008058D0"/>
    <w:rsid w:val="00806A4C"/>
    <w:rsid w:val="0080705B"/>
    <w:rsid w:val="0080723C"/>
    <w:rsid w:val="00807F71"/>
    <w:rsid w:val="0081000F"/>
    <w:rsid w:val="0081137A"/>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2F"/>
    <w:rsid w:val="00821D85"/>
    <w:rsid w:val="00821E47"/>
    <w:rsid w:val="0082203E"/>
    <w:rsid w:val="008220F6"/>
    <w:rsid w:val="00822456"/>
    <w:rsid w:val="00823819"/>
    <w:rsid w:val="00823C4B"/>
    <w:rsid w:val="00824069"/>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50013"/>
    <w:rsid w:val="008500DD"/>
    <w:rsid w:val="00850A0A"/>
    <w:rsid w:val="00850A94"/>
    <w:rsid w:val="00851E96"/>
    <w:rsid w:val="00851ED7"/>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1F0"/>
    <w:rsid w:val="00861763"/>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DA8"/>
    <w:rsid w:val="00875E14"/>
    <w:rsid w:val="0087677E"/>
    <w:rsid w:val="0087712C"/>
    <w:rsid w:val="008776E7"/>
    <w:rsid w:val="00877746"/>
    <w:rsid w:val="00877C5D"/>
    <w:rsid w:val="00880354"/>
    <w:rsid w:val="0088093C"/>
    <w:rsid w:val="00880BC0"/>
    <w:rsid w:val="0088127A"/>
    <w:rsid w:val="00881D59"/>
    <w:rsid w:val="00882991"/>
    <w:rsid w:val="00882EC1"/>
    <w:rsid w:val="00883236"/>
    <w:rsid w:val="0088324E"/>
    <w:rsid w:val="0088434F"/>
    <w:rsid w:val="00884371"/>
    <w:rsid w:val="008848E2"/>
    <w:rsid w:val="00884B7A"/>
    <w:rsid w:val="00884D47"/>
    <w:rsid w:val="008856C5"/>
    <w:rsid w:val="00885990"/>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657"/>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3CE"/>
    <w:rsid w:val="008C094A"/>
    <w:rsid w:val="008C0E7B"/>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DFF"/>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166"/>
    <w:rsid w:val="0090534A"/>
    <w:rsid w:val="00905469"/>
    <w:rsid w:val="00906078"/>
    <w:rsid w:val="0090629C"/>
    <w:rsid w:val="00906EA2"/>
    <w:rsid w:val="00907278"/>
    <w:rsid w:val="00907E64"/>
    <w:rsid w:val="00910041"/>
    <w:rsid w:val="0091112B"/>
    <w:rsid w:val="00911D61"/>
    <w:rsid w:val="00912850"/>
    <w:rsid w:val="009128B8"/>
    <w:rsid w:val="0091472C"/>
    <w:rsid w:val="00914DC9"/>
    <w:rsid w:val="00914F4F"/>
    <w:rsid w:val="00915351"/>
    <w:rsid w:val="00915679"/>
    <w:rsid w:val="009159C2"/>
    <w:rsid w:val="0091627F"/>
    <w:rsid w:val="00916E45"/>
    <w:rsid w:val="009202C0"/>
    <w:rsid w:val="0092077A"/>
    <w:rsid w:val="00920DC0"/>
    <w:rsid w:val="009219F3"/>
    <w:rsid w:val="009221CB"/>
    <w:rsid w:val="00922320"/>
    <w:rsid w:val="00923643"/>
    <w:rsid w:val="00923E1A"/>
    <w:rsid w:val="009245CC"/>
    <w:rsid w:val="0092490A"/>
    <w:rsid w:val="00925A3E"/>
    <w:rsid w:val="009261DB"/>
    <w:rsid w:val="009267C2"/>
    <w:rsid w:val="00926939"/>
    <w:rsid w:val="00926F4C"/>
    <w:rsid w:val="00927330"/>
    <w:rsid w:val="00927710"/>
    <w:rsid w:val="009307CA"/>
    <w:rsid w:val="009312F9"/>
    <w:rsid w:val="00931445"/>
    <w:rsid w:val="00931AB8"/>
    <w:rsid w:val="00931C19"/>
    <w:rsid w:val="00931C63"/>
    <w:rsid w:val="00931D10"/>
    <w:rsid w:val="0093218A"/>
    <w:rsid w:val="00933164"/>
    <w:rsid w:val="0093386D"/>
    <w:rsid w:val="00934C8E"/>
    <w:rsid w:val="00934E76"/>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1D6"/>
    <w:rsid w:val="0096373F"/>
    <w:rsid w:val="00964007"/>
    <w:rsid w:val="00964283"/>
    <w:rsid w:val="009642A4"/>
    <w:rsid w:val="009643F4"/>
    <w:rsid w:val="009645A6"/>
    <w:rsid w:val="00964D7E"/>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60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2B46"/>
    <w:rsid w:val="009C3BC4"/>
    <w:rsid w:val="009C3C93"/>
    <w:rsid w:val="009C3E97"/>
    <w:rsid w:val="009C4017"/>
    <w:rsid w:val="009C424E"/>
    <w:rsid w:val="009C4708"/>
    <w:rsid w:val="009C4870"/>
    <w:rsid w:val="009C4C4E"/>
    <w:rsid w:val="009C4D37"/>
    <w:rsid w:val="009C4F1E"/>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4DD"/>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241"/>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497"/>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699"/>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EF6"/>
    <w:rsid w:val="00A94423"/>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0AC2"/>
    <w:rsid w:val="00AB110C"/>
    <w:rsid w:val="00AB227A"/>
    <w:rsid w:val="00AB22BF"/>
    <w:rsid w:val="00AB256E"/>
    <w:rsid w:val="00AB3466"/>
    <w:rsid w:val="00AB38B2"/>
    <w:rsid w:val="00AB3BBB"/>
    <w:rsid w:val="00AB3E6B"/>
    <w:rsid w:val="00AB408C"/>
    <w:rsid w:val="00AB40DD"/>
    <w:rsid w:val="00AB43AF"/>
    <w:rsid w:val="00AB4E41"/>
    <w:rsid w:val="00AB4F8B"/>
    <w:rsid w:val="00AB5EB1"/>
    <w:rsid w:val="00AB6003"/>
    <w:rsid w:val="00AB759A"/>
    <w:rsid w:val="00AB7B06"/>
    <w:rsid w:val="00AB7B85"/>
    <w:rsid w:val="00AB7EAA"/>
    <w:rsid w:val="00AC0432"/>
    <w:rsid w:val="00AC0770"/>
    <w:rsid w:val="00AC1683"/>
    <w:rsid w:val="00AC1D82"/>
    <w:rsid w:val="00AC2D5F"/>
    <w:rsid w:val="00AC3170"/>
    <w:rsid w:val="00AC3FC3"/>
    <w:rsid w:val="00AC4094"/>
    <w:rsid w:val="00AC42B6"/>
    <w:rsid w:val="00AC4AB7"/>
    <w:rsid w:val="00AC51E0"/>
    <w:rsid w:val="00AC5396"/>
    <w:rsid w:val="00AC6D24"/>
    <w:rsid w:val="00AC6D63"/>
    <w:rsid w:val="00AC6E18"/>
    <w:rsid w:val="00AC7F64"/>
    <w:rsid w:val="00AD1065"/>
    <w:rsid w:val="00AD159E"/>
    <w:rsid w:val="00AD224B"/>
    <w:rsid w:val="00AD2AB1"/>
    <w:rsid w:val="00AD2C49"/>
    <w:rsid w:val="00AD3132"/>
    <w:rsid w:val="00AD3DA6"/>
    <w:rsid w:val="00AD3F3C"/>
    <w:rsid w:val="00AD3F60"/>
    <w:rsid w:val="00AD447E"/>
    <w:rsid w:val="00AD49B9"/>
    <w:rsid w:val="00AD4B2F"/>
    <w:rsid w:val="00AD5F0A"/>
    <w:rsid w:val="00AD631E"/>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E7368"/>
    <w:rsid w:val="00AF03CF"/>
    <w:rsid w:val="00AF0A0A"/>
    <w:rsid w:val="00AF0C09"/>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4EE"/>
    <w:rsid w:val="00B04678"/>
    <w:rsid w:val="00B047C9"/>
    <w:rsid w:val="00B04A04"/>
    <w:rsid w:val="00B04B78"/>
    <w:rsid w:val="00B04C37"/>
    <w:rsid w:val="00B04F00"/>
    <w:rsid w:val="00B05BA6"/>
    <w:rsid w:val="00B05D93"/>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6C85"/>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5ED"/>
    <w:rsid w:val="00B478D8"/>
    <w:rsid w:val="00B47979"/>
    <w:rsid w:val="00B47A59"/>
    <w:rsid w:val="00B47ECD"/>
    <w:rsid w:val="00B47FF3"/>
    <w:rsid w:val="00B503D6"/>
    <w:rsid w:val="00B50742"/>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1F3A"/>
    <w:rsid w:val="00B6244C"/>
    <w:rsid w:val="00B62A2F"/>
    <w:rsid w:val="00B62B7B"/>
    <w:rsid w:val="00B62F0A"/>
    <w:rsid w:val="00B63484"/>
    <w:rsid w:val="00B634B7"/>
    <w:rsid w:val="00B634F1"/>
    <w:rsid w:val="00B637EF"/>
    <w:rsid w:val="00B63EF6"/>
    <w:rsid w:val="00B64066"/>
    <w:rsid w:val="00B6440A"/>
    <w:rsid w:val="00B646A2"/>
    <w:rsid w:val="00B65788"/>
    <w:rsid w:val="00B65844"/>
    <w:rsid w:val="00B66054"/>
    <w:rsid w:val="00B6677F"/>
    <w:rsid w:val="00B66C7A"/>
    <w:rsid w:val="00B672EA"/>
    <w:rsid w:val="00B6747B"/>
    <w:rsid w:val="00B70200"/>
    <w:rsid w:val="00B702D7"/>
    <w:rsid w:val="00B70389"/>
    <w:rsid w:val="00B70E01"/>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969"/>
    <w:rsid w:val="00B90D8D"/>
    <w:rsid w:val="00B91263"/>
    <w:rsid w:val="00B91A68"/>
    <w:rsid w:val="00B91B61"/>
    <w:rsid w:val="00B9336B"/>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3D3"/>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01F"/>
    <w:rsid w:val="00C0378E"/>
    <w:rsid w:val="00C03A90"/>
    <w:rsid w:val="00C04314"/>
    <w:rsid w:val="00C04BD0"/>
    <w:rsid w:val="00C05730"/>
    <w:rsid w:val="00C05AF4"/>
    <w:rsid w:val="00C05AFD"/>
    <w:rsid w:val="00C0661C"/>
    <w:rsid w:val="00C0675F"/>
    <w:rsid w:val="00C06ECC"/>
    <w:rsid w:val="00C0702A"/>
    <w:rsid w:val="00C0724C"/>
    <w:rsid w:val="00C0765D"/>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E9D"/>
    <w:rsid w:val="00C24FFB"/>
    <w:rsid w:val="00C25633"/>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D34"/>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2C43"/>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17D"/>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34B"/>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CE8"/>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B8E"/>
    <w:rsid w:val="00CC7E0D"/>
    <w:rsid w:val="00CC7E97"/>
    <w:rsid w:val="00CD00EB"/>
    <w:rsid w:val="00CD0B8E"/>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76"/>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D06"/>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38E"/>
    <w:rsid w:val="00D22B13"/>
    <w:rsid w:val="00D2371E"/>
    <w:rsid w:val="00D237E0"/>
    <w:rsid w:val="00D23A17"/>
    <w:rsid w:val="00D254D5"/>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47B"/>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C31"/>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4F28"/>
    <w:rsid w:val="00D95F88"/>
    <w:rsid w:val="00D9631B"/>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54B"/>
    <w:rsid w:val="00DA5897"/>
    <w:rsid w:val="00DA5AFE"/>
    <w:rsid w:val="00DA61AB"/>
    <w:rsid w:val="00DA61CD"/>
    <w:rsid w:val="00DA6EE2"/>
    <w:rsid w:val="00DA718A"/>
    <w:rsid w:val="00DA78CF"/>
    <w:rsid w:val="00DA78D5"/>
    <w:rsid w:val="00DA7A89"/>
    <w:rsid w:val="00DA7BF4"/>
    <w:rsid w:val="00DB01E3"/>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D7983"/>
    <w:rsid w:val="00DE0229"/>
    <w:rsid w:val="00DE04E0"/>
    <w:rsid w:val="00DE12F1"/>
    <w:rsid w:val="00DE1A9B"/>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6FFB"/>
    <w:rsid w:val="00E07B8F"/>
    <w:rsid w:val="00E10712"/>
    <w:rsid w:val="00E10DD1"/>
    <w:rsid w:val="00E1224C"/>
    <w:rsid w:val="00E1254C"/>
    <w:rsid w:val="00E12BDF"/>
    <w:rsid w:val="00E13326"/>
    <w:rsid w:val="00E13D07"/>
    <w:rsid w:val="00E13E71"/>
    <w:rsid w:val="00E14356"/>
    <w:rsid w:val="00E14961"/>
    <w:rsid w:val="00E14D76"/>
    <w:rsid w:val="00E15105"/>
    <w:rsid w:val="00E15183"/>
    <w:rsid w:val="00E15D6C"/>
    <w:rsid w:val="00E1720B"/>
    <w:rsid w:val="00E17299"/>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42A"/>
    <w:rsid w:val="00E519FE"/>
    <w:rsid w:val="00E5206C"/>
    <w:rsid w:val="00E52A61"/>
    <w:rsid w:val="00E52AAB"/>
    <w:rsid w:val="00E5448E"/>
    <w:rsid w:val="00E54E0D"/>
    <w:rsid w:val="00E55247"/>
    <w:rsid w:val="00E558E5"/>
    <w:rsid w:val="00E55B3C"/>
    <w:rsid w:val="00E5642E"/>
    <w:rsid w:val="00E56795"/>
    <w:rsid w:val="00E56EC6"/>
    <w:rsid w:val="00E57932"/>
    <w:rsid w:val="00E606C4"/>
    <w:rsid w:val="00E60811"/>
    <w:rsid w:val="00E60AB8"/>
    <w:rsid w:val="00E60F75"/>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AF"/>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61CB"/>
    <w:rsid w:val="00E963BC"/>
    <w:rsid w:val="00E966A6"/>
    <w:rsid w:val="00E96754"/>
    <w:rsid w:val="00E96E91"/>
    <w:rsid w:val="00E9751D"/>
    <w:rsid w:val="00E97DC6"/>
    <w:rsid w:val="00E97F7A"/>
    <w:rsid w:val="00EA0010"/>
    <w:rsid w:val="00EA0143"/>
    <w:rsid w:val="00EA06DB"/>
    <w:rsid w:val="00EA089B"/>
    <w:rsid w:val="00EA1ACC"/>
    <w:rsid w:val="00EA29E4"/>
    <w:rsid w:val="00EA2E21"/>
    <w:rsid w:val="00EA2EAA"/>
    <w:rsid w:val="00EA380C"/>
    <w:rsid w:val="00EA613D"/>
    <w:rsid w:val="00EA6744"/>
    <w:rsid w:val="00EA6F8B"/>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0A7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1BA"/>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DBD"/>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5BAC"/>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558"/>
    <w:rsid w:val="00F10B81"/>
    <w:rsid w:val="00F10BC9"/>
    <w:rsid w:val="00F113C9"/>
    <w:rsid w:val="00F11A84"/>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3EF"/>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CC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26F"/>
    <w:rsid w:val="00F67B58"/>
    <w:rsid w:val="00F67E81"/>
    <w:rsid w:val="00F7044B"/>
    <w:rsid w:val="00F70FD4"/>
    <w:rsid w:val="00F71342"/>
    <w:rsid w:val="00F71C68"/>
    <w:rsid w:val="00F724E2"/>
    <w:rsid w:val="00F72D7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522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5C58"/>
    <w:rsid w:val="00FB63F6"/>
    <w:rsid w:val="00FB7308"/>
    <w:rsid w:val="00FB7823"/>
    <w:rsid w:val="00FC05B2"/>
    <w:rsid w:val="00FC08B3"/>
    <w:rsid w:val="00FC09D7"/>
    <w:rsid w:val="00FC0ABE"/>
    <w:rsid w:val="00FC1269"/>
    <w:rsid w:val="00FC22D0"/>
    <w:rsid w:val="00FC38D4"/>
    <w:rsid w:val="00FC391E"/>
    <w:rsid w:val="00FC39B3"/>
    <w:rsid w:val="00FC3BB7"/>
    <w:rsid w:val="00FC3D15"/>
    <w:rsid w:val="00FC4345"/>
    <w:rsid w:val="00FC444A"/>
    <w:rsid w:val="00FC453D"/>
    <w:rsid w:val="00FC4A89"/>
    <w:rsid w:val="00FC5371"/>
    <w:rsid w:val="00FC5A55"/>
    <w:rsid w:val="00FC619B"/>
    <w:rsid w:val="00FC625E"/>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130DE"/>
    <w:rsid w:val="010651D9"/>
    <w:rsid w:val="011F6449"/>
    <w:rsid w:val="01236AFB"/>
    <w:rsid w:val="014852B3"/>
    <w:rsid w:val="014D4D61"/>
    <w:rsid w:val="01536131"/>
    <w:rsid w:val="015B3238"/>
    <w:rsid w:val="016025FC"/>
    <w:rsid w:val="01606FD7"/>
    <w:rsid w:val="01654A20"/>
    <w:rsid w:val="017626EB"/>
    <w:rsid w:val="018D36BB"/>
    <w:rsid w:val="01912AEC"/>
    <w:rsid w:val="019F7441"/>
    <w:rsid w:val="01B37585"/>
    <w:rsid w:val="01C37100"/>
    <w:rsid w:val="01D37420"/>
    <w:rsid w:val="01D55165"/>
    <w:rsid w:val="01DF6BF8"/>
    <w:rsid w:val="01E74F67"/>
    <w:rsid w:val="01EC257A"/>
    <w:rsid w:val="01EC2C57"/>
    <w:rsid w:val="01F40F97"/>
    <w:rsid w:val="02030AB2"/>
    <w:rsid w:val="020F047F"/>
    <w:rsid w:val="02233B17"/>
    <w:rsid w:val="023D0B8F"/>
    <w:rsid w:val="02441F1E"/>
    <w:rsid w:val="024C67A6"/>
    <w:rsid w:val="025F0711"/>
    <w:rsid w:val="026B2E25"/>
    <w:rsid w:val="02824D4D"/>
    <w:rsid w:val="02846EFD"/>
    <w:rsid w:val="02AF1D34"/>
    <w:rsid w:val="02B7384A"/>
    <w:rsid w:val="02DC4B10"/>
    <w:rsid w:val="02DD76CE"/>
    <w:rsid w:val="02F36323"/>
    <w:rsid w:val="02F5619C"/>
    <w:rsid w:val="02FC0103"/>
    <w:rsid w:val="03004097"/>
    <w:rsid w:val="0326446A"/>
    <w:rsid w:val="032D5555"/>
    <w:rsid w:val="035A307B"/>
    <w:rsid w:val="036634D2"/>
    <w:rsid w:val="03693E42"/>
    <w:rsid w:val="037036E3"/>
    <w:rsid w:val="037C523C"/>
    <w:rsid w:val="037E3BD2"/>
    <w:rsid w:val="03AB40B9"/>
    <w:rsid w:val="03B95FF4"/>
    <w:rsid w:val="03C8109E"/>
    <w:rsid w:val="03D4242F"/>
    <w:rsid w:val="03DD35E4"/>
    <w:rsid w:val="03EC63C9"/>
    <w:rsid w:val="0405748B"/>
    <w:rsid w:val="04076900"/>
    <w:rsid w:val="040B06F3"/>
    <w:rsid w:val="040B59AA"/>
    <w:rsid w:val="04115E30"/>
    <w:rsid w:val="04137DFA"/>
    <w:rsid w:val="041A5A3B"/>
    <w:rsid w:val="042311BA"/>
    <w:rsid w:val="042B157A"/>
    <w:rsid w:val="0447010D"/>
    <w:rsid w:val="048F763B"/>
    <w:rsid w:val="049F330E"/>
    <w:rsid w:val="04A02746"/>
    <w:rsid w:val="04AA775C"/>
    <w:rsid w:val="04AF1889"/>
    <w:rsid w:val="04C64E6C"/>
    <w:rsid w:val="04CF1B75"/>
    <w:rsid w:val="04D330E5"/>
    <w:rsid w:val="04F66F48"/>
    <w:rsid w:val="04FB2984"/>
    <w:rsid w:val="051A29C5"/>
    <w:rsid w:val="051B364E"/>
    <w:rsid w:val="05251E14"/>
    <w:rsid w:val="05542478"/>
    <w:rsid w:val="056470F4"/>
    <w:rsid w:val="057743B8"/>
    <w:rsid w:val="058A40EC"/>
    <w:rsid w:val="058B2C36"/>
    <w:rsid w:val="05A12B01"/>
    <w:rsid w:val="05A16594"/>
    <w:rsid w:val="05A54193"/>
    <w:rsid w:val="05A7762D"/>
    <w:rsid w:val="05BC01ED"/>
    <w:rsid w:val="05BE5B43"/>
    <w:rsid w:val="05CA44E8"/>
    <w:rsid w:val="05CF7D50"/>
    <w:rsid w:val="05EF3F4F"/>
    <w:rsid w:val="05FB6D97"/>
    <w:rsid w:val="05FC28AF"/>
    <w:rsid w:val="060A2B37"/>
    <w:rsid w:val="060E5941"/>
    <w:rsid w:val="06110FAF"/>
    <w:rsid w:val="06147E59"/>
    <w:rsid w:val="061E21DC"/>
    <w:rsid w:val="062067FE"/>
    <w:rsid w:val="06336531"/>
    <w:rsid w:val="063C6B40"/>
    <w:rsid w:val="06475B39"/>
    <w:rsid w:val="06493CA7"/>
    <w:rsid w:val="06520404"/>
    <w:rsid w:val="065300E9"/>
    <w:rsid w:val="065538E9"/>
    <w:rsid w:val="065A6178"/>
    <w:rsid w:val="06641CDD"/>
    <w:rsid w:val="066C1A43"/>
    <w:rsid w:val="066F1CF3"/>
    <w:rsid w:val="06757522"/>
    <w:rsid w:val="067C1BE8"/>
    <w:rsid w:val="068E6580"/>
    <w:rsid w:val="06930BB8"/>
    <w:rsid w:val="069845E6"/>
    <w:rsid w:val="06AB5DB6"/>
    <w:rsid w:val="06D03D80"/>
    <w:rsid w:val="06FA5386"/>
    <w:rsid w:val="070E2AFA"/>
    <w:rsid w:val="072440CC"/>
    <w:rsid w:val="07245D42"/>
    <w:rsid w:val="07264C62"/>
    <w:rsid w:val="072B28EB"/>
    <w:rsid w:val="073A0F6C"/>
    <w:rsid w:val="07493A79"/>
    <w:rsid w:val="0757624F"/>
    <w:rsid w:val="075F5104"/>
    <w:rsid w:val="0779354C"/>
    <w:rsid w:val="077B25F3"/>
    <w:rsid w:val="07A5520D"/>
    <w:rsid w:val="07A632B6"/>
    <w:rsid w:val="08061376"/>
    <w:rsid w:val="080C0DE8"/>
    <w:rsid w:val="081712E3"/>
    <w:rsid w:val="08183C31"/>
    <w:rsid w:val="081E75EC"/>
    <w:rsid w:val="082223BA"/>
    <w:rsid w:val="082779D0"/>
    <w:rsid w:val="08291D99"/>
    <w:rsid w:val="083D5445"/>
    <w:rsid w:val="083E3532"/>
    <w:rsid w:val="084127BF"/>
    <w:rsid w:val="08452D77"/>
    <w:rsid w:val="085B5CD9"/>
    <w:rsid w:val="085F06AD"/>
    <w:rsid w:val="086401F8"/>
    <w:rsid w:val="08751CAA"/>
    <w:rsid w:val="087E4C40"/>
    <w:rsid w:val="088678C1"/>
    <w:rsid w:val="089963F4"/>
    <w:rsid w:val="08A16B9D"/>
    <w:rsid w:val="08A4129B"/>
    <w:rsid w:val="08A871D0"/>
    <w:rsid w:val="08AC6127"/>
    <w:rsid w:val="08B35707"/>
    <w:rsid w:val="08B651F8"/>
    <w:rsid w:val="08B91461"/>
    <w:rsid w:val="08C02E0A"/>
    <w:rsid w:val="08C44FA5"/>
    <w:rsid w:val="08D66AD6"/>
    <w:rsid w:val="08DA33A3"/>
    <w:rsid w:val="08E7715F"/>
    <w:rsid w:val="08E80F13"/>
    <w:rsid w:val="08E877E9"/>
    <w:rsid w:val="08FA3336"/>
    <w:rsid w:val="091E536B"/>
    <w:rsid w:val="09254C6A"/>
    <w:rsid w:val="092E174D"/>
    <w:rsid w:val="09335624"/>
    <w:rsid w:val="093D3223"/>
    <w:rsid w:val="09436A8B"/>
    <w:rsid w:val="0944690F"/>
    <w:rsid w:val="094969BB"/>
    <w:rsid w:val="094E5430"/>
    <w:rsid w:val="09535675"/>
    <w:rsid w:val="095F057D"/>
    <w:rsid w:val="09642282"/>
    <w:rsid w:val="096864F2"/>
    <w:rsid w:val="09733572"/>
    <w:rsid w:val="09756E61"/>
    <w:rsid w:val="09772C16"/>
    <w:rsid w:val="098353B5"/>
    <w:rsid w:val="098847D3"/>
    <w:rsid w:val="09945539"/>
    <w:rsid w:val="099866AB"/>
    <w:rsid w:val="09A92330"/>
    <w:rsid w:val="09B06B87"/>
    <w:rsid w:val="09BE4364"/>
    <w:rsid w:val="09C13146"/>
    <w:rsid w:val="09C464F9"/>
    <w:rsid w:val="09CB190D"/>
    <w:rsid w:val="09D27E0F"/>
    <w:rsid w:val="09E04166"/>
    <w:rsid w:val="0A1C0718"/>
    <w:rsid w:val="0A3D0E46"/>
    <w:rsid w:val="0A3E7710"/>
    <w:rsid w:val="0A4E393A"/>
    <w:rsid w:val="0A530E84"/>
    <w:rsid w:val="0A5569D9"/>
    <w:rsid w:val="0A5922DF"/>
    <w:rsid w:val="0A5B7E63"/>
    <w:rsid w:val="0A6E4C9D"/>
    <w:rsid w:val="0A6E7EBE"/>
    <w:rsid w:val="0A703465"/>
    <w:rsid w:val="0A936CF7"/>
    <w:rsid w:val="0AA374A5"/>
    <w:rsid w:val="0AA7304A"/>
    <w:rsid w:val="0AAB7649"/>
    <w:rsid w:val="0ABC5606"/>
    <w:rsid w:val="0ABE0AF3"/>
    <w:rsid w:val="0AC372DC"/>
    <w:rsid w:val="0ACB4F8A"/>
    <w:rsid w:val="0ACC2AB1"/>
    <w:rsid w:val="0AD35BED"/>
    <w:rsid w:val="0AE222D4"/>
    <w:rsid w:val="0AE71698"/>
    <w:rsid w:val="0AEC4F01"/>
    <w:rsid w:val="0AF52FB5"/>
    <w:rsid w:val="0AF75B55"/>
    <w:rsid w:val="0B2C6325"/>
    <w:rsid w:val="0B30404E"/>
    <w:rsid w:val="0B3568A8"/>
    <w:rsid w:val="0B3741C1"/>
    <w:rsid w:val="0B4C599F"/>
    <w:rsid w:val="0B4C6C14"/>
    <w:rsid w:val="0B547599"/>
    <w:rsid w:val="0B5F7EE5"/>
    <w:rsid w:val="0B631A88"/>
    <w:rsid w:val="0B683D45"/>
    <w:rsid w:val="0B710B1E"/>
    <w:rsid w:val="0B76484B"/>
    <w:rsid w:val="0B795340"/>
    <w:rsid w:val="0B7A69B0"/>
    <w:rsid w:val="0B7F3F11"/>
    <w:rsid w:val="0B865355"/>
    <w:rsid w:val="0B884417"/>
    <w:rsid w:val="0BAB678C"/>
    <w:rsid w:val="0BAD28E2"/>
    <w:rsid w:val="0BC1638D"/>
    <w:rsid w:val="0BF6188C"/>
    <w:rsid w:val="0BF73C91"/>
    <w:rsid w:val="0C170175"/>
    <w:rsid w:val="0C2C7CAB"/>
    <w:rsid w:val="0C571A41"/>
    <w:rsid w:val="0C5C1171"/>
    <w:rsid w:val="0C5E1CBC"/>
    <w:rsid w:val="0C615B50"/>
    <w:rsid w:val="0C772825"/>
    <w:rsid w:val="0C8445DA"/>
    <w:rsid w:val="0C87121B"/>
    <w:rsid w:val="0CAC2312"/>
    <w:rsid w:val="0CBA3A7C"/>
    <w:rsid w:val="0CC007F7"/>
    <w:rsid w:val="0CC617AC"/>
    <w:rsid w:val="0CC918FF"/>
    <w:rsid w:val="0CDC3332"/>
    <w:rsid w:val="0CE618DF"/>
    <w:rsid w:val="0CEC2F96"/>
    <w:rsid w:val="0CED5D18"/>
    <w:rsid w:val="0CFE707A"/>
    <w:rsid w:val="0D063BDA"/>
    <w:rsid w:val="0D08375F"/>
    <w:rsid w:val="0D184CFB"/>
    <w:rsid w:val="0D2D6571"/>
    <w:rsid w:val="0D490B57"/>
    <w:rsid w:val="0D4A7419"/>
    <w:rsid w:val="0D4E1EA3"/>
    <w:rsid w:val="0D614EFE"/>
    <w:rsid w:val="0D760D56"/>
    <w:rsid w:val="0D7C6A10"/>
    <w:rsid w:val="0D7F205C"/>
    <w:rsid w:val="0D7F4CA0"/>
    <w:rsid w:val="0D827401"/>
    <w:rsid w:val="0D84094E"/>
    <w:rsid w:val="0D8A00E9"/>
    <w:rsid w:val="0D8D589E"/>
    <w:rsid w:val="0DA01C73"/>
    <w:rsid w:val="0DAA6363"/>
    <w:rsid w:val="0DAD015A"/>
    <w:rsid w:val="0DD63300"/>
    <w:rsid w:val="0DD73C46"/>
    <w:rsid w:val="0DEC273E"/>
    <w:rsid w:val="0DF46710"/>
    <w:rsid w:val="0DF50604"/>
    <w:rsid w:val="0DF702FE"/>
    <w:rsid w:val="0DF8744A"/>
    <w:rsid w:val="0DFE0927"/>
    <w:rsid w:val="0E056A05"/>
    <w:rsid w:val="0E060E51"/>
    <w:rsid w:val="0E0B6ADF"/>
    <w:rsid w:val="0E2A021A"/>
    <w:rsid w:val="0E4D215A"/>
    <w:rsid w:val="0E5604B2"/>
    <w:rsid w:val="0E6B5A05"/>
    <w:rsid w:val="0E6D5D79"/>
    <w:rsid w:val="0E7019A5"/>
    <w:rsid w:val="0E763AE6"/>
    <w:rsid w:val="0E807E3A"/>
    <w:rsid w:val="0E8905D1"/>
    <w:rsid w:val="0E8A515C"/>
    <w:rsid w:val="0E924011"/>
    <w:rsid w:val="0E9D0089"/>
    <w:rsid w:val="0EA46E75"/>
    <w:rsid w:val="0EB43F87"/>
    <w:rsid w:val="0EB803EE"/>
    <w:rsid w:val="0EB97393"/>
    <w:rsid w:val="0EE228A3"/>
    <w:rsid w:val="0EE31C8F"/>
    <w:rsid w:val="0EEF4FBF"/>
    <w:rsid w:val="0EF94D4B"/>
    <w:rsid w:val="0F024CF3"/>
    <w:rsid w:val="0F065A79"/>
    <w:rsid w:val="0F0A004B"/>
    <w:rsid w:val="0F360FE5"/>
    <w:rsid w:val="0F4946D0"/>
    <w:rsid w:val="0F4958DC"/>
    <w:rsid w:val="0F495B91"/>
    <w:rsid w:val="0F515DF7"/>
    <w:rsid w:val="0F596BA8"/>
    <w:rsid w:val="0F6248D2"/>
    <w:rsid w:val="0F693536"/>
    <w:rsid w:val="0F6B0AEA"/>
    <w:rsid w:val="0F7B0511"/>
    <w:rsid w:val="0F7B76D9"/>
    <w:rsid w:val="0F816ACD"/>
    <w:rsid w:val="0F8B2F3A"/>
    <w:rsid w:val="0F9832DB"/>
    <w:rsid w:val="0FA072BB"/>
    <w:rsid w:val="0FBF3FD2"/>
    <w:rsid w:val="0FBF7FF3"/>
    <w:rsid w:val="0FD743FA"/>
    <w:rsid w:val="0FE90920"/>
    <w:rsid w:val="100A4CA2"/>
    <w:rsid w:val="101D790A"/>
    <w:rsid w:val="103804F2"/>
    <w:rsid w:val="10423AF9"/>
    <w:rsid w:val="10436E92"/>
    <w:rsid w:val="105772C0"/>
    <w:rsid w:val="10646583"/>
    <w:rsid w:val="106D1B47"/>
    <w:rsid w:val="106F1968"/>
    <w:rsid w:val="107D4B15"/>
    <w:rsid w:val="108A3C80"/>
    <w:rsid w:val="10953FEC"/>
    <w:rsid w:val="10A50A13"/>
    <w:rsid w:val="10AD0034"/>
    <w:rsid w:val="10AE0CE8"/>
    <w:rsid w:val="10B5388D"/>
    <w:rsid w:val="10B57261"/>
    <w:rsid w:val="10C26171"/>
    <w:rsid w:val="10C50464"/>
    <w:rsid w:val="10CD0885"/>
    <w:rsid w:val="10D91A83"/>
    <w:rsid w:val="10E433F2"/>
    <w:rsid w:val="10F33360"/>
    <w:rsid w:val="10FB7C4C"/>
    <w:rsid w:val="10FC16EA"/>
    <w:rsid w:val="10FD54F6"/>
    <w:rsid w:val="110F1D40"/>
    <w:rsid w:val="11266F33"/>
    <w:rsid w:val="116437BE"/>
    <w:rsid w:val="116E041E"/>
    <w:rsid w:val="117B40BD"/>
    <w:rsid w:val="118165AD"/>
    <w:rsid w:val="118963A1"/>
    <w:rsid w:val="118C79C3"/>
    <w:rsid w:val="11B13894"/>
    <w:rsid w:val="11C10E95"/>
    <w:rsid w:val="11C6522A"/>
    <w:rsid w:val="11D0062A"/>
    <w:rsid w:val="11DC7A94"/>
    <w:rsid w:val="11E104CC"/>
    <w:rsid w:val="11E20309"/>
    <w:rsid w:val="11F12D55"/>
    <w:rsid w:val="11F2176D"/>
    <w:rsid w:val="11F72B09"/>
    <w:rsid w:val="12115118"/>
    <w:rsid w:val="121216F1"/>
    <w:rsid w:val="12180655"/>
    <w:rsid w:val="121A5D2A"/>
    <w:rsid w:val="12255233"/>
    <w:rsid w:val="123D1F84"/>
    <w:rsid w:val="12413D84"/>
    <w:rsid w:val="124675EC"/>
    <w:rsid w:val="124E5DC5"/>
    <w:rsid w:val="12530213"/>
    <w:rsid w:val="12530A8A"/>
    <w:rsid w:val="125C512B"/>
    <w:rsid w:val="126E2906"/>
    <w:rsid w:val="127723A9"/>
    <w:rsid w:val="127777A6"/>
    <w:rsid w:val="127F3D16"/>
    <w:rsid w:val="12862074"/>
    <w:rsid w:val="12883966"/>
    <w:rsid w:val="12917962"/>
    <w:rsid w:val="129E45B4"/>
    <w:rsid w:val="12AE4CB8"/>
    <w:rsid w:val="12B427A8"/>
    <w:rsid w:val="12BA1DBC"/>
    <w:rsid w:val="12BA5BE3"/>
    <w:rsid w:val="12C55009"/>
    <w:rsid w:val="12C56763"/>
    <w:rsid w:val="12C751DA"/>
    <w:rsid w:val="12D6271E"/>
    <w:rsid w:val="12D81596"/>
    <w:rsid w:val="12D86639"/>
    <w:rsid w:val="12DB3CF2"/>
    <w:rsid w:val="12DF47A8"/>
    <w:rsid w:val="12EF4746"/>
    <w:rsid w:val="13072A44"/>
    <w:rsid w:val="130C25E4"/>
    <w:rsid w:val="130D1EB8"/>
    <w:rsid w:val="132A0CBC"/>
    <w:rsid w:val="132A0E79"/>
    <w:rsid w:val="13360EA9"/>
    <w:rsid w:val="13373F63"/>
    <w:rsid w:val="1337666F"/>
    <w:rsid w:val="134B0399"/>
    <w:rsid w:val="13581385"/>
    <w:rsid w:val="135F4BE2"/>
    <w:rsid w:val="13781A27"/>
    <w:rsid w:val="13833E94"/>
    <w:rsid w:val="1390516E"/>
    <w:rsid w:val="139546B6"/>
    <w:rsid w:val="139A199E"/>
    <w:rsid w:val="139B1A0A"/>
    <w:rsid w:val="139D25C7"/>
    <w:rsid w:val="139F29B9"/>
    <w:rsid w:val="139F5206"/>
    <w:rsid w:val="13AE5449"/>
    <w:rsid w:val="13B445A5"/>
    <w:rsid w:val="13BD78BE"/>
    <w:rsid w:val="13BF3CE4"/>
    <w:rsid w:val="13D03611"/>
    <w:rsid w:val="140E5441"/>
    <w:rsid w:val="140E7396"/>
    <w:rsid w:val="140F07DC"/>
    <w:rsid w:val="141008D8"/>
    <w:rsid w:val="14103A0E"/>
    <w:rsid w:val="14125FE6"/>
    <w:rsid w:val="141D25CF"/>
    <w:rsid w:val="1422125A"/>
    <w:rsid w:val="142E264E"/>
    <w:rsid w:val="14342578"/>
    <w:rsid w:val="143B6111"/>
    <w:rsid w:val="143C4803"/>
    <w:rsid w:val="144F6201"/>
    <w:rsid w:val="14592A92"/>
    <w:rsid w:val="146D271E"/>
    <w:rsid w:val="14773A8D"/>
    <w:rsid w:val="148C2C23"/>
    <w:rsid w:val="14982588"/>
    <w:rsid w:val="149A5AD9"/>
    <w:rsid w:val="14A0576E"/>
    <w:rsid w:val="14A7619D"/>
    <w:rsid w:val="14AA433A"/>
    <w:rsid w:val="14AF1479"/>
    <w:rsid w:val="14C44852"/>
    <w:rsid w:val="150536C3"/>
    <w:rsid w:val="15097741"/>
    <w:rsid w:val="150C1963"/>
    <w:rsid w:val="151447A0"/>
    <w:rsid w:val="15163AA4"/>
    <w:rsid w:val="1518258B"/>
    <w:rsid w:val="151E65FF"/>
    <w:rsid w:val="152B4878"/>
    <w:rsid w:val="15314608"/>
    <w:rsid w:val="153D68B5"/>
    <w:rsid w:val="154A6454"/>
    <w:rsid w:val="155A0AB9"/>
    <w:rsid w:val="156339DB"/>
    <w:rsid w:val="15646E47"/>
    <w:rsid w:val="15695ACC"/>
    <w:rsid w:val="156C2EC6"/>
    <w:rsid w:val="15762120"/>
    <w:rsid w:val="158A5A42"/>
    <w:rsid w:val="158D11B1"/>
    <w:rsid w:val="158E0162"/>
    <w:rsid w:val="1594066F"/>
    <w:rsid w:val="15B13AF0"/>
    <w:rsid w:val="15C745A0"/>
    <w:rsid w:val="15CF3B68"/>
    <w:rsid w:val="15E63AF9"/>
    <w:rsid w:val="15E90228"/>
    <w:rsid w:val="160B0931"/>
    <w:rsid w:val="161377E5"/>
    <w:rsid w:val="16161084"/>
    <w:rsid w:val="16273291"/>
    <w:rsid w:val="164A2F14"/>
    <w:rsid w:val="164A4D66"/>
    <w:rsid w:val="164B3423"/>
    <w:rsid w:val="16592588"/>
    <w:rsid w:val="166F3F97"/>
    <w:rsid w:val="1673639A"/>
    <w:rsid w:val="16A8729C"/>
    <w:rsid w:val="16AE1073"/>
    <w:rsid w:val="16B33777"/>
    <w:rsid w:val="16BC70A7"/>
    <w:rsid w:val="16C6339E"/>
    <w:rsid w:val="16D76A65"/>
    <w:rsid w:val="16FE3FF2"/>
    <w:rsid w:val="172F2D79"/>
    <w:rsid w:val="17303D87"/>
    <w:rsid w:val="17555BDC"/>
    <w:rsid w:val="17557BEF"/>
    <w:rsid w:val="175A0611"/>
    <w:rsid w:val="17696ABA"/>
    <w:rsid w:val="17816035"/>
    <w:rsid w:val="17834B2F"/>
    <w:rsid w:val="17843964"/>
    <w:rsid w:val="17950797"/>
    <w:rsid w:val="179B3570"/>
    <w:rsid w:val="17A252C5"/>
    <w:rsid w:val="17A27073"/>
    <w:rsid w:val="17C86AF8"/>
    <w:rsid w:val="17D349C1"/>
    <w:rsid w:val="17D36722"/>
    <w:rsid w:val="17F35817"/>
    <w:rsid w:val="17F36BB4"/>
    <w:rsid w:val="180E1FD9"/>
    <w:rsid w:val="18124F72"/>
    <w:rsid w:val="182677FA"/>
    <w:rsid w:val="1830729E"/>
    <w:rsid w:val="184B14B9"/>
    <w:rsid w:val="185758DE"/>
    <w:rsid w:val="1870062C"/>
    <w:rsid w:val="187369AF"/>
    <w:rsid w:val="187C78C4"/>
    <w:rsid w:val="1881312C"/>
    <w:rsid w:val="18817102"/>
    <w:rsid w:val="18830A15"/>
    <w:rsid w:val="18852B28"/>
    <w:rsid w:val="188B5321"/>
    <w:rsid w:val="1890511D"/>
    <w:rsid w:val="18A62B93"/>
    <w:rsid w:val="18BA2933"/>
    <w:rsid w:val="18EA66AC"/>
    <w:rsid w:val="18F1121F"/>
    <w:rsid w:val="19152B36"/>
    <w:rsid w:val="191E388D"/>
    <w:rsid w:val="194F6D87"/>
    <w:rsid w:val="19630A84"/>
    <w:rsid w:val="196D799F"/>
    <w:rsid w:val="196F567B"/>
    <w:rsid w:val="19796C2C"/>
    <w:rsid w:val="19932372"/>
    <w:rsid w:val="19A20DD5"/>
    <w:rsid w:val="19A5136D"/>
    <w:rsid w:val="19AE03F1"/>
    <w:rsid w:val="19B65058"/>
    <w:rsid w:val="19C05ED6"/>
    <w:rsid w:val="19C23AC0"/>
    <w:rsid w:val="19DA5C5A"/>
    <w:rsid w:val="19E716B5"/>
    <w:rsid w:val="19FA13E8"/>
    <w:rsid w:val="1A060E9B"/>
    <w:rsid w:val="1A07140F"/>
    <w:rsid w:val="1A071A03"/>
    <w:rsid w:val="1A1709EE"/>
    <w:rsid w:val="1A1A5B77"/>
    <w:rsid w:val="1A1F16AE"/>
    <w:rsid w:val="1A3B5C77"/>
    <w:rsid w:val="1A665AF2"/>
    <w:rsid w:val="1A6E148E"/>
    <w:rsid w:val="1A700410"/>
    <w:rsid w:val="1A7D7923"/>
    <w:rsid w:val="1A840F2A"/>
    <w:rsid w:val="1A8B09CA"/>
    <w:rsid w:val="1A984BAD"/>
    <w:rsid w:val="1AA72BF2"/>
    <w:rsid w:val="1AAE1178"/>
    <w:rsid w:val="1AB8220E"/>
    <w:rsid w:val="1AB84DFF"/>
    <w:rsid w:val="1AC92B69"/>
    <w:rsid w:val="1AD82884"/>
    <w:rsid w:val="1AE4166C"/>
    <w:rsid w:val="1AE74D2F"/>
    <w:rsid w:val="1AF06CFB"/>
    <w:rsid w:val="1AF11B8D"/>
    <w:rsid w:val="1B086D83"/>
    <w:rsid w:val="1B11359C"/>
    <w:rsid w:val="1B1C63FE"/>
    <w:rsid w:val="1B226450"/>
    <w:rsid w:val="1B281F85"/>
    <w:rsid w:val="1B2A271F"/>
    <w:rsid w:val="1B34650D"/>
    <w:rsid w:val="1B530544"/>
    <w:rsid w:val="1B5763C6"/>
    <w:rsid w:val="1B5D33FF"/>
    <w:rsid w:val="1B621F8A"/>
    <w:rsid w:val="1B686E87"/>
    <w:rsid w:val="1B6B1E72"/>
    <w:rsid w:val="1B713184"/>
    <w:rsid w:val="1B746F78"/>
    <w:rsid w:val="1B965141"/>
    <w:rsid w:val="1B9F3C67"/>
    <w:rsid w:val="1BA209CF"/>
    <w:rsid w:val="1BB4777D"/>
    <w:rsid w:val="1BC02690"/>
    <w:rsid w:val="1BCE2BAE"/>
    <w:rsid w:val="1BD75AB8"/>
    <w:rsid w:val="1BE97638"/>
    <w:rsid w:val="1BEA0FE8"/>
    <w:rsid w:val="1C014730"/>
    <w:rsid w:val="1C0459C2"/>
    <w:rsid w:val="1C1B3B4A"/>
    <w:rsid w:val="1C261D1F"/>
    <w:rsid w:val="1C3109C5"/>
    <w:rsid w:val="1C4C6EAA"/>
    <w:rsid w:val="1C731252"/>
    <w:rsid w:val="1C7725CD"/>
    <w:rsid w:val="1C88086E"/>
    <w:rsid w:val="1C930EB9"/>
    <w:rsid w:val="1C9428D5"/>
    <w:rsid w:val="1C9C1EC1"/>
    <w:rsid w:val="1CE27F12"/>
    <w:rsid w:val="1CEA091E"/>
    <w:rsid w:val="1CF2315D"/>
    <w:rsid w:val="1CFF2872"/>
    <w:rsid w:val="1D010ED2"/>
    <w:rsid w:val="1D172DEE"/>
    <w:rsid w:val="1D266CE1"/>
    <w:rsid w:val="1D2B18B9"/>
    <w:rsid w:val="1D3963AF"/>
    <w:rsid w:val="1D3D0FE5"/>
    <w:rsid w:val="1D4F240C"/>
    <w:rsid w:val="1D4F54BB"/>
    <w:rsid w:val="1D6A673C"/>
    <w:rsid w:val="1D840FC9"/>
    <w:rsid w:val="1D880AB9"/>
    <w:rsid w:val="1D9247AE"/>
    <w:rsid w:val="1D94745E"/>
    <w:rsid w:val="1DAA0B4F"/>
    <w:rsid w:val="1DAC29F3"/>
    <w:rsid w:val="1DB42935"/>
    <w:rsid w:val="1DB55626"/>
    <w:rsid w:val="1DB567EC"/>
    <w:rsid w:val="1DE5366C"/>
    <w:rsid w:val="1DF51A98"/>
    <w:rsid w:val="1DFF78A5"/>
    <w:rsid w:val="1E2C58E8"/>
    <w:rsid w:val="1E2D340E"/>
    <w:rsid w:val="1E3D060F"/>
    <w:rsid w:val="1E3F7D2E"/>
    <w:rsid w:val="1E401394"/>
    <w:rsid w:val="1E4134E4"/>
    <w:rsid w:val="1E48649A"/>
    <w:rsid w:val="1E4C391B"/>
    <w:rsid w:val="1E4C7D38"/>
    <w:rsid w:val="1E5062B3"/>
    <w:rsid w:val="1E523514"/>
    <w:rsid w:val="1E592455"/>
    <w:rsid w:val="1E593351"/>
    <w:rsid w:val="1E601A36"/>
    <w:rsid w:val="1E6028EA"/>
    <w:rsid w:val="1E636E30"/>
    <w:rsid w:val="1E6973D7"/>
    <w:rsid w:val="1E714A66"/>
    <w:rsid w:val="1E802593"/>
    <w:rsid w:val="1E8B6156"/>
    <w:rsid w:val="1E992283"/>
    <w:rsid w:val="1E9B4031"/>
    <w:rsid w:val="1EA703CC"/>
    <w:rsid w:val="1EB458DE"/>
    <w:rsid w:val="1EB7330C"/>
    <w:rsid w:val="1EBF050A"/>
    <w:rsid w:val="1EE60C30"/>
    <w:rsid w:val="1EE76031"/>
    <w:rsid w:val="1EEE7042"/>
    <w:rsid w:val="1F0111E4"/>
    <w:rsid w:val="1F0A0FF3"/>
    <w:rsid w:val="1F10520A"/>
    <w:rsid w:val="1F1545CE"/>
    <w:rsid w:val="1F2667A5"/>
    <w:rsid w:val="1F3632E0"/>
    <w:rsid w:val="1F3F33F9"/>
    <w:rsid w:val="1F470500"/>
    <w:rsid w:val="1F51312D"/>
    <w:rsid w:val="1F5771FF"/>
    <w:rsid w:val="1F904124"/>
    <w:rsid w:val="1FAF4A23"/>
    <w:rsid w:val="1FB060A5"/>
    <w:rsid w:val="1FC8536D"/>
    <w:rsid w:val="1FE868A9"/>
    <w:rsid w:val="1FF74882"/>
    <w:rsid w:val="20034907"/>
    <w:rsid w:val="20036B1D"/>
    <w:rsid w:val="200834C7"/>
    <w:rsid w:val="20085015"/>
    <w:rsid w:val="20173E4B"/>
    <w:rsid w:val="2027530E"/>
    <w:rsid w:val="20277AB7"/>
    <w:rsid w:val="20362A4E"/>
    <w:rsid w:val="203F7626"/>
    <w:rsid w:val="204E48BC"/>
    <w:rsid w:val="205379BC"/>
    <w:rsid w:val="208921B3"/>
    <w:rsid w:val="20973DEB"/>
    <w:rsid w:val="20987265"/>
    <w:rsid w:val="20AE6A88"/>
    <w:rsid w:val="20B26522"/>
    <w:rsid w:val="20B44310"/>
    <w:rsid w:val="20C04659"/>
    <w:rsid w:val="20CA763A"/>
    <w:rsid w:val="20D06922"/>
    <w:rsid w:val="20D34741"/>
    <w:rsid w:val="20EB5A9E"/>
    <w:rsid w:val="20F546B7"/>
    <w:rsid w:val="210203C2"/>
    <w:rsid w:val="210743EB"/>
    <w:rsid w:val="211116EB"/>
    <w:rsid w:val="211A13E1"/>
    <w:rsid w:val="21344DAE"/>
    <w:rsid w:val="213D3949"/>
    <w:rsid w:val="213F1DD6"/>
    <w:rsid w:val="2157184E"/>
    <w:rsid w:val="216133FC"/>
    <w:rsid w:val="21652D4F"/>
    <w:rsid w:val="21732C15"/>
    <w:rsid w:val="217775DB"/>
    <w:rsid w:val="218772B4"/>
    <w:rsid w:val="218D48F0"/>
    <w:rsid w:val="21921F06"/>
    <w:rsid w:val="21AD4F92"/>
    <w:rsid w:val="21B005DE"/>
    <w:rsid w:val="21B16C57"/>
    <w:rsid w:val="21B4101C"/>
    <w:rsid w:val="21B52099"/>
    <w:rsid w:val="21BD5F41"/>
    <w:rsid w:val="21C81DCC"/>
    <w:rsid w:val="21D56769"/>
    <w:rsid w:val="21D85176"/>
    <w:rsid w:val="21DB1A71"/>
    <w:rsid w:val="21E52EF3"/>
    <w:rsid w:val="21F52A2F"/>
    <w:rsid w:val="21F77FBB"/>
    <w:rsid w:val="21FB5D7B"/>
    <w:rsid w:val="22015E94"/>
    <w:rsid w:val="220B1C3D"/>
    <w:rsid w:val="220F17A9"/>
    <w:rsid w:val="221C5C74"/>
    <w:rsid w:val="221D1D20"/>
    <w:rsid w:val="221E75BD"/>
    <w:rsid w:val="22334A87"/>
    <w:rsid w:val="22453A2D"/>
    <w:rsid w:val="225C4D23"/>
    <w:rsid w:val="226E2973"/>
    <w:rsid w:val="22715FC0"/>
    <w:rsid w:val="228C33C0"/>
    <w:rsid w:val="22BE6801"/>
    <w:rsid w:val="22BE6D2B"/>
    <w:rsid w:val="22C97BAA"/>
    <w:rsid w:val="22E66A75"/>
    <w:rsid w:val="2306537E"/>
    <w:rsid w:val="230F00B7"/>
    <w:rsid w:val="232A4CFC"/>
    <w:rsid w:val="233500BF"/>
    <w:rsid w:val="23377FF7"/>
    <w:rsid w:val="234026DC"/>
    <w:rsid w:val="23600665"/>
    <w:rsid w:val="236B425F"/>
    <w:rsid w:val="23791C3B"/>
    <w:rsid w:val="23836192"/>
    <w:rsid w:val="23901F29"/>
    <w:rsid w:val="23922691"/>
    <w:rsid w:val="239C0061"/>
    <w:rsid w:val="23AA2B1F"/>
    <w:rsid w:val="23B908A4"/>
    <w:rsid w:val="23E95BEF"/>
    <w:rsid w:val="23E9602A"/>
    <w:rsid w:val="23F5677C"/>
    <w:rsid w:val="23FD0064"/>
    <w:rsid w:val="23FE6B29"/>
    <w:rsid w:val="241A4435"/>
    <w:rsid w:val="242B2707"/>
    <w:rsid w:val="243454F7"/>
    <w:rsid w:val="243A0633"/>
    <w:rsid w:val="245375B0"/>
    <w:rsid w:val="24601632"/>
    <w:rsid w:val="24612064"/>
    <w:rsid w:val="24642C0A"/>
    <w:rsid w:val="247865D5"/>
    <w:rsid w:val="249F6D50"/>
    <w:rsid w:val="24AB32DF"/>
    <w:rsid w:val="24B22173"/>
    <w:rsid w:val="24B95AD9"/>
    <w:rsid w:val="24BE24DA"/>
    <w:rsid w:val="24CA57DE"/>
    <w:rsid w:val="24CF3471"/>
    <w:rsid w:val="24CF5825"/>
    <w:rsid w:val="24D663E6"/>
    <w:rsid w:val="24D77F2B"/>
    <w:rsid w:val="24DF51C9"/>
    <w:rsid w:val="24E8008F"/>
    <w:rsid w:val="24F55EFE"/>
    <w:rsid w:val="24F66673"/>
    <w:rsid w:val="250C0222"/>
    <w:rsid w:val="25113A8A"/>
    <w:rsid w:val="25257535"/>
    <w:rsid w:val="255B4D05"/>
    <w:rsid w:val="25654DA7"/>
    <w:rsid w:val="25695674"/>
    <w:rsid w:val="258B00E2"/>
    <w:rsid w:val="25A8619C"/>
    <w:rsid w:val="25A917A6"/>
    <w:rsid w:val="25A95A70"/>
    <w:rsid w:val="25AD3C41"/>
    <w:rsid w:val="25AD5486"/>
    <w:rsid w:val="25B010B2"/>
    <w:rsid w:val="25BA2D75"/>
    <w:rsid w:val="25BE27CC"/>
    <w:rsid w:val="25C669DF"/>
    <w:rsid w:val="25CD5C2C"/>
    <w:rsid w:val="25CE5956"/>
    <w:rsid w:val="25F74A5C"/>
    <w:rsid w:val="26062EC3"/>
    <w:rsid w:val="260929B3"/>
    <w:rsid w:val="260D435E"/>
    <w:rsid w:val="26123E5C"/>
    <w:rsid w:val="26127ABA"/>
    <w:rsid w:val="2628370A"/>
    <w:rsid w:val="2628662C"/>
    <w:rsid w:val="262A0B4D"/>
    <w:rsid w:val="262D45DE"/>
    <w:rsid w:val="262F241A"/>
    <w:rsid w:val="263C0693"/>
    <w:rsid w:val="2642426B"/>
    <w:rsid w:val="264D0AF2"/>
    <w:rsid w:val="266734E5"/>
    <w:rsid w:val="267E514F"/>
    <w:rsid w:val="26871DC8"/>
    <w:rsid w:val="268838D8"/>
    <w:rsid w:val="269404CF"/>
    <w:rsid w:val="26A53EF9"/>
    <w:rsid w:val="26A92396"/>
    <w:rsid w:val="26A94201"/>
    <w:rsid w:val="26AC274F"/>
    <w:rsid w:val="26CC7C68"/>
    <w:rsid w:val="26D54191"/>
    <w:rsid w:val="26D966D5"/>
    <w:rsid w:val="26DB1BB3"/>
    <w:rsid w:val="26E44BFC"/>
    <w:rsid w:val="26EE53F5"/>
    <w:rsid w:val="26EF1BA9"/>
    <w:rsid w:val="26F15921"/>
    <w:rsid w:val="26FD2518"/>
    <w:rsid w:val="27044A29"/>
    <w:rsid w:val="270B6293"/>
    <w:rsid w:val="271A065C"/>
    <w:rsid w:val="271D34C8"/>
    <w:rsid w:val="27475541"/>
    <w:rsid w:val="276142BF"/>
    <w:rsid w:val="276328B1"/>
    <w:rsid w:val="27702CEA"/>
    <w:rsid w:val="27783712"/>
    <w:rsid w:val="2780236F"/>
    <w:rsid w:val="27840543"/>
    <w:rsid w:val="27907362"/>
    <w:rsid w:val="27BD5FCB"/>
    <w:rsid w:val="27C05566"/>
    <w:rsid w:val="27D227CD"/>
    <w:rsid w:val="27F875EA"/>
    <w:rsid w:val="280451E0"/>
    <w:rsid w:val="28081174"/>
    <w:rsid w:val="281E08D2"/>
    <w:rsid w:val="282D36EB"/>
    <w:rsid w:val="282F4953"/>
    <w:rsid w:val="28333E1D"/>
    <w:rsid w:val="28373807"/>
    <w:rsid w:val="283D3E33"/>
    <w:rsid w:val="28416434"/>
    <w:rsid w:val="28446541"/>
    <w:rsid w:val="28454BD6"/>
    <w:rsid w:val="28455253"/>
    <w:rsid w:val="2849574B"/>
    <w:rsid w:val="284F4071"/>
    <w:rsid w:val="285443B9"/>
    <w:rsid w:val="28551971"/>
    <w:rsid w:val="285B1C53"/>
    <w:rsid w:val="289F7086"/>
    <w:rsid w:val="28C32028"/>
    <w:rsid w:val="28CC490F"/>
    <w:rsid w:val="28DB5305"/>
    <w:rsid w:val="28DE40AA"/>
    <w:rsid w:val="28E14796"/>
    <w:rsid w:val="28F72F97"/>
    <w:rsid w:val="29023E15"/>
    <w:rsid w:val="29050827"/>
    <w:rsid w:val="29064F88"/>
    <w:rsid w:val="2913147B"/>
    <w:rsid w:val="29217781"/>
    <w:rsid w:val="29302A72"/>
    <w:rsid w:val="29345E77"/>
    <w:rsid w:val="293D4E4D"/>
    <w:rsid w:val="293E58AD"/>
    <w:rsid w:val="294B31AA"/>
    <w:rsid w:val="294C65AD"/>
    <w:rsid w:val="29755114"/>
    <w:rsid w:val="297B5976"/>
    <w:rsid w:val="29806583"/>
    <w:rsid w:val="298B3C4C"/>
    <w:rsid w:val="29A1421E"/>
    <w:rsid w:val="29A31405"/>
    <w:rsid w:val="29A7537D"/>
    <w:rsid w:val="29BB0111"/>
    <w:rsid w:val="29D357B2"/>
    <w:rsid w:val="29E03A2B"/>
    <w:rsid w:val="29F26D24"/>
    <w:rsid w:val="2A15033F"/>
    <w:rsid w:val="2A1662C1"/>
    <w:rsid w:val="2A19294A"/>
    <w:rsid w:val="2A1C7367"/>
    <w:rsid w:val="2A2815FA"/>
    <w:rsid w:val="2A306760"/>
    <w:rsid w:val="2A447B9A"/>
    <w:rsid w:val="2A491778"/>
    <w:rsid w:val="2A6D6092"/>
    <w:rsid w:val="2A7D76B4"/>
    <w:rsid w:val="2A8E16D9"/>
    <w:rsid w:val="2A9E4464"/>
    <w:rsid w:val="2AC036C8"/>
    <w:rsid w:val="2AC925F8"/>
    <w:rsid w:val="2ACB0221"/>
    <w:rsid w:val="2ADA4BBB"/>
    <w:rsid w:val="2B0B374A"/>
    <w:rsid w:val="2B125E66"/>
    <w:rsid w:val="2B22254D"/>
    <w:rsid w:val="2B3D11DD"/>
    <w:rsid w:val="2B437463"/>
    <w:rsid w:val="2B45623B"/>
    <w:rsid w:val="2B4C581C"/>
    <w:rsid w:val="2B5B534A"/>
    <w:rsid w:val="2B6D742E"/>
    <w:rsid w:val="2B7807EE"/>
    <w:rsid w:val="2B7E0DC9"/>
    <w:rsid w:val="2BA50BF7"/>
    <w:rsid w:val="2BAA0DB1"/>
    <w:rsid w:val="2BBF00EC"/>
    <w:rsid w:val="2BC37CFD"/>
    <w:rsid w:val="2BD5237F"/>
    <w:rsid w:val="2BE536CE"/>
    <w:rsid w:val="2BE758D9"/>
    <w:rsid w:val="2BF91F6C"/>
    <w:rsid w:val="2C002162"/>
    <w:rsid w:val="2C09049E"/>
    <w:rsid w:val="2C0A653C"/>
    <w:rsid w:val="2C191F85"/>
    <w:rsid w:val="2C363550"/>
    <w:rsid w:val="2C4B5AD3"/>
    <w:rsid w:val="2C5B0BCA"/>
    <w:rsid w:val="2C5E4F2F"/>
    <w:rsid w:val="2C5F0721"/>
    <w:rsid w:val="2CB371D5"/>
    <w:rsid w:val="2CDB64D3"/>
    <w:rsid w:val="2CE14FFE"/>
    <w:rsid w:val="2CE82D6F"/>
    <w:rsid w:val="2CF9057C"/>
    <w:rsid w:val="2CFF1D81"/>
    <w:rsid w:val="2D343236"/>
    <w:rsid w:val="2D504A22"/>
    <w:rsid w:val="2D6E3934"/>
    <w:rsid w:val="2D786E53"/>
    <w:rsid w:val="2DB476A8"/>
    <w:rsid w:val="2DD15014"/>
    <w:rsid w:val="2DD218DC"/>
    <w:rsid w:val="2DD37B2E"/>
    <w:rsid w:val="2DEB64EE"/>
    <w:rsid w:val="2DF72DE4"/>
    <w:rsid w:val="2E0220AF"/>
    <w:rsid w:val="2E0803A7"/>
    <w:rsid w:val="2E1343CB"/>
    <w:rsid w:val="2E1819E5"/>
    <w:rsid w:val="2E1B7727"/>
    <w:rsid w:val="2E2F6D2F"/>
    <w:rsid w:val="2E4B082A"/>
    <w:rsid w:val="2E4F4D97"/>
    <w:rsid w:val="2E5B623B"/>
    <w:rsid w:val="2E5D38F8"/>
    <w:rsid w:val="2E5D4E86"/>
    <w:rsid w:val="2E5D790B"/>
    <w:rsid w:val="2E8A67FE"/>
    <w:rsid w:val="2E977E36"/>
    <w:rsid w:val="2E9A3C18"/>
    <w:rsid w:val="2EA109C3"/>
    <w:rsid w:val="2EA10F9C"/>
    <w:rsid w:val="2EBB0FEE"/>
    <w:rsid w:val="2EC63002"/>
    <w:rsid w:val="2ECE02F6"/>
    <w:rsid w:val="2ECE3966"/>
    <w:rsid w:val="2EED0924"/>
    <w:rsid w:val="2EFA558F"/>
    <w:rsid w:val="2EFF3344"/>
    <w:rsid w:val="2F077670"/>
    <w:rsid w:val="2F0A6B38"/>
    <w:rsid w:val="2F234AE5"/>
    <w:rsid w:val="2F2B47C0"/>
    <w:rsid w:val="2F3960B7"/>
    <w:rsid w:val="2F5C0E2A"/>
    <w:rsid w:val="2F60138D"/>
    <w:rsid w:val="2F662726"/>
    <w:rsid w:val="2F6969BF"/>
    <w:rsid w:val="2F6A0710"/>
    <w:rsid w:val="2F946CCB"/>
    <w:rsid w:val="2F9A38BA"/>
    <w:rsid w:val="2F9E5F1A"/>
    <w:rsid w:val="2FC164A9"/>
    <w:rsid w:val="2FD25781"/>
    <w:rsid w:val="2FD67135"/>
    <w:rsid w:val="2FD8767E"/>
    <w:rsid w:val="2FDC745C"/>
    <w:rsid w:val="2FDD5A67"/>
    <w:rsid w:val="2FFD7934"/>
    <w:rsid w:val="300B56C9"/>
    <w:rsid w:val="30224D9D"/>
    <w:rsid w:val="302759D4"/>
    <w:rsid w:val="302D2F25"/>
    <w:rsid w:val="303622EB"/>
    <w:rsid w:val="304C6519"/>
    <w:rsid w:val="306D604B"/>
    <w:rsid w:val="30733ACD"/>
    <w:rsid w:val="30843362"/>
    <w:rsid w:val="308C3862"/>
    <w:rsid w:val="309379D8"/>
    <w:rsid w:val="30A13F14"/>
    <w:rsid w:val="30A270F7"/>
    <w:rsid w:val="30AD0B0B"/>
    <w:rsid w:val="30AF7699"/>
    <w:rsid w:val="30B874AF"/>
    <w:rsid w:val="30BD4AC6"/>
    <w:rsid w:val="30CE7E6F"/>
    <w:rsid w:val="30D8545C"/>
    <w:rsid w:val="30DA7426"/>
    <w:rsid w:val="30DF1478"/>
    <w:rsid w:val="30EC586F"/>
    <w:rsid w:val="31594E05"/>
    <w:rsid w:val="31853836"/>
    <w:rsid w:val="318D33AD"/>
    <w:rsid w:val="319C6071"/>
    <w:rsid w:val="31AC537E"/>
    <w:rsid w:val="31B774D4"/>
    <w:rsid w:val="31E3679B"/>
    <w:rsid w:val="31E732FD"/>
    <w:rsid w:val="31F1283E"/>
    <w:rsid w:val="31F462C5"/>
    <w:rsid w:val="320B1E52"/>
    <w:rsid w:val="320E66C5"/>
    <w:rsid w:val="32215CC8"/>
    <w:rsid w:val="32305523"/>
    <w:rsid w:val="323177A9"/>
    <w:rsid w:val="32356BE9"/>
    <w:rsid w:val="32517576"/>
    <w:rsid w:val="32596987"/>
    <w:rsid w:val="325B1D93"/>
    <w:rsid w:val="32690A61"/>
    <w:rsid w:val="326C4624"/>
    <w:rsid w:val="326C5384"/>
    <w:rsid w:val="327972E3"/>
    <w:rsid w:val="3291620A"/>
    <w:rsid w:val="329B179C"/>
    <w:rsid w:val="32BE5C2C"/>
    <w:rsid w:val="32C4038E"/>
    <w:rsid w:val="32D63C1D"/>
    <w:rsid w:val="32E71EAF"/>
    <w:rsid w:val="32E77BD8"/>
    <w:rsid w:val="32E90855"/>
    <w:rsid w:val="32F40620"/>
    <w:rsid w:val="32FB6478"/>
    <w:rsid w:val="330C763F"/>
    <w:rsid w:val="332410BB"/>
    <w:rsid w:val="33263B3F"/>
    <w:rsid w:val="33264BA4"/>
    <w:rsid w:val="33290BE8"/>
    <w:rsid w:val="333029F8"/>
    <w:rsid w:val="33305A23"/>
    <w:rsid w:val="33356B95"/>
    <w:rsid w:val="33364F52"/>
    <w:rsid w:val="333F7A14"/>
    <w:rsid w:val="334943EF"/>
    <w:rsid w:val="335C56CE"/>
    <w:rsid w:val="336963EB"/>
    <w:rsid w:val="33816EEB"/>
    <w:rsid w:val="339E0BDF"/>
    <w:rsid w:val="33A63292"/>
    <w:rsid w:val="33D068BE"/>
    <w:rsid w:val="33EB55CD"/>
    <w:rsid w:val="33EC4C02"/>
    <w:rsid w:val="340B78F6"/>
    <w:rsid w:val="340D2360"/>
    <w:rsid w:val="3410665D"/>
    <w:rsid w:val="342015F4"/>
    <w:rsid w:val="34211214"/>
    <w:rsid w:val="342E63AB"/>
    <w:rsid w:val="34545741"/>
    <w:rsid w:val="34687274"/>
    <w:rsid w:val="346C4839"/>
    <w:rsid w:val="3474193F"/>
    <w:rsid w:val="347656B7"/>
    <w:rsid w:val="3491604D"/>
    <w:rsid w:val="34936305"/>
    <w:rsid w:val="34950E68"/>
    <w:rsid w:val="34986E94"/>
    <w:rsid w:val="34987A9C"/>
    <w:rsid w:val="34A42225"/>
    <w:rsid w:val="34A87CF0"/>
    <w:rsid w:val="34AC732B"/>
    <w:rsid w:val="34AF62C9"/>
    <w:rsid w:val="34C042E2"/>
    <w:rsid w:val="34CB4388"/>
    <w:rsid w:val="34DA3E98"/>
    <w:rsid w:val="34EE524E"/>
    <w:rsid w:val="34F767F8"/>
    <w:rsid w:val="34FA6E12"/>
    <w:rsid w:val="34FC65EB"/>
    <w:rsid w:val="350459CC"/>
    <w:rsid w:val="3537059E"/>
    <w:rsid w:val="354632DC"/>
    <w:rsid w:val="354D7158"/>
    <w:rsid w:val="35531555"/>
    <w:rsid w:val="3578699A"/>
    <w:rsid w:val="3579545F"/>
    <w:rsid w:val="3589141A"/>
    <w:rsid w:val="358B5193"/>
    <w:rsid w:val="358D5588"/>
    <w:rsid w:val="3592207D"/>
    <w:rsid w:val="359A53D6"/>
    <w:rsid w:val="359F29EC"/>
    <w:rsid w:val="35A63D7A"/>
    <w:rsid w:val="35B80835"/>
    <w:rsid w:val="35C10BB4"/>
    <w:rsid w:val="35C84536"/>
    <w:rsid w:val="35CE4FD3"/>
    <w:rsid w:val="35DE52C2"/>
    <w:rsid w:val="35EF74CF"/>
    <w:rsid w:val="360A60B7"/>
    <w:rsid w:val="36117527"/>
    <w:rsid w:val="3619279E"/>
    <w:rsid w:val="362645FA"/>
    <w:rsid w:val="363A3B40"/>
    <w:rsid w:val="364917C3"/>
    <w:rsid w:val="365302AE"/>
    <w:rsid w:val="36607A0A"/>
    <w:rsid w:val="36637EBD"/>
    <w:rsid w:val="366E227C"/>
    <w:rsid w:val="366F2E0D"/>
    <w:rsid w:val="367125DA"/>
    <w:rsid w:val="36723C5D"/>
    <w:rsid w:val="3673304F"/>
    <w:rsid w:val="367B6A5C"/>
    <w:rsid w:val="368D4FF8"/>
    <w:rsid w:val="36981FDA"/>
    <w:rsid w:val="36A74ADA"/>
    <w:rsid w:val="36A81C4E"/>
    <w:rsid w:val="36AD60D5"/>
    <w:rsid w:val="36B224F9"/>
    <w:rsid w:val="36C24BE4"/>
    <w:rsid w:val="36C30563"/>
    <w:rsid w:val="36CE17DB"/>
    <w:rsid w:val="36CF0D04"/>
    <w:rsid w:val="36D663C9"/>
    <w:rsid w:val="36EB413B"/>
    <w:rsid w:val="36EC0CC9"/>
    <w:rsid w:val="36ED6946"/>
    <w:rsid w:val="36F82A6E"/>
    <w:rsid w:val="3702772A"/>
    <w:rsid w:val="3724764D"/>
    <w:rsid w:val="373C6454"/>
    <w:rsid w:val="373F410B"/>
    <w:rsid w:val="37742696"/>
    <w:rsid w:val="3776716D"/>
    <w:rsid w:val="37843703"/>
    <w:rsid w:val="37843951"/>
    <w:rsid w:val="378819DC"/>
    <w:rsid w:val="3796051D"/>
    <w:rsid w:val="37A662B4"/>
    <w:rsid w:val="37D20E57"/>
    <w:rsid w:val="37DA5F5D"/>
    <w:rsid w:val="37DE5A4E"/>
    <w:rsid w:val="37EE7094"/>
    <w:rsid w:val="37F416B0"/>
    <w:rsid w:val="38022207"/>
    <w:rsid w:val="38296C89"/>
    <w:rsid w:val="383002EB"/>
    <w:rsid w:val="3831139C"/>
    <w:rsid w:val="38400DD2"/>
    <w:rsid w:val="38462711"/>
    <w:rsid w:val="38471B0D"/>
    <w:rsid w:val="385635BD"/>
    <w:rsid w:val="38586797"/>
    <w:rsid w:val="38642D16"/>
    <w:rsid w:val="387B504A"/>
    <w:rsid w:val="387E6AA8"/>
    <w:rsid w:val="38806B05"/>
    <w:rsid w:val="38BC0149"/>
    <w:rsid w:val="38D14DC4"/>
    <w:rsid w:val="38D87D1C"/>
    <w:rsid w:val="38E069CE"/>
    <w:rsid w:val="39064A72"/>
    <w:rsid w:val="393A4AD4"/>
    <w:rsid w:val="393C3912"/>
    <w:rsid w:val="39636459"/>
    <w:rsid w:val="396B7F6C"/>
    <w:rsid w:val="396E2E01"/>
    <w:rsid w:val="39723CAA"/>
    <w:rsid w:val="39743CDC"/>
    <w:rsid w:val="399565E0"/>
    <w:rsid w:val="39A16D33"/>
    <w:rsid w:val="39AF198F"/>
    <w:rsid w:val="39B27192"/>
    <w:rsid w:val="39B417A9"/>
    <w:rsid w:val="39BF2F25"/>
    <w:rsid w:val="39DB7944"/>
    <w:rsid w:val="39ED01CA"/>
    <w:rsid w:val="39FC5695"/>
    <w:rsid w:val="3A006D8E"/>
    <w:rsid w:val="3A06303A"/>
    <w:rsid w:val="3A0D2036"/>
    <w:rsid w:val="3A204F94"/>
    <w:rsid w:val="3A3651E5"/>
    <w:rsid w:val="3A3679B3"/>
    <w:rsid w:val="3A381BAC"/>
    <w:rsid w:val="3A744481"/>
    <w:rsid w:val="3A8B1791"/>
    <w:rsid w:val="3A8C7BEF"/>
    <w:rsid w:val="3A906246"/>
    <w:rsid w:val="3AA41E95"/>
    <w:rsid w:val="3AA46595"/>
    <w:rsid w:val="3AB4575C"/>
    <w:rsid w:val="3AC21656"/>
    <w:rsid w:val="3AC725C5"/>
    <w:rsid w:val="3ACA5721"/>
    <w:rsid w:val="3AD278A1"/>
    <w:rsid w:val="3AD969A0"/>
    <w:rsid w:val="3ADB2718"/>
    <w:rsid w:val="3ADE7B13"/>
    <w:rsid w:val="3AEC222F"/>
    <w:rsid w:val="3AF17846"/>
    <w:rsid w:val="3AFF11C0"/>
    <w:rsid w:val="3B1B2B15"/>
    <w:rsid w:val="3B2349B7"/>
    <w:rsid w:val="3B2C63B9"/>
    <w:rsid w:val="3B3A743F"/>
    <w:rsid w:val="3B457B92"/>
    <w:rsid w:val="3B554279"/>
    <w:rsid w:val="3B561D9F"/>
    <w:rsid w:val="3B5878C5"/>
    <w:rsid w:val="3B616CFF"/>
    <w:rsid w:val="3B6259F6"/>
    <w:rsid w:val="3B976654"/>
    <w:rsid w:val="3BAC6C4D"/>
    <w:rsid w:val="3BB85693"/>
    <w:rsid w:val="3BC01EFC"/>
    <w:rsid w:val="3BC1190E"/>
    <w:rsid w:val="3BCA786A"/>
    <w:rsid w:val="3BD31E2F"/>
    <w:rsid w:val="3BF15831"/>
    <w:rsid w:val="3BF27D19"/>
    <w:rsid w:val="3C015490"/>
    <w:rsid w:val="3C027068"/>
    <w:rsid w:val="3C0D4B53"/>
    <w:rsid w:val="3C105946"/>
    <w:rsid w:val="3C2F7897"/>
    <w:rsid w:val="3C333E8E"/>
    <w:rsid w:val="3C371BD0"/>
    <w:rsid w:val="3C4165AB"/>
    <w:rsid w:val="3C471448"/>
    <w:rsid w:val="3C471A2E"/>
    <w:rsid w:val="3C513E29"/>
    <w:rsid w:val="3C5938F5"/>
    <w:rsid w:val="3C596FD3"/>
    <w:rsid w:val="3C5F759A"/>
    <w:rsid w:val="3C6433D7"/>
    <w:rsid w:val="3C6C525A"/>
    <w:rsid w:val="3C881DF9"/>
    <w:rsid w:val="3C8F7316"/>
    <w:rsid w:val="3C984A9F"/>
    <w:rsid w:val="3C9B0D2C"/>
    <w:rsid w:val="3C9C1E60"/>
    <w:rsid w:val="3CB60E05"/>
    <w:rsid w:val="3CBE19AA"/>
    <w:rsid w:val="3CCE23CB"/>
    <w:rsid w:val="3CD17D17"/>
    <w:rsid w:val="3CE2342A"/>
    <w:rsid w:val="3D143CBF"/>
    <w:rsid w:val="3D193084"/>
    <w:rsid w:val="3D197A98"/>
    <w:rsid w:val="3D247EF4"/>
    <w:rsid w:val="3D3457F8"/>
    <w:rsid w:val="3D361E88"/>
    <w:rsid w:val="3D3C7F39"/>
    <w:rsid w:val="3D3F17B5"/>
    <w:rsid w:val="3D440F09"/>
    <w:rsid w:val="3D4504A0"/>
    <w:rsid w:val="3D496DBA"/>
    <w:rsid w:val="3D714C6E"/>
    <w:rsid w:val="3D7D2E07"/>
    <w:rsid w:val="3D840A10"/>
    <w:rsid w:val="3D8734BB"/>
    <w:rsid w:val="3D9A11D4"/>
    <w:rsid w:val="3DA16D89"/>
    <w:rsid w:val="3DA364BE"/>
    <w:rsid w:val="3DBF3C2B"/>
    <w:rsid w:val="3DDA7E95"/>
    <w:rsid w:val="3DDF6072"/>
    <w:rsid w:val="3DE041CB"/>
    <w:rsid w:val="3DE51EAF"/>
    <w:rsid w:val="3DE713D4"/>
    <w:rsid w:val="3DED3AC7"/>
    <w:rsid w:val="3DFE3AD8"/>
    <w:rsid w:val="3E0D48F6"/>
    <w:rsid w:val="3E0F11FF"/>
    <w:rsid w:val="3E1868B4"/>
    <w:rsid w:val="3E1A1A30"/>
    <w:rsid w:val="3E1C235C"/>
    <w:rsid w:val="3E377251"/>
    <w:rsid w:val="3E42664B"/>
    <w:rsid w:val="3E4B54BF"/>
    <w:rsid w:val="3E575576"/>
    <w:rsid w:val="3E5A7334"/>
    <w:rsid w:val="3E6F5651"/>
    <w:rsid w:val="3E7B0969"/>
    <w:rsid w:val="3E7B5D6B"/>
    <w:rsid w:val="3E7C1B1C"/>
    <w:rsid w:val="3E832EAB"/>
    <w:rsid w:val="3E843E66"/>
    <w:rsid w:val="3E8A254B"/>
    <w:rsid w:val="3E8D5AD7"/>
    <w:rsid w:val="3E8F51FE"/>
    <w:rsid w:val="3E926F87"/>
    <w:rsid w:val="3E990920"/>
    <w:rsid w:val="3E9A59DE"/>
    <w:rsid w:val="3EAF4836"/>
    <w:rsid w:val="3EBD78B1"/>
    <w:rsid w:val="3EC33DFA"/>
    <w:rsid w:val="3EE3071E"/>
    <w:rsid w:val="3EE53B65"/>
    <w:rsid w:val="3EEB27FE"/>
    <w:rsid w:val="3F03223E"/>
    <w:rsid w:val="3F060E16"/>
    <w:rsid w:val="3F146BA5"/>
    <w:rsid w:val="3F1D1096"/>
    <w:rsid w:val="3F2F0234"/>
    <w:rsid w:val="3F3A6EEE"/>
    <w:rsid w:val="3F3B26F7"/>
    <w:rsid w:val="3F537362"/>
    <w:rsid w:val="3F601083"/>
    <w:rsid w:val="3F6363FE"/>
    <w:rsid w:val="3F6A7BC7"/>
    <w:rsid w:val="3F756B8F"/>
    <w:rsid w:val="3F835232"/>
    <w:rsid w:val="3F95482B"/>
    <w:rsid w:val="3FB05F21"/>
    <w:rsid w:val="3FCE63A8"/>
    <w:rsid w:val="3FD15E98"/>
    <w:rsid w:val="3FE94F8F"/>
    <w:rsid w:val="3FFE658B"/>
    <w:rsid w:val="40041196"/>
    <w:rsid w:val="4019356B"/>
    <w:rsid w:val="402B7BE8"/>
    <w:rsid w:val="402D57C2"/>
    <w:rsid w:val="402E557B"/>
    <w:rsid w:val="4037194C"/>
    <w:rsid w:val="404843AC"/>
    <w:rsid w:val="40516185"/>
    <w:rsid w:val="40592157"/>
    <w:rsid w:val="40593219"/>
    <w:rsid w:val="406E1CAE"/>
    <w:rsid w:val="4099267E"/>
    <w:rsid w:val="40A0133A"/>
    <w:rsid w:val="40AD06B3"/>
    <w:rsid w:val="40B96916"/>
    <w:rsid w:val="40C31A53"/>
    <w:rsid w:val="40D3724C"/>
    <w:rsid w:val="40F2256A"/>
    <w:rsid w:val="40F41E3E"/>
    <w:rsid w:val="40FE2CBD"/>
    <w:rsid w:val="40FF545D"/>
    <w:rsid w:val="410067C8"/>
    <w:rsid w:val="410126A7"/>
    <w:rsid w:val="41165B98"/>
    <w:rsid w:val="411C1395"/>
    <w:rsid w:val="41215B68"/>
    <w:rsid w:val="41405F9E"/>
    <w:rsid w:val="41487D42"/>
    <w:rsid w:val="416176D3"/>
    <w:rsid w:val="416402A4"/>
    <w:rsid w:val="416A709D"/>
    <w:rsid w:val="41726691"/>
    <w:rsid w:val="418D02C7"/>
    <w:rsid w:val="418F0D2A"/>
    <w:rsid w:val="419F5093"/>
    <w:rsid w:val="41A53138"/>
    <w:rsid w:val="41A77DEA"/>
    <w:rsid w:val="41B45A71"/>
    <w:rsid w:val="41C45CB4"/>
    <w:rsid w:val="41D01505"/>
    <w:rsid w:val="41D873D1"/>
    <w:rsid w:val="41F543F2"/>
    <w:rsid w:val="41F72568"/>
    <w:rsid w:val="420814BA"/>
    <w:rsid w:val="422E231A"/>
    <w:rsid w:val="42356917"/>
    <w:rsid w:val="423806C3"/>
    <w:rsid w:val="42474939"/>
    <w:rsid w:val="424B171D"/>
    <w:rsid w:val="424C3C57"/>
    <w:rsid w:val="42547773"/>
    <w:rsid w:val="42562684"/>
    <w:rsid w:val="425C25C6"/>
    <w:rsid w:val="42602F64"/>
    <w:rsid w:val="42613FF3"/>
    <w:rsid w:val="42660D96"/>
    <w:rsid w:val="428667D2"/>
    <w:rsid w:val="42CD1CE0"/>
    <w:rsid w:val="42CE4911"/>
    <w:rsid w:val="42CF6F28"/>
    <w:rsid w:val="42E1381E"/>
    <w:rsid w:val="42ED6459"/>
    <w:rsid w:val="42FE58DD"/>
    <w:rsid w:val="430D6CE7"/>
    <w:rsid w:val="43174B3D"/>
    <w:rsid w:val="43192030"/>
    <w:rsid w:val="432B3538"/>
    <w:rsid w:val="434B790E"/>
    <w:rsid w:val="4360274F"/>
    <w:rsid w:val="43655275"/>
    <w:rsid w:val="43664136"/>
    <w:rsid w:val="437B23A2"/>
    <w:rsid w:val="438B29CA"/>
    <w:rsid w:val="438D20D6"/>
    <w:rsid w:val="438F22F2"/>
    <w:rsid w:val="43977AB6"/>
    <w:rsid w:val="43A3342B"/>
    <w:rsid w:val="43AF64F0"/>
    <w:rsid w:val="43BA364A"/>
    <w:rsid w:val="43C77C27"/>
    <w:rsid w:val="43CC52F4"/>
    <w:rsid w:val="43DE09EE"/>
    <w:rsid w:val="43F641B2"/>
    <w:rsid w:val="44002FAD"/>
    <w:rsid w:val="441C37AA"/>
    <w:rsid w:val="44233AED"/>
    <w:rsid w:val="44246774"/>
    <w:rsid w:val="443B5FD6"/>
    <w:rsid w:val="44641089"/>
    <w:rsid w:val="449101DD"/>
    <w:rsid w:val="44B4114D"/>
    <w:rsid w:val="44B57B36"/>
    <w:rsid w:val="44BE2144"/>
    <w:rsid w:val="44C608CD"/>
    <w:rsid w:val="44D501D8"/>
    <w:rsid w:val="44DE1391"/>
    <w:rsid w:val="44F00B6E"/>
    <w:rsid w:val="44F26B0B"/>
    <w:rsid w:val="44F73053"/>
    <w:rsid w:val="451B225C"/>
    <w:rsid w:val="451C1963"/>
    <w:rsid w:val="452410C9"/>
    <w:rsid w:val="45317DFB"/>
    <w:rsid w:val="453E0776"/>
    <w:rsid w:val="456D3CE4"/>
    <w:rsid w:val="4579042C"/>
    <w:rsid w:val="457F0571"/>
    <w:rsid w:val="45851176"/>
    <w:rsid w:val="4588524B"/>
    <w:rsid w:val="45965BB9"/>
    <w:rsid w:val="45A1437C"/>
    <w:rsid w:val="45B46040"/>
    <w:rsid w:val="45C55BC2"/>
    <w:rsid w:val="45C63B94"/>
    <w:rsid w:val="45D75FEA"/>
    <w:rsid w:val="45E442D1"/>
    <w:rsid w:val="45E85CE9"/>
    <w:rsid w:val="460E7DA5"/>
    <w:rsid w:val="46150595"/>
    <w:rsid w:val="46181591"/>
    <w:rsid w:val="461D550A"/>
    <w:rsid w:val="46422483"/>
    <w:rsid w:val="464448CE"/>
    <w:rsid w:val="4659254A"/>
    <w:rsid w:val="465A6BE7"/>
    <w:rsid w:val="465B0637"/>
    <w:rsid w:val="465C029D"/>
    <w:rsid w:val="465D29C3"/>
    <w:rsid w:val="465E3F0D"/>
    <w:rsid w:val="466360BA"/>
    <w:rsid w:val="466965B2"/>
    <w:rsid w:val="466A16E6"/>
    <w:rsid w:val="46893F2B"/>
    <w:rsid w:val="46C444E6"/>
    <w:rsid w:val="46C4686E"/>
    <w:rsid w:val="46C63BF2"/>
    <w:rsid w:val="46D36999"/>
    <w:rsid w:val="46DA4B37"/>
    <w:rsid w:val="46E306B8"/>
    <w:rsid w:val="46E464B1"/>
    <w:rsid w:val="46EA252B"/>
    <w:rsid w:val="4707219F"/>
    <w:rsid w:val="47166E11"/>
    <w:rsid w:val="47170634"/>
    <w:rsid w:val="47617B01"/>
    <w:rsid w:val="476E4FB5"/>
    <w:rsid w:val="476F66C2"/>
    <w:rsid w:val="477B778F"/>
    <w:rsid w:val="477E06B3"/>
    <w:rsid w:val="478203EC"/>
    <w:rsid w:val="479C22A8"/>
    <w:rsid w:val="47B025FA"/>
    <w:rsid w:val="47BB1907"/>
    <w:rsid w:val="47C14A44"/>
    <w:rsid w:val="47D4159B"/>
    <w:rsid w:val="47F11C3D"/>
    <w:rsid w:val="4809698F"/>
    <w:rsid w:val="4811697D"/>
    <w:rsid w:val="48205B67"/>
    <w:rsid w:val="484E4529"/>
    <w:rsid w:val="485501EB"/>
    <w:rsid w:val="48566DAF"/>
    <w:rsid w:val="48657AC5"/>
    <w:rsid w:val="48783354"/>
    <w:rsid w:val="487A3E25"/>
    <w:rsid w:val="488B5503"/>
    <w:rsid w:val="48937E21"/>
    <w:rsid w:val="489A0361"/>
    <w:rsid w:val="48A80E9B"/>
    <w:rsid w:val="48B94FF3"/>
    <w:rsid w:val="48BF71D5"/>
    <w:rsid w:val="48E37AAB"/>
    <w:rsid w:val="48F52BF7"/>
    <w:rsid w:val="48FD4B4C"/>
    <w:rsid w:val="490720B5"/>
    <w:rsid w:val="490A68E0"/>
    <w:rsid w:val="490E5212"/>
    <w:rsid w:val="491055FE"/>
    <w:rsid w:val="491718E8"/>
    <w:rsid w:val="491F1A22"/>
    <w:rsid w:val="495F5B3E"/>
    <w:rsid w:val="49642B76"/>
    <w:rsid w:val="49651DFF"/>
    <w:rsid w:val="496F77D7"/>
    <w:rsid w:val="497654FD"/>
    <w:rsid w:val="4977360C"/>
    <w:rsid w:val="497A7D03"/>
    <w:rsid w:val="49835E2E"/>
    <w:rsid w:val="498521CD"/>
    <w:rsid w:val="4986331F"/>
    <w:rsid w:val="49B64211"/>
    <w:rsid w:val="49BC54C3"/>
    <w:rsid w:val="49D41AAC"/>
    <w:rsid w:val="49E14F29"/>
    <w:rsid w:val="49E9006F"/>
    <w:rsid w:val="49EB32CE"/>
    <w:rsid w:val="49F6167F"/>
    <w:rsid w:val="4A064FA0"/>
    <w:rsid w:val="4A0869BB"/>
    <w:rsid w:val="4A16615C"/>
    <w:rsid w:val="4A221AC2"/>
    <w:rsid w:val="4A35464A"/>
    <w:rsid w:val="4A3634C7"/>
    <w:rsid w:val="4A4424D7"/>
    <w:rsid w:val="4A541B9F"/>
    <w:rsid w:val="4A672607"/>
    <w:rsid w:val="4A7162AD"/>
    <w:rsid w:val="4A9138C5"/>
    <w:rsid w:val="4A9406C5"/>
    <w:rsid w:val="4A9A0299"/>
    <w:rsid w:val="4AA43885"/>
    <w:rsid w:val="4AB82D0F"/>
    <w:rsid w:val="4ABD7744"/>
    <w:rsid w:val="4AE73F62"/>
    <w:rsid w:val="4AEB7664"/>
    <w:rsid w:val="4AF62C56"/>
    <w:rsid w:val="4AFD7C19"/>
    <w:rsid w:val="4B0567D1"/>
    <w:rsid w:val="4B117371"/>
    <w:rsid w:val="4B236AAE"/>
    <w:rsid w:val="4B2F799D"/>
    <w:rsid w:val="4B427942"/>
    <w:rsid w:val="4B4E5AC1"/>
    <w:rsid w:val="4B5A1437"/>
    <w:rsid w:val="4B707271"/>
    <w:rsid w:val="4B8B6A13"/>
    <w:rsid w:val="4B9739F7"/>
    <w:rsid w:val="4BA15E9C"/>
    <w:rsid w:val="4BA601D9"/>
    <w:rsid w:val="4BA608B0"/>
    <w:rsid w:val="4BB02E05"/>
    <w:rsid w:val="4BB5041C"/>
    <w:rsid w:val="4BB70638"/>
    <w:rsid w:val="4BC234A4"/>
    <w:rsid w:val="4BC543A7"/>
    <w:rsid w:val="4BE3142D"/>
    <w:rsid w:val="4BE720B4"/>
    <w:rsid w:val="4BE778DA"/>
    <w:rsid w:val="4BEB2E25"/>
    <w:rsid w:val="4BEE2503"/>
    <w:rsid w:val="4BF4363A"/>
    <w:rsid w:val="4BF727EA"/>
    <w:rsid w:val="4BF92240"/>
    <w:rsid w:val="4C031D0C"/>
    <w:rsid w:val="4C0D0258"/>
    <w:rsid w:val="4C231978"/>
    <w:rsid w:val="4C245A30"/>
    <w:rsid w:val="4C3A0C0B"/>
    <w:rsid w:val="4C4A325A"/>
    <w:rsid w:val="4C565449"/>
    <w:rsid w:val="4C567B1E"/>
    <w:rsid w:val="4C63256E"/>
    <w:rsid w:val="4C653BF0"/>
    <w:rsid w:val="4C6A75A2"/>
    <w:rsid w:val="4C72455F"/>
    <w:rsid w:val="4C8147A2"/>
    <w:rsid w:val="4CB25D57"/>
    <w:rsid w:val="4CB6685F"/>
    <w:rsid w:val="4CBA733B"/>
    <w:rsid w:val="4CC254E6"/>
    <w:rsid w:val="4CC367FE"/>
    <w:rsid w:val="4CC528E0"/>
    <w:rsid w:val="4CE33F33"/>
    <w:rsid w:val="4CEA7E57"/>
    <w:rsid w:val="4D077F3C"/>
    <w:rsid w:val="4D123355"/>
    <w:rsid w:val="4D235058"/>
    <w:rsid w:val="4D2A3B31"/>
    <w:rsid w:val="4D312C52"/>
    <w:rsid w:val="4D654F4A"/>
    <w:rsid w:val="4D8E7176"/>
    <w:rsid w:val="4D905305"/>
    <w:rsid w:val="4D964A72"/>
    <w:rsid w:val="4D981DA3"/>
    <w:rsid w:val="4D9C1254"/>
    <w:rsid w:val="4D9C5D37"/>
    <w:rsid w:val="4D9E5B15"/>
    <w:rsid w:val="4DA846DC"/>
    <w:rsid w:val="4DB534A0"/>
    <w:rsid w:val="4DC42D37"/>
    <w:rsid w:val="4DD2749E"/>
    <w:rsid w:val="4DD70B1D"/>
    <w:rsid w:val="4DE82D2A"/>
    <w:rsid w:val="4E027920"/>
    <w:rsid w:val="4E112002"/>
    <w:rsid w:val="4E2F68D1"/>
    <w:rsid w:val="4E324E72"/>
    <w:rsid w:val="4E4C2932"/>
    <w:rsid w:val="4E5942B9"/>
    <w:rsid w:val="4E7715CF"/>
    <w:rsid w:val="4E793892"/>
    <w:rsid w:val="4E800872"/>
    <w:rsid w:val="4E8A74FC"/>
    <w:rsid w:val="4E962104"/>
    <w:rsid w:val="4E980DB4"/>
    <w:rsid w:val="4EA1676B"/>
    <w:rsid w:val="4EB86BA1"/>
    <w:rsid w:val="4EC569ED"/>
    <w:rsid w:val="4ECC7044"/>
    <w:rsid w:val="4ED50EA1"/>
    <w:rsid w:val="4ED83FFC"/>
    <w:rsid w:val="4EDA0BC9"/>
    <w:rsid w:val="4EE05B56"/>
    <w:rsid w:val="4EE470E5"/>
    <w:rsid w:val="4EEC050C"/>
    <w:rsid w:val="4EFE140F"/>
    <w:rsid w:val="4F0A6873"/>
    <w:rsid w:val="4F0F664C"/>
    <w:rsid w:val="4F104EC3"/>
    <w:rsid w:val="4F133DD7"/>
    <w:rsid w:val="4F183DED"/>
    <w:rsid w:val="4F253B0A"/>
    <w:rsid w:val="4F2E6E63"/>
    <w:rsid w:val="4F47354A"/>
    <w:rsid w:val="4F473A81"/>
    <w:rsid w:val="4F6F4D85"/>
    <w:rsid w:val="4F73010B"/>
    <w:rsid w:val="4F911C54"/>
    <w:rsid w:val="4FBA6948"/>
    <w:rsid w:val="4FBE481F"/>
    <w:rsid w:val="4FE625E0"/>
    <w:rsid w:val="4FFE3D55"/>
    <w:rsid w:val="50055E16"/>
    <w:rsid w:val="5021480F"/>
    <w:rsid w:val="502D0A62"/>
    <w:rsid w:val="502D4D08"/>
    <w:rsid w:val="504B6081"/>
    <w:rsid w:val="505C301C"/>
    <w:rsid w:val="506C202F"/>
    <w:rsid w:val="507231F6"/>
    <w:rsid w:val="507C3BFE"/>
    <w:rsid w:val="508D49F9"/>
    <w:rsid w:val="509406B9"/>
    <w:rsid w:val="50962ECB"/>
    <w:rsid w:val="50A03E86"/>
    <w:rsid w:val="50A417ED"/>
    <w:rsid w:val="50A42E38"/>
    <w:rsid w:val="50A4577F"/>
    <w:rsid w:val="50A8054F"/>
    <w:rsid w:val="50B23DA1"/>
    <w:rsid w:val="50B27620"/>
    <w:rsid w:val="50B567D1"/>
    <w:rsid w:val="50B73D1F"/>
    <w:rsid w:val="50BD5BC9"/>
    <w:rsid w:val="50C11EEE"/>
    <w:rsid w:val="50C730CB"/>
    <w:rsid w:val="50D21A70"/>
    <w:rsid w:val="50D6330E"/>
    <w:rsid w:val="50E30159"/>
    <w:rsid w:val="50E97CFC"/>
    <w:rsid w:val="50F773E6"/>
    <w:rsid w:val="50FA0C82"/>
    <w:rsid w:val="50FA4028"/>
    <w:rsid w:val="510D65B7"/>
    <w:rsid w:val="511157AB"/>
    <w:rsid w:val="512F6AED"/>
    <w:rsid w:val="5142540C"/>
    <w:rsid w:val="51450494"/>
    <w:rsid w:val="51645925"/>
    <w:rsid w:val="51703763"/>
    <w:rsid w:val="5176689F"/>
    <w:rsid w:val="51840FBC"/>
    <w:rsid w:val="518832C8"/>
    <w:rsid w:val="519C3015"/>
    <w:rsid w:val="519D3C50"/>
    <w:rsid w:val="51A0432A"/>
    <w:rsid w:val="51A056CA"/>
    <w:rsid w:val="51A86090"/>
    <w:rsid w:val="51A90514"/>
    <w:rsid w:val="51B7396D"/>
    <w:rsid w:val="51BF0807"/>
    <w:rsid w:val="51C43114"/>
    <w:rsid w:val="51E25CE3"/>
    <w:rsid w:val="51F779E0"/>
    <w:rsid w:val="520B6FE7"/>
    <w:rsid w:val="5212481A"/>
    <w:rsid w:val="521340EE"/>
    <w:rsid w:val="522E4CC3"/>
    <w:rsid w:val="5244713B"/>
    <w:rsid w:val="52474467"/>
    <w:rsid w:val="525941F7"/>
    <w:rsid w:val="52615633"/>
    <w:rsid w:val="526F4DE4"/>
    <w:rsid w:val="5277467D"/>
    <w:rsid w:val="527B23BF"/>
    <w:rsid w:val="52886B07"/>
    <w:rsid w:val="52902B95"/>
    <w:rsid w:val="52977FD4"/>
    <w:rsid w:val="52A06DC7"/>
    <w:rsid w:val="52A25790"/>
    <w:rsid w:val="52A63D47"/>
    <w:rsid w:val="52A96B6F"/>
    <w:rsid w:val="52B45975"/>
    <w:rsid w:val="52C3329C"/>
    <w:rsid w:val="52C75604"/>
    <w:rsid w:val="52D94AA4"/>
    <w:rsid w:val="52EA3A62"/>
    <w:rsid w:val="52F50BB8"/>
    <w:rsid w:val="53097272"/>
    <w:rsid w:val="53110DF9"/>
    <w:rsid w:val="53193986"/>
    <w:rsid w:val="531E0F9C"/>
    <w:rsid w:val="531E281F"/>
    <w:rsid w:val="53202F66"/>
    <w:rsid w:val="53216F02"/>
    <w:rsid w:val="5337358F"/>
    <w:rsid w:val="534C1537"/>
    <w:rsid w:val="53544462"/>
    <w:rsid w:val="535844AE"/>
    <w:rsid w:val="535A66C9"/>
    <w:rsid w:val="535E7E67"/>
    <w:rsid w:val="53740BBC"/>
    <w:rsid w:val="538253C0"/>
    <w:rsid w:val="5385631D"/>
    <w:rsid w:val="5397158E"/>
    <w:rsid w:val="5399571D"/>
    <w:rsid w:val="539D45B7"/>
    <w:rsid w:val="53AB05A5"/>
    <w:rsid w:val="53AC0356"/>
    <w:rsid w:val="53BD6A07"/>
    <w:rsid w:val="53D1600F"/>
    <w:rsid w:val="53D31D87"/>
    <w:rsid w:val="53E21FCA"/>
    <w:rsid w:val="53F341D7"/>
    <w:rsid w:val="54013861"/>
    <w:rsid w:val="54300401"/>
    <w:rsid w:val="54444A33"/>
    <w:rsid w:val="54487265"/>
    <w:rsid w:val="544B76B3"/>
    <w:rsid w:val="544D6070"/>
    <w:rsid w:val="54537B37"/>
    <w:rsid w:val="54580FBC"/>
    <w:rsid w:val="545D5AF4"/>
    <w:rsid w:val="54605E1E"/>
    <w:rsid w:val="54694499"/>
    <w:rsid w:val="54994D7E"/>
    <w:rsid w:val="54AF1D11"/>
    <w:rsid w:val="54B14E1F"/>
    <w:rsid w:val="54B3506A"/>
    <w:rsid w:val="54B55930"/>
    <w:rsid w:val="54BD1520"/>
    <w:rsid w:val="54C44FD0"/>
    <w:rsid w:val="54CA0D16"/>
    <w:rsid w:val="54CA1049"/>
    <w:rsid w:val="54DA7145"/>
    <w:rsid w:val="54DD4057"/>
    <w:rsid w:val="54E104D3"/>
    <w:rsid w:val="54E7490F"/>
    <w:rsid w:val="54E8279D"/>
    <w:rsid w:val="55004FA0"/>
    <w:rsid w:val="55024737"/>
    <w:rsid w:val="550764A4"/>
    <w:rsid w:val="550B2BF6"/>
    <w:rsid w:val="55214EB5"/>
    <w:rsid w:val="55364EFD"/>
    <w:rsid w:val="553C0AC9"/>
    <w:rsid w:val="554B5602"/>
    <w:rsid w:val="555D4828"/>
    <w:rsid w:val="55794BB0"/>
    <w:rsid w:val="557A4C8B"/>
    <w:rsid w:val="55884FF7"/>
    <w:rsid w:val="558931E1"/>
    <w:rsid w:val="55923347"/>
    <w:rsid w:val="55925180"/>
    <w:rsid w:val="55977CE7"/>
    <w:rsid w:val="55983B1B"/>
    <w:rsid w:val="55A8376B"/>
    <w:rsid w:val="55B61960"/>
    <w:rsid w:val="55CB540B"/>
    <w:rsid w:val="55DC29B6"/>
    <w:rsid w:val="55DD4241"/>
    <w:rsid w:val="55E55DA1"/>
    <w:rsid w:val="55E93AE3"/>
    <w:rsid w:val="56071131"/>
    <w:rsid w:val="56073F6A"/>
    <w:rsid w:val="560D60D6"/>
    <w:rsid w:val="562E2062"/>
    <w:rsid w:val="562E599A"/>
    <w:rsid w:val="564D23B7"/>
    <w:rsid w:val="565151E5"/>
    <w:rsid w:val="56625EE3"/>
    <w:rsid w:val="566B6D1E"/>
    <w:rsid w:val="56784E53"/>
    <w:rsid w:val="567C6706"/>
    <w:rsid w:val="5689497F"/>
    <w:rsid w:val="568C24CB"/>
    <w:rsid w:val="56B42093"/>
    <w:rsid w:val="56BE36DE"/>
    <w:rsid w:val="56C836F9"/>
    <w:rsid w:val="56CE0DAD"/>
    <w:rsid w:val="56D05B1A"/>
    <w:rsid w:val="56D26326"/>
    <w:rsid w:val="56D55EA2"/>
    <w:rsid w:val="56E11BB7"/>
    <w:rsid w:val="56EB0A77"/>
    <w:rsid w:val="56FF2E93"/>
    <w:rsid w:val="57032A2C"/>
    <w:rsid w:val="570F1328"/>
    <w:rsid w:val="570F5219"/>
    <w:rsid w:val="57187924"/>
    <w:rsid w:val="572648C3"/>
    <w:rsid w:val="572E78E5"/>
    <w:rsid w:val="5739256A"/>
    <w:rsid w:val="5740115A"/>
    <w:rsid w:val="575C3E17"/>
    <w:rsid w:val="575D12B5"/>
    <w:rsid w:val="57610A87"/>
    <w:rsid w:val="576176AA"/>
    <w:rsid w:val="576606E4"/>
    <w:rsid w:val="5774783B"/>
    <w:rsid w:val="57753996"/>
    <w:rsid w:val="577B1140"/>
    <w:rsid w:val="577B7F21"/>
    <w:rsid w:val="577F181B"/>
    <w:rsid w:val="57921984"/>
    <w:rsid w:val="579737F0"/>
    <w:rsid w:val="57982CDF"/>
    <w:rsid w:val="57A148B7"/>
    <w:rsid w:val="57A9177C"/>
    <w:rsid w:val="57AB7B30"/>
    <w:rsid w:val="57AF5251"/>
    <w:rsid w:val="57B123DF"/>
    <w:rsid w:val="57B26373"/>
    <w:rsid w:val="57B63F04"/>
    <w:rsid w:val="57C82BC7"/>
    <w:rsid w:val="57CD20C2"/>
    <w:rsid w:val="57D57A6F"/>
    <w:rsid w:val="57D675AB"/>
    <w:rsid w:val="57D95FDD"/>
    <w:rsid w:val="57E00F16"/>
    <w:rsid w:val="57EA769F"/>
    <w:rsid w:val="57FB549F"/>
    <w:rsid w:val="581E60F9"/>
    <w:rsid w:val="58306B5A"/>
    <w:rsid w:val="583D0117"/>
    <w:rsid w:val="58475F55"/>
    <w:rsid w:val="584C2108"/>
    <w:rsid w:val="58566B38"/>
    <w:rsid w:val="586456A3"/>
    <w:rsid w:val="58917D2F"/>
    <w:rsid w:val="5894085C"/>
    <w:rsid w:val="589C4E3D"/>
    <w:rsid w:val="58AE4F0C"/>
    <w:rsid w:val="58B85899"/>
    <w:rsid w:val="58D55ED9"/>
    <w:rsid w:val="58D72319"/>
    <w:rsid w:val="58DC11CA"/>
    <w:rsid w:val="58E363A9"/>
    <w:rsid w:val="59056607"/>
    <w:rsid w:val="590D2BD1"/>
    <w:rsid w:val="591B7928"/>
    <w:rsid w:val="592B7F6F"/>
    <w:rsid w:val="59462FFB"/>
    <w:rsid w:val="5947341D"/>
    <w:rsid w:val="594F0101"/>
    <w:rsid w:val="59551901"/>
    <w:rsid w:val="59554FEC"/>
    <w:rsid w:val="595E1678"/>
    <w:rsid w:val="596D0588"/>
    <w:rsid w:val="596D5BD4"/>
    <w:rsid w:val="597E3DD8"/>
    <w:rsid w:val="597F386C"/>
    <w:rsid w:val="599054F7"/>
    <w:rsid w:val="59914276"/>
    <w:rsid w:val="59927FEE"/>
    <w:rsid w:val="59AC7302"/>
    <w:rsid w:val="59BC5B27"/>
    <w:rsid w:val="59C81C62"/>
    <w:rsid w:val="59DB1995"/>
    <w:rsid w:val="59F14D15"/>
    <w:rsid w:val="59F80043"/>
    <w:rsid w:val="59FE5684"/>
    <w:rsid w:val="5A09252F"/>
    <w:rsid w:val="5A0B2778"/>
    <w:rsid w:val="5A1B4A3C"/>
    <w:rsid w:val="5A2A7C7B"/>
    <w:rsid w:val="5A317A55"/>
    <w:rsid w:val="5A3E2560"/>
    <w:rsid w:val="5A484E35"/>
    <w:rsid w:val="5A5D23AA"/>
    <w:rsid w:val="5A5D3B6E"/>
    <w:rsid w:val="5A5E2716"/>
    <w:rsid w:val="5A607463"/>
    <w:rsid w:val="5A637A76"/>
    <w:rsid w:val="5A6D33BA"/>
    <w:rsid w:val="5A792B1F"/>
    <w:rsid w:val="5A874767"/>
    <w:rsid w:val="5A8E36A1"/>
    <w:rsid w:val="5A9A53AC"/>
    <w:rsid w:val="5A9F0C15"/>
    <w:rsid w:val="5AA106F0"/>
    <w:rsid w:val="5AA85BE2"/>
    <w:rsid w:val="5AAD6F28"/>
    <w:rsid w:val="5AAE70AA"/>
    <w:rsid w:val="5AB50438"/>
    <w:rsid w:val="5ABD72ED"/>
    <w:rsid w:val="5ABE2749"/>
    <w:rsid w:val="5AD563E4"/>
    <w:rsid w:val="5AD63A24"/>
    <w:rsid w:val="5AE51A4D"/>
    <w:rsid w:val="5AEE75FE"/>
    <w:rsid w:val="5B0171D9"/>
    <w:rsid w:val="5B2D7FCE"/>
    <w:rsid w:val="5B2E1A1D"/>
    <w:rsid w:val="5B3475AF"/>
    <w:rsid w:val="5B555A68"/>
    <w:rsid w:val="5B6527AA"/>
    <w:rsid w:val="5B683B06"/>
    <w:rsid w:val="5B843A1C"/>
    <w:rsid w:val="5B873E3F"/>
    <w:rsid w:val="5B9738C7"/>
    <w:rsid w:val="5BA46F42"/>
    <w:rsid w:val="5BAE38A3"/>
    <w:rsid w:val="5BB22BCA"/>
    <w:rsid w:val="5BB95D06"/>
    <w:rsid w:val="5BC0738C"/>
    <w:rsid w:val="5BC86507"/>
    <w:rsid w:val="5BCF7C49"/>
    <w:rsid w:val="5BD012F7"/>
    <w:rsid w:val="5BE517DE"/>
    <w:rsid w:val="5C02690E"/>
    <w:rsid w:val="5C196DA7"/>
    <w:rsid w:val="5C25514A"/>
    <w:rsid w:val="5C2A048C"/>
    <w:rsid w:val="5C2F7D76"/>
    <w:rsid w:val="5C4001D5"/>
    <w:rsid w:val="5C422F8E"/>
    <w:rsid w:val="5C451E85"/>
    <w:rsid w:val="5C4D2220"/>
    <w:rsid w:val="5C5D0D87"/>
    <w:rsid w:val="5C700ABB"/>
    <w:rsid w:val="5C702869"/>
    <w:rsid w:val="5C722A8E"/>
    <w:rsid w:val="5C80234E"/>
    <w:rsid w:val="5C88401D"/>
    <w:rsid w:val="5C8A680C"/>
    <w:rsid w:val="5C966047"/>
    <w:rsid w:val="5C9D2F32"/>
    <w:rsid w:val="5CAA7CE3"/>
    <w:rsid w:val="5CAB0425"/>
    <w:rsid w:val="5CB148EE"/>
    <w:rsid w:val="5CC33D54"/>
    <w:rsid w:val="5CC97177"/>
    <w:rsid w:val="5CD26E28"/>
    <w:rsid w:val="5CD5091E"/>
    <w:rsid w:val="5CF54B1C"/>
    <w:rsid w:val="5D0C4701"/>
    <w:rsid w:val="5D0F0395"/>
    <w:rsid w:val="5D221076"/>
    <w:rsid w:val="5D2637FE"/>
    <w:rsid w:val="5D2673CB"/>
    <w:rsid w:val="5D335D4B"/>
    <w:rsid w:val="5D397964"/>
    <w:rsid w:val="5D4F0786"/>
    <w:rsid w:val="5D501FF2"/>
    <w:rsid w:val="5D5A391C"/>
    <w:rsid w:val="5D5F10C0"/>
    <w:rsid w:val="5D69161B"/>
    <w:rsid w:val="5D774724"/>
    <w:rsid w:val="5D790E2F"/>
    <w:rsid w:val="5D83481E"/>
    <w:rsid w:val="5D891B7B"/>
    <w:rsid w:val="5D8B36D2"/>
    <w:rsid w:val="5D8B722E"/>
    <w:rsid w:val="5D8F31C2"/>
    <w:rsid w:val="5D92680F"/>
    <w:rsid w:val="5D944335"/>
    <w:rsid w:val="5D9C13B1"/>
    <w:rsid w:val="5D9C58DF"/>
    <w:rsid w:val="5DAD38EE"/>
    <w:rsid w:val="5DC368FC"/>
    <w:rsid w:val="5DC6470A"/>
    <w:rsid w:val="5DC664B8"/>
    <w:rsid w:val="5DD66746"/>
    <w:rsid w:val="5DF16BE6"/>
    <w:rsid w:val="5DF41EE4"/>
    <w:rsid w:val="5DF673AB"/>
    <w:rsid w:val="5DFC4D34"/>
    <w:rsid w:val="5E006862"/>
    <w:rsid w:val="5E0207B9"/>
    <w:rsid w:val="5E0728F7"/>
    <w:rsid w:val="5E0A3496"/>
    <w:rsid w:val="5E0C52E0"/>
    <w:rsid w:val="5E1216FE"/>
    <w:rsid w:val="5E1834A1"/>
    <w:rsid w:val="5E2430A7"/>
    <w:rsid w:val="5E261785"/>
    <w:rsid w:val="5E2D6537"/>
    <w:rsid w:val="5E4A7017"/>
    <w:rsid w:val="5E552BBA"/>
    <w:rsid w:val="5E59732C"/>
    <w:rsid w:val="5E611C10"/>
    <w:rsid w:val="5E615D62"/>
    <w:rsid w:val="5E622BAC"/>
    <w:rsid w:val="5E6F662D"/>
    <w:rsid w:val="5E6F688C"/>
    <w:rsid w:val="5E7A0F3F"/>
    <w:rsid w:val="5E7D301B"/>
    <w:rsid w:val="5E875C48"/>
    <w:rsid w:val="5EB667A1"/>
    <w:rsid w:val="5ECB0CB8"/>
    <w:rsid w:val="5ED43F72"/>
    <w:rsid w:val="5EDA0C6E"/>
    <w:rsid w:val="5EEC77D9"/>
    <w:rsid w:val="5EFC7377"/>
    <w:rsid w:val="5EFF7ED4"/>
    <w:rsid w:val="5F015114"/>
    <w:rsid w:val="5F06174D"/>
    <w:rsid w:val="5F0703EB"/>
    <w:rsid w:val="5F335DCF"/>
    <w:rsid w:val="5F3A0F0C"/>
    <w:rsid w:val="5F3A3602"/>
    <w:rsid w:val="5F45733B"/>
    <w:rsid w:val="5F472FFB"/>
    <w:rsid w:val="5F4767B2"/>
    <w:rsid w:val="5F5875E4"/>
    <w:rsid w:val="5F6277C6"/>
    <w:rsid w:val="5F647C8A"/>
    <w:rsid w:val="5F6D0B1D"/>
    <w:rsid w:val="5F737FD9"/>
    <w:rsid w:val="5F7A755A"/>
    <w:rsid w:val="5F8D0B82"/>
    <w:rsid w:val="5F954A50"/>
    <w:rsid w:val="5FCC5339"/>
    <w:rsid w:val="5FE24E4B"/>
    <w:rsid w:val="5FE34A5B"/>
    <w:rsid w:val="5FE570CA"/>
    <w:rsid w:val="5FFE1E36"/>
    <w:rsid w:val="601608B5"/>
    <w:rsid w:val="60177CBD"/>
    <w:rsid w:val="60232584"/>
    <w:rsid w:val="60473C1A"/>
    <w:rsid w:val="60521CD9"/>
    <w:rsid w:val="607330CE"/>
    <w:rsid w:val="6081403D"/>
    <w:rsid w:val="60825176"/>
    <w:rsid w:val="608C30E9"/>
    <w:rsid w:val="609F2AC4"/>
    <w:rsid w:val="60A14076"/>
    <w:rsid w:val="60A56859"/>
    <w:rsid w:val="60CE22DD"/>
    <w:rsid w:val="60D316AF"/>
    <w:rsid w:val="60D64B9B"/>
    <w:rsid w:val="60D86C2E"/>
    <w:rsid w:val="60F670B5"/>
    <w:rsid w:val="60FA2EE8"/>
    <w:rsid w:val="6104147A"/>
    <w:rsid w:val="61054A27"/>
    <w:rsid w:val="610A52BC"/>
    <w:rsid w:val="610A53B4"/>
    <w:rsid w:val="610D059B"/>
    <w:rsid w:val="610F663B"/>
    <w:rsid w:val="611D2366"/>
    <w:rsid w:val="6138383D"/>
    <w:rsid w:val="6138591F"/>
    <w:rsid w:val="61421856"/>
    <w:rsid w:val="61447E20"/>
    <w:rsid w:val="615227C4"/>
    <w:rsid w:val="6162474A"/>
    <w:rsid w:val="61654E3F"/>
    <w:rsid w:val="61712825"/>
    <w:rsid w:val="6182292A"/>
    <w:rsid w:val="618361C1"/>
    <w:rsid w:val="618C23D5"/>
    <w:rsid w:val="619511C7"/>
    <w:rsid w:val="619F774C"/>
    <w:rsid w:val="619F7F92"/>
    <w:rsid w:val="61B42650"/>
    <w:rsid w:val="61D14303"/>
    <w:rsid w:val="61F94C26"/>
    <w:rsid w:val="62000E56"/>
    <w:rsid w:val="62023ED4"/>
    <w:rsid w:val="62143C96"/>
    <w:rsid w:val="6220263B"/>
    <w:rsid w:val="62227144"/>
    <w:rsid w:val="622523C7"/>
    <w:rsid w:val="622A3845"/>
    <w:rsid w:val="622E6F5D"/>
    <w:rsid w:val="622F3B4F"/>
    <w:rsid w:val="624346B6"/>
    <w:rsid w:val="624F3E49"/>
    <w:rsid w:val="62632286"/>
    <w:rsid w:val="626F1690"/>
    <w:rsid w:val="627E55B4"/>
    <w:rsid w:val="62885958"/>
    <w:rsid w:val="628E1C9B"/>
    <w:rsid w:val="629B6165"/>
    <w:rsid w:val="62A35D2C"/>
    <w:rsid w:val="62B31ECE"/>
    <w:rsid w:val="62BA5616"/>
    <w:rsid w:val="62CE3ED5"/>
    <w:rsid w:val="62EF64B1"/>
    <w:rsid w:val="62F02209"/>
    <w:rsid w:val="62F40B65"/>
    <w:rsid w:val="62FC2CFE"/>
    <w:rsid w:val="63024505"/>
    <w:rsid w:val="63132973"/>
    <w:rsid w:val="63234FDA"/>
    <w:rsid w:val="632B74E9"/>
    <w:rsid w:val="633345F0"/>
    <w:rsid w:val="6334072E"/>
    <w:rsid w:val="634C7F45"/>
    <w:rsid w:val="63500A73"/>
    <w:rsid w:val="635600A5"/>
    <w:rsid w:val="635B1DB5"/>
    <w:rsid w:val="635F1E34"/>
    <w:rsid w:val="63624ED5"/>
    <w:rsid w:val="63711FED"/>
    <w:rsid w:val="63770981"/>
    <w:rsid w:val="637F41CC"/>
    <w:rsid w:val="63880DDC"/>
    <w:rsid w:val="638A3B44"/>
    <w:rsid w:val="638D750D"/>
    <w:rsid w:val="639431AF"/>
    <w:rsid w:val="63AC6CC0"/>
    <w:rsid w:val="63B26C24"/>
    <w:rsid w:val="63B30939"/>
    <w:rsid w:val="63C62BC7"/>
    <w:rsid w:val="63C82FA0"/>
    <w:rsid w:val="63CC234F"/>
    <w:rsid w:val="63E853DA"/>
    <w:rsid w:val="63FD4460"/>
    <w:rsid w:val="64033FC2"/>
    <w:rsid w:val="64055776"/>
    <w:rsid w:val="641449E2"/>
    <w:rsid w:val="641E48F9"/>
    <w:rsid w:val="641F5B67"/>
    <w:rsid w:val="64240056"/>
    <w:rsid w:val="64287985"/>
    <w:rsid w:val="64361F2A"/>
    <w:rsid w:val="643E143A"/>
    <w:rsid w:val="643F0D73"/>
    <w:rsid w:val="64421382"/>
    <w:rsid w:val="64491666"/>
    <w:rsid w:val="647C0409"/>
    <w:rsid w:val="648B6EEF"/>
    <w:rsid w:val="64A44418"/>
    <w:rsid w:val="64B21544"/>
    <w:rsid w:val="64BB6518"/>
    <w:rsid w:val="64C158BF"/>
    <w:rsid w:val="64CD0853"/>
    <w:rsid w:val="64CE2EAA"/>
    <w:rsid w:val="64DC64E6"/>
    <w:rsid w:val="64EA3EA0"/>
    <w:rsid w:val="64EA6F30"/>
    <w:rsid w:val="6502071E"/>
    <w:rsid w:val="652E740C"/>
    <w:rsid w:val="653B4814"/>
    <w:rsid w:val="653C3090"/>
    <w:rsid w:val="65426D6C"/>
    <w:rsid w:val="6545420F"/>
    <w:rsid w:val="654C07C5"/>
    <w:rsid w:val="65854376"/>
    <w:rsid w:val="658767BE"/>
    <w:rsid w:val="65892531"/>
    <w:rsid w:val="65B63000"/>
    <w:rsid w:val="65BC541F"/>
    <w:rsid w:val="65D71A6D"/>
    <w:rsid w:val="65DF0A5F"/>
    <w:rsid w:val="65E250FE"/>
    <w:rsid w:val="65E65D95"/>
    <w:rsid w:val="66030EAB"/>
    <w:rsid w:val="6609788A"/>
    <w:rsid w:val="66195831"/>
    <w:rsid w:val="66224108"/>
    <w:rsid w:val="662E75B1"/>
    <w:rsid w:val="66321CE5"/>
    <w:rsid w:val="66342C2E"/>
    <w:rsid w:val="663E784C"/>
    <w:rsid w:val="664061F2"/>
    <w:rsid w:val="66410DD2"/>
    <w:rsid w:val="66521231"/>
    <w:rsid w:val="66544FA9"/>
    <w:rsid w:val="66650F64"/>
    <w:rsid w:val="66664CDC"/>
    <w:rsid w:val="666B22F3"/>
    <w:rsid w:val="667947C2"/>
    <w:rsid w:val="668B6A45"/>
    <w:rsid w:val="66B5531C"/>
    <w:rsid w:val="66E16111"/>
    <w:rsid w:val="66F67E0E"/>
    <w:rsid w:val="67022908"/>
    <w:rsid w:val="670818F0"/>
    <w:rsid w:val="67081FDE"/>
    <w:rsid w:val="67112C4A"/>
    <w:rsid w:val="671D58AF"/>
    <w:rsid w:val="67254DF4"/>
    <w:rsid w:val="67260E92"/>
    <w:rsid w:val="67275669"/>
    <w:rsid w:val="672F3F24"/>
    <w:rsid w:val="67317098"/>
    <w:rsid w:val="673646AF"/>
    <w:rsid w:val="673B3A73"/>
    <w:rsid w:val="673E055F"/>
    <w:rsid w:val="67476A7F"/>
    <w:rsid w:val="674A015A"/>
    <w:rsid w:val="674A2EA6"/>
    <w:rsid w:val="67551CE3"/>
    <w:rsid w:val="675C250A"/>
    <w:rsid w:val="677B47B7"/>
    <w:rsid w:val="67A22552"/>
    <w:rsid w:val="67B0620F"/>
    <w:rsid w:val="67B22DCC"/>
    <w:rsid w:val="67BD0867"/>
    <w:rsid w:val="67BE71AA"/>
    <w:rsid w:val="67C769BE"/>
    <w:rsid w:val="67CF7323"/>
    <w:rsid w:val="67D90273"/>
    <w:rsid w:val="67DE5875"/>
    <w:rsid w:val="67E55852"/>
    <w:rsid w:val="67EB1AB4"/>
    <w:rsid w:val="67FA1285"/>
    <w:rsid w:val="67FE1F27"/>
    <w:rsid w:val="6808604B"/>
    <w:rsid w:val="680F18C8"/>
    <w:rsid w:val="68243147"/>
    <w:rsid w:val="68364B05"/>
    <w:rsid w:val="684C483F"/>
    <w:rsid w:val="68551F4F"/>
    <w:rsid w:val="68580655"/>
    <w:rsid w:val="687C10C9"/>
    <w:rsid w:val="688001BA"/>
    <w:rsid w:val="68840C16"/>
    <w:rsid w:val="68876EFB"/>
    <w:rsid w:val="68884654"/>
    <w:rsid w:val="689F444F"/>
    <w:rsid w:val="68AA0EB0"/>
    <w:rsid w:val="68AE38C5"/>
    <w:rsid w:val="68B24209"/>
    <w:rsid w:val="68B96DBB"/>
    <w:rsid w:val="68BB3EC9"/>
    <w:rsid w:val="68C31F72"/>
    <w:rsid w:val="68CA2805"/>
    <w:rsid w:val="68CB7079"/>
    <w:rsid w:val="68DF14D9"/>
    <w:rsid w:val="68E937A3"/>
    <w:rsid w:val="68F56F50"/>
    <w:rsid w:val="68FB149A"/>
    <w:rsid w:val="68FE11FC"/>
    <w:rsid w:val="6908207B"/>
    <w:rsid w:val="69194288"/>
    <w:rsid w:val="691B2FDE"/>
    <w:rsid w:val="692C5FEB"/>
    <w:rsid w:val="693966D8"/>
    <w:rsid w:val="693E15D3"/>
    <w:rsid w:val="69627681"/>
    <w:rsid w:val="6977531D"/>
    <w:rsid w:val="69793349"/>
    <w:rsid w:val="698C4A5A"/>
    <w:rsid w:val="69972978"/>
    <w:rsid w:val="69BB533F"/>
    <w:rsid w:val="69C630E4"/>
    <w:rsid w:val="69CB5582"/>
    <w:rsid w:val="69CC2BFF"/>
    <w:rsid w:val="69CD7914"/>
    <w:rsid w:val="69D55128"/>
    <w:rsid w:val="69F6774F"/>
    <w:rsid w:val="69FD55B8"/>
    <w:rsid w:val="6A0676C5"/>
    <w:rsid w:val="6A0B1C62"/>
    <w:rsid w:val="6A1E1CD2"/>
    <w:rsid w:val="6A2406C8"/>
    <w:rsid w:val="6A2451B3"/>
    <w:rsid w:val="6A256FE2"/>
    <w:rsid w:val="6A2F34FC"/>
    <w:rsid w:val="6A333127"/>
    <w:rsid w:val="6A3A2708"/>
    <w:rsid w:val="6A3D662D"/>
    <w:rsid w:val="6A7A0FFB"/>
    <w:rsid w:val="6A7C4ACE"/>
    <w:rsid w:val="6A876FCF"/>
    <w:rsid w:val="6A9444A5"/>
    <w:rsid w:val="6A9A1ADF"/>
    <w:rsid w:val="6AC85574"/>
    <w:rsid w:val="6ADE0BD1"/>
    <w:rsid w:val="6AE81378"/>
    <w:rsid w:val="6AE96859"/>
    <w:rsid w:val="6B0D1BCA"/>
    <w:rsid w:val="6B0F1276"/>
    <w:rsid w:val="6B146F73"/>
    <w:rsid w:val="6B147746"/>
    <w:rsid w:val="6B1A33A0"/>
    <w:rsid w:val="6B24787C"/>
    <w:rsid w:val="6B271F34"/>
    <w:rsid w:val="6B304A54"/>
    <w:rsid w:val="6B325362"/>
    <w:rsid w:val="6B404E64"/>
    <w:rsid w:val="6B573233"/>
    <w:rsid w:val="6B5B6274"/>
    <w:rsid w:val="6B625F1A"/>
    <w:rsid w:val="6B73503F"/>
    <w:rsid w:val="6B827EC3"/>
    <w:rsid w:val="6B87197D"/>
    <w:rsid w:val="6B8E2E58"/>
    <w:rsid w:val="6B935D53"/>
    <w:rsid w:val="6BA37E39"/>
    <w:rsid w:val="6BAE4BBD"/>
    <w:rsid w:val="6BB34520"/>
    <w:rsid w:val="6BB513B4"/>
    <w:rsid w:val="6BB61550"/>
    <w:rsid w:val="6BC54253"/>
    <w:rsid w:val="6BDD6850"/>
    <w:rsid w:val="6BED73C8"/>
    <w:rsid w:val="6C103F35"/>
    <w:rsid w:val="6C111246"/>
    <w:rsid w:val="6C196F71"/>
    <w:rsid w:val="6C226FCB"/>
    <w:rsid w:val="6C31226F"/>
    <w:rsid w:val="6C4C73EF"/>
    <w:rsid w:val="6C4E5FC5"/>
    <w:rsid w:val="6C510C0F"/>
    <w:rsid w:val="6C517EC7"/>
    <w:rsid w:val="6C552F0B"/>
    <w:rsid w:val="6C6536EE"/>
    <w:rsid w:val="6C673874"/>
    <w:rsid w:val="6C6F6838"/>
    <w:rsid w:val="6C82511D"/>
    <w:rsid w:val="6C891725"/>
    <w:rsid w:val="6C8C67B7"/>
    <w:rsid w:val="6C8D2FC3"/>
    <w:rsid w:val="6C9564EC"/>
    <w:rsid w:val="6C9D744C"/>
    <w:rsid w:val="6C9E6F7E"/>
    <w:rsid w:val="6CB11800"/>
    <w:rsid w:val="6CF22E26"/>
    <w:rsid w:val="6D035033"/>
    <w:rsid w:val="6D167928"/>
    <w:rsid w:val="6D26299B"/>
    <w:rsid w:val="6D263FEF"/>
    <w:rsid w:val="6D2C0860"/>
    <w:rsid w:val="6D4573FA"/>
    <w:rsid w:val="6D4772EC"/>
    <w:rsid w:val="6D4C69DA"/>
    <w:rsid w:val="6D623944"/>
    <w:rsid w:val="6D7D3037"/>
    <w:rsid w:val="6D9078AF"/>
    <w:rsid w:val="6D934609"/>
    <w:rsid w:val="6DAA3FEF"/>
    <w:rsid w:val="6DAD31F1"/>
    <w:rsid w:val="6DC0172B"/>
    <w:rsid w:val="6DC26C9C"/>
    <w:rsid w:val="6DCB690C"/>
    <w:rsid w:val="6DCC18C9"/>
    <w:rsid w:val="6DD41A5B"/>
    <w:rsid w:val="6DE264EB"/>
    <w:rsid w:val="6DF43C2E"/>
    <w:rsid w:val="6DF5010C"/>
    <w:rsid w:val="6DF51CA3"/>
    <w:rsid w:val="6DF778A7"/>
    <w:rsid w:val="6DF8446C"/>
    <w:rsid w:val="6E0A789D"/>
    <w:rsid w:val="6E301E58"/>
    <w:rsid w:val="6E407BC1"/>
    <w:rsid w:val="6E5C5F0F"/>
    <w:rsid w:val="6E707C67"/>
    <w:rsid w:val="6E7837FF"/>
    <w:rsid w:val="6E8335BD"/>
    <w:rsid w:val="6E870FFB"/>
    <w:rsid w:val="6E8D72AA"/>
    <w:rsid w:val="6E8E12EF"/>
    <w:rsid w:val="6E972936"/>
    <w:rsid w:val="6ED446C5"/>
    <w:rsid w:val="6ED61A26"/>
    <w:rsid w:val="6EDA0DD6"/>
    <w:rsid w:val="6EE24C54"/>
    <w:rsid w:val="6F212ACA"/>
    <w:rsid w:val="6F2A7D94"/>
    <w:rsid w:val="6F3223F0"/>
    <w:rsid w:val="6F35716C"/>
    <w:rsid w:val="6F3D6008"/>
    <w:rsid w:val="6F5011B9"/>
    <w:rsid w:val="6F5B1156"/>
    <w:rsid w:val="6F8331F1"/>
    <w:rsid w:val="6F887A72"/>
    <w:rsid w:val="6F993A2D"/>
    <w:rsid w:val="6FA90678"/>
    <w:rsid w:val="6FAE1A09"/>
    <w:rsid w:val="6FB67E4B"/>
    <w:rsid w:val="6FC14D32"/>
    <w:rsid w:val="6FD66A2F"/>
    <w:rsid w:val="6FD75BF8"/>
    <w:rsid w:val="6FD9651F"/>
    <w:rsid w:val="6FE30C09"/>
    <w:rsid w:val="6FEA4288"/>
    <w:rsid w:val="70037B1A"/>
    <w:rsid w:val="70141305"/>
    <w:rsid w:val="70194B6E"/>
    <w:rsid w:val="701A05E4"/>
    <w:rsid w:val="703F2826"/>
    <w:rsid w:val="70422316"/>
    <w:rsid w:val="704373DA"/>
    <w:rsid w:val="704E33AE"/>
    <w:rsid w:val="70506BC9"/>
    <w:rsid w:val="705A238A"/>
    <w:rsid w:val="705A2706"/>
    <w:rsid w:val="707723D0"/>
    <w:rsid w:val="707F70C6"/>
    <w:rsid w:val="70A43721"/>
    <w:rsid w:val="70A46B2D"/>
    <w:rsid w:val="70A628A5"/>
    <w:rsid w:val="70BF5715"/>
    <w:rsid w:val="70DE4A92"/>
    <w:rsid w:val="70EF0E72"/>
    <w:rsid w:val="70F5661B"/>
    <w:rsid w:val="71153C78"/>
    <w:rsid w:val="71360107"/>
    <w:rsid w:val="71373571"/>
    <w:rsid w:val="713A123F"/>
    <w:rsid w:val="713B688E"/>
    <w:rsid w:val="71434275"/>
    <w:rsid w:val="7148279F"/>
    <w:rsid w:val="715045BF"/>
    <w:rsid w:val="715215A0"/>
    <w:rsid w:val="715E4F2E"/>
    <w:rsid w:val="717E343F"/>
    <w:rsid w:val="719170B1"/>
    <w:rsid w:val="719C7804"/>
    <w:rsid w:val="719F3051"/>
    <w:rsid w:val="71D43752"/>
    <w:rsid w:val="71D451F0"/>
    <w:rsid w:val="71D47266"/>
    <w:rsid w:val="71F1796A"/>
    <w:rsid w:val="71FB63D5"/>
    <w:rsid w:val="72092521"/>
    <w:rsid w:val="72154626"/>
    <w:rsid w:val="721B51C1"/>
    <w:rsid w:val="72262B5D"/>
    <w:rsid w:val="72283FF7"/>
    <w:rsid w:val="722C2936"/>
    <w:rsid w:val="722E7212"/>
    <w:rsid w:val="72314708"/>
    <w:rsid w:val="723A0474"/>
    <w:rsid w:val="72545BED"/>
    <w:rsid w:val="725923E4"/>
    <w:rsid w:val="72617209"/>
    <w:rsid w:val="72785B7B"/>
    <w:rsid w:val="72864BF7"/>
    <w:rsid w:val="729023FC"/>
    <w:rsid w:val="72AB41A3"/>
    <w:rsid w:val="72B12889"/>
    <w:rsid w:val="72DF209E"/>
    <w:rsid w:val="72E65EC8"/>
    <w:rsid w:val="72F378F8"/>
    <w:rsid w:val="73041B05"/>
    <w:rsid w:val="730A2D08"/>
    <w:rsid w:val="73207DD4"/>
    <w:rsid w:val="73217FC1"/>
    <w:rsid w:val="7327134F"/>
    <w:rsid w:val="734B3290"/>
    <w:rsid w:val="7358775B"/>
    <w:rsid w:val="737C78ED"/>
    <w:rsid w:val="7388371F"/>
    <w:rsid w:val="73911D7C"/>
    <w:rsid w:val="739577E5"/>
    <w:rsid w:val="739625BA"/>
    <w:rsid w:val="73966B0A"/>
    <w:rsid w:val="73993FFB"/>
    <w:rsid w:val="73C0646E"/>
    <w:rsid w:val="73CD73DD"/>
    <w:rsid w:val="73E77E2D"/>
    <w:rsid w:val="741B2348"/>
    <w:rsid w:val="742222F5"/>
    <w:rsid w:val="74351531"/>
    <w:rsid w:val="743659A3"/>
    <w:rsid w:val="74476126"/>
    <w:rsid w:val="74706664"/>
    <w:rsid w:val="747F3682"/>
    <w:rsid w:val="748408CE"/>
    <w:rsid w:val="749C4185"/>
    <w:rsid w:val="749F692E"/>
    <w:rsid w:val="74A40EAA"/>
    <w:rsid w:val="74BB2697"/>
    <w:rsid w:val="74BF3F35"/>
    <w:rsid w:val="74DB0868"/>
    <w:rsid w:val="74DD616A"/>
    <w:rsid w:val="74F87447"/>
    <w:rsid w:val="75023670"/>
    <w:rsid w:val="75067759"/>
    <w:rsid w:val="752057F8"/>
    <w:rsid w:val="75231D5F"/>
    <w:rsid w:val="752E6DCD"/>
    <w:rsid w:val="75322959"/>
    <w:rsid w:val="7536299A"/>
    <w:rsid w:val="754461E9"/>
    <w:rsid w:val="7546474E"/>
    <w:rsid w:val="7548442B"/>
    <w:rsid w:val="754E6A5E"/>
    <w:rsid w:val="7551380D"/>
    <w:rsid w:val="75600BE5"/>
    <w:rsid w:val="7564475C"/>
    <w:rsid w:val="757A1C0A"/>
    <w:rsid w:val="75826D11"/>
    <w:rsid w:val="7583797F"/>
    <w:rsid w:val="75B53352"/>
    <w:rsid w:val="75C02522"/>
    <w:rsid w:val="75C44D49"/>
    <w:rsid w:val="75CB4B5C"/>
    <w:rsid w:val="75D20F1D"/>
    <w:rsid w:val="75D307FB"/>
    <w:rsid w:val="75D94B83"/>
    <w:rsid w:val="75DA2C18"/>
    <w:rsid w:val="75E55C1E"/>
    <w:rsid w:val="75EA4FE2"/>
    <w:rsid w:val="75EB48B6"/>
    <w:rsid w:val="75F54412"/>
    <w:rsid w:val="76051CA9"/>
    <w:rsid w:val="760A11E0"/>
    <w:rsid w:val="761B517D"/>
    <w:rsid w:val="761D08E0"/>
    <w:rsid w:val="762D220F"/>
    <w:rsid w:val="762D4ECF"/>
    <w:rsid w:val="7630676D"/>
    <w:rsid w:val="76312C11"/>
    <w:rsid w:val="76432944"/>
    <w:rsid w:val="76536A44"/>
    <w:rsid w:val="765A4E26"/>
    <w:rsid w:val="765B5EE0"/>
    <w:rsid w:val="765D347C"/>
    <w:rsid w:val="766F3739"/>
    <w:rsid w:val="76770BA3"/>
    <w:rsid w:val="76796B82"/>
    <w:rsid w:val="76826699"/>
    <w:rsid w:val="769153C1"/>
    <w:rsid w:val="7691545E"/>
    <w:rsid w:val="769456D1"/>
    <w:rsid w:val="76AA2796"/>
    <w:rsid w:val="76C87133"/>
    <w:rsid w:val="76CD08D5"/>
    <w:rsid w:val="76D43165"/>
    <w:rsid w:val="76D90BB3"/>
    <w:rsid w:val="76DB4B92"/>
    <w:rsid w:val="76FF4ABD"/>
    <w:rsid w:val="77000835"/>
    <w:rsid w:val="77043FEA"/>
    <w:rsid w:val="77052AA4"/>
    <w:rsid w:val="77136511"/>
    <w:rsid w:val="77316029"/>
    <w:rsid w:val="77335EB1"/>
    <w:rsid w:val="77340A39"/>
    <w:rsid w:val="77351FD0"/>
    <w:rsid w:val="77387FCF"/>
    <w:rsid w:val="77472422"/>
    <w:rsid w:val="776B03B6"/>
    <w:rsid w:val="777A4144"/>
    <w:rsid w:val="777C5AE2"/>
    <w:rsid w:val="777F31F2"/>
    <w:rsid w:val="779B092D"/>
    <w:rsid w:val="77A24622"/>
    <w:rsid w:val="77A47413"/>
    <w:rsid w:val="77AC54F3"/>
    <w:rsid w:val="77BC17C0"/>
    <w:rsid w:val="77CD482C"/>
    <w:rsid w:val="77D1700D"/>
    <w:rsid w:val="77DE46D3"/>
    <w:rsid w:val="77EC04CC"/>
    <w:rsid w:val="78054355"/>
    <w:rsid w:val="78342A30"/>
    <w:rsid w:val="783469E8"/>
    <w:rsid w:val="78505103"/>
    <w:rsid w:val="785A2EEE"/>
    <w:rsid w:val="786A240A"/>
    <w:rsid w:val="786D3CA8"/>
    <w:rsid w:val="78775729"/>
    <w:rsid w:val="7878508A"/>
    <w:rsid w:val="78811E44"/>
    <w:rsid w:val="788E6F9C"/>
    <w:rsid w:val="789C3CCB"/>
    <w:rsid w:val="78A42DB0"/>
    <w:rsid w:val="78A656AB"/>
    <w:rsid w:val="78AC47D1"/>
    <w:rsid w:val="78AD1E7A"/>
    <w:rsid w:val="78AE5ED2"/>
    <w:rsid w:val="78B2245C"/>
    <w:rsid w:val="78C7160B"/>
    <w:rsid w:val="78DF5F60"/>
    <w:rsid w:val="78E172CC"/>
    <w:rsid w:val="78EA1D1F"/>
    <w:rsid w:val="78EA3972"/>
    <w:rsid w:val="78EB34B7"/>
    <w:rsid w:val="78FB54D2"/>
    <w:rsid w:val="79036DC3"/>
    <w:rsid w:val="7904172F"/>
    <w:rsid w:val="790F7E27"/>
    <w:rsid w:val="79116D1B"/>
    <w:rsid w:val="791B7535"/>
    <w:rsid w:val="792A231A"/>
    <w:rsid w:val="79316829"/>
    <w:rsid w:val="79332DAC"/>
    <w:rsid w:val="793F5645"/>
    <w:rsid w:val="794A42A0"/>
    <w:rsid w:val="797177C8"/>
    <w:rsid w:val="797E66A9"/>
    <w:rsid w:val="797F0137"/>
    <w:rsid w:val="798518A4"/>
    <w:rsid w:val="79984D55"/>
    <w:rsid w:val="79A8143C"/>
    <w:rsid w:val="79A97383"/>
    <w:rsid w:val="79B37DE1"/>
    <w:rsid w:val="79C1605A"/>
    <w:rsid w:val="79CB6ED9"/>
    <w:rsid w:val="79CD7D96"/>
    <w:rsid w:val="79DD7C18"/>
    <w:rsid w:val="79DE1E27"/>
    <w:rsid w:val="79E27E8B"/>
    <w:rsid w:val="79F301DD"/>
    <w:rsid w:val="79F850CE"/>
    <w:rsid w:val="79FD443C"/>
    <w:rsid w:val="7A1268B5"/>
    <w:rsid w:val="7A170370"/>
    <w:rsid w:val="7A1D1975"/>
    <w:rsid w:val="7A1E175E"/>
    <w:rsid w:val="7A3656DF"/>
    <w:rsid w:val="7A3E5150"/>
    <w:rsid w:val="7A4670D6"/>
    <w:rsid w:val="7A4F18B8"/>
    <w:rsid w:val="7A534B63"/>
    <w:rsid w:val="7A615382"/>
    <w:rsid w:val="7A67303B"/>
    <w:rsid w:val="7A6A2934"/>
    <w:rsid w:val="7A715CD2"/>
    <w:rsid w:val="7A755C23"/>
    <w:rsid w:val="7AAB1D04"/>
    <w:rsid w:val="7AAD5FB3"/>
    <w:rsid w:val="7AB25068"/>
    <w:rsid w:val="7AB61937"/>
    <w:rsid w:val="7ABA4368"/>
    <w:rsid w:val="7ABD3ED3"/>
    <w:rsid w:val="7AC875A1"/>
    <w:rsid w:val="7AD05746"/>
    <w:rsid w:val="7AD95625"/>
    <w:rsid w:val="7ADA73FD"/>
    <w:rsid w:val="7ADB75EF"/>
    <w:rsid w:val="7ADF1848"/>
    <w:rsid w:val="7AF85956"/>
    <w:rsid w:val="7B122F83"/>
    <w:rsid w:val="7B257FFD"/>
    <w:rsid w:val="7B2E1049"/>
    <w:rsid w:val="7B2F5813"/>
    <w:rsid w:val="7B330595"/>
    <w:rsid w:val="7B343476"/>
    <w:rsid w:val="7B3B008E"/>
    <w:rsid w:val="7B435708"/>
    <w:rsid w:val="7B4B6523"/>
    <w:rsid w:val="7B4F41CA"/>
    <w:rsid w:val="7B5A2978"/>
    <w:rsid w:val="7B5A7E4C"/>
    <w:rsid w:val="7B667AF9"/>
    <w:rsid w:val="7B6E3FBF"/>
    <w:rsid w:val="7B7468F8"/>
    <w:rsid w:val="7BBA2B78"/>
    <w:rsid w:val="7BD52290"/>
    <w:rsid w:val="7BE26B83"/>
    <w:rsid w:val="7BE62A01"/>
    <w:rsid w:val="7BE728EE"/>
    <w:rsid w:val="7BEC3136"/>
    <w:rsid w:val="7BEE0103"/>
    <w:rsid w:val="7BF16932"/>
    <w:rsid w:val="7BF64034"/>
    <w:rsid w:val="7C030BAC"/>
    <w:rsid w:val="7C0A0FE4"/>
    <w:rsid w:val="7C0D37D8"/>
    <w:rsid w:val="7C254906"/>
    <w:rsid w:val="7C376611"/>
    <w:rsid w:val="7C572CA5"/>
    <w:rsid w:val="7C590818"/>
    <w:rsid w:val="7C6B060D"/>
    <w:rsid w:val="7C6B4506"/>
    <w:rsid w:val="7C7C10F6"/>
    <w:rsid w:val="7C853BEA"/>
    <w:rsid w:val="7C877A51"/>
    <w:rsid w:val="7C881368"/>
    <w:rsid w:val="7C8D0433"/>
    <w:rsid w:val="7C8D6A1D"/>
    <w:rsid w:val="7C94286C"/>
    <w:rsid w:val="7CB24380"/>
    <w:rsid w:val="7CD31005"/>
    <w:rsid w:val="7CE27788"/>
    <w:rsid w:val="7D0C32F1"/>
    <w:rsid w:val="7D0F408D"/>
    <w:rsid w:val="7D1063E5"/>
    <w:rsid w:val="7D221CB4"/>
    <w:rsid w:val="7D292894"/>
    <w:rsid w:val="7D491C6C"/>
    <w:rsid w:val="7D5429C0"/>
    <w:rsid w:val="7D673060"/>
    <w:rsid w:val="7D6E64F9"/>
    <w:rsid w:val="7D6E6D43"/>
    <w:rsid w:val="7D784F2A"/>
    <w:rsid w:val="7D7D6730"/>
    <w:rsid w:val="7D871368"/>
    <w:rsid w:val="7D8C28A2"/>
    <w:rsid w:val="7D8C36E3"/>
    <w:rsid w:val="7D951CD7"/>
    <w:rsid w:val="7D9C12B8"/>
    <w:rsid w:val="7DB33C7E"/>
    <w:rsid w:val="7DB57A34"/>
    <w:rsid w:val="7DBB7264"/>
    <w:rsid w:val="7DCE6371"/>
    <w:rsid w:val="7DD9026C"/>
    <w:rsid w:val="7DE60973"/>
    <w:rsid w:val="7DE84E3E"/>
    <w:rsid w:val="7DEA46F1"/>
    <w:rsid w:val="7DEF0916"/>
    <w:rsid w:val="7DF2712A"/>
    <w:rsid w:val="7DF34C50"/>
    <w:rsid w:val="7DF87373"/>
    <w:rsid w:val="7E1E5218"/>
    <w:rsid w:val="7E386B07"/>
    <w:rsid w:val="7E3C65F7"/>
    <w:rsid w:val="7E494870"/>
    <w:rsid w:val="7E4F632A"/>
    <w:rsid w:val="7E6C338F"/>
    <w:rsid w:val="7E6C679B"/>
    <w:rsid w:val="7E6E6565"/>
    <w:rsid w:val="7E707F66"/>
    <w:rsid w:val="7E7A65E5"/>
    <w:rsid w:val="7E830769"/>
    <w:rsid w:val="7E8601F9"/>
    <w:rsid w:val="7E8E6F76"/>
    <w:rsid w:val="7E953F59"/>
    <w:rsid w:val="7E9A4E1F"/>
    <w:rsid w:val="7E9C7EFB"/>
    <w:rsid w:val="7EA20789"/>
    <w:rsid w:val="7EA7319D"/>
    <w:rsid w:val="7EA7723A"/>
    <w:rsid w:val="7EAF2767"/>
    <w:rsid w:val="7EBB2333"/>
    <w:rsid w:val="7EC23D41"/>
    <w:rsid w:val="7ECF2E5A"/>
    <w:rsid w:val="7ED05272"/>
    <w:rsid w:val="7ED33CEE"/>
    <w:rsid w:val="7EE03426"/>
    <w:rsid w:val="7EEB398B"/>
    <w:rsid w:val="7EF40C80"/>
    <w:rsid w:val="7EF56FBB"/>
    <w:rsid w:val="7F054543"/>
    <w:rsid w:val="7F0768EB"/>
    <w:rsid w:val="7F143BEC"/>
    <w:rsid w:val="7F17496E"/>
    <w:rsid w:val="7F182BC0"/>
    <w:rsid w:val="7F1906E6"/>
    <w:rsid w:val="7F3E639F"/>
    <w:rsid w:val="7F4E2986"/>
    <w:rsid w:val="7F565496"/>
    <w:rsid w:val="7F700BAD"/>
    <w:rsid w:val="7F701B85"/>
    <w:rsid w:val="7F715AF2"/>
    <w:rsid w:val="7F7B47F9"/>
    <w:rsid w:val="7F7E49ED"/>
    <w:rsid w:val="7F833DB1"/>
    <w:rsid w:val="7F886E69"/>
    <w:rsid w:val="7F8C2C66"/>
    <w:rsid w:val="7F8C6497"/>
    <w:rsid w:val="7F9901DB"/>
    <w:rsid w:val="7F9D4429"/>
    <w:rsid w:val="7FBB248D"/>
    <w:rsid w:val="7FD279E4"/>
    <w:rsid w:val="7FD570C5"/>
    <w:rsid w:val="7FE64A6C"/>
    <w:rsid w:val="7FFB0F96"/>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7"/>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31"/>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7"/>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52"/>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11"/>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62"/>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8"/>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4"/>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7"/>
    <w:qFormat/>
    <w:uiPriority w:val="0"/>
    <w:pPr>
      <w:shd w:val="clear" w:color="auto" w:fill="000080"/>
    </w:pPr>
  </w:style>
  <w:style w:type="paragraph" w:styleId="19">
    <w:name w:val="annotation text"/>
    <w:basedOn w:val="1"/>
    <w:link w:val="348"/>
    <w:qFormat/>
    <w:uiPriority w:val="99"/>
    <w:pPr>
      <w:jc w:val="left"/>
    </w:pPr>
  </w:style>
  <w:style w:type="paragraph" w:styleId="20">
    <w:name w:val="Salutation"/>
    <w:basedOn w:val="1"/>
    <w:next w:val="1"/>
    <w:link w:val="302"/>
    <w:qFormat/>
    <w:uiPriority w:val="0"/>
    <w:rPr>
      <w:rFonts w:ascii="仿宋_GB2312" w:eastAsia="仿宋_GB2312"/>
      <w:sz w:val="28"/>
      <w:szCs w:val="20"/>
    </w:rPr>
  </w:style>
  <w:style w:type="paragraph" w:styleId="21">
    <w:name w:val="Body Text 3"/>
    <w:basedOn w:val="1"/>
    <w:link w:val="334"/>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1"/>
    <w:link w:val="434"/>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9"/>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4"/>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30"/>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6"/>
    <w:qFormat/>
    <w:uiPriority w:val="0"/>
    <w:pPr>
      <w:ind w:left="100" w:leftChars="2500"/>
    </w:pPr>
    <w:rPr>
      <w:rFonts w:ascii="宋体"/>
      <w:sz w:val="24"/>
      <w:szCs w:val="21"/>
      <w:lang w:val="zh-CN"/>
    </w:rPr>
  </w:style>
  <w:style w:type="paragraph" w:styleId="36">
    <w:name w:val="Body Text Indent 2"/>
    <w:basedOn w:val="1"/>
    <w:link w:val="312"/>
    <w:qFormat/>
    <w:uiPriority w:val="0"/>
    <w:pPr>
      <w:spacing w:line="360" w:lineRule="auto"/>
      <w:ind w:firstLine="601"/>
      <w:textAlignment w:val="baseline"/>
    </w:pPr>
    <w:rPr>
      <w:rFonts w:ascii="宋体"/>
      <w:kern w:val="0"/>
      <w:sz w:val="28"/>
      <w:szCs w:val="20"/>
    </w:rPr>
  </w:style>
  <w:style w:type="paragraph" w:styleId="37">
    <w:name w:val="endnote text"/>
    <w:basedOn w:val="1"/>
    <w:link w:val="934"/>
    <w:qFormat/>
    <w:uiPriority w:val="0"/>
    <w:rPr>
      <w:lang w:val="zh-CN"/>
    </w:rPr>
  </w:style>
  <w:style w:type="paragraph" w:styleId="38">
    <w:name w:val="Balloon Text"/>
    <w:basedOn w:val="1"/>
    <w:link w:val="193"/>
    <w:qFormat/>
    <w:uiPriority w:val="0"/>
    <w:rPr>
      <w:sz w:val="18"/>
      <w:szCs w:val="18"/>
    </w:rPr>
  </w:style>
  <w:style w:type="paragraph" w:styleId="39">
    <w:name w:val="footer"/>
    <w:basedOn w:val="1"/>
    <w:link w:val="387"/>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6"/>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9"/>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8"/>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4"/>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9"/>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6"/>
    <w:qFormat/>
    <w:uiPriority w:val="0"/>
    <w:pPr>
      <w:spacing w:after="120" w:line="480" w:lineRule="auto"/>
    </w:pPr>
  </w:style>
  <w:style w:type="paragraph" w:styleId="57">
    <w:name w:val="HTML Preformatted"/>
    <w:basedOn w:val="1"/>
    <w:link w:val="30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90"/>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01"/>
    <w:qFormat/>
    <w:uiPriority w:val="0"/>
    <w:rPr>
      <w:b/>
      <w:bCs/>
    </w:rPr>
  </w:style>
  <w:style w:type="paragraph" w:styleId="61">
    <w:name w:val="Body Text First Indent"/>
    <w:basedOn w:val="23"/>
    <w:link w:val="325"/>
    <w:qFormat/>
    <w:uiPriority w:val="0"/>
    <w:pPr>
      <w:ind w:firstLine="420"/>
    </w:pPr>
    <w:rPr>
      <w:rFonts w:hAnsi="Calibri" w:cs="Times New Roman"/>
      <w:snapToGrid/>
      <w:szCs w:val="20"/>
    </w:rPr>
  </w:style>
  <w:style w:type="paragraph" w:styleId="62">
    <w:name w:val="Body Text First Indent 2"/>
    <w:basedOn w:val="24"/>
    <w:link w:val="126"/>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link w:val="239"/>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正文空2字"/>
    <w:basedOn w:val="82"/>
    <w:qFormat/>
    <w:uiPriority w:val="99"/>
    <w:pPr>
      <w:widowControl w:val="0"/>
      <w:snapToGrid w:val="0"/>
      <w:spacing w:line="560" w:lineRule="exact"/>
      <w:ind w:firstLine="480" w:firstLineChars="200"/>
    </w:pPr>
    <w:rPr>
      <w:rFonts w:ascii="仿宋_GB2312" w:hAnsi="仿宋_GB2312" w:cs="仿宋_GB2312"/>
      <w:sz w:val="24"/>
      <w:szCs w:val="24"/>
    </w:rPr>
  </w:style>
  <w:style w:type="paragraph" w:customStyle="1" w:styleId="82">
    <w:name w:val="左对齐正文"/>
    <w:qFormat/>
    <w:uiPriority w:val="99"/>
    <w:rPr>
      <w:rFonts w:ascii="Calibri" w:hAnsi="Calibri" w:eastAsia="仿宋_GB2312" w:cs="Calibri"/>
      <w:kern w:val="2"/>
      <w:sz w:val="32"/>
      <w:szCs w:val="32"/>
      <w:lang w:val="en-US" w:eastAsia="zh-CN" w:bidi="ar-SA"/>
    </w:rPr>
  </w:style>
  <w:style w:type="paragraph" w:customStyle="1" w:styleId="83">
    <w:name w:val="样式 正文首行缩进 + 首行缩进:  2 字符1 Char Char"/>
    <w:basedOn w:val="1"/>
    <w:qFormat/>
    <w:uiPriority w:val="0"/>
    <w:pPr>
      <w:spacing w:line="400" w:lineRule="exact"/>
      <w:ind w:firstLine="480" w:firstLineChars="200"/>
      <w:textAlignment w:val="baseline"/>
    </w:pPr>
    <w:rPr>
      <w:rFonts w:ascii="宋体" w:hAnsi="宋体" w:eastAsia="仿宋_GB2312" w:cs="宋体"/>
      <w:color w:val="000000"/>
      <w:sz w:val="26"/>
    </w:rPr>
  </w:style>
  <w:style w:type="paragraph" w:customStyle="1" w:styleId="84">
    <w:name w:val="Normal Indent1"/>
    <w:basedOn w:val="1"/>
    <w:qFormat/>
    <w:uiPriority w:val="0"/>
    <w:pPr>
      <w:ind w:firstLine="420" w:firstLineChars="200"/>
    </w:pPr>
  </w:style>
  <w:style w:type="paragraph" w:customStyle="1" w:styleId="85">
    <w:name w:val="首行缩进"/>
    <w:basedOn w:val="1"/>
    <w:qFormat/>
    <w:uiPriority w:val="0"/>
    <w:pPr>
      <w:spacing w:line="360" w:lineRule="auto"/>
      <w:ind w:firstLine="480" w:firstLineChars="200"/>
    </w:pPr>
    <w:rPr>
      <w:rFonts w:ascii="宋体"/>
      <w:sz w:val="24"/>
      <w:szCs w:val="20"/>
    </w:rPr>
  </w:style>
  <w:style w:type="paragraph" w:customStyle="1" w:styleId="8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87">
    <w:name w:val="表格非标题文字 Char"/>
    <w:link w:val="88"/>
    <w:qFormat/>
    <w:uiPriority w:val="0"/>
    <w:rPr>
      <w:rFonts w:ascii="Futura Bk" w:hAnsi="Futura Bk"/>
      <w:kern w:val="2"/>
      <w:sz w:val="18"/>
      <w:szCs w:val="21"/>
      <w:lang w:val="en-US" w:eastAsia="zh-CN" w:bidi="ar-SA"/>
    </w:rPr>
  </w:style>
  <w:style w:type="paragraph" w:customStyle="1" w:styleId="88">
    <w:name w:val="表格非标题文字"/>
    <w:link w:val="8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9">
    <w:name w:val="*正文 Char"/>
    <w:link w:val="90"/>
    <w:qFormat/>
    <w:locked/>
    <w:uiPriority w:val="0"/>
    <w:rPr>
      <w:rFonts w:ascii="宋体" w:hAnsi="宋体"/>
      <w:sz w:val="24"/>
    </w:rPr>
  </w:style>
  <w:style w:type="paragraph" w:customStyle="1" w:styleId="90">
    <w:name w:val="*正文"/>
    <w:basedOn w:val="1"/>
    <w:link w:val="89"/>
    <w:qFormat/>
    <w:uiPriority w:val="0"/>
    <w:pPr>
      <w:snapToGrid w:val="0"/>
      <w:spacing w:line="360" w:lineRule="auto"/>
      <w:ind w:firstLine="482"/>
      <w:jc w:val="left"/>
    </w:pPr>
    <w:rPr>
      <w:rFonts w:ascii="宋体" w:hAnsi="宋体"/>
      <w:kern w:val="0"/>
      <w:sz w:val="24"/>
      <w:szCs w:val="20"/>
    </w:rPr>
  </w:style>
  <w:style w:type="character" w:customStyle="1" w:styleId="91">
    <w:name w:val="Char Char71"/>
    <w:semiHidden/>
    <w:qFormat/>
    <w:uiPriority w:val="0"/>
    <w:rPr>
      <w:rFonts w:eastAsia="宋体"/>
      <w:kern w:val="2"/>
      <w:sz w:val="21"/>
      <w:szCs w:val="24"/>
      <w:lang w:val="en-US" w:eastAsia="zh-CN" w:bidi="ar-SA"/>
    </w:rPr>
  </w:style>
  <w:style w:type="character" w:customStyle="1" w:styleId="92">
    <w:name w:val="Char Char6"/>
    <w:qFormat/>
    <w:uiPriority w:val="0"/>
    <w:rPr>
      <w:rFonts w:eastAsia="宋体"/>
      <w:kern w:val="2"/>
      <w:sz w:val="21"/>
      <w:szCs w:val="24"/>
      <w:lang w:val="en-US" w:eastAsia="zh-CN" w:bidi="ar-SA"/>
    </w:rPr>
  </w:style>
  <w:style w:type="character" w:customStyle="1" w:styleId="93">
    <w:name w:val="正文缩进 Char"/>
    <w:qFormat/>
    <w:uiPriority w:val="0"/>
    <w:rPr>
      <w:rFonts w:eastAsia="宋体"/>
      <w:kern w:val="2"/>
      <w:sz w:val="21"/>
      <w:lang w:val="en-US" w:eastAsia="zh-CN"/>
    </w:rPr>
  </w:style>
  <w:style w:type="character" w:customStyle="1" w:styleId="94">
    <w:name w:val="正文首行缩进 Char1"/>
    <w:qFormat/>
    <w:uiPriority w:val="0"/>
    <w:rPr>
      <w:rFonts w:ascii="宋体" w:hAnsi="Times New Roman" w:eastAsia="宋体" w:cs="Times New Roman"/>
      <w:snapToGrid w:val="0"/>
      <w:kern w:val="2"/>
      <w:sz w:val="24"/>
      <w:szCs w:val="21"/>
      <w:lang w:val="zh-CN"/>
    </w:rPr>
  </w:style>
  <w:style w:type="character" w:customStyle="1" w:styleId="95">
    <w:name w:val="Char Char28"/>
    <w:qFormat/>
    <w:uiPriority w:val="6"/>
    <w:rPr>
      <w:rFonts w:ascii="仿宋_GB2312" w:hAnsi="仿宋_GB2312" w:eastAsia="仿宋_GB2312"/>
      <w:kern w:val="1"/>
      <w:sz w:val="28"/>
    </w:rPr>
  </w:style>
  <w:style w:type="character" w:customStyle="1" w:styleId="9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7">
    <w:name w:val="Heading 1 Char"/>
    <w:qFormat/>
    <w:uiPriority w:val="6"/>
    <w:rPr>
      <w:rFonts w:ascii="Times New Roman" w:hAnsi="Times New Roman" w:eastAsia="黑体" w:cs="Times New Roman"/>
      <w:b/>
      <w:kern w:val="0"/>
      <w:sz w:val="24"/>
      <w:szCs w:val="24"/>
    </w:rPr>
  </w:style>
  <w:style w:type="character" w:customStyle="1" w:styleId="98">
    <w:name w:val="U_正文 Char"/>
    <w:link w:val="99"/>
    <w:qFormat/>
    <w:uiPriority w:val="0"/>
    <w:rPr>
      <w:sz w:val="24"/>
      <w:szCs w:val="24"/>
    </w:rPr>
  </w:style>
  <w:style w:type="paragraph" w:customStyle="1" w:styleId="99">
    <w:name w:val="U_正文"/>
    <w:basedOn w:val="1"/>
    <w:link w:val="98"/>
    <w:qFormat/>
    <w:uiPriority w:val="0"/>
    <w:pPr>
      <w:adjustRightInd/>
      <w:spacing w:beforeLines="20" w:afterLines="20" w:line="300" w:lineRule="auto"/>
      <w:ind w:firstLine="200" w:firstLineChars="200"/>
    </w:pPr>
    <w:rPr>
      <w:kern w:val="0"/>
      <w:sz w:val="24"/>
    </w:rPr>
  </w:style>
  <w:style w:type="character" w:customStyle="1" w:styleId="100">
    <w:name w:val="HTML 地址 Char1"/>
    <w:qFormat/>
    <w:uiPriority w:val="0"/>
    <w:rPr>
      <w:rFonts w:ascii="Times New Roman" w:hAnsi="Times New Roman" w:eastAsia="宋体" w:cs="Times New Roman"/>
      <w:i/>
      <w:iCs/>
      <w:szCs w:val="24"/>
    </w:rPr>
  </w:style>
  <w:style w:type="character" w:customStyle="1" w:styleId="101">
    <w:name w:val="批注主题 字符"/>
    <w:link w:val="60"/>
    <w:qFormat/>
    <w:uiPriority w:val="0"/>
    <w:rPr>
      <w:b/>
      <w:bCs/>
      <w:kern w:val="2"/>
      <w:sz w:val="21"/>
      <w:szCs w:val="24"/>
    </w:rPr>
  </w:style>
  <w:style w:type="character" w:customStyle="1" w:styleId="102">
    <w:name w:val="Char Char51"/>
    <w:qFormat/>
    <w:uiPriority w:val="0"/>
    <w:rPr>
      <w:rFonts w:ascii="宋体" w:hAnsi="Courier New" w:eastAsia="宋体"/>
      <w:kern w:val="2"/>
      <w:sz w:val="21"/>
      <w:lang w:val="en-US" w:eastAsia="zh-CN"/>
    </w:rPr>
  </w:style>
  <w:style w:type="character" w:customStyle="1" w:styleId="103">
    <w:name w:val="表正文 Char"/>
    <w:qFormat/>
    <w:uiPriority w:val="0"/>
    <w:rPr>
      <w:rFonts w:ascii="宋体" w:eastAsia="宋体"/>
      <w:snapToGrid w:val="0"/>
      <w:color w:val="000000"/>
      <w:kern w:val="28"/>
      <w:sz w:val="28"/>
      <w:lang w:val="en-US" w:eastAsia="zh-CN" w:bidi="ar-SA"/>
    </w:rPr>
  </w:style>
  <w:style w:type="character" w:customStyle="1" w:styleId="104">
    <w:name w:val="Char Char34"/>
    <w:qFormat/>
    <w:uiPriority w:val="6"/>
    <w:rPr>
      <w:b/>
      <w:kern w:val="1"/>
      <w:sz w:val="28"/>
      <w:szCs w:val="28"/>
    </w:rPr>
  </w:style>
  <w:style w:type="character" w:customStyle="1" w:styleId="105">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6">
    <w:name w:val="哈哈正文 Char"/>
    <w:link w:val="107"/>
    <w:qFormat/>
    <w:uiPriority w:val="0"/>
    <w:rPr>
      <w:rFonts w:ascii="宋体" w:hAnsi="宋体" w:eastAsia="宋体"/>
      <w:kern w:val="2"/>
      <w:sz w:val="24"/>
      <w:lang w:bidi="ar-SA"/>
    </w:rPr>
  </w:style>
  <w:style w:type="paragraph" w:customStyle="1" w:styleId="107">
    <w:name w:val="哈哈正文"/>
    <w:basedOn w:val="1"/>
    <w:link w:val="106"/>
    <w:qFormat/>
    <w:uiPriority w:val="0"/>
    <w:pPr>
      <w:adjustRightInd/>
      <w:spacing w:line="360" w:lineRule="auto"/>
      <w:ind w:firstLine="200" w:firstLineChars="200"/>
    </w:pPr>
    <w:rPr>
      <w:rFonts w:ascii="宋体" w:hAnsi="宋体"/>
      <w:sz w:val="24"/>
      <w:szCs w:val="20"/>
    </w:rPr>
  </w:style>
  <w:style w:type="character" w:customStyle="1" w:styleId="108">
    <w:name w:val="未处理的提及1"/>
    <w:qFormat/>
    <w:uiPriority w:val="0"/>
    <w:rPr>
      <w:color w:val="808080"/>
      <w:shd w:val="clear" w:color="auto" w:fill="E6E6E6"/>
    </w:rPr>
  </w:style>
  <w:style w:type="character" w:customStyle="1" w:styleId="109">
    <w:name w:val="txt"/>
    <w:qFormat/>
    <w:uiPriority w:val="0"/>
    <w:rPr>
      <w:rFonts w:ascii="仿宋_GB2312" w:eastAsia="微软雅黑"/>
      <w:b/>
      <w:kern w:val="2"/>
      <w:sz w:val="32"/>
      <w:szCs w:val="32"/>
      <w:lang w:val="en-US" w:eastAsia="zh-CN" w:bidi="ar-SA"/>
    </w:rPr>
  </w:style>
  <w:style w:type="character" w:customStyle="1" w:styleId="110">
    <w:name w:val="二级标题 Char Char"/>
    <w:qFormat/>
    <w:uiPriority w:val="0"/>
    <w:rPr>
      <w:rFonts w:ascii="宋体" w:hAnsi="宋体" w:eastAsia="宋体"/>
      <w:b/>
      <w:snapToGrid w:val="0"/>
      <w:kern w:val="2"/>
      <w:sz w:val="24"/>
      <w:szCs w:val="24"/>
      <w:lang w:val="en-US" w:eastAsia="zh-CN" w:bidi="ar-SA"/>
    </w:rPr>
  </w:style>
  <w:style w:type="character" w:customStyle="1" w:styleId="111">
    <w:name w:val="Char Char32"/>
    <w:qFormat/>
    <w:uiPriority w:val="6"/>
    <w:rPr>
      <w:b/>
      <w:kern w:val="1"/>
      <w:sz w:val="24"/>
      <w:szCs w:val="24"/>
    </w:rPr>
  </w:style>
  <w:style w:type="character" w:customStyle="1" w:styleId="112">
    <w:name w:val="PI Char1"/>
    <w:qFormat/>
    <w:uiPriority w:val="0"/>
    <w:rPr>
      <w:rFonts w:ascii="宋体" w:hAnsi="宋体"/>
      <w:kern w:val="2"/>
      <w:sz w:val="24"/>
      <w:szCs w:val="24"/>
    </w:rPr>
  </w:style>
  <w:style w:type="character" w:customStyle="1" w:styleId="113">
    <w:name w:val="tw4winTerm"/>
    <w:qFormat/>
    <w:uiPriority w:val="0"/>
    <w:rPr>
      <w:color w:val="0000FF"/>
    </w:rPr>
  </w:style>
  <w:style w:type="character" w:customStyle="1" w:styleId="114">
    <w:name w:val="Footer Char"/>
    <w:qFormat/>
    <w:locked/>
    <w:uiPriority w:val="0"/>
    <w:rPr>
      <w:rFonts w:eastAsia="宋体"/>
      <w:kern w:val="2"/>
      <w:sz w:val="18"/>
      <w:lang w:val="en-US" w:eastAsia="zh-CN" w:bidi="ar-SA"/>
    </w:rPr>
  </w:style>
  <w:style w:type="character" w:customStyle="1" w:styleId="115">
    <w:name w:val="普通文字 Char Char1"/>
    <w:qFormat/>
    <w:uiPriority w:val="0"/>
    <w:rPr>
      <w:rFonts w:ascii="宋体" w:hAnsi="Courier New"/>
      <w:kern w:val="2"/>
      <w:sz w:val="21"/>
    </w:rPr>
  </w:style>
  <w:style w:type="character" w:customStyle="1" w:styleId="116">
    <w:name w:val="Char Char101"/>
    <w:qFormat/>
    <w:uiPriority w:val="6"/>
    <w:rPr>
      <w:rFonts w:ascii="宋体" w:hAnsi="宋体"/>
      <w:kern w:val="2"/>
      <w:sz w:val="21"/>
      <w:szCs w:val="24"/>
      <w:lang w:val="en-US" w:eastAsia="zh-CN"/>
    </w:rPr>
  </w:style>
  <w:style w:type="character" w:customStyle="1" w:styleId="117">
    <w:name w:val="标题 4 Char"/>
    <w:qFormat/>
    <w:uiPriority w:val="0"/>
    <w:rPr>
      <w:rFonts w:ascii="Arial" w:hAnsi="Arial" w:eastAsia="黑体"/>
      <w:b/>
      <w:kern w:val="2"/>
      <w:sz w:val="28"/>
    </w:rPr>
  </w:style>
  <w:style w:type="character" w:customStyle="1" w:styleId="118">
    <w:name w:val="链接"/>
    <w:qFormat/>
    <w:uiPriority w:val="0"/>
    <w:rPr>
      <w:color w:val="0000FF"/>
      <w:sz w:val="21"/>
      <w:szCs w:val="21"/>
      <w:u w:val="single"/>
    </w:rPr>
  </w:style>
  <w:style w:type="character" w:customStyle="1" w:styleId="119">
    <w:name w:val="h4 Char"/>
    <w:qFormat/>
    <w:uiPriority w:val="0"/>
    <w:rPr>
      <w:rFonts w:ascii="Arial" w:hAnsi="Arial" w:eastAsia="黑体"/>
      <w:b/>
      <w:bCs/>
      <w:kern w:val="2"/>
      <w:sz w:val="28"/>
      <w:szCs w:val="28"/>
      <w:lang w:val="zh-CN" w:eastAsia="zh-CN" w:bidi="ar-SA"/>
    </w:rPr>
  </w:style>
  <w:style w:type="character" w:customStyle="1" w:styleId="120">
    <w:name w:val="5正文 Char"/>
    <w:link w:val="121"/>
    <w:qFormat/>
    <w:uiPriority w:val="0"/>
    <w:rPr>
      <w:rFonts w:ascii="仿宋_GB2312" w:hAnsi="微软雅黑" w:eastAsia="仿宋_GB2312"/>
      <w:sz w:val="28"/>
      <w:szCs w:val="21"/>
    </w:rPr>
  </w:style>
  <w:style w:type="paragraph" w:customStyle="1" w:styleId="121">
    <w:name w:val="5正文"/>
    <w:basedOn w:val="1"/>
    <w:link w:val="120"/>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2">
    <w:name w:val="标题 3 字符"/>
    <w:qFormat/>
    <w:uiPriority w:val="9"/>
    <w:rPr>
      <w:b/>
      <w:bCs/>
      <w:kern w:val="2"/>
      <w:sz w:val="32"/>
      <w:szCs w:val="32"/>
    </w:rPr>
  </w:style>
  <w:style w:type="character" w:customStyle="1" w:styleId="123">
    <w:name w:val="样式6 Char"/>
    <w:qFormat/>
    <w:uiPriority w:val="0"/>
    <w:rPr>
      <w:rFonts w:ascii="仿宋_GB2312" w:hAnsi="宋体" w:eastAsia="仿宋_GB2312"/>
      <w:b/>
      <w:bCs/>
      <w:kern w:val="2"/>
      <w:sz w:val="24"/>
      <w:szCs w:val="24"/>
      <w:lang w:val="en-US" w:eastAsia="zh-CN" w:bidi="ar-SA"/>
    </w:rPr>
  </w:style>
  <w:style w:type="character" w:customStyle="1" w:styleId="124">
    <w:name w:val="Char Char14"/>
    <w:qFormat/>
    <w:uiPriority w:val="6"/>
    <w:rPr>
      <w:rFonts w:ascii="黑体" w:hAnsi="黑体" w:eastAsia="黑体"/>
    </w:rPr>
  </w:style>
  <w:style w:type="character" w:customStyle="1" w:styleId="125">
    <w:name w:val="Heading 2 Hidden Char"/>
    <w:qFormat/>
    <w:uiPriority w:val="0"/>
    <w:rPr>
      <w:rFonts w:ascii="仿宋_GB2312" w:eastAsia="仿宋_GB2312"/>
      <w:b/>
      <w:bCs/>
      <w:kern w:val="2"/>
      <w:sz w:val="24"/>
      <w:szCs w:val="24"/>
      <w:lang w:val="zh-CN" w:eastAsia="zh-CN" w:bidi="ar-SA"/>
    </w:rPr>
  </w:style>
  <w:style w:type="character" w:customStyle="1" w:styleId="126">
    <w:name w:val="正文文本首行缩进 2 字符"/>
    <w:link w:val="62"/>
    <w:qFormat/>
    <w:uiPriority w:val="0"/>
    <w:rPr>
      <w:rFonts w:ascii="宋体" w:hAnsi="宋体"/>
      <w:kern w:val="2"/>
      <w:sz w:val="21"/>
      <w:szCs w:val="24"/>
    </w:rPr>
  </w:style>
  <w:style w:type="character" w:customStyle="1" w:styleId="127">
    <w:name w:val="font11"/>
    <w:qFormat/>
    <w:uiPriority w:val="0"/>
    <w:rPr>
      <w:rFonts w:hint="default" w:ascii="Times New Roman" w:hAnsi="Times New Roman" w:cs="Times New Roman"/>
      <w:color w:val="000000"/>
      <w:sz w:val="22"/>
      <w:szCs w:val="22"/>
      <w:u w:val="none"/>
    </w:rPr>
  </w:style>
  <w:style w:type="character" w:customStyle="1" w:styleId="128">
    <w:name w:val="表正文 Char1"/>
    <w:qFormat/>
    <w:uiPriority w:val="0"/>
    <w:rPr>
      <w:rFonts w:ascii="宋体" w:eastAsia="宋体"/>
      <w:snapToGrid w:val="0"/>
      <w:color w:val="000000"/>
      <w:kern w:val="28"/>
      <w:sz w:val="28"/>
    </w:rPr>
  </w:style>
  <w:style w:type="character" w:customStyle="1" w:styleId="129">
    <w:name w:val="blue1"/>
    <w:basedOn w:val="70"/>
    <w:qFormat/>
    <w:uiPriority w:val="0"/>
    <w:rPr>
      <w:rFonts w:ascii="Arial" w:hAnsi="Arial" w:eastAsia="黑体" w:cs="Arial"/>
      <w:snapToGrid w:val="0"/>
      <w:kern w:val="0"/>
      <w:szCs w:val="21"/>
    </w:rPr>
  </w:style>
  <w:style w:type="character" w:customStyle="1" w:styleId="130">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31">
    <w:name w:val="标书1 Char"/>
    <w:qFormat/>
    <w:uiPriority w:val="0"/>
    <w:rPr>
      <w:rFonts w:eastAsia="宋体"/>
      <w:b/>
      <w:bCs/>
      <w:kern w:val="44"/>
      <w:sz w:val="44"/>
      <w:szCs w:val="44"/>
      <w:lang w:val="en-US" w:eastAsia="zh-CN" w:bidi="ar-SA"/>
    </w:rPr>
  </w:style>
  <w:style w:type="character" w:customStyle="1" w:styleId="132">
    <w:name w:val="样式5 Char"/>
    <w:qFormat/>
    <w:uiPriority w:val="0"/>
    <w:rPr>
      <w:rFonts w:ascii="仿宋_GB2312" w:hAnsi="仿宋" w:eastAsia="仿宋_GB2312"/>
      <w:kern w:val="2"/>
      <w:sz w:val="24"/>
      <w:szCs w:val="24"/>
    </w:rPr>
  </w:style>
  <w:style w:type="character" w:customStyle="1" w:styleId="133">
    <w:name w:val="样式4 Char"/>
    <w:qFormat/>
    <w:uiPriority w:val="0"/>
    <w:rPr>
      <w:rFonts w:ascii="仿宋_GB2312" w:hAnsi="仿宋" w:eastAsia="仿宋_GB2312"/>
      <w:b/>
      <w:kern w:val="2"/>
      <w:sz w:val="32"/>
      <w:szCs w:val="32"/>
      <w:lang w:bidi="ar-SA"/>
    </w:rPr>
  </w:style>
  <w:style w:type="character" w:customStyle="1" w:styleId="134">
    <w:name w:val="插图说明 Char"/>
    <w:qFormat/>
    <w:uiPriority w:val="0"/>
    <w:rPr>
      <w:rFonts w:eastAsia="黑体"/>
      <w:sz w:val="24"/>
      <w:lang w:val="en-US" w:eastAsia="zh-CN"/>
    </w:rPr>
  </w:style>
  <w:style w:type="character" w:customStyle="1" w:styleId="135">
    <w:name w:val="正文2 Char Char"/>
    <w:link w:val="136"/>
    <w:qFormat/>
    <w:uiPriority w:val="0"/>
    <w:rPr>
      <w:rFonts w:eastAsia="宋体"/>
      <w:kern w:val="2"/>
      <w:sz w:val="24"/>
      <w:lang w:val="en-US" w:eastAsia="zh-CN" w:bidi="ar-SA"/>
    </w:rPr>
  </w:style>
  <w:style w:type="paragraph" w:customStyle="1" w:styleId="136">
    <w:name w:val="正文2"/>
    <w:basedOn w:val="1"/>
    <w:link w:val="135"/>
    <w:qFormat/>
    <w:uiPriority w:val="0"/>
    <w:pPr>
      <w:spacing w:before="156" w:line="360" w:lineRule="auto"/>
      <w:ind w:firstLine="510" w:firstLineChars="200"/>
    </w:pPr>
    <w:rPr>
      <w:sz w:val="24"/>
      <w:szCs w:val="20"/>
    </w:rPr>
  </w:style>
  <w:style w:type="character" w:customStyle="1" w:styleId="137">
    <w:name w:val="Char Char24"/>
    <w:qFormat/>
    <w:uiPriority w:val="6"/>
    <w:rPr>
      <w:kern w:val="1"/>
      <w:sz w:val="21"/>
    </w:rPr>
  </w:style>
  <w:style w:type="character" w:customStyle="1" w:styleId="138">
    <w:name w:val="副标题 字符"/>
    <w:link w:val="47"/>
    <w:qFormat/>
    <w:uiPriority w:val="0"/>
    <w:rPr>
      <w:rFonts w:ascii="Arial" w:hAnsi="Arial" w:eastAsia="隶书"/>
      <w:b/>
      <w:bCs/>
      <w:kern w:val="28"/>
      <w:sz w:val="44"/>
      <w:szCs w:val="32"/>
      <w:lang w:val="en-US" w:eastAsia="zh-CN" w:bidi="ar-SA"/>
    </w:rPr>
  </w:style>
  <w:style w:type="character" w:customStyle="1" w:styleId="139">
    <w:name w:val="普通文字 Char1 Char"/>
    <w:qFormat/>
    <w:uiPriority w:val="0"/>
    <w:rPr>
      <w:rFonts w:ascii="宋体" w:hAnsi="Courier New" w:eastAsia="宋体"/>
      <w:kern w:val="2"/>
      <w:sz w:val="21"/>
      <w:szCs w:val="24"/>
      <w:lang w:val="en-US" w:eastAsia="zh-CN" w:bidi="ar-SA"/>
    </w:rPr>
  </w:style>
  <w:style w:type="character" w:customStyle="1" w:styleId="140">
    <w:name w:val="h3 Char1"/>
    <w:qFormat/>
    <w:uiPriority w:val="0"/>
    <w:rPr>
      <w:rFonts w:eastAsia="宋体"/>
      <w:b/>
      <w:bCs/>
      <w:kern w:val="2"/>
      <w:sz w:val="32"/>
      <w:szCs w:val="32"/>
      <w:lang w:bidi="ar-SA"/>
    </w:rPr>
  </w:style>
  <w:style w:type="character" w:customStyle="1" w:styleId="141">
    <w:name w:val="标题 Char1"/>
    <w:qFormat/>
    <w:uiPriority w:val="0"/>
    <w:rPr>
      <w:rFonts w:ascii="Cambria" w:hAnsi="Cambria" w:eastAsia="宋体" w:cs="Times New Roman"/>
      <w:b/>
      <w:bCs/>
      <w:sz w:val="32"/>
      <w:szCs w:val="32"/>
      <w:lang w:bidi="ar-SA"/>
    </w:rPr>
  </w:style>
  <w:style w:type="character" w:customStyle="1" w:styleId="142">
    <w:name w:val="gf正文1 Char"/>
    <w:qFormat/>
    <w:uiPriority w:val="0"/>
    <w:rPr>
      <w:rFonts w:ascii="宋体" w:hAnsi="宋体" w:eastAsia="宋体" w:cs="宋体"/>
      <w:kern w:val="2"/>
      <w:sz w:val="24"/>
      <w:szCs w:val="24"/>
      <w:lang w:val="en-US" w:eastAsia="zh-CN" w:bidi="ar-SA"/>
    </w:rPr>
  </w:style>
  <w:style w:type="character" w:customStyle="1" w:styleId="143">
    <w:name w:val="正文文本缩进 Char1"/>
    <w:qFormat/>
    <w:uiPriority w:val="0"/>
    <w:rPr>
      <w:rFonts w:ascii="Calibri" w:hAnsi="Calibri"/>
      <w:sz w:val="28"/>
    </w:rPr>
  </w:style>
  <w:style w:type="character" w:customStyle="1" w:styleId="144">
    <w:name w:val="No Spacing Char"/>
    <w:link w:val="145"/>
    <w:qFormat/>
    <w:uiPriority w:val="1"/>
    <w:rPr>
      <w:sz w:val="22"/>
      <w:szCs w:val="22"/>
      <w:lang w:val="en-US" w:eastAsia="zh-CN" w:bidi="ar-SA"/>
    </w:rPr>
  </w:style>
  <w:style w:type="paragraph" w:customStyle="1" w:styleId="145">
    <w:name w:val="无间隔1"/>
    <w:link w:val="144"/>
    <w:qFormat/>
    <w:uiPriority w:val="1"/>
    <w:rPr>
      <w:rFonts w:ascii="Times New Roman" w:hAnsi="Times New Roman" w:eastAsia="宋体" w:cs="Times New Roman"/>
      <w:sz w:val="22"/>
      <w:szCs w:val="22"/>
      <w:lang w:val="en-US" w:eastAsia="zh-CN" w:bidi="ar-SA"/>
    </w:rPr>
  </w:style>
  <w:style w:type="character" w:customStyle="1" w:styleId="146">
    <w:name w:val="样式7 Char"/>
    <w:qFormat/>
    <w:uiPriority w:val="0"/>
    <w:rPr>
      <w:rFonts w:ascii="仿宋_GB2312" w:hAnsi="仿宋" w:eastAsia="仿宋_GB2312"/>
      <w:b/>
      <w:kern w:val="2"/>
      <w:sz w:val="24"/>
      <w:szCs w:val="24"/>
    </w:rPr>
  </w:style>
  <w:style w:type="character" w:customStyle="1" w:styleId="147">
    <w:name w:val="font12gray1"/>
    <w:qFormat/>
    <w:uiPriority w:val="0"/>
    <w:rPr>
      <w:rFonts w:ascii="仿宋_GB2312" w:eastAsia="微软雅黑"/>
      <w:b/>
      <w:spacing w:val="300"/>
      <w:kern w:val="2"/>
      <w:sz w:val="18"/>
      <w:szCs w:val="18"/>
      <w:lang w:val="en-US" w:eastAsia="zh-CN" w:bidi="ar-SA"/>
    </w:rPr>
  </w:style>
  <w:style w:type="character" w:customStyle="1" w:styleId="148">
    <w:name w:val="Char Char7"/>
    <w:semiHidden/>
    <w:qFormat/>
    <w:uiPriority w:val="0"/>
    <w:rPr>
      <w:rFonts w:eastAsia="宋体"/>
      <w:kern w:val="2"/>
      <w:sz w:val="21"/>
      <w:szCs w:val="24"/>
      <w:lang w:val="en-US" w:eastAsia="zh-CN" w:bidi="ar-SA"/>
    </w:rPr>
  </w:style>
  <w:style w:type="character" w:customStyle="1" w:styleId="149">
    <w:name w:val="表名 Char"/>
    <w:qFormat/>
    <w:uiPriority w:val="0"/>
    <w:rPr>
      <w:rFonts w:eastAsia="宋体"/>
      <w:b/>
      <w:bCs/>
      <w:kern w:val="2"/>
      <w:sz w:val="24"/>
      <w:szCs w:val="24"/>
      <w:lang w:val="en-US" w:eastAsia="zh-CN" w:bidi="ar-SA"/>
    </w:rPr>
  </w:style>
  <w:style w:type="character" w:customStyle="1" w:styleId="150">
    <w:name w:val="Document Map Char"/>
    <w:qFormat/>
    <w:locked/>
    <w:uiPriority w:val="0"/>
    <w:rPr>
      <w:rFonts w:eastAsia="宋体"/>
      <w:kern w:val="2"/>
      <w:sz w:val="21"/>
      <w:szCs w:val="24"/>
      <w:lang w:val="en-US" w:eastAsia="zh-CN" w:bidi="ar-SA"/>
    </w:rPr>
  </w:style>
  <w:style w:type="character" w:customStyle="1" w:styleId="151">
    <w:name w:val="font41"/>
    <w:qFormat/>
    <w:uiPriority w:val="0"/>
    <w:rPr>
      <w:rFonts w:hint="eastAsia" w:ascii="仿宋_GB2312" w:eastAsia="仿宋_GB2312" w:cs="仿宋_GB2312"/>
      <w:color w:val="000000"/>
      <w:sz w:val="22"/>
      <w:szCs w:val="22"/>
      <w:u w:val="none"/>
    </w:rPr>
  </w:style>
  <w:style w:type="character" w:customStyle="1" w:styleId="152">
    <w:name w:val="标题 6 字符"/>
    <w:link w:val="7"/>
    <w:qFormat/>
    <w:uiPriority w:val="0"/>
    <w:rPr>
      <w:rFonts w:ascii="Arial" w:hAnsi="Arial" w:eastAsia="黑体"/>
      <w:b/>
      <w:bCs/>
      <w:kern w:val="2"/>
      <w:sz w:val="24"/>
      <w:szCs w:val="24"/>
    </w:rPr>
  </w:style>
  <w:style w:type="character" w:customStyle="1" w:styleId="153">
    <w:name w:val="纯文本 Char_0"/>
    <w:link w:val="154"/>
    <w:qFormat/>
    <w:uiPriority w:val="0"/>
    <w:rPr>
      <w:rFonts w:ascii="宋体" w:hAnsi="Courier New"/>
      <w:kern w:val="2"/>
      <w:sz w:val="21"/>
      <w:szCs w:val="21"/>
      <w:lang w:val="en-US" w:eastAsia="zh-CN"/>
    </w:rPr>
  </w:style>
  <w:style w:type="paragraph" w:customStyle="1" w:styleId="154">
    <w:name w:val="纯文本_0_0"/>
    <w:basedOn w:val="155"/>
    <w:link w:val="153"/>
    <w:qFormat/>
    <w:uiPriority w:val="0"/>
    <w:rPr>
      <w:rFonts w:ascii="宋体" w:hAnsi="Courier New"/>
      <w:szCs w:val="21"/>
    </w:rPr>
  </w:style>
  <w:style w:type="paragraph" w:customStyle="1" w:styleId="15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6">
    <w:name w:val="Balloon Text Char"/>
    <w:qFormat/>
    <w:locked/>
    <w:uiPriority w:val="0"/>
    <w:rPr>
      <w:rFonts w:eastAsia="宋体"/>
      <w:kern w:val="2"/>
      <w:sz w:val="18"/>
      <w:szCs w:val="18"/>
      <w:lang w:val="en-US" w:eastAsia="zh-CN" w:bidi="ar-SA"/>
    </w:rPr>
  </w:style>
  <w:style w:type="character" w:customStyle="1" w:styleId="157">
    <w:name w:val="正文 项目2 Char"/>
    <w:basedOn w:val="158"/>
    <w:qFormat/>
    <w:uiPriority w:val="0"/>
    <w:rPr>
      <w:rFonts w:ascii="仿宋_GB2312" w:hAnsi="仿宋_GB2312" w:eastAsia="仿宋_GB2312"/>
      <w:kern w:val="2"/>
      <w:sz w:val="24"/>
      <w:lang w:bidi="ar-SA"/>
    </w:rPr>
  </w:style>
  <w:style w:type="character" w:customStyle="1" w:styleId="158">
    <w:name w:val="正文 项目 Char"/>
    <w:qFormat/>
    <w:uiPriority w:val="0"/>
    <w:rPr>
      <w:rFonts w:ascii="仿宋_GB2312" w:hAnsi="仿宋_GB2312" w:eastAsia="仿宋_GB2312"/>
      <w:kern w:val="2"/>
      <w:sz w:val="24"/>
      <w:lang w:bidi="ar-SA"/>
    </w:rPr>
  </w:style>
  <w:style w:type="character" w:customStyle="1" w:styleId="159">
    <w:name w:val="h Char Char1"/>
    <w:qFormat/>
    <w:uiPriority w:val="0"/>
    <w:rPr>
      <w:rFonts w:eastAsia="宋体"/>
      <w:kern w:val="2"/>
      <w:sz w:val="18"/>
      <w:szCs w:val="18"/>
      <w:lang w:val="en-US" w:eastAsia="zh-CN" w:bidi="ar-SA"/>
    </w:rPr>
  </w:style>
  <w:style w:type="character" w:customStyle="1" w:styleId="160">
    <w:name w:val="Char Char27"/>
    <w:qFormat/>
    <w:uiPriority w:val="6"/>
    <w:rPr>
      <w:rFonts w:ascii="宋体" w:hAnsi="宋体" w:eastAsia="宋体"/>
      <w:color w:val="000000"/>
      <w:kern w:val="1"/>
      <w:sz w:val="28"/>
      <w:lang w:val="en-US" w:eastAsia="zh-CN" w:bidi="ar-SA"/>
    </w:rPr>
  </w:style>
  <w:style w:type="character" w:customStyle="1" w:styleId="161">
    <w:name w:val="px14"/>
    <w:qFormat/>
    <w:uiPriority w:val="0"/>
    <w:rPr>
      <w:rFonts w:ascii="仿宋_GB2312" w:eastAsia="微软雅黑" w:cs="Times New Roman"/>
      <w:b/>
      <w:kern w:val="2"/>
      <w:sz w:val="32"/>
      <w:szCs w:val="32"/>
      <w:lang w:val="en-US" w:eastAsia="zh-CN" w:bidi="ar-SA"/>
    </w:rPr>
  </w:style>
  <w:style w:type="character" w:customStyle="1" w:styleId="162">
    <w:name w:val="HTML 预设格式 Char1"/>
    <w:qFormat/>
    <w:uiPriority w:val="0"/>
    <w:rPr>
      <w:rFonts w:ascii="Courier New" w:hAnsi="Courier New" w:eastAsia="宋体" w:cs="Courier New"/>
      <w:sz w:val="20"/>
      <w:szCs w:val="20"/>
    </w:rPr>
  </w:style>
  <w:style w:type="character" w:customStyle="1" w:styleId="163">
    <w:name w:val="普通文字 Char1"/>
    <w:qFormat/>
    <w:uiPriority w:val="0"/>
    <w:rPr>
      <w:rFonts w:ascii="宋体" w:hAnsi="Courier New" w:eastAsia="宋体"/>
      <w:kern w:val="2"/>
      <w:sz w:val="21"/>
      <w:lang w:val="en-US" w:eastAsia="zh-CN"/>
    </w:rPr>
  </w:style>
  <w:style w:type="character" w:customStyle="1" w:styleId="164">
    <w:name w:val="hei16b1"/>
    <w:qFormat/>
    <w:uiPriority w:val="0"/>
    <w:rPr>
      <w:rFonts w:hint="default" w:ascii="Arial" w:hAnsi="Arial" w:cs="Arial"/>
      <w:b/>
      <w:bCs/>
      <w:color w:val="000000"/>
      <w:sz w:val="24"/>
      <w:szCs w:val="24"/>
    </w:rPr>
  </w:style>
  <w:style w:type="character" w:customStyle="1" w:styleId="165">
    <w:name w:val="正文（绿盟科技） Char"/>
    <w:link w:val="166"/>
    <w:qFormat/>
    <w:uiPriority w:val="0"/>
    <w:rPr>
      <w:rFonts w:ascii="Arial" w:hAnsi="Arial"/>
      <w:sz w:val="21"/>
      <w:szCs w:val="21"/>
    </w:rPr>
  </w:style>
  <w:style w:type="paragraph" w:customStyle="1" w:styleId="166">
    <w:name w:val="正文（绿盟科技）"/>
    <w:link w:val="165"/>
    <w:qFormat/>
    <w:uiPriority w:val="0"/>
    <w:pPr>
      <w:spacing w:line="300" w:lineRule="auto"/>
    </w:pPr>
    <w:rPr>
      <w:rFonts w:ascii="Arial" w:hAnsi="Arial" w:eastAsia="宋体" w:cs="Times New Roman"/>
      <w:sz w:val="21"/>
      <w:szCs w:val="21"/>
      <w:lang w:val="en-US" w:eastAsia="zh-CN" w:bidi="ar-SA"/>
    </w:rPr>
  </w:style>
  <w:style w:type="character" w:customStyle="1" w:styleId="167">
    <w:name w:val="Char Char19"/>
    <w:qFormat/>
    <w:uiPriority w:val="6"/>
    <w:rPr>
      <w:rFonts w:ascii="宋体" w:hAnsi="宋体"/>
      <w:i/>
      <w:sz w:val="24"/>
      <w:szCs w:val="24"/>
    </w:rPr>
  </w:style>
  <w:style w:type="character" w:customStyle="1" w:styleId="168">
    <w:name w:val="页脚 Char"/>
    <w:qFormat/>
    <w:uiPriority w:val="0"/>
    <w:rPr>
      <w:rFonts w:eastAsia="仿宋_GB2312"/>
      <w:kern w:val="2"/>
      <w:sz w:val="18"/>
      <w:lang w:val="en-US" w:eastAsia="zh-CN"/>
    </w:rPr>
  </w:style>
  <w:style w:type="character" w:customStyle="1" w:styleId="169">
    <w:name w:val="批注主题 Char"/>
    <w:qFormat/>
    <w:uiPriority w:val="0"/>
    <w:rPr>
      <w:rFonts w:eastAsia="宋体"/>
      <w:b/>
      <w:bCs/>
      <w:kern w:val="2"/>
      <w:sz w:val="21"/>
      <w:szCs w:val="24"/>
      <w:lang w:val="en-US" w:eastAsia="zh-CN" w:bidi="ar-SA"/>
    </w:rPr>
  </w:style>
  <w:style w:type="character" w:customStyle="1" w:styleId="170">
    <w:name w:val="Comment Text Char"/>
    <w:qFormat/>
    <w:locked/>
    <w:uiPriority w:val="0"/>
    <w:rPr>
      <w:rFonts w:ascii="宋体" w:hAnsi="宋体" w:eastAsia="宋体"/>
      <w:kern w:val="2"/>
      <w:sz w:val="24"/>
      <w:lang w:val="en-US" w:eastAsia="zh-CN" w:bidi="ar-SA"/>
    </w:rPr>
  </w:style>
  <w:style w:type="character" w:customStyle="1" w:styleId="171">
    <w:name w:val="标题 2 字符"/>
    <w:qFormat/>
    <w:uiPriority w:val="1"/>
    <w:rPr>
      <w:rFonts w:ascii="仿宋_GB2312" w:hAnsi="Times New Roman" w:eastAsia="仿宋_GB2312" w:cs="Times New Roman"/>
      <w:b/>
      <w:kern w:val="2"/>
      <w:sz w:val="24"/>
      <w:lang w:val="zh-CN"/>
    </w:rPr>
  </w:style>
  <w:style w:type="character" w:customStyle="1" w:styleId="172">
    <w:name w:val="Char Char72"/>
    <w:qFormat/>
    <w:uiPriority w:val="0"/>
    <w:rPr>
      <w:rFonts w:eastAsia="宋体"/>
      <w:kern w:val="2"/>
      <w:sz w:val="21"/>
      <w:szCs w:val="24"/>
      <w:lang w:val="en-US" w:eastAsia="zh-CN" w:bidi="ar-SA"/>
    </w:rPr>
  </w:style>
  <w:style w:type="character" w:customStyle="1" w:styleId="173">
    <w:name w:val="正文文本缩进 Char2"/>
    <w:qFormat/>
    <w:uiPriority w:val="0"/>
    <w:rPr>
      <w:rFonts w:ascii="Times New Roman" w:hAnsi="Times New Roman" w:eastAsia="宋体" w:cs="Times New Roman"/>
      <w:snapToGrid w:val="0"/>
      <w:kern w:val="0"/>
      <w:szCs w:val="24"/>
    </w:rPr>
  </w:style>
  <w:style w:type="character" w:customStyle="1" w:styleId="174">
    <w:name w:val="样式2 Char"/>
    <w:qFormat/>
    <w:uiPriority w:val="0"/>
    <w:rPr>
      <w:rFonts w:ascii="仿宋_GB2312" w:hAnsi="仿宋" w:eastAsia="仿宋_GB2312" w:cs="仿宋_GB2312"/>
      <w:b/>
      <w:bCs/>
      <w:sz w:val="32"/>
      <w:szCs w:val="30"/>
      <w:lang w:val="zh-CN"/>
    </w:rPr>
  </w:style>
  <w:style w:type="character" w:customStyle="1" w:styleId="175">
    <w:name w:val="表格名称[858D7CFB-ED40-4347-BF05-701D383B685F]"/>
    <w:link w:val="176"/>
    <w:qFormat/>
    <w:uiPriority w:val="0"/>
    <w:rPr>
      <w:sz w:val="32"/>
    </w:rPr>
  </w:style>
  <w:style w:type="paragraph" w:customStyle="1" w:styleId="176">
    <w:name w:val="表格名称"/>
    <w:basedOn w:val="3"/>
    <w:link w:val="175"/>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7">
    <w:name w:val="Char Char4"/>
    <w:qFormat/>
    <w:uiPriority w:val="0"/>
    <w:rPr>
      <w:rFonts w:eastAsia="宋体"/>
      <w:b/>
      <w:sz w:val="24"/>
      <w:lang w:val="en-GB" w:eastAsia="zh-CN" w:bidi="ar-SA"/>
    </w:rPr>
  </w:style>
  <w:style w:type="character" w:customStyle="1" w:styleId="178">
    <w:name w:val="c7 style3"/>
    <w:qFormat/>
    <w:uiPriority w:val="0"/>
  </w:style>
  <w:style w:type="character" w:customStyle="1" w:styleId="179">
    <w:name w:val="正文文本 3 Char1"/>
    <w:semiHidden/>
    <w:qFormat/>
    <w:uiPriority w:val="99"/>
    <w:rPr>
      <w:rFonts w:ascii="Times New Roman" w:hAnsi="Times New Roman" w:eastAsia="宋体" w:cs="Times New Roman"/>
      <w:sz w:val="16"/>
      <w:szCs w:val="16"/>
    </w:rPr>
  </w:style>
  <w:style w:type="character" w:customStyle="1" w:styleId="180">
    <w:name w:val="tw4winInternal"/>
    <w:qFormat/>
    <w:uiPriority w:val="0"/>
    <w:rPr>
      <w:rFonts w:ascii="Courier New" w:hAnsi="Courier New" w:cs="Courier New"/>
      <w:color w:val="FF0000"/>
      <w:lang w:val="en-US" w:eastAsia="zh-CN"/>
    </w:rPr>
  </w:style>
  <w:style w:type="character" w:customStyle="1" w:styleId="181">
    <w:name w:val="Char Char10"/>
    <w:semiHidden/>
    <w:qFormat/>
    <w:uiPriority w:val="0"/>
    <w:rPr>
      <w:rFonts w:ascii="宋体" w:hAnsi="宋体"/>
      <w:kern w:val="2"/>
      <w:sz w:val="21"/>
      <w:szCs w:val="24"/>
      <w:lang w:val="en-US" w:eastAsia="zh-CN"/>
    </w:rPr>
  </w:style>
  <w:style w:type="character" w:customStyle="1" w:styleId="182">
    <w:name w:val="shadow11"/>
    <w:qFormat/>
    <w:uiPriority w:val="0"/>
    <w:rPr>
      <w:color w:val="000000"/>
      <w:sz w:val="21"/>
    </w:rPr>
  </w:style>
  <w:style w:type="character" w:customStyle="1" w:styleId="183">
    <w:name w:val="正文非缩进 Char3"/>
    <w:qFormat/>
    <w:uiPriority w:val="0"/>
    <w:rPr>
      <w:rFonts w:ascii="宋体" w:eastAsia="宋体"/>
      <w:snapToGrid w:val="0"/>
      <w:color w:val="000000"/>
      <w:kern w:val="28"/>
      <w:sz w:val="28"/>
      <w:lang w:val="en-US" w:eastAsia="zh-CN" w:bidi="ar-SA"/>
    </w:rPr>
  </w:style>
  <w:style w:type="character" w:customStyle="1" w:styleId="184">
    <w:name w:val="Char Char"/>
    <w:qFormat/>
    <w:uiPriority w:val="0"/>
    <w:rPr>
      <w:rFonts w:ascii="宋体" w:hAnsi="Courier New" w:eastAsia="宋体"/>
      <w:kern w:val="2"/>
      <w:sz w:val="21"/>
      <w:lang w:val="en-US" w:eastAsia="zh-CN" w:bidi="ar-SA"/>
    </w:rPr>
  </w:style>
  <w:style w:type="character" w:customStyle="1" w:styleId="185">
    <w:name w:val="签名 Char1"/>
    <w:qFormat/>
    <w:uiPriority w:val="0"/>
    <w:rPr>
      <w:rFonts w:ascii="Times New Roman" w:hAnsi="Times New Roman" w:eastAsia="宋体" w:cs="Times New Roman"/>
      <w:szCs w:val="24"/>
    </w:rPr>
  </w:style>
  <w:style w:type="character" w:customStyle="1" w:styleId="186">
    <w:name w:val="日期 字符"/>
    <w:link w:val="35"/>
    <w:qFormat/>
    <w:uiPriority w:val="0"/>
    <w:rPr>
      <w:rFonts w:ascii="宋体"/>
      <w:kern w:val="2"/>
      <w:sz w:val="24"/>
      <w:szCs w:val="21"/>
      <w:lang w:val="zh-CN"/>
    </w:rPr>
  </w:style>
  <w:style w:type="character" w:customStyle="1" w:styleId="187">
    <w:name w:val="标题 9 字符"/>
    <w:link w:val="10"/>
    <w:qFormat/>
    <w:uiPriority w:val="0"/>
    <w:rPr>
      <w:rFonts w:ascii="Arial" w:hAnsi="Arial" w:eastAsia="黑体"/>
      <w:kern w:val="2"/>
      <w:sz w:val="21"/>
      <w:szCs w:val="21"/>
    </w:rPr>
  </w:style>
  <w:style w:type="character" w:customStyle="1" w:styleId="188">
    <w:name w:val="Char Char18"/>
    <w:qFormat/>
    <w:uiPriority w:val="6"/>
    <w:rPr>
      <w:rFonts w:ascii="宋体" w:hAnsi="宋体"/>
      <w:sz w:val="28"/>
    </w:rPr>
  </w:style>
  <w:style w:type="character" w:customStyle="1" w:styleId="189">
    <w:name w:val="批注文字 Char"/>
    <w:qFormat/>
    <w:uiPriority w:val="99"/>
    <w:rPr>
      <w:kern w:val="2"/>
      <w:sz w:val="21"/>
      <w:szCs w:val="24"/>
    </w:rPr>
  </w:style>
  <w:style w:type="character" w:customStyle="1" w:styleId="190">
    <w:name w:val="Char Char22"/>
    <w:qFormat/>
    <w:uiPriority w:val="6"/>
    <w:rPr>
      <w:rFonts w:ascii="宋体" w:hAnsi="宋体"/>
      <w:kern w:val="1"/>
      <w:sz w:val="24"/>
      <w:szCs w:val="24"/>
    </w:rPr>
  </w:style>
  <w:style w:type="character" w:customStyle="1" w:styleId="191">
    <w:name w:val="pt141"/>
    <w:qFormat/>
    <w:uiPriority w:val="0"/>
    <w:rPr>
      <w:color w:val="330066"/>
      <w:sz w:val="22"/>
      <w:szCs w:val="22"/>
    </w:rPr>
  </w:style>
  <w:style w:type="character" w:customStyle="1" w:styleId="192">
    <w:name w:val="正文文本缩进 2 Char1"/>
    <w:semiHidden/>
    <w:qFormat/>
    <w:uiPriority w:val="99"/>
    <w:rPr>
      <w:rFonts w:ascii="Times New Roman" w:hAnsi="Times New Roman" w:eastAsia="宋体" w:cs="Times New Roman"/>
      <w:szCs w:val="24"/>
    </w:rPr>
  </w:style>
  <w:style w:type="character" w:customStyle="1" w:styleId="193">
    <w:name w:val="批注框文本 字符1"/>
    <w:link w:val="38"/>
    <w:qFormat/>
    <w:uiPriority w:val="0"/>
    <w:rPr>
      <w:kern w:val="2"/>
      <w:sz w:val="18"/>
      <w:szCs w:val="18"/>
    </w:rPr>
  </w:style>
  <w:style w:type="character" w:customStyle="1" w:styleId="194">
    <w:name w:val="Char Char611"/>
    <w:qFormat/>
    <w:uiPriority w:val="0"/>
    <w:rPr>
      <w:rFonts w:eastAsia="宋体"/>
      <w:kern w:val="2"/>
      <w:sz w:val="21"/>
      <w:szCs w:val="24"/>
      <w:lang w:val="en-US" w:eastAsia="zh-CN" w:bidi="ar-SA"/>
    </w:rPr>
  </w:style>
  <w:style w:type="character" w:customStyle="1" w:styleId="195">
    <w:name w:val="highlight1"/>
    <w:qFormat/>
    <w:uiPriority w:val="0"/>
    <w:rPr>
      <w:rFonts w:ascii="仿宋_GB2312" w:eastAsia="微软雅黑"/>
      <w:b/>
      <w:kern w:val="2"/>
      <w:sz w:val="23"/>
      <w:szCs w:val="23"/>
      <w:lang w:val="en-US" w:eastAsia="zh-CN" w:bidi="ar-SA"/>
    </w:rPr>
  </w:style>
  <w:style w:type="character" w:customStyle="1" w:styleId="196">
    <w:name w:val="my正文 Char"/>
    <w:link w:val="197"/>
    <w:qFormat/>
    <w:locked/>
    <w:uiPriority w:val="0"/>
    <w:rPr>
      <w:rFonts w:ascii="Tahoma" w:hAnsi="Tahoma"/>
      <w:sz w:val="24"/>
      <w:szCs w:val="24"/>
    </w:rPr>
  </w:style>
  <w:style w:type="paragraph" w:customStyle="1" w:styleId="197">
    <w:name w:val="my正文"/>
    <w:basedOn w:val="1"/>
    <w:link w:val="196"/>
    <w:qFormat/>
    <w:uiPriority w:val="0"/>
    <w:pPr>
      <w:adjustRightInd/>
      <w:spacing w:line="360" w:lineRule="auto"/>
      <w:ind w:firstLine="480" w:firstLineChars="200"/>
    </w:pPr>
    <w:rPr>
      <w:rFonts w:ascii="Tahoma" w:hAnsi="Tahoma"/>
      <w:kern w:val="0"/>
      <w:sz w:val="24"/>
    </w:rPr>
  </w:style>
  <w:style w:type="character" w:customStyle="1" w:styleId="198">
    <w:name w:val="正文缩进 字符2"/>
    <w:link w:val="15"/>
    <w:qFormat/>
    <w:uiPriority w:val="0"/>
    <w:rPr>
      <w:rFonts w:ascii="宋体" w:eastAsia="宋体"/>
      <w:snapToGrid w:val="0"/>
      <w:color w:val="000000"/>
      <w:kern w:val="28"/>
      <w:sz w:val="28"/>
      <w:lang w:val="en-US" w:eastAsia="zh-CN" w:bidi="ar-SA"/>
    </w:rPr>
  </w:style>
  <w:style w:type="character" w:customStyle="1" w:styleId="199">
    <w:name w:val="Used by Word for text of Help footnotes Char Char1"/>
    <w:qFormat/>
    <w:uiPriority w:val="0"/>
    <w:rPr>
      <w:color w:val="0000FF"/>
      <w:sz w:val="21"/>
    </w:rPr>
  </w:style>
  <w:style w:type="character" w:customStyle="1" w:styleId="200">
    <w:name w:val="页眉 Char"/>
    <w:qFormat/>
    <w:uiPriority w:val="0"/>
    <w:rPr>
      <w:rFonts w:eastAsia="仿宋_GB2312"/>
      <w:kern w:val="2"/>
      <w:sz w:val="18"/>
      <w:lang w:val="en-US" w:eastAsia="zh-CN"/>
    </w:rPr>
  </w:style>
  <w:style w:type="character" w:customStyle="1" w:styleId="201">
    <w:name w:val="FA正文 Char Char"/>
    <w:qFormat/>
    <w:uiPriority w:val="0"/>
    <w:rPr>
      <w:rFonts w:hAnsi="宋体"/>
      <w:kern w:val="2"/>
      <w:sz w:val="24"/>
      <w:lang w:bidi="ar-SA"/>
    </w:rPr>
  </w:style>
  <w:style w:type="character" w:customStyle="1" w:styleId="202">
    <w:name w:val="纯文本 字符"/>
    <w:qFormat/>
    <w:uiPriority w:val="0"/>
    <w:rPr>
      <w:rFonts w:ascii="宋体" w:hAnsi="Courier New" w:eastAsia="宋体" w:cs="Arial"/>
      <w:snapToGrid w:val="0"/>
      <w:kern w:val="2"/>
      <w:sz w:val="21"/>
      <w:szCs w:val="21"/>
      <w:lang w:val="en-US" w:eastAsia="zh-CN" w:bidi="ar-SA"/>
    </w:rPr>
  </w:style>
  <w:style w:type="character" w:customStyle="1" w:styleId="203">
    <w:name w:val="3级 Char"/>
    <w:link w:val="204"/>
    <w:qFormat/>
    <w:uiPriority w:val="0"/>
    <w:rPr>
      <w:rFonts w:ascii="宋体" w:hAnsi="宋体"/>
      <w:b/>
      <w:bCs/>
      <w:snapToGrid/>
      <w:sz w:val="28"/>
    </w:rPr>
  </w:style>
  <w:style w:type="paragraph" w:customStyle="1" w:styleId="204">
    <w:name w:val="3级"/>
    <w:basedOn w:val="205"/>
    <w:link w:val="203"/>
    <w:qFormat/>
    <w:uiPriority w:val="0"/>
    <w:pPr>
      <w:ind w:left="0" w:right="466" w:firstLine="288"/>
    </w:pPr>
    <w:rPr>
      <w:rFonts w:hAnsi="宋体"/>
      <w:snapToGrid/>
    </w:rPr>
  </w:style>
  <w:style w:type="paragraph" w:customStyle="1" w:styleId="205">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6">
    <w:name w:val="myp11"/>
    <w:qFormat/>
    <w:uiPriority w:val="0"/>
    <w:rPr>
      <w:rFonts w:ascii="仿宋_GB2312" w:eastAsia="微软雅黑"/>
      <w:b/>
      <w:kern w:val="2"/>
      <w:sz w:val="32"/>
      <w:szCs w:val="32"/>
      <w:lang w:val="en-US" w:eastAsia="zh-CN" w:bidi="ar-SA"/>
    </w:rPr>
  </w:style>
  <w:style w:type="character" w:customStyle="1" w:styleId="207">
    <w:name w:val="文档结构图 字符"/>
    <w:link w:val="18"/>
    <w:qFormat/>
    <w:uiPriority w:val="0"/>
    <w:rPr>
      <w:kern w:val="2"/>
      <w:sz w:val="21"/>
      <w:szCs w:val="24"/>
      <w:shd w:val="clear" w:color="auto" w:fill="000080"/>
    </w:rPr>
  </w:style>
  <w:style w:type="character" w:customStyle="1" w:styleId="208">
    <w:name w:val="H6 Char"/>
    <w:qFormat/>
    <w:uiPriority w:val="0"/>
    <w:rPr>
      <w:rFonts w:ascii="Arial" w:hAnsi="Arial" w:eastAsia="黑体"/>
      <w:b/>
      <w:bCs/>
      <w:kern w:val="2"/>
      <w:sz w:val="24"/>
      <w:szCs w:val="24"/>
    </w:rPr>
  </w:style>
  <w:style w:type="character" w:customStyle="1" w:styleId="209">
    <w:name w:val="Char Char91"/>
    <w:qFormat/>
    <w:uiPriority w:val="0"/>
    <w:rPr>
      <w:rFonts w:eastAsia="宋体"/>
      <w:kern w:val="2"/>
      <w:sz w:val="18"/>
      <w:szCs w:val="18"/>
      <w:lang w:val="en-US" w:eastAsia="zh-CN" w:bidi="ar-SA"/>
    </w:rPr>
  </w:style>
  <w:style w:type="character" w:customStyle="1" w:styleId="210">
    <w:name w:val="副标题 Char1"/>
    <w:qFormat/>
    <w:uiPriority w:val="0"/>
    <w:rPr>
      <w:rFonts w:ascii="Cambria" w:hAnsi="Cambria" w:eastAsia="宋体" w:cs="Times New Roman"/>
      <w:b/>
      <w:bCs/>
      <w:snapToGrid w:val="0"/>
      <w:kern w:val="28"/>
      <w:sz w:val="32"/>
      <w:szCs w:val="32"/>
    </w:rPr>
  </w:style>
  <w:style w:type="character" w:customStyle="1" w:styleId="211">
    <w:name w:val="font61"/>
    <w:qFormat/>
    <w:uiPriority w:val="0"/>
    <w:rPr>
      <w:rFonts w:hint="eastAsia" w:ascii="仿宋" w:hAnsi="仿宋" w:eastAsia="仿宋" w:cs="仿宋"/>
      <w:color w:val="000000"/>
      <w:sz w:val="20"/>
      <w:szCs w:val="20"/>
      <w:u w:val="none"/>
    </w:rPr>
  </w:style>
  <w:style w:type="character" w:customStyle="1" w:styleId="21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3">
    <w:name w:val="Char Char211"/>
    <w:qFormat/>
    <w:uiPriority w:val="0"/>
    <w:rPr>
      <w:rFonts w:eastAsia="宋体"/>
      <w:b/>
      <w:bCs/>
      <w:kern w:val="2"/>
      <w:sz w:val="21"/>
      <w:szCs w:val="24"/>
      <w:lang w:val="en-US" w:eastAsia="zh-CN" w:bidi="ar-SA"/>
    </w:rPr>
  </w:style>
  <w:style w:type="character" w:customStyle="1" w:styleId="214">
    <w:name w:val="标题 2 Char"/>
    <w:qFormat/>
    <w:uiPriority w:val="0"/>
    <w:rPr>
      <w:rFonts w:ascii="Arial" w:hAnsi="Arial" w:eastAsia="黑体"/>
      <w:b/>
      <w:kern w:val="2"/>
      <w:sz w:val="32"/>
      <w:lang w:val="en-US" w:eastAsia="zh-CN"/>
    </w:rPr>
  </w:style>
  <w:style w:type="character" w:customStyle="1" w:styleId="215">
    <w:name w:val="maywed421"/>
    <w:qFormat/>
    <w:uiPriority w:val="0"/>
    <w:rPr>
      <w:color w:val="366FB6"/>
      <w:u w:val="none"/>
    </w:rPr>
  </w:style>
  <w:style w:type="character" w:customStyle="1" w:styleId="216">
    <w:name w:val="正文文本缩进 Char"/>
    <w:qFormat/>
    <w:uiPriority w:val="0"/>
    <w:rPr>
      <w:rFonts w:ascii="宋体" w:hAnsi="宋体"/>
      <w:kern w:val="2"/>
      <w:sz w:val="24"/>
      <w:szCs w:val="24"/>
    </w:rPr>
  </w:style>
  <w:style w:type="character" w:customStyle="1" w:styleId="217">
    <w:name w:val="Char Char102"/>
    <w:semiHidden/>
    <w:qFormat/>
    <w:uiPriority w:val="0"/>
    <w:rPr>
      <w:rFonts w:ascii="宋体" w:hAnsi="宋体"/>
      <w:kern w:val="2"/>
      <w:sz w:val="21"/>
      <w:szCs w:val="24"/>
      <w:lang w:val="en-US" w:eastAsia="zh-CN"/>
    </w:rPr>
  </w:style>
  <w:style w:type="character" w:customStyle="1" w:styleId="218">
    <w:name w:val="页眉 Char1"/>
    <w:qFormat/>
    <w:uiPriority w:val="0"/>
    <w:rPr>
      <w:rFonts w:eastAsia="宋体"/>
      <w:kern w:val="2"/>
      <w:sz w:val="18"/>
      <w:szCs w:val="18"/>
      <w:lang w:val="en-US" w:eastAsia="zh-CN" w:bidi="ar-SA"/>
    </w:rPr>
  </w:style>
  <w:style w:type="character" w:customStyle="1" w:styleId="219">
    <w:name w:val="md"/>
    <w:basedOn w:val="70"/>
    <w:qFormat/>
    <w:uiPriority w:val="0"/>
    <w:rPr>
      <w:rFonts w:ascii="Arial" w:hAnsi="Arial" w:eastAsia="黑体" w:cs="Arial"/>
      <w:snapToGrid w:val="0"/>
      <w:kern w:val="0"/>
      <w:szCs w:val="21"/>
    </w:rPr>
  </w:style>
  <w:style w:type="character" w:customStyle="1" w:styleId="220">
    <w:name w:val="big1"/>
    <w:qFormat/>
    <w:uiPriority w:val="0"/>
    <w:rPr>
      <w:rFonts w:hint="eastAsia" w:ascii="宋体" w:hAnsi="宋体" w:eastAsia="宋体"/>
      <w:color w:val="333333"/>
      <w:sz w:val="22"/>
      <w:szCs w:val="22"/>
    </w:rPr>
  </w:style>
  <w:style w:type="character" w:customStyle="1" w:styleId="221">
    <w:name w:val="Char Char311"/>
    <w:qFormat/>
    <w:uiPriority w:val="0"/>
    <w:rPr>
      <w:rFonts w:eastAsia="宋体"/>
      <w:kern w:val="2"/>
      <w:sz w:val="21"/>
      <w:szCs w:val="24"/>
      <w:lang w:val="en-US" w:eastAsia="zh-CN" w:bidi="ar-SA"/>
    </w:rPr>
  </w:style>
  <w:style w:type="character" w:customStyle="1" w:styleId="222">
    <w:name w:val="Char Char81"/>
    <w:qFormat/>
    <w:uiPriority w:val="6"/>
    <w:rPr>
      <w:rFonts w:eastAsia="宋体"/>
      <w:b/>
      <w:sz w:val="24"/>
      <w:lang w:val="en-GB" w:eastAsia="zh-CN"/>
    </w:rPr>
  </w:style>
  <w:style w:type="character" w:customStyle="1" w:styleId="223">
    <w:name w:val="样式3 Char"/>
    <w:basedOn w:val="174"/>
    <w:qFormat/>
    <w:uiPriority w:val="0"/>
    <w:rPr>
      <w:rFonts w:ascii="仿宋_GB2312" w:hAnsi="仿宋" w:eastAsia="仿宋_GB2312" w:cs="仿宋_GB2312"/>
      <w:sz w:val="32"/>
      <w:szCs w:val="30"/>
      <w:lang w:val="zh-CN"/>
    </w:rPr>
  </w:style>
  <w:style w:type="character" w:customStyle="1" w:styleId="224">
    <w:name w:val="HTML 地址 字符"/>
    <w:link w:val="29"/>
    <w:qFormat/>
    <w:uiPriority w:val="0"/>
    <w:rPr>
      <w:rFonts w:ascii="宋体" w:hAnsi="宋体"/>
      <w:i/>
      <w:iCs/>
      <w:sz w:val="24"/>
      <w:szCs w:val="24"/>
    </w:rPr>
  </w:style>
  <w:style w:type="character" w:customStyle="1" w:styleId="225">
    <w:name w:val="正文首行缩进 2 Char1"/>
    <w:qFormat/>
    <w:uiPriority w:val="0"/>
    <w:rPr>
      <w:rFonts w:ascii="Times New Roman" w:hAnsi="Times New Roman" w:eastAsia="宋体" w:cs="Times New Roman"/>
      <w:kern w:val="2"/>
      <w:sz w:val="24"/>
      <w:szCs w:val="24"/>
    </w:rPr>
  </w:style>
  <w:style w:type="character" w:customStyle="1" w:styleId="226">
    <w:name w:val="副标题 Char2"/>
    <w:qFormat/>
    <w:uiPriority w:val="0"/>
    <w:rPr>
      <w:rFonts w:ascii="Cambria" w:hAnsi="Cambria" w:eastAsia="宋体" w:cs="Times New Roman"/>
      <w:b/>
      <w:bCs/>
      <w:snapToGrid w:val="0"/>
      <w:kern w:val="28"/>
      <w:sz w:val="32"/>
      <w:szCs w:val="32"/>
    </w:rPr>
  </w:style>
  <w:style w:type="character" w:customStyle="1" w:styleId="227">
    <w:name w:val="标题4-dyf Char"/>
    <w:link w:val="228"/>
    <w:qFormat/>
    <w:uiPriority w:val="0"/>
    <w:rPr>
      <w:rFonts w:ascii="Cambria" w:hAnsi="Cambria"/>
      <w:b/>
      <w:bCs/>
      <w:color w:val="000000"/>
      <w:kern w:val="2"/>
      <w:sz w:val="21"/>
      <w:szCs w:val="21"/>
    </w:rPr>
  </w:style>
  <w:style w:type="paragraph" w:customStyle="1" w:styleId="228">
    <w:name w:val="标题4-dyf"/>
    <w:basedOn w:val="5"/>
    <w:link w:val="227"/>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9">
    <w:name w:val="dectext1"/>
    <w:qFormat/>
    <w:uiPriority w:val="0"/>
    <w:rPr>
      <w:rFonts w:ascii="宋体" w:hAnsi="宋体" w:eastAsia="宋体"/>
      <w:color w:val="333333"/>
      <w:sz w:val="21"/>
      <w:szCs w:val="21"/>
      <w:u w:val="none"/>
    </w:rPr>
  </w:style>
  <w:style w:type="character" w:customStyle="1" w:styleId="230">
    <w:name w:val="冯 Char"/>
    <w:link w:val="231"/>
    <w:qFormat/>
    <w:uiPriority w:val="0"/>
    <w:rPr>
      <w:rFonts w:ascii="宋体" w:hAnsi="宋体"/>
      <w:color w:val="000000"/>
      <w:sz w:val="24"/>
      <w:szCs w:val="24"/>
    </w:rPr>
  </w:style>
  <w:style w:type="paragraph" w:customStyle="1" w:styleId="231">
    <w:name w:val="冯"/>
    <w:basedOn w:val="1"/>
    <w:link w:val="230"/>
    <w:qFormat/>
    <w:uiPriority w:val="0"/>
    <w:pPr>
      <w:widowControl/>
      <w:adjustRightInd/>
      <w:spacing w:line="360" w:lineRule="auto"/>
      <w:ind w:firstLine="480" w:firstLineChars="200"/>
    </w:pPr>
    <w:rPr>
      <w:rFonts w:ascii="宋体" w:hAnsi="宋体"/>
      <w:color w:val="000000"/>
      <w:kern w:val="0"/>
      <w:sz w:val="24"/>
    </w:rPr>
  </w:style>
  <w:style w:type="character" w:customStyle="1" w:styleId="232">
    <w:name w:val="Header Char"/>
    <w:qFormat/>
    <w:locked/>
    <w:uiPriority w:val="0"/>
    <w:rPr>
      <w:rFonts w:eastAsia="宋体"/>
      <w:kern w:val="2"/>
      <w:sz w:val="18"/>
      <w:szCs w:val="18"/>
      <w:lang w:val="en-US" w:eastAsia="zh-CN" w:bidi="ar-SA"/>
    </w:rPr>
  </w:style>
  <w:style w:type="character" w:customStyle="1" w:styleId="233">
    <w:name w:val="Char Char12"/>
    <w:qFormat/>
    <w:uiPriority w:val="0"/>
    <w:rPr>
      <w:rFonts w:ascii="仿宋_GB2312" w:eastAsia="仿宋_GB2312"/>
      <w:b/>
      <w:bCs/>
      <w:kern w:val="2"/>
      <w:sz w:val="24"/>
      <w:szCs w:val="24"/>
      <w:lang w:val="zh-CN" w:eastAsia="zh-CN" w:bidi="ar-SA"/>
    </w:rPr>
  </w:style>
  <w:style w:type="character" w:customStyle="1" w:styleId="234">
    <w:name w:val="题注 字符"/>
    <w:link w:val="16"/>
    <w:qFormat/>
    <w:uiPriority w:val="0"/>
    <w:rPr>
      <w:b/>
      <w:kern w:val="2"/>
      <w:sz w:val="28"/>
    </w:rPr>
  </w:style>
  <w:style w:type="character" w:customStyle="1" w:styleId="235">
    <w:name w:val="普通文字 Char3"/>
    <w:qFormat/>
    <w:uiPriority w:val="0"/>
    <w:rPr>
      <w:rFonts w:ascii="宋体" w:hAnsi="Courier New" w:eastAsia="宋体"/>
      <w:kern w:val="2"/>
      <w:sz w:val="21"/>
      <w:lang w:val="en-US" w:eastAsia="zh-CN" w:bidi="ar-SA"/>
    </w:rPr>
  </w:style>
  <w:style w:type="character" w:customStyle="1" w:styleId="236">
    <w:name w:val="公文正文 Char"/>
    <w:qFormat/>
    <w:uiPriority w:val="0"/>
    <w:rPr>
      <w:rFonts w:ascii="仿宋_GB2312" w:eastAsia="仿宋_GB2312"/>
      <w:kern w:val="2"/>
      <w:sz w:val="24"/>
      <w:szCs w:val="24"/>
      <w:lang w:val="en-US" w:eastAsia="zh-CN" w:bidi="ar-SA"/>
    </w:rPr>
  </w:style>
  <w:style w:type="character" w:customStyle="1" w:styleId="237">
    <w:name w:val="正文首行缩进 Char Char Char Char Char"/>
    <w:qFormat/>
    <w:uiPriority w:val="0"/>
    <w:rPr>
      <w:rFonts w:ascii="宋体"/>
      <w:kern w:val="2"/>
      <w:sz w:val="24"/>
      <w:lang w:val="zh-CN"/>
    </w:rPr>
  </w:style>
  <w:style w:type="character" w:customStyle="1" w:styleId="238">
    <w:name w:val="PI Char"/>
    <w:qFormat/>
    <w:uiPriority w:val="0"/>
    <w:rPr>
      <w:rFonts w:ascii="宋体" w:hAnsi="宋体" w:eastAsia="宋体"/>
      <w:kern w:val="2"/>
      <w:sz w:val="24"/>
      <w:szCs w:val="24"/>
      <w:lang w:val="en-US" w:eastAsia="zh-CN" w:bidi="ar-SA"/>
    </w:rPr>
  </w:style>
  <w:style w:type="character" w:customStyle="1" w:styleId="239">
    <w:name w:val="Default Char"/>
    <w:link w:val="80"/>
    <w:qFormat/>
    <w:uiPriority w:val="0"/>
    <w:rPr>
      <w:rFonts w:ascii="仿宋_GB2312" w:eastAsia="仿宋_GB2312" w:cs="仿宋_GB2312"/>
      <w:color w:val="000000"/>
      <w:sz w:val="24"/>
      <w:szCs w:val="24"/>
      <w:lang w:val="en-US" w:eastAsia="zh-CN" w:bidi="ar-SA"/>
    </w:rPr>
  </w:style>
  <w:style w:type="character" w:customStyle="1" w:styleId="240">
    <w:name w:val="style91"/>
    <w:qFormat/>
    <w:uiPriority w:val="0"/>
    <w:rPr>
      <w:color w:val="333333"/>
    </w:rPr>
  </w:style>
  <w:style w:type="character" w:customStyle="1" w:styleId="241">
    <w:name w:val="列出段落 Char2"/>
    <w:qFormat/>
    <w:uiPriority w:val="34"/>
    <w:rPr>
      <w:rFonts w:ascii="Calibri" w:hAnsi="Calibri"/>
      <w:kern w:val="2"/>
      <w:sz w:val="28"/>
    </w:rPr>
  </w:style>
  <w:style w:type="character" w:customStyle="1" w:styleId="242">
    <w:name w:val="mdeck"/>
    <w:qFormat/>
    <w:uiPriority w:val="0"/>
    <w:rPr>
      <w:rFonts w:ascii="仿宋_GB2312" w:eastAsia="微软雅黑"/>
      <w:b/>
      <w:kern w:val="2"/>
      <w:sz w:val="32"/>
      <w:szCs w:val="32"/>
      <w:lang w:val="en-US" w:eastAsia="zh-CN" w:bidi="ar-SA"/>
    </w:rPr>
  </w:style>
  <w:style w:type="character" w:customStyle="1" w:styleId="243">
    <w:name w:val="unnamed11"/>
    <w:qFormat/>
    <w:uiPriority w:val="0"/>
    <w:rPr>
      <w:sz w:val="20"/>
      <w:szCs w:val="20"/>
    </w:rPr>
  </w:style>
  <w:style w:type="character" w:customStyle="1" w:styleId="244">
    <w:name w:val="正文文本 Char2"/>
    <w:semiHidden/>
    <w:qFormat/>
    <w:uiPriority w:val="99"/>
    <w:rPr>
      <w:rFonts w:ascii="Times New Roman" w:hAnsi="Times New Roman" w:eastAsia="宋体" w:cs="Times New Roman"/>
      <w:snapToGrid w:val="0"/>
      <w:kern w:val="0"/>
      <w:szCs w:val="24"/>
    </w:rPr>
  </w:style>
  <w:style w:type="character" w:customStyle="1" w:styleId="245">
    <w:name w:val="标书正文格式 Char"/>
    <w:qFormat/>
    <w:uiPriority w:val="0"/>
    <w:rPr>
      <w:rFonts w:eastAsia="楷体_GB2312"/>
      <w:kern w:val="2"/>
      <w:sz w:val="24"/>
      <w:szCs w:val="24"/>
      <w:lang w:bidi="ar-SA"/>
    </w:rPr>
  </w:style>
  <w:style w:type="character" w:customStyle="1" w:styleId="246">
    <w:name w:val="Char Char11"/>
    <w:qFormat/>
    <w:locked/>
    <w:uiPriority w:val="0"/>
    <w:rPr>
      <w:rFonts w:ascii="宋体" w:hAnsi="宋体" w:eastAsia="宋体"/>
      <w:b/>
      <w:kern w:val="2"/>
      <w:sz w:val="24"/>
      <w:szCs w:val="24"/>
      <w:lang w:val="en-US" w:eastAsia="zh-CN" w:bidi="ar-SA"/>
    </w:rPr>
  </w:style>
  <w:style w:type="character" w:customStyle="1" w:styleId="247">
    <w:name w:val="ca-131"/>
    <w:qFormat/>
    <w:uiPriority w:val="0"/>
    <w:rPr>
      <w:rFonts w:hint="eastAsia" w:ascii="仿宋_GB2312" w:eastAsia="仿宋_GB2312"/>
      <w:b/>
      <w:bCs/>
      <w:color w:val="000000"/>
      <w:spacing w:val="-20"/>
      <w:sz w:val="24"/>
      <w:szCs w:val="24"/>
    </w:rPr>
  </w:style>
  <w:style w:type="character" w:customStyle="1" w:styleId="248">
    <w:name w:val="tw4winMark"/>
    <w:qFormat/>
    <w:uiPriority w:val="0"/>
    <w:rPr>
      <w:rFonts w:ascii="Courier New" w:hAnsi="Courier New" w:cs="Courier New"/>
      <w:vanish/>
      <w:color w:val="800080"/>
      <w:sz w:val="24"/>
      <w:szCs w:val="24"/>
      <w:vertAlign w:val="subscript"/>
    </w:rPr>
  </w:style>
  <w:style w:type="character" w:customStyle="1" w:styleId="249">
    <w:name w:val="正文样式 Char"/>
    <w:link w:val="250"/>
    <w:qFormat/>
    <w:uiPriority w:val="0"/>
    <w:rPr>
      <w:rFonts w:ascii="Calibri" w:hAnsi="Calibri"/>
      <w:sz w:val="24"/>
      <w:szCs w:val="24"/>
    </w:rPr>
  </w:style>
  <w:style w:type="paragraph" w:customStyle="1" w:styleId="250">
    <w:name w:val="正文样式"/>
    <w:basedOn w:val="1"/>
    <w:link w:val="249"/>
    <w:qFormat/>
    <w:uiPriority w:val="0"/>
    <w:pPr>
      <w:adjustRightInd/>
      <w:spacing w:line="360" w:lineRule="auto"/>
      <w:ind w:firstLine="480" w:firstLineChars="200"/>
    </w:pPr>
    <w:rPr>
      <w:kern w:val="0"/>
      <w:sz w:val="24"/>
    </w:rPr>
  </w:style>
  <w:style w:type="character" w:customStyle="1" w:styleId="251">
    <w:name w:val="表正文 Char3"/>
    <w:qFormat/>
    <w:uiPriority w:val="0"/>
    <w:rPr>
      <w:rFonts w:eastAsia="宋体"/>
    </w:rPr>
  </w:style>
  <w:style w:type="character" w:customStyle="1" w:styleId="252">
    <w:name w:val="H5 Char"/>
    <w:qFormat/>
    <w:uiPriority w:val="0"/>
    <w:rPr>
      <w:b/>
      <w:bCs/>
      <w:kern w:val="2"/>
      <w:sz w:val="28"/>
      <w:szCs w:val="28"/>
    </w:rPr>
  </w:style>
  <w:style w:type="character" w:customStyle="1" w:styleId="253">
    <w:name w:val="Char Char3"/>
    <w:qFormat/>
    <w:uiPriority w:val="0"/>
    <w:rPr>
      <w:rFonts w:eastAsia="宋体"/>
      <w:kern w:val="2"/>
      <w:sz w:val="21"/>
      <w:szCs w:val="24"/>
      <w:lang w:val="en-US" w:eastAsia="zh-CN" w:bidi="ar-SA"/>
    </w:rPr>
  </w:style>
  <w:style w:type="character" w:customStyle="1" w:styleId="254">
    <w:name w:val="正文 编号 Char"/>
    <w:qFormat/>
    <w:uiPriority w:val="0"/>
    <w:rPr>
      <w:rFonts w:ascii="仿宋_GB2312" w:hAnsi="仿宋_GB2312" w:eastAsia="仿宋_GB2312"/>
      <w:kern w:val="2"/>
      <w:sz w:val="24"/>
      <w:lang w:bidi="ar-SA"/>
    </w:rPr>
  </w:style>
  <w:style w:type="character" w:customStyle="1" w:styleId="255">
    <w:name w:val="question-title2"/>
    <w:qFormat/>
    <w:uiPriority w:val="6"/>
    <w:rPr>
      <w:rFonts w:ascii="Arial" w:hAnsi="Arial" w:eastAsia="黑体" w:cs="Arial"/>
      <w:snapToGrid w:val="0"/>
      <w:kern w:val="0"/>
      <w:szCs w:val="21"/>
    </w:rPr>
  </w:style>
  <w:style w:type="character" w:customStyle="1" w:styleId="256">
    <w:name w:val="gf正文1 Char Char"/>
    <w:link w:val="257"/>
    <w:qFormat/>
    <w:uiPriority w:val="0"/>
    <w:rPr>
      <w:rFonts w:ascii="宋体" w:hAnsi="宋体" w:cs="宋体"/>
      <w:kern w:val="2"/>
      <w:sz w:val="24"/>
      <w:szCs w:val="24"/>
    </w:rPr>
  </w:style>
  <w:style w:type="paragraph" w:customStyle="1" w:styleId="257">
    <w:name w:val="gf正文1"/>
    <w:basedOn w:val="1"/>
    <w:link w:val="256"/>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8">
    <w:name w:val="Char Char15"/>
    <w:qFormat/>
    <w:uiPriority w:val="6"/>
    <w:rPr>
      <w:rFonts w:ascii="宋体" w:hAnsi="宋体"/>
      <w:kern w:val="1"/>
      <w:sz w:val="21"/>
    </w:rPr>
  </w:style>
  <w:style w:type="character" w:customStyle="1" w:styleId="259">
    <w:name w:val="正文缩进 Char3"/>
    <w:qFormat/>
    <w:uiPriority w:val="0"/>
    <w:rPr>
      <w:rFonts w:ascii="宋体" w:eastAsia="宋体"/>
      <w:snapToGrid w:val="0"/>
      <w:color w:val="000000"/>
      <w:kern w:val="28"/>
      <w:sz w:val="28"/>
      <w:lang w:val="en-US" w:eastAsia="zh-CN" w:bidi="ar-SA"/>
    </w:rPr>
  </w:style>
  <w:style w:type="character" w:customStyle="1" w:styleId="260">
    <w:name w:val="列出段落 Char1"/>
    <w:link w:val="261"/>
    <w:qFormat/>
    <w:uiPriority w:val="0"/>
    <w:rPr>
      <w:rFonts w:ascii="Calibri" w:hAnsi="Calibri"/>
      <w:sz w:val="24"/>
      <w:lang w:eastAsia="en-US"/>
    </w:rPr>
  </w:style>
  <w:style w:type="paragraph" w:customStyle="1" w:styleId="261">
    <w:name w:val="列表1"/>
    <w:basedOn w:val="1"/>
    <w:next w:val="262"/>
    <w:link w:val="260"/>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2">
    <w:name w:val="列表段落1"/>
    <w:basedOn w:val="1"/>
    <w:qFormat/>
    <w:uiPriority w:val="34"/>
    <w:pPr>
      <w:spacing w:line="360" w:lineRule="auto"/>
      <w:ind w:firstLine="200" w:firstLineChars="200"/>
    </w:pPr>
    <w:rPr>
      <w:rFonts w:eastAsia="楷体_GB2312" w:cs="Lucida Sans"/>
      <w:sz w:val="24"/>
    </w:rPr>
  </w:style>
  <w:style w:type="character" w:customStyle="1" w:styleId="263">
    <w:name w:val="Char Char8"/>
    <w:qFormat/>
    <w:uiPriority w:val="0"/>
    <w:rPr>
      <w:rFonts w:eastAsia="宋体"/>
      <w:b/>
      <w:sz w:val="24"/>
      <w:lang w:val="en-GB" w:eastAsia="zh-CN"/>
    </w:rPr>
  </w:style>
  <w:style w:type="character" w:customStyle="1" w:styleId="264">
    <w:name w:val="Normal Indent Char Char"/>
    <w:qFormat/>
    <w:uiPriority w:val="0"/>
    <w:rPr>
      <w:rFonts w:eastAsia="宋体"/>
      <w:kern w:val="2"/>
      <w:sz w:val="21"/>
      <w:lang w:val="en-US" w:eastAsia="zh-CN" w:bidi="ar-SA"/>
    </w:rPr>
  </w:style>
  <w:style w:type="character" w:customStyle="1" w:styleId="265">
    <w:name w:val="列表段落 字符"/>
    <w:qFormat/>
    <w:uiPriority w:val="99"/>
  </w:style>
  <w:style w:type="character" w:customStyle="1" w:styleId="266">
    <w:name w:val="Ò³Ã¼ Char Char1"/>
    <w:qFormat/>
    <w:uiPriority w:val="0"/>
    <w:rPr>
      <w:rFonts w:eastAsia="宋体"/>
      <w:kern w:val="2"/>
      <w:sz w:val="18"/>
      <w:szCs w:val="18"/>
      <w:lang w:val="en-US" w:eastAsia="zh-CN" w:bidi="ar-SA"/>
    </w:rPr>
  </w:style>
  <w:style w:type="character" w:customStyle="1" w:styleId="267">
    <w:name w:val="方案正文 Char"/>
    <w:qFormat/>
    <w:uiPriority w:val="0"/>
    <w:rPr>
      <w:rFonts w:ascii="仿宋_GB2312" w:eastAsia="仿宋_GB2312"/>
      <w:b/>
      <w:color w:val="000000"/>
      <w:kern w:val="2"/>
      <w:sz w:val="24"/>
      <w:lang w:val="en-US" w:eastAsia="zh-CN" w:bidi="ar-SA"/>
    </w:rPr>
  </w:style>
  <w:style w:type="character" w:customStyle="1" w:styleId="268">
    <w:name w:val="Char Char30"/>
    <w:qFormat/>
    <w:uiPriority w:val="6"/>
    <w:rPr>
      <w:rFonts w:ascii="Arial" w:hAnsi="Arial" w:eastAsia="黑体"/>
      <w:kern w:val="1"/>
      <w:sz w:val="21"/>
      <w:szCs w:val="21"/>
    </w:rPr>
  </w:style>
  <w:style w:type="character" w:customStyle="1" w:styleId="269">
    <w:name w:val="正文文本缩进 字符1"/>
    <w:link w:val="24"/>
    <w:qFormat/>
    <w:uiPriority w:val="0"/>
    <w:rPr>
      <w:rFonts w:ascii="宋体" w:hAnsi="宋体"/>
      <w:kern w:val="2"/>
      <w:sz w:val="24"/>
      <w:szCs w:val="24"/>
    </w:rPr>
  </w:style>
  <w:style w:type="character" w:customStyle="1" w:styleId="270">
    <w:name w:val="font01"/>
    <w:qFormat/>
    <w:uiPriority w:val="0"/>
    <w:rPr>
      <w:rFonts w:hint="eastAsia" w:ascii="微软雅黑" w:hAnsi="微软雅黑" w:eastAsia="微软雅黑" w:cs="微软雅黑"/>
      <w:color w:val="000000"/>
      <w:sz w:val="20"/>
      <w:szCs w:val="20"/>
      <w:u w:val="none"/>
    </w:rPr>
  </w:style>
  <w:style w:type="character" w:customStyle="1" w:styleId="271">
    <w:name w:val="Char Char20"/>
    <w:qFormat/>
    <w:uiPriority w:val="6"/>
    <w:rPr>
      <w:kern w:val="1"/>
      <w:sz w:val="24"/>
    </w:rPr>
  </w:style>
  <w:style w:type="character" w:customStyle="1" w:styleId="272">
    <w:name w:val="tw4winExternal"/>
    <w:qFormat/>
    <w:uiPriority w:val="0"/>
    <w:rPr>
      <w:rFonts w:ascii="Courier New" w:hAnsi="Courier New" w:cs="Courier New"/>
      <w:color w:val="808080"/>
      <w:lang w:val="en-US" w:eastAsia="zh-CN"/>
    </w:rPr>
  </w:style>
  <w:style w:type="character" w:customStyle="1" w:styleId="273">
    <w:name w:val="标题 4 Char1"/>
    <w:qFormat/>
    <w:uiPriority w:val="9"/>
    <w:rPr>
      <w:rFonts w:ascii="Cambria" w:hAnsi="Cambria" w:eastAsia="宋体" w:cs="Times New Roman"/>
      <w:b/>
      <w:bCs/>
      <w:kern w:val="2"/>
      <w:sz w:val="28"/>
      <w:szCs w:val="28"/>
    </w:rPr>
  </w:style>
  <w:style w:type="character" w:customStyle="1" w:styleId="274">
    <w:name w:val="批注文字 Char2"/>
    <w:qFormat/>
    <w:uiPriority w:val="99"/>
    <w:rPr>
      <w:rFonts w:ascii="Times New Roman" w:hAnsi="Times New Roman" w:eastAsia="宋体" w:cs="Times New Roman"/>
      <w:snapToGrid w:val="0"/>
      <w:kern w:val="0"/>
      <w:szCs w:val="24"/>
    </w:rPr>
  </w:style>
  <w:style w:type="character" w:customStyle="1" w:styleId="275">
    <w:name w:val="正文文本 2 Char"/>
    <w:qFormat/>
    <w:uiPriority w:val="0"/>
    <w:rPr>
      <w:rFonts w:eastAsia="宋体"/>
      <w:kern w:val="2"/>
      <w:sz w:val="21"/>
      <w:szCs w:val="24"/>
      <w:lang w:val="en-US" w:eastAsia="zh-CN" w:bidi="ar-SA"/>
    </w:rPr>
  </w:style>
  <w:style w:type="character" w:customStyle="1" w:styleId="276">
    <w:name w:val="Ò³Ã¼ Char Char"/>
    <w:qFormat/>
    <w:uiPriority w:val="0"/>
    <w:rPr>
      <w:rFonts w:eastAsia="宋体"/>
      <w:kern w:val="2"/>
      <w:sz w:val="18"/>
      <w:lang w:val="en-US" w:eastAsia="zh-CN" w:bidi="ar-SA"/>
    </w:rPr>
  </w:style>
  <w:style w:type="character" w:customStyle="1" w:styleId="277">
    <w:name w:val="message1"/>
    <w:qFormat/>
    <w:uiPriority w:val="0"/>
    <w:rPr>
      <w:rFonts w:hint="default" w:ascii="Tahoma" w:hAnsi="Tahoma" w:cs="Tahoma"/>
      <w:sz w:val="18"/>
      <w:szCs w:val="18"/>
    </w:rPr>
  </w:style>
  <w:style w:type="character" w:customStyle="1" w:styleId="278">
    <w:name w:val="Char Char23"/>
    <w:qFormat/>
    <w:uiPriority w:val="6"/>
    <w:rPr>
      <w:color w:val="0000FF"/>
      <w:sz w:val="21"/>
    </w:rPr>
  </w:style>
  <w:style w:type="character" w:customStyle="1" w:styleId="279">
    <w:name w:val="批注框文本 字符"/>
    <w:qFormat/>
    <w:uiPriority w:val="0"/>
    <w:rPr>
      <w:rFonts w:ascii="Arial" w:hAnsi="Arial" w:eastAsia="黑体" w:cs="Arial"/>
      <w:snapToGrid w:val="0"/>
      <w:kern w:val="0"/>
      <w:sz w:val="18"/>
      <w:szCs w:val="18"/>
    </w:rPr>
  </w:style>
  <w:style w:type="character" w:customStyle="1" w:styleId="280">
    <w:name w:val="纯文本 Char2"/>
    <w:semiHidden/>
    <w:qFormat/>
    <w:uiPriority w:val="99"/>
    <w:rPr>
      <w:rFonts w:ascii="宋体" w:hAnsi="Courier New" w:eastAsia="宋体" w:cs="Courier New"/>
    </w:rPr>
  </w:style>
  <w:style w:type="character" w:customStyle="1" w:styleId="281">
    <w:name w:val="Char Char25"/>
    <w:qFormat/>
    <w:uiPriority w:val="6"/>
    <w:rPr>
      <w:rFonts w:ascii="宋体" w:hAnsi="宋体"/>
      <w:kern w:val="1"/>
      <w:sz w:val="24"/>
      <w:lang w:val="zh-CN"/>
    </w:rPr>
  </w:style>
  <w:style w:type="character" w:customStyle="1" w:styleId="282">
    <w:name w:val="Char Char411"/>
    <w:qFormat/>
    <w:uiPriority w:val="0"/>
    <w:rPr>
      <w:rFonts w:eastAsia="宋体"/>
      <w:b/>
      <w:sz w:val="24"/>
      <w:lang w:val="en-GB" w:eastAsia="zh-CN" w:bidi="ar-SA"/>
    </w:rPr>
  </w:style>
  <w:style w:type="character" w:customStyle="1" w:styleId="283">
    <w:name w:val="Heading 7 Char"/>
    <w:qFormat/>
    <w:locked/>
    <w:uiPriority w:val="0"/>
    <w:rPr>
      <w:rFonts w:ascii="宋体" w:hAnsi="宋体" w:eastAsia="宋体"/>
      <w:b/>
      <w:bCs/>
      <w:kern w:val="2"/>
      <w:sz w:val="24"/>
      <w:szCs w:val="24"/>
      <w:lang w:val="en-US" w:eastAsia="zh-CN" w:bidi="ar-SA"/>
    </w:rPr>
  </w:style>
  <w:style w:type="character" w:customStyle="1" w:styleId="284">
    <w:name w:val="此正文 Char"/>
    <w:link w:val="285"/>
    <w:qFormat/>
    <w:uiPriority w:val="0"/>
    <w:rPr>
      <w:kern w:val="2"/>
      <w:sz w:val="24"/>
      <w:szCs w:val="24"/>
    </w:rPr>
  </w:style>
  <w:style w:type="paragraph" w:customStyle="1" w:styleId="285">
    <w:name w:val="此正文"/>
    <w:basedOn w:val="1"/>
    <w:link w:val="284"/>
    <w:qFormat/>
    <w:uiPriority w:val="0"/>
    <w:pPr>
      <w:adjustRightInd/>
      <w:spacing w:line="360" w:lineRule="auto"/>
      <w:ind w:firstLine="200" w:firstLineChars="200"/>
    </w:pPr>
    <w:rPr>
      <w:sz w:val="24"/>
    </w:rPr>
  </w:style>
  <w:style w:type="character" w:customStyle="1" w:styleId="286">
    <w:name w:val="Char Char2"/>
    <w:qFormat/>
    <w:uiPriority w:val="0"/>
    <w:rPr>
      <w:rFonts w:eastAsia="宋体"/>
      <w:b/>
      <w:bCs/>
      <w:kern w:val="2"/>
      <w:sz w:val="21"/>
      <w:szCs w:val="24"/>
      <w:lang w:val="en-US" w:eastAsia="zh-CN" w:bidi="ar-SA"/>
    </w:rPr>
  </w:style>
  <w:style w:type="character" w:customStyle="1" w:styleId="287">
    <w:name w:val="标题 1 字符1"/>
    <w:link w:val="2"/>
    <w:qFormat/>
    <w:uiPriority w:val="9"/>
    <w:rPr>
      <w:b/>
      <w:bCs/>
      <w:kern w:val="44"/>
      <w:sz w:val="44"/>
      <w:szCs w:val="44"/>
    </w:rPr>
  </w:style>
  <w:style w:type="character" w:customStyle="1" w:styleId="288">
    <w:name w:val="Footer-Even Char1"/>
    <w:qFormat/>
    <w:uiPriority w:val="0"/>
    <w:rPr>
      <w:rFonts w:eastAsia="宋体"/>
      <w:kern w:val="2"/>
      <w:sz w:val="18"/>
      <w:szCs w:val="18"/>
      <w:lang w:val="en-US" w:eastAsia="zh-CN" w:bidi="ar-SA"/>
    </w:rPr>
  </w:style>
  <w:style w:type="character" w:customStyle="1" w:styleId="289">
    <w:name w:val="Char Char29"/>
    <w:qFormat/>
    <w:uiPriority w:val="6"/>
    <w:rPr>
      <w:rFonts w:ascii="Arial" w:hAnsi="Arial" w:eastAsia="微软雅黑"/>
      <w:b/>
      <w:kern w:val="1"/>
      <w:sz w:val="44"/>
      <w:szCs w:val="32"/>
      <w:lang w:val="en-US" w:eastAsia="zh-CN" w:bidi="ar-SA"/>
    </w:rPr>
  </w:style>
  <w:style w:type="character" w:customStyle="1" w:styleId="290">
    <w:name w:val="标题 字符"/>
    <w:link w:val="59"/>
    <w:qFormat/>
    <w:uiPriority w:val="10"/>
    <w:rPr>
      <w:b/>
      <w:sz w:val="24"/>
      <w:lang w:val="en-GB"/>
    </w:rPr>
  </w:style>
  <w:style w:type="character" w:customStyle="1" w:styleId="291">
    <w:name w:val="font81"/>
    <w:qFormat/>
    <w:uiPriority w:val="0"/>
    <w:rPr>
      <w:rFonts w:ascii="微软雅黑" w:hAnsi="微软雅黑" w:eastAsia="微软雅黑" w:cs="微软雅黑"/>
      <w:color w:val="000000"/>
      <w:sz w:val="20"/>
      <w:szCs w:val="20"/>
      <w:u w:val="none"/>
    </w:rPr>
  </w:style>
  <w:style w:type="character" w:customStyle="1" w:styleId="292">
    <w:name w:val="Char Char312"/>
    <w:qFormat/>
    <w:uiPriority w:val="0"/>
    <w:rPr>
      <w:rFonts w:ascii="Times New Roman" w:hAnsi="Times New Roman" w:eastAsia="宋体" w:cs="Times New Roman"/>
      <w:b/>
      <w:kern w:val="2"/>
      <w:sz w:val="32"/>
      <w:szCs w:val="24"/>
      <w:lang w:val="en-US" w:eastAsia="zh-CN" w:bidi="ar-SA"/>
    </w:rPr>
  </w:style>
  <w:style w:type="character" w:customStyle="1" w:styleId="293">
    <w:name w:val="t21"/>
    <w:qFormat/>
    <w:uiPriority w:val="0"/>
    <w:rPr>
      <w:rFonts w:ascii="仿宋_GB2312" w:eastAsia="微软雅黑"/>
      <w:b/>
      <w:kern w:val="2"/>
      <w:sz w:val="23"/>
      <w:szCs w:val="23"/>
      <w:lang w:val="en-US" w:eastAsia="zh-CN" w:bidi="ar-SA"/>
    </w:rPr>
  </w:style>
  <w:style w:type="character" w:customStyle="1" w:styleId="294">
    <w:name w:val="样式8 Char"/>
    <w:qFormat/>
    <w:uiPriority w:val="0"/>
    <w:rPr>
      <w:rFonts w:ascii="仿宋_GB2312" w:hAnsi="宋体" w:eastAsia="仿宋_GB2312"/>
      <w:b/>
      <w:bCs/>
      <w:kern w:val="2"/>
      <w:sz w:val="24"/>
      <w:szCs w:val="24"/>
    </w:rPr>
  </w:style>
  <w:style w:type="character" w:customStyle="1" w:styleId="295">
    <w:name w:val="表格 Char Char"/>
    <w:qFormat/>
    <w:uiPriority w:val="0"/>
    <w:rPr>
      <w:rFonts w:ascii="宋体" w:hAnsi="宋体" w:eastAsia="宋体"/>
      <w:lang w:bidi="ar-SA"/>
    </w:rPr>
  </w:style>
  <w:style w:type="character" w:customStyle="1" w:styleId="296">
    <w:name w:val="正文文本 字符1"/>
    <w:qFormat/>
    <w:uiPriority w:val="0"/>
    <w:rPr>
      <w:rFonts w:ascii="Calibri" w:hAnsi="Calibri" w:eastAsia="黑体" w:cs="Arial"/>
      <w:snapToGrid w:val="0"/>
      <w:kern w:val="2"/>
      <w:sz w:val="28"/>
      <w:szCs w:val="21"/>
    </w:rPr>
  </w:style>
  <w:style w:type="character" w:customStyle="1" w:styleId="297">
    <w:name w:val="标题 5 字符"/>
    <w:link w:val="6"/>
    <w:qFormat/>
    <w:uiPriority w:val="9"/>
    <w:rPr>
      <w:b/>
      <w:bCs/>
      <w:kern w:val="2"/>
      <w:sz w:val="28"/>
      <w:szCs w:val="28"/>
    </w:rPr>
  </w:style>
  <w:style w:type="character" w:customStyle="1" w:styleId="298">
    <w:name w:val="标题 6 Char1"/>
    <w:qFormat/>
    <w:uiPriority w:val="0"/>
    <w:rPr>
      <w:rFonts w:ascii="Arial" w:hAnsi="Arial" w:eastAsia="黑体" w:cs="Times New Roman"/>
      <w:b/>
      <w:sz w:val="24"/>
      <w:szCs w:val="20"/>
      <w:lang w:bidi="ar-SA"/>
    </w:rPr>
  </w:style>
  <w:style w:type="character" w:customStyle="1" w:styleId="299">
    <w:name w:val="带编号样式 Char"/>
    <w:qFormat/>
    <w:uiPriority w:val="0"/>
    <w:rPr>
      <w:rFonts w:ascii="仿宋_GB2312" w:eastAsia="仿宋_GB2312"/>
      <w:color w:val="000000"/>
      <w:sz w:val="24"/>
      <w:lang w:bidi="ar-SA"/>
    </w:rPr>
  </w:style>
  <w:style w:type="character" w:customStyle="1" w:styleId="300">
    <w:name w:val="unnamed31"/>
    <w:qFormat/>
    <w:uiPriority w:val="0"/>
    <w:rPr>
      <w:rFonts w:ascii="Tahoma" w:hAnsi="Tahoma" w:eastAsia="宋体"/>
      <w:b/>
      <w:kern w:val="2"/>
      <w:sz w:val="24"/>
      <w:szCs w:val="32"/>
      <w:u w:val="none"/>
      <w:lang w:val="en-US" w:eastAsia="zh-CN" w:bidi="ar-SA"/>
    </w:rPr>
  </w:style>
  <w:style w:type="character" w:customStyle="1" w:styleId="301">
    <w:name w:val="正文首行缩进 Char Char Char Char Char Char1"/>
    <w:qFormat/>
    <w:uiPriority w:val="0"/>
    <w:rPr>
      <w:rFonts w:ascii="宋体" w:eastAsia="宋体"/>
      <w:kern w:val="2"/>
      <w:sz w:val="24"/>
      <w:szCs w:val="24"/>
      <w:lang w:val="zh-CN" w:bidi="ar-SA"/>
    </w:rPr>
  </w:style>
  <w:style w:type="character" w:customStyle="1" w:styleId="302">
    <w:name w:val="称呼 字符"/>
    <w:link w:val="20"/>
    <w:qFormat/>
    <w:uiPriority w:val="0"/>
    <w:rPr>
      <w:rFonts w:ascii="仿宋_GB2312" w:eastAsia="仿宋_GB2312"/>
      <w:kern w:val="2"/>
      <w:sz w:val="28"/>
    </w:rPr>
  </w:style>
  <w:style w:type="character" w:customStyle="1" w:styleId="303">
    <w:name w:val="文本正文 Char Char"/>
    <w:qFormat/>
    <w:locked/>
    <w:uiPriority w:val="0"/>
    <w:rPr>
      <w:sz w:val="24"/>
      <w:lang w:bidi="ar-SA"/>
    </w:rPr>
  </w:style>
  <w:style w:type="character" w:customStyle="1" w:styleId="304">
    <w:name w:val="正文缩进 字符"/>
    <w:qFormat/>
    <w:uiPriority w:val="0"/>
    <w:rPr>
      <w:rFonts w:ascii="宋体" w:eastAsia="宋体"/>
      <w:snapToGrid w:val="0"/>
      <w:color w:val="000000"/>
      <w:kern w:val="28"/>
      <w:sz w:val="28"/>
      <w:lang w:val="en-US" w:eastAsia="zh-CN" w:bidi="ar-SA"/>
    </w:rPr>
  </w:style>
  <w:style w:type="character" w:customStyle="1" w:styleId="305">
    <w:name w:val="HTML 预设格式 字符"/>
    <w:link w:val="57"/>
    <w:qFormat/>
    <w:uiPriority w:val="0"/>
    <w:rPr>
      <w:rFonts w:ascii="黑体" w:hAnsi="Courier New" w:eastAsia="黑体"/>
    </w:rPr>
  </w:style>
  <w:style w:type="character" w:customStyle="1" w:styleId="306">
    <w:name w:val="正文文本 2 字符1"/>
    <w:link w:val="56"/>
    <w:qFormat/>
    <w:uiPriority w:val="0"/>
    <w:rPr>
      <w:kern w:val="2"/>
      <w:sz w:val="21"/>
      <w:szCs w:val="24"/>
    </w:rPr>
  </w:style>
  <w:style w:type="character" w:customStyle="1" w:styleId="307">
    <w:name w:val="样式 样式 标题 4h4H4Fab-4T5Ref Heading 1rh1Heading sqlsect 1.2.3.... +... Char"/>
    <w:link w:val="308"/>
    <w:qFormat/>
    <w:uiPriority w:val="0"/>
    <w:rPr>
      <w:rFonts w:ascii="微软雅黑" w:hAnsi="微软雅黑" w:eastAsia="微软雅黑"/>
      <w:b/>
      <w:bCs/>
      <w:kern w:val="2"/>
      <w:sz w:val="24"/>
      <w:szCs w:val="28"/>
    </w:rPr>
  </w:style>
  <w:style w:type="paragraph" w:customStyle="1" w:styleId="308">
    <w:name w:val="样式 样式 标题 4h4H4Fab-4T5Ref Heading 1rh1Heading sqlsect 1.2.3.... +..."/>
    <w:basedOn w:val="309"/>
    <w:link w:val="307"/>
    <w:qFormat/>
    <w:uiPriority w:val="0"/>
    <w:pPr>
      <w:tabs>
        <w:tab w:val="left" w:pos="2356"/>
      </w:tabs>
    </w:pPr>
  </w:style>
  <w:style w:type="paragraph" w:customStyle="1" w:styleId="309">
    <w:name w:val="样式 标题 4h4H4Fab-4T5Ref Heading 1rh1Heading sqlsect 1.2.3...."/>
    <w:basedOn w:val="5"/>
    <w:link w:val="417"/>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0">
    <w:name w:val="正文非缩进 Char"/>
    <w:qFormat/>
    <w:uiPriority w:val="0"/>
    <w:rPr>
      <w:rFonts w:ascii="宋体" w:eastAsia="宋体"/>
      <w:snapToGrid w:val="0"/>
      <w:color w:val="000000"/>
      <w:kern w:val="28"/>
      <w:sz w:val="28"/>
      <w:lang w:val="en-US" w:eastAsia="zh-CN" w:bidi="ar-SA"/>
    </w:rPr>
  </w:style>
  <w:style w:type="character" w:customStyle="1" w:styleId="311">
    <w:name w:val="标题 7 字符"/>
    <w:link w:val="8"/>
    <w:qFormat/>
    <w:uiPriority w:val="0"/>
    <w:rPr>
      <w:b/>
      <w:bCs/>
      <w:kern w:val="2"/>
      <w:sz w:val="24"/>
      <w:szCs w:val="24"/>
    </w:rPr>
  </w:style>
  <w:style w:type="character" w:customStyle="1" w:styleId="312">
    <w:name w:val="正文文本缩进 2 字符"/>
    <w:link w:val="36"/>
    <w:qFormat/>
    <w:uiPriority w:val="0"/>
    <w:rPr>
      <w:rFonts w:ascii="宋体"/>
      <w:sz w:val="28"/>
    </w:rPr>
  </w:style>
  <w:style w:type="character" w:customStyle="1" w:styleId="313">
    <w:name w:val="Char Char5"/>
    <w:qFormat/>
    <w:uiPriority w:val="0"/>
    <w:rPr>
      <w:rFonts w:ascii="宋体" w:hAnsi="Courier New" w:eastAsia="宋体"/>
      <w:kern w:val="2"/>
      <w:sz w:val="21"/>
      <w:lang w:val="en-US" w:eastAsia="zh-CN"/>
    </w:rPr>
  </w:style>
  <w:style w:type="character" w:customStyle="1" w:styleId="314">
    <w:name w:val="脚注文本 字符"/>
    <w:link w:val="50"/>
    <w:qFormat/>
    <w:uiPriority w:val="0"/>
    <w:rPr>
      <w:color w:val="0000FF"/>
      <w:sz w:val="21"/>
    </w:rPr>
  </w:style>
  <w:style w:type="character" w:customStyle="1" w:styleId="315">
    <w:name w:val="称呼 Char1"/>
    <w:qFormat/>
    <w:uiPriority w:val="0"/>
    <w:rPr>
      <w:rFonts w:ascii="Times New Roman" w:hAnsi="Times New Roman" w:eastAsia="宋体" w:cs="Times New Roman"/>
      <w:szCs w:val="24"/>
    </w:rPr>
  </w:style>
  <w:style w:type="character" w:customStyle="1" w:styleId="316">
    <w:name w:val="正文1 Char"/>
    <w:qFormat/>
    <w:uiPriority w:val="0"/>
    <w:rPr>
      <w:rFonts w:ascii="宋体" w:eastAsia="宋体"/>
      <w:snapToGrid w:val="0"/>
      <w:color w:val="000000"/>
      <w:kern w:val="28"/>
      <w:sz w:val="28"/>
      <w:lang w:val="en-US" w:eastAsia="zh-CN" w:bidi="ar-SA"/>
    </w:rPr>
  </w:style>
  <w:style w:type="character" w:customStyle="1" w:styleId="317">
    <w:name w:val="正文缩进 Char1"/>
    <w:qFormat/>
    <w:uiPriority w:val="0"/>
    <w:rPr>
      <w:rFonts w:ascii="宋体" w:eastAsia="宋体"/>
      <w:snapToGrid w:val="0"/>
      <w:color w:val="000000"/>
      <w:kern w:val="28"/>
      <w:sz w:val="28"/>
      <w:lang w:val="en-US" w:eastAsia="zh-CN" w:bidi="ar-SA"/>
    </w:rPr>
  </w:style>
  <w:style w:type="character" w:customStyle="1" w:styleId="318">
    <w:name w:val="font21"/>
    <w:qFormat/>
    <w:uiPriority w:val="0"/>
    <w:rPr>
      <w:rFonts w:hint="eastAsia" w:ascii="宋体" w:hAnsi="宋体" w:eastAsia="宋体"/>
      <w:kern w:val="2"/>
      <w:sz w:val="28"/>
      <w:szCs w:val="28"/>
      <w:lang w:val="en-US" w:eastAsia="zh-CN" w:bidi="ar-SA"/>
    </w:rPr>
  </w:style>
  <w:style w:type="character" w:customStyle="1" w:styleId="319">
    <w:name w:val="Char Char26"/>
    <w:qFormat/>
    <w:uiPriority w:val="6"/>
    <w:rPr>
      <w:kern w:val="1"/>
      <w:sz w:val="21"/>
      <w:szCs w:val="24"/>
    </w:rPr>
  </w:style>
  <w:style w:type="character" w:customStyle="1" w:styleId="320">
    <w:name w:val="Item List Char"/>
    <w:link w:val="321"/>
    <w:qFormat/>
    <w:uiPriority w:val="0"/>
    <w:rPr>
      <w:rFonts w:ascii="Arial"/>
      <w:bCs/>
      <w:sz w:val="21"/>
      <w:szCs w:val="21"/>
      <w:lang w:val="en-US" w:eastAsia="zh-CN" w:bidi="ar-SA"/>
    </w:rPr>
  </w:style>
  <w:style w:type="paragraph" w:customStyle="1" w:styleId="321">
    <w:name w:val="Item List"/>
    <w:link w:val="32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2">
    <w:name w:val="批注框文本 Char1"/>
    <w:qFormat/>
    <w:uiPriority w:val="0"/>
    <w:rPr>
      <w:rFonts w:ascii="Times New Roman" w:hAnsi="Times New Roman" w:eastAsia="宋体" w:cs="Times New Roman"/>
      <w:sz w:val="18"/>
      <w:szCs w:val="18"/>
    </w:rPr>
  </w:style>
  <w:style w:type="character" w:customStyle="1" w:styleId="323">
    <w:name w:val="纯文本 Char1"/>
    <w:link w:val="324"/>
    <w:qFormat/>
    <w:uiPriority w:val="0"/>
    <w:rPr>
      <w:rFonts w:ascii="宋体" w:hAnsi="Courier New"/>
    </w:rPr>
  </w:style>
  <w:style w:type="paragraph" w:customStyle="1" w:styleId="324">
    <w:name w:val="纯文本1"/>
    <w:basedOn w:val="1"/>
    <w:link w:val="323"/>
    <w:qFormat/>
    <w:uiPriority w:val="0"/>
    <w:pPr>
      <w:adjustRightInd/>
    </w:pPr>
    <w:rPr>
      <w:rFonts w:ascii="宋体" w:hAnsi="Courier New"/>
      <w:kern w:val="0"/>
      <w:sz w:val="20"/>
      <w:szCs w:val="20"/>
    </w:rPr>
  </w:style>
  <w:style w:type="character" w:customStyle="1" w:styleId="325">
    <w:name w:val="正文文本首行缩进 字符"/>
    <w:link w:val="61"/>
    <w:qFormat/>
    <w:uiPriority w:val="0"/>
    <w:rPr>
      <w:rFonts w:ascii="宋体"/>
      <w:kern w:val="2"/>
      <w:sz w:val="24"/>
      <w:lang w:val="zh-CN"/>
    </w:rPr>
  </w:style>
  <w:style w:type="character" w:customStyle="1" w:styleId="326">
    <w:name w:val="h3 Char"/>
    <w:qFormat/>
    <w:uiPriority w:val="0"/>
    <w:rPr>
      <w:rFonts w:eastAsia="宋体"/>
      <w:b/>
      <w:kern w:val="2"/>
      <w:sz w:val="32"/>
      <w:lang w:val="en-US" w:eastAsia="zh-CN" w:bidi="ar-SA"/>
    </w:rPr>
  </w:style>
  <w:style w:type="character" w:customStyle="1" w:styleId="327">
    <w:name w:val="dandyren_title1"/>
    <w:qFormat/>
    <w:uiPriority w:val="0"/>
    <w:rPr>
      <w:b/>
      <w:bCs/>
      <w:color w:val="FF6633"/>
      <w:sz w:val="18"/>
      <w:szCs w:val="18"/>
    </w:rPr>
  </w:style>
  <w:style w:type="character" w:customStyle="1" w:styleId="328">
    <w:name w:val="Char Char31"/>
    <w:qFormat/>
    <w:uiPriority w:val="6"/>
    <w:rPr>
      <w:rFonts w:ascii="Arial" w:hAnsi="Arial" w:eastAsia="黑体"/>
      <w:kern w:val="1"/>
      <w:sz w:val="24"/>
      <w:szCs w:val="24"/>
    </w:rPr>
  </w:style>
  <w:style w:type="character" w:customStyle="1" w:styleId="329">
    <w:name w:val="h Char1"/>
    <w:qFormat/>
    <w:uiPriority w:val="0"/>
    <w:rPr>
      <w:sz w:val="18"/>
      <w:szCs w:val="18"/>
    </w:rPr>
  </w:style>
  <w:style w:type="character" w:customStyle="1" w:styleId="330">
    <w:name w:val="solutionfonts"/>
    <w:qFormat/>
    <w:uiPriority w:val="0"/>
  </w:style>
  <w:style w:type="character" w:customStyle="1" w:styleId="331">
    <w:name w:val="标题 4 字符1"/>
    <w:link w:val="5"/>
    <w:qFormat/>
    <w:uiPriority w:val="9"/>
    <w:rPr>
      <w:rFonts w:ascii="Arial" w:hAnsi="Arial" w:eastAsia="黑体"/>
      <w:b/>
      <w:bCs/>
      <w:kern w:val="2"/>
      <w:sz w:val="28"/>
      <w:szCs w:val="28"/>
      <w:lang w:val="zh-CN"/>
    </w:rPr>
  </w:style>
  <w:style w:type="character" w:customStyle="1" w:styleId="332">
    <w:name w:val="首行缩进 Char"/>
    <w:qFormat/>
    <w:uiPriority w:val="0"/>
    <w:rPr>
      <w:rFonts w:ascii="宋体" w:eastAsia="宋体"/>
      <w:kern w:val="2"/>
      <w:sz w:val="24"/>
      <w:lang w:val="en-US" w:eastAsia="zh-CN" w:bidi="ar-SA"/>
    </w:rPr>
  </w:style>
  <w:style w:type="character" w:customStyle="1" w:styleId="333">
    <w:name w:val="Char Char52"/>
    <w:qFormat/>
    <w:uiPriority w:val="0"/>
    <w:rPr>
      <w:rFonts w:ascii="宋体" w:hAnsi="Courier New" w:eastAsia="宋体"/>
      <w:kern w:val="2"/>
      <w:sz w:val="21"/>
      <w:lang w:val="en-US" w:eastAsia="zh-CN"/>
    </w:rPr>
  </w:style>
  <w:style w:type="character" w:customStyle="1" w:styleId="334">
    <w:name w:val="正文文本 3 字符"/>
    <w:link w:val="21"/>
    <w:qFormat/>
    <w:uiPriority w:val="0"/>
    <w:rPr>
      <w:kern w:val="2"/>
      <w:sz w:val="21"/>
    </w:rPr>
  </w:style>
  <w:style w:type="character" w:customStyle="1" w:styleId="335">
    <w:name w:val="font31"/>
    <w:qFormat/>
    <w:uiPriority w:val="0"/>
    <w:rPr>
      <w:rFonts w:hint="eastAsia" w:ascii="仿宋" w:hAnsi="仿宋" w:eastAsia="仿宋" w:cs="仿宋"/>
      <w:color w:val="000000"/>
      <w:sz w:val="20"/>
      <w:szCs w:val="20"/>
      <w:u w:val="none"/>
    </w:rPr>
  </w:style>
  <w:style w:type="character" w:customStyle="1" w:styleId="336">
    <w:name w:val="正文说明 Char"/>
    <w:link w:val="337"/>
    <w:qFormat/>
    <w:uiPriority w:val="0"/>
    <w:rPr>
      <w:sz w:val="24"/>
      <w:szCs w:val="24"/>
    </w:rPr>
  </w:style>
  <w:style w:type="paragraph" w:customStyle="1" w:styleId="337">
    <w:name w:val="正文说明"/>
    <w:basedOn w:val="1"/>
    <w:link w:val="336"/>
    <w:qFormat/>
    <w:uiPriority w:val="0"/>
    <w:pPr>
      <w:adjustRightInd/>
      <w:spacing w:line="360" w:lineRule="auto"/>
    </w:pPr>
    <w:rPr>
      <w:kern w:val="0"/>
      <w:sz w:val="24"/>
    </w:rPr>
  </w:style>
  <w:style w:type="character" w:customStyle="1" w:styleId="338">
    <w:name w:val="脚注文本 Char1"/>
    <w:qFormat/>
    <w:uiPriority w:val="0"/>
    <w:rPr>
      <w:rFonts w:ascii="Times New Roman" w:hAnsi="Times New Roman" w:eastAsia="宋体" w:cs="Times New Roman"/>
      <w:sz w:val="18"/>
      <w:szCs w:val="18"/>
    </w:rPr>
  </w:style>
  <w:style w:type="character" w:customStyle="1" w:styleId="339">
    <w:name w:val="Char Char1211"/>
    <w:qFormat/>
    <w:uiPriority w:val="0"/>
    <w:rPr>
      <w:rFonts w:ascii="仿宋_GB2312" w:eastAsia="仿宋_GB2312"/>
      <w:b/>
      <w:bCs/>
      <w:kern w:val="2"/>
      <w:sz w:val="24"/>
      <w:szCs w:val="24"/>
      <w:lang w:val="zh-CN" w:eastAsia="zh-CN" w:bidi="ar-SA"/>
    </w:rPr>
  </w:style>
  <w:style w:type="character" w:customStyle="1" w:styleId="340">
    <w:name w:val="标题 Char"/>
    <w:qFormat/>
    <w:uiPriority w:val="0"/>
    <w:rPr>
      <w:rFonts w:eastAsia="宋体"/>
      <w:b/>
      <w:sz w:val="24"/>
      <w:lang w:val="en-GB" w:eastAsia="zh-CN" w:bidi="ar-SA"/>
    </w:rPr>
  </w:style>
  <w:style w:type="character" w:customStyle="1" w:styleId="341">
    <w:name w:val="Char Char35"/>
    <w:qFormat/>
    <w:uiPriority w:val="6"/>
    <w:rPr>
      <w:rFonts w:ascii="Arial" w:hAnsi="Arial" w:eastAsia="黑体"/>
      <w:b/>
      <w:kern w:val="1"/>
      <w:sz w:val="28"/>
      <w:szCs w:val="28"/>
      <w:lang w:val="zh-CN"/>
    </w:rPr>
  </w:style>
  <w:style w:type="character" w:customStyle="1" w:styleId="342">
    <w:name w:val="纯文本 Char Char Char"/>
    <w:qFormat/>
    <w:uiPriority w:val="0"/>
    <w:rPr>
      <w:rFonts w:ascii="宋体" w:hAnsi="Courier New" w:eastAsia="宋体"/>
      <w:kern w:val="2"/>
      <w:sz w:val="21"/>
      <w:lang w:val="en-US" w:eastAsia="zh-CN" w:bidi="ar-SA"/>
    </w:rPr>
  </w:style>
  <w:style w:type="character" w:customStyle="1" w:styleId="343">
    <w:name w:val="Table Text Char"/>
    <w:link w:val="344"/>
    <w:qFormat/>
    <w:uiPriority w:val="0"/>
    <w:rPr>
      <w:sz w:val="24"/>
      <w:szCs w:val="24"/>
    </w:rPr>
  </w:style>
  <w:style w:type="paragraph" w:customStyle="1" w:styleId="344">
    <w:name w:val="Table Text"/>
    <w:basedOn w:val="1"/>
    <w:link w:val="343"/>
    <w:qFormat/>
    <w:uiPriority w:val="0"/>
    <w:pPr>
      <w:widowControl/>
      <w:spacing w:before="60" w:after="60"/>
      <w:jc w:val="left"/>
    </w:pPr>
    <w:rPr>
      <w:kern w:val="0"/>
      <w:sz w:val="24"/>
    </w:rPr>
  </w:style>
  <w:style w:type="character" w:customStyle="1" w:styleId="345">
    <w:name w:val="正文1 Char1"/>
    <w:qFormat/>
    <w:uiPriority w:val="0"/>
    <w:rPr>
      <w:rFonts w:ascii="仿宋_GB2312" w:hAnsi="Courier New" w:eastAsia="仿宋_GB2312"/>
      <w:kern w:val="28"/>
      <w:sz w:val="24"/>
      <w:szCs w:val="24"/>
      <w:lang w:val="en-US" w:eastAsia="zh-CN"/>
    </w:rPr>
  </w:style>
  <w:style w:type="character" w:customStyle="1" w:styleId="346">
    <w:name w:val="页脚 Char1"/>
    <w:qFormat/>
    <w:uiPriority w:val="0"/>
    <w:rPr>
      <w:rFonts w:eastAsia="宋体"/>
      <w:kern w:val="2"/>
      <w:sz w:val="18"/>
      <w:szCs w:val="18"/>
      <w:lang w:val="en-US" w:eastAsia="zh-CN" w:bidi="ar-SA"/>
    </w:rPr>
  </w:style>
  <w:style w:type="character" w:customStyle="1" w:styleId="347">
    <w:name w:val="Bold"/>
    <w:qFormat/>
    <w:uiPriority w:val="0"/>
    <w:rPr>
      <w:rFonts w:ascii="Arial" w:hAnsi="Arial" w:eastAsia="黑体" w:cs="Times New Roman"/>
      <w:b/>
      <w:kern w:val="2"/>
      <w:sz w:val="32"/>
      <w:szCs w:val="32"/>
      <w:lang w:val="en-US" w:eastAsia="zh-CN" w:bidi="ar-SA"/>
    </w:rPr>
  </w:style>
  <w:style w:type="character" w:customStyle="1" w:styleId="348">
    <w:name w:val="批注文字 字符1"/>
    <w:link w:val="19"/>
    <w:qFormat/>
    <w:uiPriority w:val="99"/>
    <w:rPr>
      <w:kern w:val="2"/>
      <w:sz w:val="21"/>
      <w:szCs w:val="24"/>
    </w:rPr>
  </w:style>
  <w:style w:type="character" w:customStyle="1" w:styleId="349">
    <w:name w:val="签名 字符"/>
    <w:link w:val="42"/>
    <w:qFormat/>
    <w:uiPriority w:val="0"/>
    <w:rPr>
      <w:rFonts w:eastAsia="仿宋_GB2312"/>
      <w:sz w:val="24"/>
    </w:rPr>
  </w:style>
  <w:style w:type="character" w:customStyle="1" w:styleId="350">
    <w:name w:val="hui3"/>
    <w:qFormat/>
    <w:uiPriority w:val="0"/>
    <w:rPr>
      <w:color w:val="333333"/>
    </w:rPr>
  </w:style>
  <w:style w:type="character" w:customStyle="1" w:styleId="351">
    <w:name w:val="Char Char17"/>
    <w:qFormat/>
    <w:uiPriority w:val="6"/>
    <w:rPr>
      <w:rFonts w:eastAsia="仿宋_GB2312"/>
      <w:sz w:val="24"/>
    </w:rPr>
  </w:style>
  <w:style w:type="character" w:customStyle="1" w:styleId="352">
    <w:name w:val="标题 4 字符"/>
    <w:qFormat/>
    <w:uiPriority w:val="9"/>
    <w:rPr>
      <w:rFonts w:ascii="等线 Light" w:hAnsi="等线 Light" w:eastAsia="等线 Light" w:cs="Times New Roman"/>
      <w:b/>
      <w:bCs/>
      <w:snapToGrid w:val="0"/>
      <w:kern w:val="0"/>
      <w:sz w:val="28"/>
      <w:szCs w:val="28"/>
    </w:rPr>
  </w:style>
  <w:style w:type="character" w:customStyle="1" w:styleId="353">
    <w:name w:val="Char Char37"/>
    <w:qFormat/>
    <w:uiPriority w:val="6"/>
    <w:rPr>
      <w:b/>
      <w:kern w:val="1"/>
      <w:sz w:val="44"/>
      <w:szCs w:val="44"/>
    </w:rPr>
  </w:style>
  <w:style w:type="character" w:customStyle="1" w:styleId="354">
    <w:name w:val="列出段落 Char"/>
    <w:qFormat/>
    <w:uiPriority w:val="0"/>
    <w:rPr>
      <w:rFonts w:eastAsia="楷体_GB2312" w:cs="Lucida Sans"/>
      <w:kern w:val="2"/>
      <w:sz w:val="24"/>
      <w:szCs w:val="24"/>
      <w:lang w:val="en-US" w:eastAsia="zh-CN" w:bidi="ar-SA"/>
    </w:rPr>
  </w:style>
  <w:style w:type="character" w:customStyle="1" w:styleId="355">
    <w:name w:val="正文文本缩进 3 Char1"/>
    <w:semiHidden/>
    <w:qFormat/>
    <w:uiPriority w:val="99"/>
    <w:rPr>
      <w:rFonts w:ascii="Times New Roman" w:hAnsi="Times New Roman" w:eastAsia="宋体" w:cs="Times New Roman"/>
      <w:sz w:val="16"/>
      <w:szCs w:val="16"/>
    </w:rPr>
  </w:style>
  <w:style w:type="character" w:customStyle="1" w:styleId="356">
    <w:name w:val="公文正文 Char Char"/>
    <w:link w:val="357"/>
    <w:qFormat/>
    <w:uiPriority w:val="0"/>
    <w:rPr>
      <w:rFonts w:ascii="仿宋_GB2312" w:eastAsia="仿宋_GB2312"/>
      <w:kern w:val="2"/>
      <w:sz w:val="24"/>
      <w:szCs w:val="24"/>
    </w:rPr>
  </w:style>
  <w:style w:type="paragraph" w:customStyle="1" w:styleId="357">
    <w:name w:val="公文正文"/>
    <w:basedOn w:val="1"/>
    <w:link w:val="356"/>
    <w:qFormat/>
    <w:uiPriority w:val="0"/>
    <w:pPr>
      <w:adjustRightInd/>
      <w:spacing w:before="156" w:line="360" w:lineRule="auto"/>
      <w:ind w:firstLine="360" w:firstLineChars="200"/>
    </w:pPr>
    <w:rPr>
      <w:rFonts w:ascii="仿宋_GB2312" w:eastAsia="仿宋_GB2312"/>
      <w:sz w:val="24"/>
    </w:rPr>
  </w:style>
  <w:style w:type="character" w:customStyle="1" w:styleId="358">
    <w:name w:val="Table Text Char1"/>
    <w:qFormat/>
    <w:uiPriority w:val="0"/>
    <w:rPr>
      <w:rFonts w:eastAsia="宋体"/>
      <w:sz w:val="24"/>
      <w:szCs w:val="24"/>
      <w:lang w:val="en-US" w:eastAsia="zh-CN" w:bidi="ar-SA"/>
    </w:rPr>
  </w:style>
  <w:style w:type="character" w:customStyle="1" w:styleId="359">
    <w:name w:val="标题 1 Char Char"/>
    <w:qFormat/>
    <w:uiPriority w:val="0"/>
    <w:rPr>
      <w:rFonts w:hint="eastAsia" w:ascii="宋体" w:hAnsi="宋体" w:eastAsia="宋体"/>
      <w:b/>
      <w:spacing w:val="-2"/>
      <w:sz w:val="24"/>
      <w:lang w:val="en-US" w:eastAsia="zh-CN" w:bidi="ar-SA"/>
    </w:rPr>
  </w:style>
  <w:style w:type="character" w:customStyle="1" w:styleId="360">
    <w:name w:val="正文（缩进2汉字） Char"/>
    <w:link w:val="361"/>
    <w:qFormat/>
    <w:uiPriority w:val="0"/>
    <w:rPr>
      <w:rFonts w:ascii="宋体"/>
    </w:rPr>
  </w:style>
  <w:style w:type="paragraph" w:customStyle="1" w:styleId="361">
    <w:name w:val="正文（缩进2汉字）"/>
    <w:basedOn w:val="1"/>
    <w:link w:val="360"/>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2">
    <w:name w:val="标题 8 字符"/>
    <w:link w:val="9"/>
    <w:qFormat/>
    <w:uiPriority w:val="0"/>
    <w:rPr>
      <w:rFonts w:ascii="Arial" w:hAnsi="Arial" w:eastAsia="黑体"/>
      <w:kern w:val="2"/>
      <w:sz w:val="24"/>
      <w:szCs w:val="24"/>
    </w:rPr>
  </w:style>
  <w:style w:type="character" w:customStyle="1" w:styleId="363">
    <w:name w:val="标书表格字体格式 Char"/>
    <w:qFormat/>
    <w:uiPriority w:val="0"/>
    <w:rPr>
      <w:kern w:val="2"/>
      <w:sz w:val="21"/>
      <w:szCs w:val="24"/>
      <w:lang w:bidi="ar-SA"/>
    </w:rPr>
  </w:style>
  <w:style w:type="character" w:customStyle="1" w:styleId="364">
    <w:name w:val="tw4winError"/>
    <w:qFormat/>
    <w:uiPriority w:val="0"/>
    <w:rPr>
      <w:rFonts w:ascii="Courier New" w:hAnsi="Courier New" w:cs="Courier New"/>
      <w:color w:val="00FF00"/>
      <w:sz w:val="40"/>
      <w:szCs w:val="40"/>
    </w:rPr>
  </w:style>
  <w:style w:type="character" w:customStyle="1" w:styleId="365">
    <w:name w:val="Body Text(ch) Char Char"/>
    <w:qFormat/>
    <w:uiPriority w:val="0"/>
    <w:rPr>
      <w:rFonts w:ascii="宋体"/>
      <w:kern w:val="2"/>
      <w:sz w:val="24"/>
      <w:szCs w:val="21"/>
      <w:lang w:val="zh-CN"/>
    </w:rPr>
  </w:style>
  <w:style w:type="character" w:customStyle="1" w:styleId="366">
    <w:name w:val="正文首行缩进两字 Char"/>
    <w:qFormat/>
    <w:uiPriority w:val="0"/>
    <w:rPr>
      <w:sz w:val="24"/>
      <w:szCs w:val="24"/>
      <w:lang w:val="en-US" w:eastAsia="zh-CN" w:bidi="ar-SA"/>
    </w:rPr>
  </w:style>
  <w:style w:type="character" w:customStyle="1" w:styleId="367">
    <w:name w:val="正文文本 Char"/>
    <w:qFormat/>
    <w:uiPriority w:val="0"/>
    <w:rPr>
      <w:rFonts w:eastAsia="宋体"/>
      <w:kern w:val="2"/>
      <w:sz w:val="24"/>
      <w:szCs w:val="24"/>
      <w:lang w:val="en-US" w:eastAsia="zh-CN" w:bidi="ar-SA"/>
    </w:rPr>
  </w:style>
  <w:style w:type="character" w:customStyle="1" w:styleId="368">
    <w:name w:val="文档结构图 字符1"/>
    <w:qFormat/>
    <w:uiPriority w:val="0"/>
    <w:rPr>
      <w:rFonts w:ascii="宋体" w:hAnsi="Calibri" w:eastAsia="黑体" w:cs="Arial"/>
      <w:snapToGrid w:val="0"/>
      <w:kern w:val="2"/>
      <w:sz w:val="18"/>
      <w:szCs w:val="18"/>
    </w:rPr>
  </w:style>
  <w:style w:type="character" w:customStyle="1" w:styleId="369">
    <w:name w:val="content"/>
    <w:qFormat/>
    <w:uiPriority w:val="0"/>
  </w:style>
  <w:style w:type="character" w:customStyle="1" w:styleId="370">
    <w:name w:val="tw4winPopup"/>
    <w:qFormat/>
    <w:uiPriority w:val="0"/>
    <w:rPr>
      <w:rFonts w:ascii="Courier New" w:hAnsi="Courier New" w:cs="Courier New"/>
      <w:color w:val="008000"/>
      <w:lang w:val="en-US" w:eastAsia="zh-CN"/>
    </w:rPr>
  </w:style>
  <w:style w:type="character" w:customStyle="1" w:styleId="371">
    <w:name w:val="param-name"/>
    <w:qFormat/>
    <w:uiPriority w:val="99"/>
    <w:rPr>
      <w:rFonts w:ascii="Arial" w:hAnsi="Arial" w:eastAsia="黑体" w:cs="Arial"/>
      <w:snapToGrid w:val="0"/>
      <w:kern w:val="0"/>
      <w:szCs w:val="21"/>
    </w:rPr>
  </w:style>
  <w:style w:type="character" w:customStyle="1" w:styleId="372">
    <w:name w:val="标准正文格式 Char"/>
    <w:qFormat/>
    <w:uiPriority w:val="0"/>
    <w:rPr>
      <w:rFonts w:ascii="宋体" w:eastAsia="仿宋_GB2312" w:cs="宋体"/>
      <w:color w:val="000000"/>
      <w:sz w:val="24"/>
      <w:lang w:val="en-US" w:eastAsia="zh-CN" w:bidi="ar-SA"/>
    </w:rPr>
  </w:style>
  <w:style w:type="character" w:customStyle="1" w:styleId="373">
    <w:name w:val="Char Char212"/>
    <w:qFormat/>
    <w:uiPriority w:val="0"/>
    <w:rPr>
      <w:rFonts w:eastAsia="宋体"/>
      <w:b/>
      <w:bCs/>
      <w:kern w:val="2"/>
      <w:sz w:val="21"/>
      <w:szCs w:val="24"/>
      <w:lang w:val="en-US" w:eastAsia="zh-CN" w:bidi="ar-SA"/>
    </w:rPr>
  </w:style>
  <w:style w:type="character" w:customStyle="1" w:styleId="374">
    <w:name w:val="文档结构图 Char"/>
    <w:qFormat/>
    <w:uiPriority w:val="0"/>
    <w:rPr>
      <w:rFonts w:eastAsia="宋体"/>
      <w:kern w:val="2"/>
      <w:sz w:val="21"/>
      <w:szCs w:val="24"/>
      <w:lang w:val="en-US" w:eastAsia="zh-CN" w:bidi="ar-SA"/>
    </w:rPr>
  </w:style>
  <w:style w:type="character" w:customStyle="1" w:styleId="375">
    <w:name w:val="zbggmain style9"/>
    <w:qFormat/>
    <w:uiPriority w:val="0"/>
  </w:style>
  <w:style w:type="character" w:customStyle="1" w:styleId="376">
    <w:name w:val="Char Char16"/>
    <w:qFormat/>
    <w:uiPriority w:val="6"/>
    <w:rPr>
      <w:kern w:val="1"/>
      <w:sz w:val="18"/>
      <w:szCs w:val="18"/>
    </w:rPr>
  </w:style>
  <w:style w:type="character" w:customStyle="1" w:styleId="377">
    <w:name w:val="font51"/>
    <w:qFormat/>
    <w:uiPriority w:val="0"/>
    <w:rPr>
      <w:rFonts w:hint="eastAsia" w:ascii="仿宋" w:hAnsi="仿宋" w:eastAsia="仿宋" w:cs="仿宋"/>
      <w:color w:val="000000"/>
      <w:sz w:val="20"/>
      <w:szCs w:val="20"/>
      <w:u w:val="none"/>
    </w:rPr>
  </w:style>
  <w:style w:type="character" w:customStyle="1" w:styleId="378">
    <w:name w:val="Char Char82"/>
    <w:qFormat/>
    <w:uiPriority w:val="0"/>
    <w:rPr>
      <w:rFonts w:eastAsia="宋体"/>
      <w:b/>
      <w:sz w:val="24"/>
      <w:lang w:val="en-GB" w:eastAsia="zh-CN"/>
    </w:rPr>
  </w:style>
  <w:style w:type="character" w:customStyle="1" w:styleId="379">
    <w:name w:val="正文文本缩进 3 字符"/>
    <w:link w:val="53"/>
    <w:qFormat/>
    <w:uiPriority w:val="0"/>
    <w:rPr>
      <w:kern w:val="2"/>
      <w:sz w:val="24"/>
    </w:rPr>
  </w:style>
  <w:style w:type="character" w:customStyle="1" w:styleId="380">
    <w:name w:val="日期 Char1"/>
    <w:semiHidden/>
    <w:qFormat/>
    <w:uiPriority w:val="99"/>
    <w:rPr>
      <w:rFonts w:ascii="Times New Roman" w:hAnsi="Times New Roman" w:eastAsia="宋体" w:cs="Times New Roman"/>
      <w:szCs w:val="24"/>
    </w:rPr>
  </w:style>
  <w:style w:type="character" w:customStyle="1" w:styleId="381">
    <w:name w:val="页眉 字符"/>
    <w:qFormat/>
    <w:uiPriority w:val="99"/>
    <w:rPr>
      <w:kern w:val="2"/>
      <w:sz w:val="18"/>
      <w:szCs w:val="18"/>
    </w:rPr>
  </w:style>
  <w:style w:type="character" w:customStyle="1" w:styleId="382">
    <w:name w:val="Char Char33"/>
    <w:qFormat/>
    <w:uiPriority w:val="6"/>
    <w:rPr>
      <w:rFonts w:ascii="Arial" w:hAnsi="Arial" w:eastAsia="黑体"/>
      <w:b/>
      <w:kern w:val="1"/>
      <w:sz w:val="24"/>
      <w:szCs w:val="24"/>
    </w:rPr>
  </w:style>
  <w:style w:type="character" w:customStyle="1" w:styleId="383">
    <w:name w:val="b11_01b Char"/>
    <w:link w:val="384"/>
    <w:qFormat/>
    <w:uiPriority w:val="0"/>
    <w:rPr>
      <w:rFonts w:ascii="Verdana" w:hAnsi="Verdana"/>
      <w:b/>
      <w:bCs/>
      <w:color w:val="4A82CA"/>
      <w:sz w:val="17"/>
      <w:szCs w:val="17"/>
    </w:rPr>
  </w:style>
  <w:style w:type="paragraph" w:customStyle="1" w:styleId="384">
    <w:name w:val="b11_01b"/>
    <w:basedOn w:val="1"/>
    <w:next w:val="1"/>
    <w:link w:val="383"/>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5">
    <w:name w:val="Char Char121"/>
    <w:qFormat/>
    <w:uiPriority w:val="6"/>
    <w:rPr>
      <w:rFonts w:ascii="仿宋_GB2312" w:eastAsia="仿宋_GB2312"/>
      <w:b/>
      <w:bCs/>
      <w:kern w:val="2"/>
      <w:sz w:val="24"/>
      <w:szCs w:val="24"/>
      <w:lang w:val="zh-CN" w:eastAsia="zh-CN" w:bidi="ar-SA"/>
    </w:rPr>
  </w:style>
  <w:style w:type="character" w:customStyle="1" w:styleId="386">
    <w:name w:val="Footer-Even Char"/>
    <w:qFormat/>
    <w:uiPriority w:val="0"/>
    <w:rPr>
      <w:rFonts w:eastAsia="宋体"/>
      <w:kern w:val="2"/>
      <w:sz w:val="18"/>
      <w:lang w:val="en-US" w:eastAsia="zh-CN" w:bidi="ar-SA"/>
    </w:rPr>
  </w:style>
  <w:style w:type="character" w:customStyle="1" w:styleId="387">
    <w:name w:val="页脚 字符2"/>
    <w:link w:val="39"/>
    <w:qFormat/>
    <w:locked/>
    <w:uiPriority w:val="99"/>
    <w:rPr>
      <w:kern w:val="2"/>
      <w:sz w:val="18"/>
      <w:szCs w:val="18"/>
    </w:rPr>
  </w:style>
  <w:style w:type="character" w:customStyle="1" w:styleId="388">
    <w:name w:val="Char Char36"/>
    <w:qFormat/>
    <w:uiPriority w:val="6"/>
    <w:rPr>
      <w:rFonts w:ascii="仿宋_GB2312" w:hAnsi="仿宋_GB2312" w:eastAsia="仿宋_GB2312" w:cs="Arial"/>
      <w:b/>
      <w:kern w:val="1"/>
      <w:sz w:val="32"/>
      <w:szCs w:val="32"/>
      <w:lang w:val="zh-CN" w:eastAsia="zh-CN" w:bidi="ar-SA"/>
    </w:rPr>
  </w:style>
  <w:style w:type="character" w:customStyle="1" w:styleId="389">
    <w:name w:val="Char Char61"/>
    <w:qFormat/>
    <w:uiPriority w:val="6"/>
    <w:rPr>
      <w:rFonts w:eastAsia="宋体"/>
      <w:kern w:val="2"/>
      <w:sz w:val="21"/>
      <w:szCs w:val="24"/>
      <w:lang w:val="en-US" w:eastAsia="zh-CN" w:bidi="ar-SA"/>
    </w:rPr>
  </w:style>
  <w:style w:type="character" w:customStyle="1" w:styleId="390">
    <w:name w:val="正文文字缩进 2 Char Char"/>
    <w:qFormat/>
    <w:uiPriority w:val="0"/>
    <w:rPr>
      <w:rFonts w:ascii="宋体"/>
      <w:sz w:val="28"/>
    </w:rPr>
  </w:style>
  <w:style w:type="character" w:customStyle="1" w:styleId="391">
    <w:name w:val="f141"/>
    <w:qFormat/>
    <w:uiPriority w:val="0"/>
    <w:rPr>
      <w:rFonts w:ascii="Tahoma" w:hAnsi="Tahoma" w:eastAsia="宋体"/>
      <w:b/>
      <w:kern w:val="2"/>
      <w:sz w:val="21"/>
      <w:szCs w:val="21"/>
      <w:lang w:val="en-US" w:eastAsia="zh-CN" w:bidi="ar-SA"/>
    </w:rPr>
  </w:style>
  <w:style w:type="character" w:customStyle="1" w:styleId="392">
    <w:name w:val="段落 Char Char"/>
    <w:link w:val="393"/>
    <w:qFormat/>
    <w:uiPriority w:val="0"/>
    <w:rPr>
      <w:rFonts w:ascii="宋体" w:hAnsi="宋体"/>
      <w:sz w:val="24"/>
    </w:rPr>
  </w:style>
  <w:style w:type="paragraph" w:customStyle="1" w:styleId="393">
    <w:name w:val="段落"/>
    <w:basedOn w:val="1"/>
    <w:link w:val="392"/>
    <w:qFormat/>
    <w:uiPriority w:val="0"/>
    <w:pPr>
      <w:adjustRightInd/>
      <w:spacing w:line="360" w:lineRule="auto"/>
      <w:ind w:firstLine="480" w:firstLineChars="200"/>
    </w:pPr>
    <w:rPr>
      <w:rFonts w:ascii="宋体" w:hAnsi="宋体"/>
      <w:kern w:val="0"/>
      <w:sz w:val="24"/>
      <w:szCs w:val="20"/>
    </w:rPr>
  </w:style>
  <w:style w:type="character" w:customStyle="1" w:styleId="394">
    <w:name w:val="标题 3 Char2"/>
    <w:qFormat/>
    <w:uiPriority w:val="0"/>
    <w:rPr>
      <w:rFonts w:eastAsia="宋体"/>
      <w:b/>
      <w:bCs/>
      <w:kern w:val="2"/>
      <w:sz w:val="32"/>
      <w:szCs w:val="32"/>
      <w:lang w:val="en-US" w:eastAsia="zh-CN" w:bidi="ar-SA"/>
    </w:rPr>
  </w:style>
  <w:style w:type="character" w:customStyle="1" w:styleId="395">
    <w:name w:val="apple-converted-space"/>
    <w:qFormat/>
    <w:uiPriority w:val="0"/>
  </w:style>
  <w:style w:type="character" w:customStyle="1" w:styleId="396">
    <w:name w:val="页眉 字符2"/>
    <w:link w:val="41"/>
    <w:qFormat/>
    <w:uiPriority w:val="99"/>
    <w:rPr>
      <w:kern w:val="2"/>
      <w:sz w:val="18"/>
      <w:szCs w:val="18"/>
    </w:rPr>
  </w:style>
  <w:style w:type="character" w:customStyle="1" w:styleId="397">
    <w:name w:val="Char Char9"/>
    <w:qFormat/>
    <w:uiPriority w:val="0"/>
    <w:rPr>
      <w:rFonts w:eastAsia="宋体"/>
      <w:kern w:val="2"/>
      <w:sz w:val="18"/>
      <w:szCs w:val="18"/>
      <w:lang w:val="en-US" w:eastAsia="zh-CN" w:bidi="ar-SA"/>
    </w:rPr>
  </w:style>
  <w:style w:type="character" w:customStyle="1" w:styleId="398">
    <w:name w:val="Char Char41"/>
    <w:qFormat/>
    <w:uiPriority w:val="0"/>
    <w:rPr>
      <w:rFonts w:eastAsia="宋体"/>
      <w:b/>
      <w:sz w:val="24"/>
      <w:lang w:val="en-GB" w:eastAsia="zh-CN" w:bidi="ar-SA"/>
    </w:rPr>
  </w:style>
  <w:style w:type="character" w:customStyle="1" w:styleId="399">
    <w:name w:val="large1"/>
    <w:qFormat/>
    <w:uiPriority w:val="0"/>
    <w:rPr>
      <w:rFonts w:hint="eastAsia" w:ascii="宋体" w:hAnsi="宋体" w:eastAsia="宋体"/>
      <w:sz w:val="21"/>
      <w:szCs w:val="21"/>
    </w:rPr>
  </w:style>
  <w:style w:type="character" w:customStyle="1" w:styleId="400">
    <w:name w:val="正文段 Char"/>
    <w:link w:val="401"/>
    <w:qFormat/>
    <w:uiPriority w:val="0"/>
    <w:rPr>
      <w:sz w:val="24"/>
    </w:rPr>
  </w:style>
  <w:style w:type="paragraph" w:customStyle="1" w:styleId="401">
    <w:name w:val="正文段"/>
    <w:basedOn w:val="1"/>
    <w:link w:val="400"/>
    <w:qFormat/>
    <w:uiPriority w:val="0"/>
    <w:pPr>
      <w:widowControl/>
      <w:snapToGrid w:val="0"/>
      <w:spacing w:afterLines="50"/>
      <w:ind w:firstLine="200" w:firstLineChars="200"/>
    </w:pPr>
    <w:rPr>
      <w:kern w:val="0"/>
      <w:sz w:val="24"/>
      <w:szCs w:val="20"/>
    </w:rPr>
  </w:style>
  <w:style w:type="character" w:customStyle="1" w:styleId="402">
    <w:name w:val="Char Char13"/>
    <w:qFormat/>
    <w:uiPriority w:val="6"/>
    <w:rPr>
      <w:rFonts w:ascii="宋体" w:hAnsi="宋体"/>
      <w:kern w:val="1"/>
      <w:sz w:val="21"/>
      <w:szCs w:val="24"/>
    </w:rPr>
  </w:style>
  <w:style w:type="character" w:customStyle="1" w:styleId="40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4">
    <w:name w:val="冯广丽 Char"/>
    <w:link w:val="405"/>
    <w:qFormat/>
    <w:uiPriority w:val="0"/>
    <w:rPr>
      <w:rFonts w:ascii="宋体" w:hAnsi="宋体"/>
      <w:kern w:val="2"/>
      <w:sz w:val="24"/>
      <w:szCs w:val="22"/>
    </w:rPr>
  </w:style>
  <w:style w:type="paragraph" w:customStyle="1" w:styleId="405">
    <w:name w:val="冯广丽"/>
    <w:basedOn w:val="1"/>
    <w:link w:val="404"/>
    <w:qFormat/>
    <w:uiPriority w:val="0"/>
    <w:pPr>
      <w:adjustRightInd/>
      <w:spacing w:line="360" w:lineRule="auto"/>
      <w:ind w:firstLine="480" w:firstLineChars="200"/>
    </w:pPr>
    <w:rPr>
      <w:rFonts w:ascii="宋体" w:hAnsi="宋体"/>
      <w:sz w:val="24"/>
      <w:szCs w:val="22"/>
    </w:rPr>
  </w:style>
  <w:style w:type="character" w:customStyle="1" w:styleId="406">
    <w:name w:val="批注文字 字符"/>
    <w:qFormat/>
    <w:uiPriority w:val="0"/>
    <w:rPr>
      <w:rFonts w:ascii="Arial" w:hAnsi="Arial" w:eastAsia="黑体" w:cs="Arial"/>
      <w:snapToGrid w:val="0"/>
      <w:kern w:val="0"/>
      <w:szCs w:val="21"/>
    </w:rPr>
  </w:style>
  <w:style w:type="character" w:customStyle="1" w:styleId="407">
    <w:name w:val="Char Char161"/>
    <w:qFormat/>
    <w:uiPriority w:val="0"/>
    <w:rPr>
      <w:rFonts w:eastAsia="宋体"/>
      <w:b/>
      <w:kern w:val="2"/>
      <w:sz w:val="32"/>
      <w:lang w:val="en-US" w:eastAsia="zh-CN"/>
    </w:rPr>
  </w:style>
  <w:style w:type="character" w:customStyle="1" w:styleId="408">
    <w:name w:val="javascript"/>
    <w:qFormat/>
    <w:uiPriority w:val="0"/>
  </w:style>
  <w:style w:type="character" w:customStyle="1" w:styleId="409">
    <w:name w:val="图名 Char"/>
    <w:qFormat/>
    <w:uiPriority w:val="0"/>
    <w:rPr>
      <w:rFonts w:ascii="Arial" w:hAnsi="Arial" w:eastAsia="黑体"/>
      <w:kern w:val="2"/>
      <w:sz w:val="24"/>
      <w:szCs w:val="24"/>
      <w:lang w:val="en-US" w:eastAsia="zh-CN" w:bidi="ar-SA"/>
    </w:rPr>
  </w:style>
  <w:style w:type="character" w:customStyle="1" w:styleId="410">
    <w:name w:val="Used by Word for text of Help footnotes Char Char"/>
    <w:qFormat/>
    <w:uiPriority w:val="0"/>
    <w:rPr>
      <w:rFonts w:ascii="Times New Roman" w:hAnsi="Times New Roman" w:eastAsia="宋体" w:cs="Times New Roman"/>
      <w:sz w:val="20"/>
      <w:szCs w:val="20"/>
    </w:rPr>
  </w:style>
  <w:style w:type="character" w:customStyle="1" w:styleId="411">
    <w:name w:val="编号，小四 Char"/>
    <w:link w:val="412"/>
    <w:qFormat/>
    <w:uiPriority w:val="0"/>
    <w:rPr>
      <w:rFonts w:ascii="Arial" w:hAnsi="Arial"/>
      <w:sz w:val="24"/>
    </w:rPr>
  </w:style>
  <w:style w:type="paragraph" w:customStyle="1" w:styleId="412">
    <w:name w:val="编号，小四"/>
    <w:basedOn w:val="1"/>
    <w:link w:val="411"/>
    <w:qFormat/>
    <w:uiPriority w:val="0"/>
    <w:pPr>
      <w:tabs>
        <w:tab w:val="left" w:pos="432"/>
      </w:tabs>
      <w:adjustRightInd/>
      <w:spacing w:line="360" w:lineRule="auto"/>
      <w:ind w:left="432" w:hanging="432"/>
    </w:pPr>
    <w:rPr>
      <w:rFonts w:ascii="Arial" w:hAnsi="Arial"/>
      <w:kern w:val="0"/>
      <w:sz w:val="24"/>
      <w:szCs w:val="20"/>
    </w:rPr>
  </w:style>
  <w:style w:type="character" w:customStyle="1" w:styleId="413">
    <w:name w:val="Font Style82"/>
    <w:qFormat/>
    <w:uiPriority w:val="99"/>
    <w:rPr>
      <w:rFonts w:ascii="宋体" w:eastAsia="宋体" w:cs="宋体"/>
      <w:color w:val="000000"/>
      <w:sz w:val="14"/>
      <w:szCs w:val="14"/>
    </w:rPr>
  </w:style>
  <w:style w:type="character" w:customStyle="1" w:styleId="414">
    <w:name w:val="标题 2 Char Char"/>
    <w:qFormat/>
    <w:uiPriority w:val="0"/>
    <w:rPr>
      <w:rFonts w:ascii="楷体_GB2312" w:hAnsi="Arial" w:eastAsia="楷体_GB2312"/>
      <w:b/>
      <w:bCs/>
      <w:kern w:val="2"/>
      <w:sz w:val="24"/>
      <w:szCs w:val="32"/>
      <w:lang w:val="en-US" w:eastAsia="zh-CN" w:bidi="ar-SA"/>
    </w:rPr>
  </w:style>
  <w:style w:type="character" w:customStyle="1" w:styleId="415">
    <w:name w:val="未用 Char"/>
    <w:qFormat/>
    <w:uiPriority w:val="0"/>
    <w:rPr>
      <w:rFonts w:ascii="Arial" w:hAnsi="Arial" w:eastAsia="黑体"/>
      <w:kern w:val="2"/>
      <w:sz w:val="21"/>
      <w:szCs w:val="21"/>
      <w:lang w:val="en-US" w:eastAsia="zh-CN" w:bidi="ar-SA"/>
    </w:rPr>
  </w:style>
  <w:style w:type="character" w:customStyle="1" w:styleId="416">
    <w:name w:val="myp1111"/>
    <w:qFormat/>
    <w:uiPriority w:val="0"/>
    <w:rPr>
      <w:rFonts w:hint="default" w:ascii="ˎ̥" w:hAnsi="ˎ̥"/>
      <w:color w:val="000000"/>
      <w:sz w:val="20"/>
      <w:szCs w:val="20"/>
      <w:u w:val="none"/>
    </w:rPr>
  </w:style>
  <w:style w:type="character" w:customStyle="1" w:styleId="417">
    <w:name w:val="样式 标题 4h4H4Fab-4T5Ref Heading 1rh1Heading sqlsect 1.2.3.... Char"/>
    <w:link w:val="309"/>
    <w:qFormat/>
    <w:uiPriority w:val="0"/>
    <w:rPr>
      <w:rFonts w:ascii="微软雅黑" w:hAnsi="微软雅黑" w:eastAsia="微软雅黑"/>
      <w:b/>
      <w:bCs/>
      <w:kern w:val="2"/>
      <w:sz w:val="24"/>
      <w:szCs w:val="28"/>
    </w:rPr>
  </w:style>
  <w:style w:type="character" w:customStyle="1" w:styleId="418">
    <w:name w:val="h Char Char"/>
    <w:qFormat/>
    <w:uiPriority w:val="0"/>
    <w:rPr>
      <w:rFonts w:eastAsia="宋体"/>
      <w:kern w:val="2"/>
      <w:sz w:val="18"/>
      <w:lang w:val="en-US" w:eastAsia="zh-CN" w:bidi="ar-SA"/>
    </w:rPr>
  </w:style>
  <w:style w:type="character" w:customStyle="1" w:styleId="419">
    <w:name w:val="仿宋正文 Char"/>
    <w:link w:val="420"/>
    <w:qFormat/>
    <w:uiPriority w:val="0"/>
    <w:rPr>
      <w:rFonts w:ascii="仿宋_GB2312" w:eastAsia="仿宋_GB2312"/>
      <w:kern w:val="2"/>
      <w:sz w:val="24"/>
      <w:lang w:val="en-US" w:eastAsia="zh-CN" w:bidi="ar-SA"/>
    </w:rPr>
  </w:style>
  <w:style w:type="paragraph" w:customStyle="1" w:styleId="420">
    <w:name w:val="仿宋正文"/>
    <w:basedOn w:val="1"/>
    <w:link w:val="419"/>
    <w:qFormat/>
    <w:uiPriority w:val="0"/>
    <w:pPr>
      <w:adjustRightInd/>
      <w:spacing w:line="360" w:lineRule="auto"/>
      <w:ind w:firstLine="480" w:firstLineChars="200"/>
    </w:pPr>
    <w:rPr>
      <w:rFonts w:ascii="仿宋_GB2312" w:eastAsia="仿宋_GB2312"/>
      <w:sz w:val="24"/>
      <w:szCs w:val="20"/>
    </w:rPr>
  </w:style>
  <w:style w:type="character" w:customStyle="1" w:styleId="421">
    <w:name w:val="正文首行缩进 Char Char Char Char Char Char"/>
    <w:qFormat/>
    <w:uiPriority w:val="0"/>
    <w:rPr>
      <w:rFonts w:ascii="宋体" w:eastAsia="宋体"/>
      <w:kern w:val="2"/>
      <w:sz w:val="24"/>
      <w:lang w:val="zh-CN" w:bidi="ar-SA"/>
    </w:rPr>
  </w:style>
  <w:style w:type="character" w:customStyle="1" w:styleId="422">
    <w:name w:val="样式 宋体"/>
    <w:qFormat/>
    <w:uiPriority w:val="0"/>
    <w:rPr>
      <w:rFonts w:ascii="宋体" w:hAnsi="宋体"/>
      <w:sz w:val="24"/>
    </w:rPr>
  </w:style>
  <w:style w:type="character" w:customStyle="1" w:styleId="423">
    <w:name w:val="tw4winJump"/>
    <w:qFormat/>
    <w:uiPriority w:val="0"/>
    <w:rPr>
      <w:rFonts w:ascii="Courier New" w:hAnsi="Courier New" w:cs="Courier New"/>
      <w:color w:val="008080"/>
      <w:lang w:val="en-US" w:eastAsia="zh-CN"/>
    </w:rPr>
  </w:style>
  <w:style w:type="character" w:customStyle="1" w:styleId="424">
    <w:name w:val="标题 1 字符"/>
    <w:qFormat/>
    <w:uiPriority w:val="9"/>
    <w:rPr>
      <w:rFonts w:ascii="Arial" w:hAnsi="Arial" w:eastAsia="黑体" w:cs="Arial"/>
      <w:b/>
      <w:bCs/>
      <w:snapToGrid w:val="0"/>
      <w:kern w:val="44"/>
      <w:sz w:val="44"/>
      <w:szCs w:val="44"/>
    </w:rPr>
  </w:style>
  <w:style w:type="character" w:customStyle="1" w:styleId="425">
    <w:name w:val="style36"/>
    <w:basedOn w:val="70"/>
    <w:qFormat/>
    <w:uiPriority w:val="0"/>
    <w:rPr>
      <w:rFonts w:ascii="Arial" w:hAnsi="Arial" w:eastAsia="黑体" w:cs="Arial"/>
      <w:snapToGrid w:val="0"/>
      <w:kern w:val="0"/>
      <w:szCs w:val="21"/>
    </w:rPr>
  </w:style>
  <w:style w:type="character" w:customStyle="1" w:styleId="426">
    <w:name w:val="pt9"/>
    <w:qFormat/>
    <w:uiPriority w:val="0"/>
    <w:rPr>
      <w:rFonts w:ascii="仿宋_GB2312" w:eastAsia="微软雅黑"/>
      <w:b/>
      <w:kern w:val="2"/>
      <w:sz w:val="32"/>
      <w:szCs w:val="32"/>
      <w:lang w:val="en-US" w:eastAsia="zh-CN" w:bidi="ar-SA"/>
    </w:rPr>
  </w:style>
  <w:style w:type="character" w:customStyle="1" w:styleId="427">
    <w:name w:val="DO_NOT_TRANSLATE"/>
    <w:qFormat/>
    <w:uiPriority w:val="0"/>
    <w:rPr>
      <w:rFonts w:ascii="Courier New" w:hAnsi="Courier New" w:cs="Courier New"/>
      <w:color w:val="800000"/>
      <w:lang w:val="en-US" w:eastAsia="zh-CN"/>
    </w:rPr>
  </w:style>
  <w:style w:type="character" w:customStyle="1" w:styleId="428">
    <w:name w:val="标书1 Char1"/>
    <w:qFormat/>
    <w:uiPriority w:val="0"/>
    <w:rPr>
      <w:rFonts w:eastAsia="宋体"/>
      <w:b/>
      <w:bCs/>
      <w:kern w:val="44"/>
      <w:sz w:val="44"/>
      <w:szCs w:val="44"/>
      <w:lang w:val="en-US" w:eastAsia="zh-CN" w:bidi="ar-SA"/>
    </w:rPr>
  </w:style>
  <w:style w:type="character" w:customStyle="1" w:styleId="429">
    <w:name w:val="页脚 字符"/>
    <w:qFormat/>
    <w:uiPriority w:val="99"/>
    <w:rPr>
      <w:kern w:val="2"/>
      <w:sz w:val="18"/>
      <w:szCs w:val="18"/>
    </w:rPr>
  </w:style>
  <w:style w:type="character" w:customStyle="1" w:styleId="430">
    <w:name w:val="正文2 Char"/>
    <w:qFormat/>
    <w:uiPriority w:val="0"/>
    <w:rPr>
      <w:rFonts w:eastAsia="宋体"/>
      <w:kern w:val="2"/>
      <w:sz w:val="24"/>
      <w:lang w:val="en-US" w:eastAsia="zh-CN" w:bidi="ar-SA"/>
    </w:rPr>
  </w:style>
  <w:style w:type="character" w:customStyle="1" w:styleId="431">
    <w:name w:val="Char Char21"/>
    <w:qFormat/>
    <w:uiPriority w:val="6"/>
    <w:rPr>
      <w:rFonts w:ascii="宋体" w:hAnsi="宋体"/>
      <w:kern w:val="1"/>
      <w:sz w:val="24"/>
      <w:szCs w:val="21"/>
      <w:lang w:val="zh-CN"/>
    </w:rPr>
  </w:style>
  <w:style w:type="character" w:customStyle="1" w:styleId="432">
    <w:name w:val="样式 正文缩进 + 首行缩进:  2 字符 Char Char"/>
    <w:link w:val="433"/>
    <w:qFormat/>
    <w:uiPriority w:val="0"/>
    <w:rPr>
      <w:rFonts w:cs="宋体"/>
      <w:kern w:val="2"/>
      <w:sz w:val="24"/>
    </w:rPr>
  </w:style>
  <w:style w:type="paragraph" w:customStyle="1" w:styleId="433">
    <w:name w:val="样式 正文缩进 + 首行缩进:  2 字符"/>
    <w:basedOn w:val="15"/>
    <w:link w:val="432"/>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4">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5">
    <w:name w:val="gray6"/>
    <w:basedOn w:val="70"/>
    <w:qFormat/>
    <w:uiPriority w:val="0"/>
    <w:rPr>
      <w:rFonts w:ascii="Arial" w:hAnsi="Arial" w:eastAsia="黑体" w:cs="Arial"/>
      <w:snapToGrid w:val="0"/>
      <w:kern w:val="0"/>
      <w:szCs w:val="21"/>
    </w:rPr>
  </w:style>
  <w:style w:type="character" w:customStyle="1" w:styleId="436">
    <w:name w:val="hui"/>
    <w:basedOn w:val="70"/>
    <w:qFormat/>
    <w:uiPriority w:val="0"/>
    <w:rPr>
      <w:rFonts w:ascii="Arial" w:hAnsi="Arial" w:eastAsia="黑体" w:cs="Arial"/>
      <w:snapToGrid w:val="0"/>
      <w:kern w:val="0"/>
      <w:szCs w:val="21"/>
    </w:rPr>
  </w:style>
  <w:style w:type="character" w:customStyle="1" w:styleId="437">
    <w:name w:val="哈哈正文 Char Char"/>
    <w:qFormat/>
    <w:uiPriority w:val="0"/>
    <w:rPr>
      <w:rFonts w:ascii="宋体" w:hAnsi="宋体" w:eastAsia="宋体" w:cs="宋体"/>
      <w:kern w:val="2"/>
      <w:sz w:val="24"/>
      <w:lang w:val="en-US" w:eastAsia="zh-CN" w:bidi="ar-SA"/>
    </w:rPr>
  </w:style>
  <w:style w:type="paragraph" w:customStyle="1" w:styleId="438">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9">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0">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1">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2">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4">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5">
    <w:name w:val="标题4_自定义"/>
    <w:basedOn w:val="5"/>
    <w:qFormat/>
    <w:uiPriority w:val="0"/>
    <w:pPr>
      <w:adjustRightInd/>
      <w:spacing w:before="0" w:after="0" w:line="360" w:lineRule="auto"/>
    </w:pPr>
    <w:rPr>
      <w:rFonts w:ascii="Verdana" w:eastAsia="Verdana"/>
      <w:sz w:val="21"/>
      <w:lang w:val="en-US"/>
    </w:rPr>
  </w:style>
  <w:style w:type="paragraph" w:customStyle="1" w:styleId="446">
    <w:name w:val="正文 内标 序号标"/>
    <w:basedOn w:val="447"/>
    <w:qFormat/>
    <w:uiPriority w:val="0"/>
    <w:pPr>
      <w:tabs>
        <w:tab w:val="left" w:pos="0"/>
      </w:tabs>
      <w:adjustRightInd/>
      <w:spacing w:before="0"/>
      <w:ind w:firstLine="482"/>
    </w:pPr>
    <w:rPr>
      <w:rFonts w:ascii="微软雅黑" w:hAnsi="微软雅黑"/>
      <w:sz w:val="24"/>
      <w:szCs w:val="24"/>
    </w:rPr>
  </w:style>
  <w:style w:type="paragraph" w:customStyle="1" w:styleId="447">
    <w:name w:val="My正文"/>
    <w:basedOn w:val="1"/>
    <w:qFormat/>
    <w:uiPriority w:val="0"/>
    <w:pPr>
      <w:spacing w:before="120" w:line="360" w:lineRule="auto"/>
      <w:ind w:firstLine="567"/>
    </w:pPr>
    <w:rPr>
      <w:rFonts w:ascii="Arial" w:hAnsi="Arial"/>
      <w:sz w:val="20"/>
      <w:szCs w:val="20"/>
    </w:rPr>
  </w:style>
  <w:style w:type="paragraph" w:customStyle="1" w:styleId="448">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9">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0">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1">
    <w:name w:val="修订2"/>
    <w:qFormat/>
    <w:uiPriority w:val="0"/>
    <w:rPr>
      <w:rFonts w:ascii="Times New Roman" w:hAnsi="Times New Roman" w:eastAsia="宋体" w:cs="Times New Roman"/>
      <w:kern w:val="2"/>
      <w:sz w:val="21"/>
      <w:lang w:val="en-US" w:eastAsia="zh-CN" w:bidi="ar-SA"/>
    </w:rPr>
  </w:style>
  <w:style w:type="paragraph" w:customStyle="1" w:styleId="452">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3">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4">
    <w:name w:val="文章标题"/>
    <w:next w:val="455"/>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5">
    <w:name w:val="封面公司名"/>
    <w:qFormat/>
    <w:uiPriority w:val="0"/>
    <w:pPr>
      <w:jc w:val="center"/>
    </w:pPr>
    <w:rPr>
      <w:rFonts w:ascii="Arial" w:hAnsi="Arial" w:eastAsia="楷体_GB2312" w:cs="宋体"/>
      <w:bCs/>
      <w:kern w:val="2"/>
      <w:sz w:val="28"/>
      <w:lang w:val="en-US" w:eastAsia="zh-CN" w:bidi="ar-SA"/>
    </w:rPr>
  </w:style>
  <w:style w:type="paragraph" w:customStyle="1" w:styleId="456">
    <w:name w:val="Char1 Char Char Char5"/>
    <w:basedOn w:val="1"/>
    <w:qFormat/>
    <w:uiPriority w:val="0"/>
    <w:pPr>
      <w:adjustRightInd/>
      <w:ind w:firstLine="200" w:firstLineChars="200"/>
    </w:pPr>
    <w:rPr>
      <w:rFonts w:ascii="Tahoma" w:hAnsi="Tahoma"/>
      <w:sz w:val="24"/>
      <w:szCs w:val="20"/>
    </w:rPr>
  </w:style>
  <w:style w:type="paragraph" w:customStyle="1" w:styleId="45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8">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9">
    <w:name w:val="Char Char Char Char Char Char Char Char"/>
    <w:basedOn w:val="1"/>
    <w:qFormat/>
    <w:uiPriority w:val="0"/>
    <w:pPr>
      <w:tabs>
        <w:tab w:val="left" w:pos="360"/>
      </w:tabs>
    </w:pPr>
    <w:rPr>
      <w:sz w:val="24"/>
      <w:szCs w:val="20"/>
    </w:rPr>
  </w:style>
  <w:style w:type="paragraph" w:customStyle="1" w:styleId="460">
    <w:name w:val="Char Char11 Char Char Char"/>
    <w:basedOn w:val="1"/>
    <w:qFormat/>
    <w:uiPriority w:val="0"/>
    <w:pPr>
      <w:spacing w:line="360" w:lineRule="auto"/>
    </w:pPr>
    <w:rPr>
      <w:szCs w:val="20"/>
    </w:rPr>
  </w:style>
  <w:style w:type="paragraph" w:customStyle="1" w:styleId="461">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2">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3">
    <w:name w:val="样式3"/>
    <w:basedOn w:val="464"/>
    <w:qFormat/>
    <w:uiPriority w:val="0"/>
    <w:pPr>
      <w:tabs>
        <w:tab w:val="left" w:pos="2790"/>
        <w:tab w:val="left" w:pos="4230"/>
      </w:tabs>
      <w:spacing w:beforeLines="100"/>
      <w:jc w:val="left"/>
    </w:pPr>
  </w:style>
  <w:style w:type="paragraph" w:customStyle="1" w:styleId="464">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5">
    <w:name w:val="Char Char1 Char Char1 Char Char1"/>
    <w:basedOn w:val="1"/>
    <w:qFormat/>
    <w:uiPriority w:val="0"/>
    <w:pPr>
      <w:tabs>
        <w:tab w:val="left" w:pos="840"/>
      </w:tabs>
      <w:ind w:left="840" w:hanging="420"/>
    </w:pPr>
    <w:rPr>
      <w:rFonts w:ascii="Tahoma" w:hAnsi="Tahoma"/>
      <w:sz w:val="24"/>
    </w:rPr>
  </w:style>
  <w:style w:type="paragraph" w:customStyle="1" w:styleId="466">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7">
    <w:name w:val="标书标题2"/>
    <w:basedOn w:val="3"/>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8">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9">
    <w:name w:val="正文21"/>
    <w:basedOn w:val="1"/>
    <w:qFormat/>
    <w:uiPriority w:val="0"/>
    <w:pPr>
      <w:adjustRightInd/>
      <w:spacing w:before="156" w:line="360" w:lineRule="auto"/>
      <w:ind w:firstLine="510" w:firstLineChars="200"/>
    </w:pPr>
    <w:rPr>
      <w:sz w:val="24"/>
      <w:szCs w:val="20"/>
    </w:rPr>
  </w:style>
  <w:style w:type="paragraph" w:customStyle="1" w:styleId="470">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1">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2">
    <w:name w:val="Char1"/>
    <w:basedOn w:val="1"/>
    <w:qFormat/>
    <w:uiPriority w:val="0"/>
    <w:rPr>
      <w:rFonts w:ascii="仿宋_GB2312" w:eastAsia="仿宋_GB2312"/>
      <w:b/>
      <w:sz w:val="32"/>
      <w:szCs w:val="32"/>
    </w:rPr>
  </w:style>
  <w:style w:type="paragraph" w:customStyle="1" w:styleId="473">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4">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5">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6">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7">
    <w:name w:val="6级标题"/>
    <w:basedOn w:val="478"/>
    <w:qFormat/>
    <w:uiPriority w:val="0"/>
    <w:pPr>
      <w:keepNext/>
      <w:tabs>
        <w:tab w:val="left" w:pos="360"/>
      </w:tabs>
      <w:outlineLvl w:val="5"/>
    </w:pPr>
  </w:style>
  <w:style w:type="paragraph" w:customStyle="1" w:styleId="478">
    <w:name w:val="5级标题"/>
    <w:basedOn w:val="479"/>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9">
    <w:name w:val="4级标题"/>
    <w:basedOn w:val="26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0">
    <w:name w:val="样式 正文文本缩进 + 段前: 2 字符"/>
    <w:basedOn w:val="1"/>
    <w:qFormat/>
    <w:uiPriority w:val="0"/>
    <w:pPr>
      <w:adjustRightInd/>
      <w:ind w:left="420" w:leftChars="200"/>
      <w:jc w:val="left"/>
    </w:pPr>
    <w:rPr>
      <w:sz w:val="28"/>
      <w:szCs w:val="20"/>
      <w:lang w:eastAsia="zh-TW"/>
    </w:rPr>
  </w:style>
  <w:style w:type="paragraph" w:customStyle="1" w:styleId="481">
    <w:name w:val="Char2 Char Char"/>
    <w:basedOn w:val="1"/>
    <w:qFormat/>
    <w:uiPriority w:val="0"/>
    <w:pPr>
      <w:adjustRightInd/>
    </w:pPr>
    <w:rPr>
      <w:rFonts w:ascii="Tahoma" w:hAnsi="Tahoma"/>
      <w:sz w:val="24"/>
      <w:szCs w:val="20"/>
    </w:rPr>
  </w:style>
  <w:style w:type="paragraph" w:customStyle="1" w:styleId="482">
    <w:name w:val="_Style 11"/>
    <w:basedOn w:val="1"/>
    <w:qFormat/>
    <w:uiPriority w:val="34"/>
    <w:pPr>
      <w:adjustRightInd/>
      <w:ind w:firstLine="420" w:firstLineChars="200"/>
    </w:pPr>
    <w:rPr>
      <w:rFonts w:eastAsia="仿宋_GB2312"/>
      <w:sz w:val="28"/>
    </w:rPr>
  </w:style>
  <w:style w:type="paragraph" w:customStyle="1" w:styleId="483">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4">
    <w:name w:val="Char Char Char"/>
    <w:basedOn w:val="1"/>
    <w:qFormat/>
    <w:uiPriority w:val="0"/>
    <w:rPr>
      <w:rFonts w:ascii="Tahoma" w:hAnsi="Tahoma"/>
      <w:sz w:val="24"/>
      <w:szCs w:val="20"/>
    </w:rPr>
  </w:style>
  <w:style w:type="paragraph" w:customStyle="1" w:styleId="485">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7">
    <w:name w:val="无间隔2"/>
    <w:basedOn w:val="1"/>
    <w:link w:val="935"/>
    <w:qFormat/>
    <w:uiPriority w:val="99"/>
    <w:rPr>
      <w:szCs w:val="22"/>
    </w:rPr>
  </w:style>
  <w:style w:type="paragraph" w:customStyle="1" w:styleId="48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9">
    <w:name w:val="Char Char Char Char Char Char Char Char Char Char Char Char1 Char1"/>
    <w:basedOn w:val="1"/>
    <w:qFormat/>
    <w:uiPriority w:val="6"/>
    <w:rPr>
      <w:rFonts w:ascii="Tahoma" w:hAnsi="Tahoma" w:cs="仿宋_GB2312"/>
      <w:sz w:val="24"/>
      <w:szCs w:val="20"/>
    </w:rPr>
  </w:style>
  <w:style w:type="paragraph" w:customStyle="1" w:styleId="490">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1">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2">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3">
    <w:name w:val="MM Topic 2"/>
    <w:basedOn w:val="3"/>
    <w:qFormat/>
    <w:uiPriority w:val="0"/>
    <w:pPr>
      <w:tabs>
        <w:tab w:val="left" w:pos="1260"/>
      </w:tabs>
      <w:ind w:left="1260" w:hanging="420"/>
    </w:pPr>
    <w:rPr>
      <w:rFonts w:ascii="Arial" w:hAnsi="Arial" w:eastAsia="黑体"/>
      <w:lang w:val="en-US"/>
    </w:rPr>
  </w:style>
  <w:style w:type="paragraph" w:customStyle="1" w:styleId="494">
    <w:name w:val="五级无标题条"/>
    <w:basedOn w:val="1"/>
    <w:qFormat/>
    <w:uiPriority w:val="0"/>
    <w:pPr>
      <w:adjustRightInd/>
    </w:pPr>
  </w:style>
  <w:style w:type="paragraph" w:customStyle="1" w:styleId="495">
    <w:name w:val="Char5"/>
    <w:basedOn w:val="1"/>
    <w:qFormat/>
    <w:uiPriority w:val="0"/>
    <w:rPr>
      <w:rFonts w:ascii="仿宋_GB2312" w:eastAsia="仿宋_GB2312"/>
      <w:b/>
      <w:sz w:val="32"/>
      <w:szCs w:val="32"/>
    </w:rPr>
  </w:style>
  <w:style w:type="paragraph" w:customStyle="1" w:styleId="496">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7">
    <w:name w:val="彩色列表 - 强调文字颜色 12"/>
    <w:basedOn w:val="1"/>
    <w:qFormat/>
    <w:uiPriority w:val="0"/>
    <w:pPr>
      <w:adjustRightInd/>
      <w:ind w:firstLine="420" w:firstLineChars="200"/>
    </w:pPr>
    <w:rPr>
      <w:rFonts w:ascii="Calibri" w:hAnsi="Calibri"/>
      <w:szCs w:val="22"/>
    </w:rPr>
  </w:style>
  <w:style w:type="paragraph" w:customStyle="1" w:styleId="498">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9">
    <w:name w:val="Char2"/>
    <w:basedOn w:val="1"/>
    <w:qFormat/>
    <w:uiPriority w:val="0"/>
    <w:rPr>
      <w:rFonts w:ascii="仿宋_GB2312" w:eastAsia="仿宋_GB2312"/>
      <w:b/>
      <w:sz w:val="32"/>
      <w:szCs w:val="32"/>
    </w:rPr>
  </w:style>
  <w:style w:type="paragraph" w:customStyle="1" w:styleId="500">
    <w:name w:val="数字标题3"/>
    <w:basedOn w:val="4"/>
    <w:next w:val="1"/>
    <w:qFormat/>
    <w:uiPriority w:val="0"/>
    <w:pPr>
      <w:spacing w:line="240" w:lineRule="auto"/>
    </w:pPr>
    <w:rPr>
      <w:sz w:val="28"/>
      <w:szCs w:val="28"/>
    </w:rPr>
  </w:style>
  <w:style w:type="paragraph" w:customStyle="1" w:styleId="501">
    <w:name w:val="FA正文"/>
    <w:basedOn w:val="1"/>
    <w:qFormat/>
    <w:uiPriority w:val="0"/>
    <w:pPr>
      <w:spacing w:line="360" w:lineRule="auto"/>
      <w:ind w:firstLine="480" w:firstLineChars="200"/>
    </w:pPr>
    <w:rPr>
      <w:rFonts w:hAnsi="宋体"/>
      <w:sz w:val="24"/>
      <w:szCs w:val="20"/>
    </w:rPr>
  </w:style>
  <w:style w:type="paragraph" w:customStyle="1" w:styleId="502">
    <w:name w:val="MM Topic 5"/>
    <w:basedOn w:val="6"/>
    <w:qFormat/>
    <w:uiPriority w:val="0"/>
    <w:pPr>
      <w:tabs>
        <w:tab w:val="left" w:pos="2520"/>
      </w:tabs>
      <w:adjustRightInd/>
      <w:ind w:left="2520" w:hanging="420"/>
    </w:pPr>
  </w:style>
  <w:style w:type="paragraph" w:customStyle="1" w:styleId="503">
    <w:name w:val="Char Char Char Char Char Char Char Char Char Char1"/>
    <w:basedOn w:val="1"/>
    <w:qFormat/>
    <w:uiPriority w:val="0"/>
    <w:rPr>
      <w:rFonts w:ascii="仿宋_GB2312" w:eastAsia="仿宋_GB2312"/>
      <w:b/>
      <w:sz w:val="32"/>
      <w:szCs w:val="32"/>
    </w:rPr>
  </w:style>
  <w:style w:type="paragraph" w:customStyle="1" w:styleId="50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5">
    <w:name w:val="修订1"/>
    <w:qFormat/>
    <w:uiPriority w:val="3"/>
    <w:rPr>
      <w:rFonts w:ascii="Times New Roman" w:hAnsi="Times New Roman" w:eastAsia="宋体" w:cs="Times New Roman"/>
      <w:color w:val="000000"/>
      <w:kern w:val="1"/>
      <w:sz w:val="21"/>
      <w:lang w:val="en-US" w:eastAsia="zh-CN" w:bidi="ar-SA"/>
    </w:rPr>
  </w:style>
  <w:style w:type="paragraph" w:customStyle="1" w:styleId="506">
    <w:name w:val="Char2 Char Char Char"/>
    <w:basedOn w:val="1"/>
    <w:qFormat/>
    <w:uiPriority w:val="0"/>
    <w:rPr>
      <w:rFonts w:ascii="仿宋_GB2312" w:eastAsia="仿宋_GB2312"/>
      <w:b/>
      <w:sz w:val="32"/>
      <w:szCs w:val="32"/>
    </w:rPr>
  </w:style>
  <w:style w:type="paragraph" w:customStyle="1" w:styleId="507">
    <w:name w:val="Char2 Char Char Char1"/>
    <w:basedOn w:val="1"/>
    <w:qFormat/>
    <w:uiPriority w:val="6"/>
    <w:rPr>
      <w:rFonts w:ascii="仿宋_GB2312" w:eastAsia="仿宋_GB2312"/>
      <w:b/>
      <w:sz w:val="32"/>
      <w:szCs w:val="32"/>
    </w:rPr>
  </w:style>
  <w:style w:type="paragraph" w:customStyle="1" w:styleId="508">
    <w:name w:val="默认段落样式"/>
    <w:basedOn w:val="136"/>
    <w:qFormat/>
    <w:uiPriority w:val="0"/>
    <w:pPr>
      <w:spacing w:before="0"/>
      <w:ind w:firstLine="480"/>
      <w:outlineLvl w:val="2"/>
    </w:pPr>
    <w:rPr>
      <w:rFonts w:ascii="仿宋_GB2312" w:hAnsi="宋体" w:eastAsia="仿宋_GB2312"/>
      <w:color w:val="000000"/>
      <w:szCs w:val="24"/>
    </w:rPr>
  </w:style>
  <w:style w:type="paragraph" w:customStyle="1" w:styleId="509">
    <w:name w:val="图中文字"/>
    <w:basedOn w:val="1"/>
    <w:qFormat/>
    <w:uiPriority w:val="0"/>
    <w:pPr>
      <w:snapToGrid w:val="0"/>
      <w:spacing w:line="0" w:lineRule="atLeast"/>
      <w:ind w:firstLine="200" w:firstLineChars="200"/>
      <w:jc w:val="center"/>
    </w:pPr>
    <w:rPr>
      <w:sz w:val="24"/>
      <w:szCs w:val="20"/>
    </w:rPr>
  </w:style>
  <w:style w:type="paragraph" w:customStyle="1" w:styleId="510">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1">
    <w:name w:val="MM Topic 3"/>
    <w:basedOn w:val="4"/>
    <w:qFormat/>
    <w:uiPriority w:val="0"/>
    <w:pPr>
      <w:tabs>
        <w:tab w:val="left" w:pos="1680"/>
      </w:tabs>
      <w:adjustRightInd/>
      <w:ind w:left="1680" w:hanging="420"/>
    </w:pPr>
  </w:style>
  <w:style w:type="paragraph" w:customStyle="1" w:styleId="512">
    <w:name w:val="标准小四"/>
    <w:basedOn w:val="1"/>
    <w:qFormat/>
    <w:uiPriority w:val="0"/>
    <w:pPr>
      <w:spacing w:line="360" w:lineRule="auto"/>
      <w:ind w:firstLine="480" w:firstLineChars="200"/>
    </w:pPr>
    <w:rPr>
      <w:rFonts w:ascii="Arial" w:hAnsi="Arial"/>
      <w:sz w:val="24"/>
      <w:szCs w:val="21"/>
    </w:rPr>
  </w:style>
  <w:style w:type="paragraph" w:customStyle="1" w:styleId="513">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4">
    <w:name w:val="表格（小）"/>
    <w:basedOn w:val="1"/>
    <w:qFormat/>
    <w:uiPriority w:val="0"/>
    <w:pPr>
      <w:adjustRightInd/>
      <w:snapToGrid w:val="0"/>
      <w:spacing w:line="300" w:lineRule="auto"/>
    </w:pPr>
    <w:rPr>
      <w:rFonts w:eastAsia="仿宋"/>
      <w:szCs w:val="21"/>
    </w:rPr>
  </w:style>
  <w:style w:type="paragraph" w:customStyle="1" w:styleId="51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6">
    <w:name w:val="Char2 Char Char1"/>
    <w:basedOn w:val="1"/>
    <w:qFormat/>
    <w:uiPriority w:val="6"/>
    <w:pPr>
      <w:adjustRightInd/>
    </w:pPr>
    <w:rPr>
      <w:rFonts w:ascii="Tahoma" w:hAnsi="Tahoma"/>
      <w:sz w:val="24"/>
      <w:szCs w:val="20"/>
    </w:rPr>
  </w:style>
  <w:style w:type="paragraph" w:customStyle="1" w:styleId="517">
    <w:name w:val="列出段落5"/>
    <w:basedOn w:val="1"/>
    <w:qFormat/>
    <w:uiPriority w:val="0"/>
    <w:pPr>
      <w:spacing w:line="360" w:lineRule="auto"/>
      <w:ind w:firstLine="200" w:firstLineChars="200"/>
    </w:pPr>
    <w:rPr>
      <w:rFonts w:eastAsia="楷体_GB2312" w:cs="Lucida Sans"/>
      <w:sz w:val="24"/>
    </w:rPr>
  </w:style>
  <w:style w:type="paragraph" w:customStyle="1" w:styleId="518">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9">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20">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1">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3">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4">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5">
    <w:name w:val="_Style 3"/>
    <w:basedOn w:val="1"/>
    <w:qFormat/>
    <w:uiPriority w:val="0"/>
    <w:pPr>
      <w:adjustRightInd/>
      <w:ind w:firstLine="420" w:firstLineChars="200"/>
    </w:pPr>
    <w:rPr>
      <w:rFonts w:eastAsia="仿宋_GB2312"/>
      <w:sz w:val="28"/>
    </w:rPr>
  </w:style>
  <w:style w:type="paragraph" w:customStyle="1" w:styleId="52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7">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8">
    <w:name w:val="左对齐表格文字"/>
    <w:basedOn w:val="1"/>
    <w:qFormat/>
    <w:uiPriority w:val="0"/>
    <w:pPr>
      <w:adjustRightInd/>
      <w:ind w:firstLine="200" w:firstLineChars="200"/>
      <w:jc w:val="right"/>
    </w:pPr>
  </w:style>
  <w:style w:type="paragraph" w:customStyle="1" w:styleId="529">
    <w:name w:val="Char Char11 Char Char Char Char Char Char Char Char Char"/>
    <w:basedOn w:val="1"/>
    <w:qFormat/>
    <w:uiPriority w:val="0"/>
    <w:pPr>
      <w:spacing w:line="360" w:lineRule="auto"/>
    </w:pPr>
    <w:rPr>
      <w:szCs w:val="20"/>
    </w:rPr>
  </w:style>
  <w:style w:type="paragraph" w:customStyle="1" w:styleId="530">
    <w:name w:val="正文1.25"/>
    <w:basedOn w:val="1"/>
    <w:qFormat/>
    <w:uiPriority w:val="0"/>
    <w:pPr>
      <w:adjustRightInd/>
      <w:spacing w:line="300" w:lineRule="auto"/>
      <w:ind w:firstLine="480" w:firstLineChars="200"/>
    </w:pPr>
    <w:rPr>
      <w:sz w:val="24"/>
      <w:szCs w:val="20"/>
    </w:rPr>
  </w:style>
  <w:style w:type="paragraph" w:customStyle="1" w:styleId="531">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3">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1 Char Char Char1"/>
    <w:basedOn w:val="1"/>
    <w:qFormat/>
    <w:uiPriority w:val="6"/>
    <w:rPr>
      <w:rFonts w:ascii="仿宋_GB2312" w:eastAsia="仿宋_GB2312"/>
      <w:b/>
      <w:sz w:val="32"/>
      <w:szCs w:val="20"/>
    </w:rPr>
  </w:style>
  <w:style w:type="paragraph" w:customStyle="1" w:styleId="535">
    <w:name w:val="列出段落2"/>
    <w:basedOn w:val="1"/>
    <w:qFormat/>
    <w:uiPriority w:val="0"/>
    <w:pPr>
      <w:adjustRightInd/>
      <w:ind w:firstLine="420" w:firstLineChars="200"/>
    </w:pPr>
    <w:rPr>
      <w:rFonts w:ascii="宋体" w:hAnsi="宋体"/>
      <w:sz w:val="24"/>
    </w:rPr>
  </w:style>
  <w:style w:type="paragraph" w:customStyle="1" w:styleId="536">
    <w:name w:val="默认段落字体 Para Char Char Char Char Char Char Char"/>
    <w:basedOn w:val="1"/>
    <w:qFormat/>
    <w:uiPriority w:val="0"/>
    <w:rPr>
      <w:rFonts w:eastAsia="仿宋_GB2312"/>
      <w:sz w:val="28"/>
      <w:szCs w:val="20"/>
    </w:rPr>
  </w:style>
  <w:style w:type="paragraph" w:customStyle="1" w:styleId="537">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8">
    <w:name w:val="样式 标题 4PIM 4H4h4bulletblbbH41H42H43H44H45H46H47H48...1"/>
    <w:basedOn w:val="5"/>
    <w:qFormat/>
    <w:uiPriority w:val="0"/>
    <w:pPr>
      <w:widowControl/>
      <w:jc w:val="left"/>
    </w:pPr>
    <w:rPr>
      <w:rFonts w:cs="宋体"/>
      <w:sz w:val="24"/>
      <w:szCs w:val="20"/>
    </w:rPr>
  </w:style>
  <w:style w:type="paragraph" w:customStyle="1" w:styleId="539">
    <w:name w:val="彩色列表 - 强调文字颜色 11"/>
    <w:basedOn w:val="1"/>
    <w:qFormat/>
    <w:uiPriority w:val="0"/>
    <w:pPr>
      <w:adjustRightInd/>
      <w:ind w:firstLine="420" w:firstLineChars="200"/>
    </w:pPr>
    <w:rPr>
      <w:rFonts w:ascii="Calibri" w:hAnsi="Calibri"/>
      <w:szCs w:val="22"/>
    </w:rPr>
  </w:style>
  <w:style w:type="paragraph" w:customStyle="1" w:styleId="540">
    <w:name w:val="加粗正文"/>
    <w:basedOn w:val="1"/>
    <w:qFormat/>
    <w:uiPriority w:val="0"/>
    <w:pPr>
      <w:adjustRightInd/>
      <w:spacing w:beforeLines="50" w:afterLines="50" w:line="360" w:lineRule="auto"/>
      <w:ind w:firstLine="422" w:firstLineChars="200"/>
    </w:pPr>
    <w:rPr>
      <w:b/>
      <w:bCs/>
      <w:szCs w:val="21"/>
    </w:rPr>
  </w:style>
  <w:style w:type="paragraph" w:customStyle="1" w:styleId="541">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2">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3">
    <w:name w:val="Char Char Char1 Char1"/>
    <w:basedOn w:val="1"/>
    <w:qFormat/>
    <w:uiPriority w:val="6"/>
    <w:rPr>
      <w:szCs w:val="20"/>
    </w:rPr>
  </w:style>
  <w:style w:type="paragraph" w:customStyle="1" w:styleId="544">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5">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6">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7">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8">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9">
    <w:name w:val="CM14"/>
    <w:basedOn w:val="80"/>
    <w:next w:val="80"/>
    <w:qFormat/>
    <w:uiPriority w:val="0"/>
    <w:pPr>
      <w:spacing w:after="68"/>
    </w:pPr>
    <w:rPr>
      <w:rFonts w:ascii="FHLHE E+ Futura Bk" w:eastAsia="FHLHE E+ Futura Bk" w:cs="Times New Roman"/>
      <w:color w:val="auto"/>
    </w:rPr>
  </w:style>
  <w:style w:type="paragraph" w:customStyle="1" w:styleId="550">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2">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3">
    <w:name w:val="正文文字 2"/>
    <w:basedOn w:val="80"/>
    <w:next w:val="80"/>
    <w:qFormat/>
    <w:uiPriority w:val="0"/>
    <w:rPr>
      <w:rFonts w:ascii="宋体" w:eastAsia="宋体" w:cs="Times New Roman"/>
      <w:color w:val="auto"/>
    </w:rPr>
  </w:style>
  <w:style w:type="paragraph" w:customStyle="1" w:styleId="55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5">
    <w:name w:val="Char Char1 Char"/>
    <w:basedOn w:val="1"/>
    <w:qFormat/>
    <w:uiPriority w:val="0"/>
    <w:rPr>
      <w:rFonts w:ascii="仿宋_GB2312" w:eastAsia="仿宋_GB2312"/>
      <w:b/>
      <w:sz w:val="32"/>
      <w:szCs w:val="32"/>
    </w:rPr>
  </w:style>
  <w:style w:type="paragraph" w:customStyle="1" w:styleId="556">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7">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8">
    <w:name w:val="Char Char111"/>
    <w:basedOn w:val="1"/>
    <w:qFormat/>
    <w:uiPriority w:val="0"/>
    <w:pPr>
      <w:spacing w:line="360" w:lineRule="auto"/>
    </w:pPr>
    <w:rPr>
      <w:szCs w:val="20"/>
    </w:rPr>
  </w:style>
  <w:style w:type="paragraph" w:customStyle="1" w:styleId="559">
    <w:name w:val="Char"/>
    <w:basedOn w:val="1"/>
    <w:qFormat/>
    <w:uiPriority w:val="0"/>
    <w:rPr>
      <w:rFonts w:ascii="仿宋_GB2312" w:eastAsia="仿宋_GB2312"/>
      <w:b/>
      <w:sz w:val="32"/>
      <w:szCs w:val="32"/>
    </w:rPr>
  </w:style>
  <w:style w:type="paragraph" w:customStyle="1" w:styleId="560">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2">
    <w:name w:val="Char Char Char1 Char"/>
    <w:basedOn w:val="1"/>
    <w:qFormat/>
    <w:uiPriority w:val="0"/>
    <w:rPr>
      <w:szCs w:val="20"/>
    </w:rPr>
  </w:style>
  <w:style w:type="paragraph" w:customStyle="1" w:styleId="563">
    <w:name w:val="正文标准"/>
    <w:basedOn w:val="1"/>
    <w:qFormat/>
    <w:uiPriority w:val="0"/>
    <w:pPr>
      <w:adjustRightInd/>
      <w:spacing w:line="360" w:lineRule="auto"/>
      <w:ind w:firstLine="200" w:firstLineChars="200"/>
    </w:pPr>
    <w:rPr>
      <w:rFonts w:ascii="宋体" w:hAnsi="Calibri"/>
      <w:sz w:val="24"/>
    </w:rPr>
  </w:style>
  <w:style w:type="paragraph" w:customStyle="1" w:styleId="56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5">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6">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7">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8">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9">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0">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1">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3">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4">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5">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6">
    <w:name w:val="Char Char Char Char Char Char Char Char Char Char"/>
    <w:basedOn w:val="1"/>
    <w:qFormat/>
    <w:uiPriority w:val="0"/>
    <w:rPr>
      <w:rFonts w:ascii="仿宋_GB2312" w:eastAsia="仿宋_GB2312"/>
      <w:b/>
      <w:sz w:val="32"/>
      <w:szCs w:val="32"/>
    </w:rPr>
  </w:style>
  <w:style w:type="paragraph" w:customStyle="1" w:styleId="577">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8">
    <w:name w:val="_正文段落"/>
    <w:basedOn w:val="1"/>
    <w:qFormat/>
    <w:uiPriority w:val="0"/>
    <w:pPr>
      <w:adjustRightInd/>
      <w:ind w:firstLine="560"/>
    </w:pPr>
    <w:rPr>
      <w:rFonts w:ascii="仿宋_GB2312" w:hAnsi="仿宋" w:eastAsia="仿宋_GB2312"/>
      <w:kern w:val="0"/>
      <w:sz w:val="28"/>
      <w:szCs w:val="28"/>
    </w:rPr>
  </w:style>
  <w:style w:type="paragraph" w:customStyle="1" w:styleId="579">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0">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1">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2">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3">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4">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5">
    <w:name w:val="Char Char Char1 Char2"/>
    <w:basedOn w:val="1"/>
    <w:qFormat/>
    <w:uiPriority w:val="0"/>
    <w:rPr>
      <w:szCs w:val="20"/>
    </w:rPr>
  </w:style>
  <w:style w:type="paragraph" w:customStyle="1" w:styleId="586">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7">
    <w:name w:val="默认段落字体 Para Char"/>
    <w:basedOn w:val="1"/>
    <w:qFormat/>
    <w:uiPriority w:val="0"/>
    <w:rPr>
      <w:rFonts w:ascii="Tahoma" w:hAnsi="Tahoma"/>
      <w:sz w:val="24"/>
      <w:szCs w:val="20"/>
    </w:rPr>
  </w:style>
  <w:style w:type="paragraph" w:customStyle="1" w:styleId="588">
    <w:name w:val="标题五"/>
    <w:basedOn w:val="1"/>
    <w:qFormat/>
    <w:uiPriority w:val="0"/>
    <w:pPr>
      <w:adjustRightInd/>
      <w:spacing w:beforeLines="50" w:line="360" w:lineRule="auto"/>
    </w:pPr>
    <w:rPr>
      <w:b/>
      <w:sz w:val="24"/>
    </w:rPr>
  </w:style>
  <w:style w:type="paragraph" w:customStyle="1" w:styleId="589">
    <w:name w:val="Char Char1101"/>
    <w:basedOn w:val="1"/>
    <w:qFormat/>
    <w:uiPriority w:val="0"/>
    <w:pPr>
      <w:spacing w:line="360" w:lineRule="auto"/>
    </w:pPr>
    <w:rPr>
      <w:rFonts w:ascii="Tahoma" w:hAnsi="Tahoma"/>
      <w:sz w:val="24"/>
      <w:szCs w:val="20"/>
    </w:rPr>
  </w:style>
  <w:style w:type="paragraph" w:customStyle="1" w:styleId="590">
    <w:name w:val="Char Char Char Char Char Char Char Char1"/>
    <w:basedOn w:val="1"/>
    <w:qFormat/>
    <w:uiPriority w:val="0"/>
    <w:pPr>
      <w:tabs>
        <w:tab w:val="left" w:pos="360"/>
      </w:tabs>
    </w:pPr>
    <w:rPr>
      <w:sz w:val="24"/>
      <w:szCs w:val="20"/>
    </w:rPr>
  </w:style>
  <w:style w:type="paragraph" w:customStyle="1" w:styleId="591">
    <w:name w:val="Char Char Char 字元 字元"/>
    <w:basedOn w:val="1"/>
    <w:qFormat/>
    <w:uiPriority w:val="0"/>
    <w:pPr>
      <w:adjustRightInd/>
      <w:spacing w:line="360" w:lineRule="auto"/>
      <w:ind w:firstLine="200" w:firstLineChars="200"/>
    </w:pPr>
    <w:rPr>
      <w:szCs w:val="20"/>
    </w:rPr>
  </w:style>
  <w:style w:type="paragraph" w:customStyle="1" w:styleId="592">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3">
    <w:name w:val="Char Char Char Char Char Char Char"/>
    <w:basedOn w:val="1"/>
    <w:qFormat/>
    <w:uiPriority w:val="0"/>
    <w:rPr>
      <w:rFonts w:ascii="仿宋_GB2312" w:eastAsia="仿宋_GB2312"/>
      <w:b/>
      <w:sz w:val="32"/>
      <w:szCs w:val="32"/>
    </w:rPr>
  </w:style>
  <w:style w:type="paragraph" w:customStyle="1" w:styleId="59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6">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7">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8">
    <w:name w:val="批注框文本 Char Char"/>
    <w:basedOn w:val="1"/>
    <w:qFormat/>
    <w:uiPriority w:val="0"/>
    <w:pPr>
      <w:adjustRightInd/>
    </w:pPr>
    <w:rPr>
      <w:sz w:val="18"/>
      <w:szCs w:val="20"/>
    </w:rPr>
  </w:style>
  <w:style w:type="paragraph" w:customStyle="1" w:styleId="59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0">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1">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3">
    <w:name w:val="索引 11"/>
    <w:basedOn w:val="1"/>
    <w:next w:val="1"/>
    <w:qFormat/>
    <w:uiPriority w:val="99"/>
    <w:pPr>
      <w:adjustRightInd/>
      <w:spacing w:line="360" w:lineRule="auto"/>
    </w:pPr>
    <w:rPr>
      <w:rFonts w:ascii="仿宋_GB2312" w:eastAsia="仿宋_GB2312"/>
      <w:sz w:val="24"/>
      <w:szCs w:val="20"/>
    </w:rPr>
  </w:style>
  <w:style w:type="paragraph" w:customStyle="1" w:styleId="604">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6">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7">
    <w:name w:val="文档正文"/>
    <w:basedOn w:val="1"/>
    <w:qFormat/>
    <w:uiPriority w:val="0"/>
    <w:pPr>
      <w:spacing w:line="480" w:lineRule="atLeast"/>
      <w:ind w:firstLine="567"/>
      <w:textAlignment w:val="baseline"/>
    </w:pPr>
    <w:rPr>
      <w:kern w:val="0"/>
      <w:sz w:val="24"/>
      <w:szCs w:val="20"/>
    </w:rPr>
  </w:style>
  <w:style w:type="paragraph" w:customStyle="1" w:styleId="608">
    <w:name w:val="正文文字表格居中"/>
    <w:basedOn w:val="1"/>
    <w:next w:val="56"/>
    <w:qFormat/>
    <w:uiPriority w:val="0"/>
    <w:pPr>
      <w:snapToGrid w:val="0"/>
      <w:spacing w:line="360" w:lineRule="auto"/>
    </w:pPr>
    <w:rPr>
      <w:rFonts w:ascii="宋体"/>
      <w:b/>
      <w:sz w:val="24"/>
      <w:szCs w:val="20"/>
    </w:rPr>
  </w:style>
  <w:style w:type="paragraph" w:customStyle="1" w:styleId="609">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10">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1">
    <w:name w:val="Plain Text1"/>
    <w:basedOn w:val="1"/>
    <w:qFormat/>
    <w:uiPriority w:val="7"/>
    <w:pPr>
      <w:adjustRightInd/>
    </w:pPr>
    <w:rPr>
      <w:rFonts w:ascii="宋体" w:hAnsi="Courier New"/>
    </w:rPr>
  </w:style>
  <w:style w:type="paragraph" w:customStyle="1" w:styleId="612">
    <w:name w:val="Char3"/>
    <w:basedOn w:val="1"/>
    <w:qFormat/>
    <w:uiPriority w:val="0"/>
    <w:pPr>
      <w:adjustRightInd/>
    </w:pPr>
    <w:rPr>
      <w:rFonts w:ascii="仿宋_GB2312" w:eastAsia="仿宋_GB2312"/>
      <w:b/>
      <w:sz w:val="32"/>
      <w:szCs w:val="32"/>
    </w:rPr>
  </w:style>
  <w:style w:type="paragraph" w:customStyle="1" w:styleId="613">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5">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6">
    <w:name w:val="List Paragraph1"/>
    <w:basedOn w:val="1"/>
    <w:qFormat/>
    <w:uiPriority w:val="0"/>
    <w:pPr>
      <w:spacing w:line="360" w:lineRule="auto"/>
      <w:ind w:firstLine="200" w:firstLineChars="200"/>
    </w:pPr>
    <w:rPr>
      <w:rFonts w:eastAsia="楷体_GB2312" w:cs="Lucida Sans"/>
      <w:sz w:val="24"/>
    </w:rPr>
  </w:style>
  <w:style w:type="paragraph" w:customStyle="1" w:styleId="617">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9">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0">
    <w:name w:val="Char3 Char Char Char"/>
    <w:basedOn w:val="1"/>
    <w:qFormat/>
    <w:uiPriority w:val="0"/>
    <w:pPr>
      <w:widowControl/>
      <w:adjustRightInd/>
      <w:spacing w:after="160" w:line="240" w:lineRule="exact"/>
      <w:jc w:val="left"/>
    </w:pPr>
    <w:rPr>
      <w:szCs w:val="20"/>
    </w:rPr>
  </w:style>
  <w:style w:type="paragraph" w:customStyle="1" w:styleId="621">
    <w:name w:val="表格标题2"/>
    <w:basedOn w:val="622"/>
    <w:qFormat/>
    <w:uiPriority w:val="0"/>
    <w:rPr>
      <w:b/>
    </w:rPr>
  </w:style>
  <w:style w:type="paragraph" w:customStyle="1" w:styleId="622">
    <w:name w:val="表格内文"/>
    <w:basedOn w:val="1"/>
    <w:qFormat/>
    <w:uiPriority w:val="0"/>
    <w:pPr>
      <w:adjustRightInd/>
      <w:spacing w:line="360" w:lineRule="auto"/>
    </w:pPr>
    <w:rPr>
      <w:rFonts w:ascii="宋体" w:hAnsi="宋体" w:cs="宋体"/>
      <w:color w:val="000000"/>
      <w:szCs w:val="20"/>
    </w:rPr>
  </w:style>
  <w:style w:type="paragraph" w:customStyle="1" w:styleId="623">
    <w:name w:val="Char Char Char Char Char Char Char Char Char Char2"/>
    <w:basedOn w:val="1"/>
    <w:qFormat/>
    <w:uiPriority w:val="0"/>
    <w:rPr>
      <w:rFonts w:ascii="仿宋_GB2312" w:eastAsia="仿宋_GB2312"/>
      <w:b/>
      <w:sz w:val="32"/>
      <w:szCs w:val="32"/>
    </w:rPr>
  </w:style>
  <w:style w:type="paragraph" w:customStyle="1" w:styleId="62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5">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6">
    <w:name w:val="Char Char11 Char Char Char Char Char Char Char Char Char11"/>
    <w:basedOn w:val="1"/>
    <w:qFormat/>
    <w:uiPriority w:val="0"/>
    <w:pPr>
      <w:spacing w:line="360" w:lineRule="auto"/>
    </w:pPr>
    <w:rPr>
      <w:szCs w:val="20"/>
    </w:rPr>
  </w:style>
  <w:style w:type="paragraph" w:customStyle="1" w:styleId="627">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8">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9">
    <w:name w:val="MM Topic 1"/>
    <w:basedOn w:val="2"/>
    <w:qFormat/>
    <w:uiPriority w:val="0"/>
    <w:pPr>
      <w:tabs>
        <w:tab w:val="left" w:pos="840"/>
      </w:tabs>
      <w:adjustRightInd/>
      <w:ind w:left="840" w:hanging="420"/>
    </w:pPr>
  </w:style>
  <w:style w:type="paragraph" w:customStyle="1" w:styleId="630">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31">
    <w:name w:val="文本正文 Char"/>
    <w:basedOn w:val="1"/>
    <w:qFormat/>
    <w:uiPriority w:val="0"/>
    <w:pPr>
      <w:spacing w:line="360" w:lineRule="auto"/>
      <w:ind w:firstLine="200" w:firstLineChars="200"/>
    </w:pPr>
    <w:rPr>
      <w:kern w:val="0"/>
      <w:sz w:val="24"/>
      <w:szCs w:val="20"/>
    </w:rPr>
  </w:style>
  <w:style w:type="paragraph" w:customStyle="1" w:styleId="632">
    <w:name w:val="表格"/>
    <w:basedOn w:val="1"/>
    <w:qFormat/>
    <w:uiPriority w:val="0"/>
    <w:pPr>
      <w:snapToGrid w:val="0"/>
      <w:ind w:firstLine="42" w:firstLineChars="21"/>
    </w:pPr>
    <w:rPr>
      <w:rFonts w:ascii="宋体" w:hAnsi="宋体"/>
      <w:kern w:val="0"/>
      <w:sz w:val="20"/>
      <w:szCs w:val="20"/>
    </w:rPr>
  </w:style>
  <w:style w:type="paragraph" w:customStyle="1" w:styleId="633">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4">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5">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6">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7">
    <w:name w:val="EB_表格"/>
    <w:basedOn w:val="1"/>
    <w:qFormat/>
    <w:uiPriority w:val="0"/>
    <w:pPr>
      <w:adjustRightInd/>
      <w:spacing w:line="300" w:lineRule="auto"/>
      <w:jc w:val="center"/>
    </w:pPr>
  </w:style>
  <w:style w:type="paragraph" w:customStyle="1" w:styleId="638">
    <w:name w:val="_Style 6"/>
    <w:basedOn w:val="1"/>
    <w:qFormat/>
    <w:uiPriority w:val="34"/>
    <w:pPr>
      <w:adjustRightInd/>
      <w:ind w:firstLine="420" w:firstLineChars="200"/>
    </w:pPr>
    <w:rPr>
      <w:rFonts w:eastAsia="仿宋_GB2312"/>
      <w:sz w:val="28"/>
    </w:rPr>
  </w:style>
  <w:style w:type="paragraph" w:customStyle="1" w:styleId="639">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0">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1">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2">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3">
    <w:name w:val="正文表标题"/>
    <w:next w:val="64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5">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6">
    <w:name w:val="trademark"/>
    <w:qFormat/>
    <w:uiPriority w:val="0"/>
    <w:pPr>
      <w:spacing w:after="60"/>
    </w:pPr>
    <w:rPr>
      <w:rFonts w:ascii="Futura Bk" w:hAnsi="Futura Bk" w:eastAsia="宋体" w:cs="Times New Roman"/>
      <w:sz w:val="15"/>
      <w:lang w:val="en-US" w:eastAsia="en-US" w:bidi="ar-SA"/>
    </w:rPr>
  </w:style>
  <w:style w:type="paragraph" w:customStyle="1" w:styleId="64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8">
    <w:name w:val="Char Char1 Char Char Char Char Char Char1"/>
    <w:basedOn w:val="1"/>
    <w:qFormat/>
    <w:uiPriority w:val="0"/>
    <w:rPr>
      <w:rFonts w:ascii="仿宋_GB2312" w:eastAsia="仿宋_GB2312"/>
      <w:b/>
      <w:sz w:val="32"/>
      <w:szCs w:val="20"/>
    </w:rPr>
  </w:style>
  <w:style w:type="paragraph" w:customStyle="1" w:styleId="649">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0">
    <w:name w:val="Char1 Char Char Char1"/>
    <w:basedOn w:val="1"/>
    <w:qFormat/>
    <w:uiPriority w:val="0"/>
    <w:pPr>
      <w:adjustRightInd/>
      <w:ind w:firstLine="200" w:firstLineChars="200"/>
    </w:pPr>
    <w:rPr>
      <w:rFonts w:ascii="Tahoma" w:hAnsi="Tahoma"/>
      <w:sz w:val="24"/>
      <w:szCs w:val="20"/>
    </w:rPr>
  </w:style>
  <w:style w:type="paragraph" w:customStyle="1" w:styleId="651">
    <w:name w:val="a1"/>
    <w:basedOn w:val="1"/>
    <w:qFormat/>
    <w:uiPriority w:val="0"/>
    <w:pPr>
      <w:widowControl/>
      <w:spacing w:line="300" w:lineRule="atLeast"/>
      <w:jc w:val="left"/>
    </w:pPr>
    <w:rPr>
      <w:rFonts w:ascii="宋体" w:hAnsi="宋体"/>
      <w:kern w:val="0"/>
      <w:sz w:val="18"/>
      <w:szCs w:val="20"/>
    </w:rPr>
  </w:style>
  <w:style w:type="paragraph" w:customStyle="1" w:styleId="652">
    <w:name w:val="样式7"/>
    <w:basedOn w:val="653"/>
    <w:next w:val="1"/>
    <w:qFormat/>
    <w:uiPriority w:val="0"/>
    <w:pPr>
      <w:spacing w:afterLines="50"/>
      <w:jc w:val="left"/>
      <w:outlineLvl w:val="3"/>
    </w:pPr>
    <w:rPr>
      <w:sz w:val="24"/>
      <w:szCs w:val="24"/>
    </w:rPr>
  </w:style>
  <w:style w:type="paragraph" w:customStyle="1" w:styleId="65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4">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5">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6">
    <w:name w:val="样式 样式2 + 左侧:  1 字符 右侧:  1 字符"/>
    <w:basedOn w:val="464"/>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7">
    <w:name w:val="Char2 Char Char2"/>
    <w:basedOn w:val="1"/>
    <w:qFormat/>
    <w:uiPriority w:val="0"/>
    <w:pPr>
      <w:adjustRightInd/>
    </w:pPr>
    <w:rPr>
      <w:rFonts w:ascii="Tahoma" w:hAnsi="Tahoma"/>
      <w:sz w:val="24"/>
      <w:szCs w:val="20"/>
    </w:rPr>
  </w:style>
  <w:style w:type="paragraph" w:customStyle="1" w:styleId="658">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9">
    <w:name w:val="三级条标题"/>
    <w:basedOn w:val="660"/>
    <w:next w:val="644"/>
    <w:qFormat/>
    <w:uiPriority w:val="0"/>
    <w:pPr>
      <w:tabs>
        <w:tab w:val="left" w:pos="1260"/>
        <w:tab w:val="left" w:pos="1680"/>
        <w:tab w:val="left" w:pos="2100"/>
        <w:tab w:val="left" w:pos="2520"/>
      </w:tabs>
      <w:ind w:left="2520"/>
      <w:outlineLvl w:val="4"/>
    </w:pPr>
  </w:style>
  <w:style w:type="paragraph" w:customStyle="1" w:styleId="660">
    <w:name w:val="二级条标题"/>
    <w:basedOn w:val="661"/>
    <w:next w:val="644"/>
    <w:qFormat/>
    <w:uiPriority w:val="0"/>
    <w:pPr>
      <w:tabs>
        <w:tab w:val="left" w:pos="1260"/>
        <w:tab w:val="left" w:pos="1680"/>
        <w:tab w:val="left" w:pos="2100"/>
      </w:tabs>
      <w:ind w:left="0"/>
      <w:outlineLvl w:val="3"/>
    </w:pPr>
  </w:style>
  <w:style w:type="paragraph" w:customStyle="1" w:styleId="661">
    <w:name w:val="一级条标题"/>
    <w:basedOn w:val="662"/>
    <w:next w:val="644"/>
    <w:qFormat/>
    <w:uiPriority w:val="0"/>
    <w:pPr>
      <w:tabs>
        <w:tab w:val="left" w:pos="1260"/>
        <w:tab w:val="left" w:pos="1680"/>
      </w:tabs>
      <w:spacing w:beforeLines="0" w:afterLines="0"/>
      <w:ind w:left="1680"/>
      <w:outlineLvl w:val="2"/>
    </w:pPr>
  </w:style>
  <w:style w:type="paragraph" w:customStyle="1" w:styleId="662">
    <w:name w:val="章标题"/>
    <w:next w:val="644"/>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3">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5">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6">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7">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9">
    <w:name w:val="正文 项目2"/>
    <w:basedOn w:val="670"/>
    <w:qFormat/>
    <w:uiPriority w:val="0"/>
    <w:pPr>
      <w:tabs>
        <w:tab w:val="left" w:pos="840"/>
      </w:tabs>
      <w:spacing w:after="0"/>
      <w:ind w:left="900"/>
    </w:pPr>
  </w:style>
  <w:style w:type="paragraph" w:customStyle="1" w:styleId="67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1">
    <w:name w:val="Body Text 2*"/>
    <w:basedOn w:val="1"/>
    <w:qFormat/>
    <w:uiPriority w:val="6"/>
    <w:pPr>
      <w:widowControl/>
      <w:adjustRightInd/>
      <w:ind w:left="720" w:hanging="720"/>
    </w:pPr>
    <w:rPr>
      <w:color w:val="000000"/>
      <w:kern w:val="0"/>
      <w:sz w:val="24"/>
      <w:szCs w:val="20"/>
      <w:lang w:val="en-GB"/>
    </w:rPr>
  </w:style>
  <w:style w:type="paragraph" w:customStyle="1" w:styleId="672">
    <w:name w:val="表1"/>
    <w:basedOn w:val="1"/>
    <w:qFormat/>
    <w:uiPriority w:val="0"/>
    <w:pPr>
      <w:tabs>
        <w:tab w:val="left" w:pos="703"/>
      </w:tabs>
      <w:adjustRightInd/>
      <w:spacing w:line="360" w:lineRule="auto"/>
      <w:ind w:left="703"/>
      <w:jc w:val="center"/>
    </w:pPr>
  </w:style>
  <w:style w:type="paragraph" w:customStyle="1" w:styleId="673">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4">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5">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6">
    <w:name w:val="2级标题"/>
    <w:basedOn w:val="677"/>
    <w:qFormat/>
    <w:uiPriority w:val="0"/>
    <w:pPr>
      <w:jc w:val="left"/>
      <w:outlineLvl w:val="1"/>
    </w:pPr>
    <w:rPr>
      <w:rFonts w:ascii="Times New Roman" w:hAnsi="Times New Roman" w:eastAsia="仿宋"/>
      <w:sz w:val="30"/>
    </w:rPr>
  </w:style>
  <w:style w:type="paragraph" w:customStyle="1" w:styleId="677">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8">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9">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1">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2">
    <w:name w:val="bullet"/>
    <w:basedOn w:val="1"/>
    <w:qFormat/>
    <w:uiPriority w:val="0"/>
    <w:pPr>
      <w:tabs>
        <w:tab w:val="left" w:pos="840"/>
      </w:tabs>
      <w:adjustRightInd/>
      <w:ind w:left="840" w:hanging="420"/>
    </w:pPr>
  </w:style>
  <w:style w:type="paragraph" w:customStyle="1" w:styleId="683">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5">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6">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8">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0">
    <w:name w:val="MM Topic 4"/>
    <w:basedOn w:val="5"/>
    <w:qFormat/>
    <w:uiPriority w:val="0"/>
    <w:pPr>
      <w:tabs>
        <w:tab w:val="left" w:pos="2100"/>
      </w:tabs>
      <w:adjustRightInd/>
      <w:ind w:left="2100" w:hanging="420"/>
    </w:pPr>
    <w:rPr>
      <w:lang w:val="en-US"/>
    </w:rPr>
  </w:style>
  <w:style w:type="paragraph" w:customStyle="1" w:styleId="691">
    <w:name w:val="Char11"/>
    <w:basedOn w:val="1"/>
    <w:qFormat/>
    <w:uiPriority w:val="0"/>
    <w:pPr>
      <w:tabs>
        <w:tab w:val="left" w:pos="432"/>
      </w:tabs>
      <w:adjustRightInd/>
      <w:spacing w:beforeLines="50" w:afterLines="50"/>
      <w:ind w:left="432" w:hanging="432" w:firstLineChars="200"/>
    </w:pPr>
    <w:rPr>
      <w:sz w:val="24"/>
    </w:rPr>
  </w:style>
  <w:style w:type="paragraph" w:customStyle="1" w:styleId="69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3">
    <w:name w:val="Char Char11 Char Char Char Char Char Char Char Char Char1"/>
    <w:basedOn w:val="1"/>
    <w:qFormat/>
    <w:uiPriority w:val="6"/>
    <w:pPr>
      <w:spacing w:line="360" w:lineRule="auto"/>
    </w:pPr>
    <w:rPr>
      <w:szCs w:val="20"/>
    </w:rPr>
  </w:style>
  <w:style w:type="paragraph" w:customStyle="1" w:styleId="69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5">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6">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8">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9">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0">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1">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3">
    <w:name w:val="单元格居中"/>
    <w:basedOn w:val="1"/>
    <w:qFormat/>
    <w:uiPriority w:val="0"/>
    <w:pPr>
      <w:adjustRightInd/>
      <w:spacing w:line="360" w:lineRule="auto"/>
      <w:jc w:val="center"/>
    </w:pPr>
    <w:rPr>
      <w:sz w:val="24"/>
    </w:rPr>
  </w:style>
  <w:style w:type="paragraph" w:customStyle="1" w:styleId="704">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5">
    <w:name w:val="Char Char Char Char Char Char Char1"/>
    <w:basedOn w:val="1"/>
    <w:qFormat/>
    <w:uiPriority w:val="6"/>
    <w:rPr>
      <w:rFonts w:ascii="仿宋_GB2312" w:eastAsia="仿宋_GB2312"/>
      <w:b/>
      <w:sz w:val="32"/>
      <w:szCs w:val="32"/>
    </w:rPr>
  </w:style>
  <w:style w:type="paragraph" w:customStyle="1" w:styleId="706">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7">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8">
    <w:name w:val="Char3 Char Char Char11"/>
    <w:basedOn w:val="1"/>
    <w:qFormat/>
    <w:uiPriority w:val="0"/>
    <w:pPr>
      <w:widowControl/>
      <w:adjustRightInd/>
      <w:spacing w:after="160" w:line="240" w:lineRule="exact"/>
      <w:jc w:val="left"/>
    </w:pPr>
    <w:rPr>
      <w:szCs w:val="20"/>
    </w:rPr>
  </w:style>
  <w:style w:type="paragraph" w:customStyle="1" w:styleId="709">
    <w:name w:val="Char Char1121"/>
    <w:basedOn w:val="1"/>
    <w:qFormat/>
    <w:uiPriority w:val="0"/>
    <w:pPr>
      <w:spacing w:line="360" w:lineRule="auto"/>
    </w:pPr>
    <w:rPr>
      <w:szCs w:val="20"/>
    </w:rPr>
  </w:style>
  <w:style w:type="paragraph" w:customStyle="1" w:styleId="71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2">
    <w:name w:val="Normal0"/>
    <w:qFormat/>
    <w:uiPriority w:val="0"/>
    <w:rPr>
      <w:rFonts w:ascii="Times New Roman" w:hAnsi="Times New Roman" w:eastAsia="宋体" w:cs="Times New Roman"/>
      <w:lang w:val="en-US" w:eastAsia="en-US" w:bidi="ar-SA"/>
    </w:rPr>
  </w:style>
  <w:style w:type="paragraph" w:customStyle="1" w:styleId="713">
    <w:name w:val="带编号样式"/>
    <w:basedOn w:val="631"/>
    <w:qFormat/>
    <w:uiPriority w:val="0"/>
    <w:pPr>
      <w:tabs>
        <w:tab w:val="left" w:pos="840"/>
      </w:tabs>
      <w:snapToGrid w:val="0"/>
      <w:ind w:left="840" w:hanging="420" w:firstLineChars="0"/>
    </w:pPr>
    <w:rPr>
      <w:rFonts w:ascii="仿宋_GB2312" w:eastAsia="仿宋_GB2312"/>
      <w:color w:val="000000"/>
    </w:rPr>
  </w:style>
  <w:style w:type="paragraph" w:customStyle="1" w:styleId="714">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5">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6">
    <w:name w:val="封面"/>
    <w:basedOn w:val="1"/>
    <w:qFormat/>
    <w:uiPriority w:val="0"/>
    <w:pPr>
      <w:spacing w:line="360" w:lineRule="atLeast"/>
      <w:jc w:val="right"/>
      <w:textAlignment w:val="baseline"/>
    </w:pPr>
    <w:rPr>
      <w:rFonts w:ascii="Symbol" w:hAnsi="Symbol"/>
      <w:kern w:val="0"/>
      <w:szCs w:val="20"/>
    </w:rPr>
  </w:style>
  <w:style w:type="paragraph" w:customStyle="1" w:styleId="717">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9">
    <w:name w:val="默认段落字体 Para Char Char Char1 Char"/>
    <w:basedOn w:val="1"/>
    <w:qFormat/>
    <w:uiPriority w:val="0"/>
    <w:pPr>
      <w:spacing w:line="240" w:lineRule="atLeast"/>
      <w:ind w:left="420" w:firstLine="420"/>
    </w:pPr>
    <w:rPr>
      <w:sz w:val="24"/>
    </w:rPr>
  </w:style>
  <w:style w:type="paragraph" w:customStyle="1" w:styleId="720">
    <w:name w:val="WW-正文文字缩进 2"/>
    <w:basedOn w:val="1"/>
    <w:qFormat/>
    <w:uiPriority w:val="0"/>
    <w:pPr>
      <w:suppressAutoHyphens/>
      <w:adjustRightInd/>
      <w:ind w:firstLine="420"/>
    </w:pPr>
    <w:rPr>
      <w:kern w:val="1"/>
      <w:szCs w:val="20"/>
    </w:rPr>
  </w:style>
  <w:style w:type="paragraph" w:customStyle="1" w:styleId="72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2">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3">
    <w:name w:val="有符号正文"/>
    <w:basedOn w:val="1"/>
    <w:qFormat/>
    <w:uiPriority w:val="0"/>
    <w:pPr>
      <w:adjustRightInd/>
      <w:spacing w:line="400" w:lineRule="exact"/>
      <w:ind w:firstLine="200" w:firstLineChars="200"/>
    </w:pPr>
    <w:rPr>
      <w:rFonts w:ascii="Arial" w:hAnsi="Arial"/>
    </w:rPr>
  </w:style>
  <w:style w:type="paragraph" w:customStyle="1" w:styleId="72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6">
    <w:name w:val="4"/>
    <w:basedOn w:val="1"/>
    <w:next w:val="36"/>
    <w:qFormat/>
    <w:uiPriority w:val="0"/>
    <w:pPr>
      <w:spacing w:after="120" w:line="480" w:lineRule="auto"/>
      <w:ind w:left="420" w:leftChars="200"/>
    </w:pPr>
    <w:rPr>
      <w:sz w:val="24"/>
      <w:szCs w:val="20"/>
    </w:rPr>
  </w:style>
  <w:style w:type="paragraph" w:customStyle="1" w:styleId="727">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9">
    <w:name w:val="样式 标题 3H3 + 两端对齐"/>
    <w:basedOn w:val="4"/>
    <w:qFormat/>
    <w:uiPriority w:val="0"/>
    <w:pPr>
      <w:keepLines w:val="0"/>
      <w:spacing w:before="0" w:after="0" w:line="240" w:lineRule="auto"/>
      <w:jc w:val="left"/>
    </w:pPr>
    <w:rPr>
      <w:rFonts w:cs="宋体"/>
      <w:sz w:val="21"/>
      <w:szCs w:val="20"/>
    </w:rPr>
  </w:style>
  <w:style w:type="paragraph" w:customStyle="1" w:styleId="73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2">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3">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4">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5">
    <w:name w:val="Char Char1 Char Char Char"/>
    <w:basedOn w:val="1"/>
    <w:qFormat/>
    <w:uiPriority w:val="0"/>
    <w:rPr>
      <w:rFonts w:ascii="仿宋_GB2312" w:eastAsia="仿宋_GB2312"/>
      <w:b/>
      <w:sz w:val="32"/>
      <w:szCs w:val="20"/>
    </w:rPr>
  </w:style>
  <w:style w:type="paragraph" w:customStyle="1" w:styleId="736">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8">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9">
    <w:name w:val="Char Char1 Char Char Char2"/>
    <w:basedOn w:val="1"/>
    <w:qFormat/>
    <w:uiPriority w:val="0"/>
    <w:rPr>
      <w:rFonts w:ascii="仿宋_GB2312" w:eastAsia="仿宋_GB2312"/>
      <w:b/>
      <w:sz w:val="32"/>
      <w:szCs w:val="32"/>
    </w:rPr>
  </w:style>
  <w:style w:type="paragraph" w:customStyle="1" w:styleId="740">
    <w:name w:val="Char3 Char Char Char1"/>
    <w:basedOn w:val="1"/>
    <w:qFormat/>
    <w:uiPriority w:val="6"/>
    <w:pPr>
      <w:widowControl/>
      <w:adjustRightInd/>
      <w:spacing w:after="160" w:line="240" w:lineRule="exact"/>
      <w:jc w:val="left"/>
    </w:pPr>
    <w:rPr>
      <w:szCs w:val="20"/>
    </w:rPr>
  </w:style>
  <w:style w:type="paragraph" w:customStyle="1" w:styleId="741">
    <w:name w:val="Char1 Char Char Char21"/>
    <w:basedOn w:val="1"/>
    <w:qFormat/>
    <w:uiPriority w:val="0"/>
    <w:rPr>
      <w:rFonts w:ascii="Tahoma" w:hAnsi="Tahoma"/>
      <w:sz w:val="24"/>
      <w:szCs w:val="20"/>
    </w:rPr>
  </w:style>
  <w:style w:type="paragraph" w:customStyle="1" w:styleId="742">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3">
    <w:name w:val="正文（标题三）"/>
    <w:basedOn w:val="1"/>
    <w:qFormat/>
    <w:uiPriority w:val="0"/>
    <w:pPr>
      <w:spacing w:line="360" w:lineRule="auto"/>
      <w:ind w:firstLine="200" w:firstLineChars="200"/>
    </w:pPr>
    <w:rPr>
      <w:sz w:val="24"/>
    </w:rPr>
  </w:style>
  <w:style w:type="paragraph" w:customStyle="1" w:styleId="74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6">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8">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9">
    <w:name w:val="Char1 Char Char Char4"/>
    <w:basedOn w:val="1"/>
    <w:qFormat/>
    <w:uiPriority w:val="0"/>
    <w:pPr>
      <w:adjustRightInd/>
      <w:ind w:firstLine="200" w:firstLineChars="200"/>
    </w:pPr>
    <w:rPr>
      <w:rFonts w:ascii="Tahoma" w:hAnsi="Tahoma"/>
      <w:sz w:val="24"/>
      <w:szCs w:val="20"/>
    </w:rPr>
  </w:style>
  <w:style w:type="paragraph" w:customStyle="1" w:styleId="750">
    <w:name w:val="_标题2"/>
    <w:basedOn w:val="717"/>
    <w:next w:val="717"/>
    <w:qFormat/>
    <w:uiPriority w:val="0"/>
    <w:pPr>
      <w:widowControl w:val="0"/>
      <w:tabs>
        <w:tab w:val="left" w:pos="480"/>
      </w:tabs>
      <w:spacing w:beforeLines="50" w:afterLines="50"/>
      <w:ind w:left="50" w:leftChars="50" w:hanging="420" w:firstLineChars="0"/>
      <w:outlineLvl w:val="1"/>
    </w:pPr>
    <w:rPr>
      <w:b/>
      <w:sz w:val="36"/>
    </w:rPr>
  </w:style>
  <w:style w:type="paragraph" w:customStyle="1" w:styleId="751">
    <w:name w:val="样式1 + (中宋体"/>
    <w:basedOn w:val="728"/>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4">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5">
    <w:name w:val="四号　首行缩进"/>
    <w:basedOn w:val="1"/>
    <w:qFormat/>
    <w:uiPriority w:val="0"/>
    <w:pPr>
      <w:adjustRightInd/>
      <w:spacing w:line="360" w:lineRule="auto"/>
    </w:pPr>
    <w:rPr>
      <w:rFonts w:ascii="宋体" w:hAnsi="宋体"/>
      <w:szCs w:val="20"/>
    </w:rPr>
  </w:style>
  <w:style w:type="paragraph" w:customStyle="1" w:styleId="75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7">
    <w:name w:val="Char Char Char Char Char Char Char Char Char Char Char1 Char"/>
    <w:basedOn w:val="1"/>
    <w:qFormat/>
    <w:uiPriority w:val="0"/>
    <w:pPr>
      <w:adjustRightInd/>
    </w:pPr>
    <w:rPr>
      <w:rFonts w:ascii="Tahoma" w:hAnsi="Tahoma"/>
      <w:sz w:val="24"/>
    </w:rPr>
  </w:style>
  <w:style w:type="paragraph" w:customStyle="1" w:styleId="758">
    <w:name w:val="Char Char Char Char11"/>
    <w:basedOn w:val="1"/>
    <w:qFormat/>
    <w:uiPriority w:val="0"/>
    <w:rPr>
      <w:rFonts w:ascii="Tahoma" w:hAnsi="Tahoma"/>
      <w:sz w:val="24"/>
      <w:szCs w:val="20"/>
    </w:rPr>
  </w:style>
  <w:style w:type="paragraph" w:customStyle="1" w:styleId="75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0">
    <w:name w:val="Char Char Char Char"/>
    <w:basedOn w:val="1"/>
    <w:qFormat/>
    <w:uiPriority w:val="0"/>
    <w:rPr>
      <w:rFonts w:ascii="Tahoma" w:hAnsi="Tahoma"/>
      <w:sz w:val="24"/>
      <w:szCs w:val="20"/>
    </w:rPr>
  </w:style>
  <w:style w:type="paragraph" w:customStyle="1" w:styleId="761">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2">
    <w:name w:val="Char19"/>
    <w:basedOn w:val="1"/>
    <w:qFormat/>
    <w:uiPriority w:val="0"/>
    <w:pPr>
      <w:adjustRightInd/>
    </w:pPr>
    <w:rPr>
      <w:szCs w:val="20"/>
    </w:rPr>
  </w:style>
  <w:style w:type="paragraph" w:customStyle="1" w:styleId="76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4">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5">
    <w:name w:val="_Style 5"/>
    <w:basedOn w:val="1"/>
    <w:qFormat/>
    <w:uiPriority w:val="34"/>
    <w:pPr>
      <w:adjustRightInd/>
      <w:ind w:firstLine="420" w:firstLineChars="200"/>
    </w:pPr>
    <w:rPr>
      <w:rFonts w:eastAsia="仿宋_GB2312"/>
      <w:sz w:val="28"/>
    </w:rPr>
  </w:style>
  <w:style w:type="paragraph" w:customStyle="1" w:styleId="766">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7">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9">
    <w:name w:val="标书表格字体格式"/>
    <w:next w:val="763"/>
    <w:qFormat/>
    <w:uiPriority w:val="0"/>
    <w:rPr>
      <w:rFonts w:ascii="Times New Roman" w:hAnsi="Times New Roman" w:eastAsia="宋体" w:cs="Times New Roman"/>
      <w:kern w:val="2"/>
      <w:sz w:val="21"/>
      <w:szCs w:val="24"/>
      <w:lang w:val="en-US" w:eastAsia="zh-CN" w:bidi="ar-SA"/>
    </w:rPr>
  </w:style>
  <w:style w:type="paragraph" w:customStyle="1" w:styleId="770">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1">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2">
    <w:name w:val="修订3"/>
    <w:qFormat/>
    <w:uiPriority w:val="0"/>
    <w:rPr>
      <w:rFonts w:ascii="Times New Roman" w:hAnsi="Times New Roman" w:eastAsia="宋体" w:cs="Times New Roman"/>
      <w:kern w:val="2"/>
      <w:sz w:val="21"/>
      <w:lang w:val="en-US" w:eastAsia="zh-CN" w:bidi="ar-SA"/>
    </w:rPr>
  </w:style>
  <w:style w:type="paragraph" w:customStyle="1" w:styleId="773">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4">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5">
    <w:name w:val="表文字"/>
    <w:qFormat/>
    <w:uiPriority w:val="0"/>
    <w:rPr>
      <w:rFonts w:ascii="宋体" w:hAnsi="Times New Roman" w:eastAsia="宋体" w:cs="Times New Roman"/>
      <w:kern w:val="2"/>
      <w:lang w:val="en-US" w:eastAsia="zh-CN" w:bidi="ar-SA"/>
    </w:rPr>
  </w:style>
  <w:style w:type="paragraph" w:customStyle="1" w:styleId="776">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9">
    <w:name w:val="Char Char Char Char Char Char Char Char2"/>
    <w:basedOn w:val="1"/>
    <w:qFormat/>
    <w:uiPriority w:val="0"/>
    <w:pPr>
      <w:tabs>
        <w:tab w:val="left" w:pos="360"/>
      </w:tabs>
    </w:pPr>
    <w:rPr>
      <w:sz w:val="24"/>
      <w:szCs w:val="20"/>
    </w:rPr>
  </w:style>
  <w:style w:type="paragraph" w:customStyle="1" w:styleId="780">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2">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3">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5">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7">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8">
    <w:name w:val="p0"/>
    <w:basedOn w:val="1"/>
    <w:qFormat/>
    <w:uiPriority w:val="0"/>
    <w:pPr>
      <w:widowControl/>
      <w:adjustRightInd/>
    </w:pPr>
    <w:rPr>
      <w:kern w:val="0"/>
      <w:szCs w:val="21"/>
    </w:rPr>
  </w:style>
  <w:style w:type="paragraph" w:customStyle="1" w:styleId="789">
    <w:name w:val="Char6"/>
    <w:basedOn w:val="1"/>
    <w:qFormat/>
    <w:uiPriority w:val="0"/>
    <w:rPr>
      <w:rFonts w:ascii="仿宋_GB2312" w:eastAsia="仿宋_GB2312"/>
      <w:b/>
      <w:sz w:val="32"/>
      <w:szCs w:val="32"/>
    </w:rPr>
  </w:style>
  <w:style w:type="paragraph" w:customStyle="1" w:styleId="790">
    <w:name w:val="Char111"/>
    <w:basedOn w:val="1"/>
    <w:qFormat/>
    <w:uiPriority w:val="0"/>
    <w:rPr>
      <w:rFonts w:ascii="仿宋_GB2312" w:eastAsia="仿宋_GB2312"/>
      <w:b/>
      <w:sz w:val="32"/>
      <w:szCs w:val="32"/>
    </w:rPr>
  </w:style>
  <w:style w:type="paragraph" w:customStyle="1" w:styleId="791">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9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3">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4">
    <w:name w:val="Char1 Char Char Char2"/>
    <w:basedOn w:val="1"/>
    <w:qFormat/>
    <w:uiPriority w:val="0"/>
    <w:pPr>
      <w:adjustRightInd/>
      <w:ind w:firstLine="200" w:firstLineChars="200"/>
    </w:pPr>
    <w:rPr>
      <w:rFonts w:ascii="Tahoma" w:hAnsi="Tahoma"/>
      <w:sz w:val="24"/>
      <w:szCs w:val="20"/>
    </w:rPr>
  </w:style>
  <w:style w:type="paragraph" w:customStyle="1" w:styleId="795">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6">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7">
    <w:name w:val="Char Char Char Char Char Char Char2"/>
    <w:basedOn w:val="1"/>
    <w:qFormat/>
    <w:uiPriority w:val="0"/>
    <w:rPr>
      <w:rFonts w:ascii="仿宋_GB2312" w:eastAsia="仿宋_GB2312"/>
      <w:b/>
      <w:sz w:val="32"/>
      <w:szCs w:val="32"/>
    </w:rPr>
  </w:style>
  <w:style w:type="paragraph" w:customStyle="1" w:styleId="798">
    <w:name w:val="五级条标题"/>
    <w:basedOn w:val="799"/>
    <w:next w:val="644"/>
    <w:qFormat/>
    <w:uiPriority w:val="0"/>
    <w:pPr>
      <w:tabs>
        <w:tab w:val="left" w:pos="1260"/>
        <w:tab w:val="left" w:pos="1680"/>
        <w:tab w:val="left" w:pos="2100"/>
        <w:tab w:val="left" w:pos="2940"/>
        <w:tab w:val="left" w:pos="3360"/>
      </w:tabs>
      <w:ind w:left="3360"/>
      <w:outlineLvl w:val="6"/>
    </w:pPr>
  </w:style>
  <w:style w:type="paragraph" w:customStyle="1" w:styleId="799">
    <w:name w:val="四级条标题"/>
    <w:basedOn w:val="659"/>
    <w:next w:val="644"/>
    <w:qFormat/>
    <w:uiPriority w:val="0"/>
    <w:pPr>
      <w:tabs>
        <w:tab w:val="left" w:pos="2940"/>
        <w:tab w:val="clear" w:pos="2520"/>
      </w:tabs>
      <w:ind w:left="2940"/>
      <w:outlineLvl w:val="5"/>
    </w:pPr>
  </w:style>
  <w:style w:type="paragraph" w:customStyle="1" w:styleId="800">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1">
    <w:name w:val="Char23"/>
    <w:basedOn w:val="1"/>
    <w:qFormat/>
    <w:uiPriority w:val="0"/>
    <w:rPr>
      <w:rFonts w:ascii="仿宋_GB2312" w:eastAsia="仿宋_GB2312"/>
      <w:b/>
      <w:sz w:val="32"/>
      <w:szCs w:val="32"/>
    </w:rPr>
  </w:style>
  <w:style w:type="paragraph" w:customStyle="1" w:styleId="802">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3">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5">
    <w:name w:val="单元格左对齐"/>
    <w:basedOn w:val="1"/>
    <w:qFormat/>
    <w:uiPriority w:val="0"/>
    <w:pPr>
      <w:adjustRightInd/>
      <w:spacing w:line="360" w:lineRule="auto"/>
    </w:pPr>
    <w:rPr>
      <w:sz w:val="24"/>
    </w:rPr>
  </w:style>
  <w:style w:type="paragraph" w:customStyle="1" w:styleId="806">
    <w:name w:val="正文主体"/>
    <w:basedOn w:val="628"/>
    <w:qFormat/>
    <w:uiPriority w:val="0"/>
  </w:style>
  <w:style w:type="paragraph" w:customStyle="1" w:styleId="80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0">
    <w:name w:val="正文（首行缩进2字符）"/>
    <w:basedOn w:val="1"/>
    <w:qFormat/>
    <w:uiPriority w:val="0"/>
    <w:pPr>
      <w:adjustRightInd/>
      <w:spacing w:line="360" w:lineRule="auto"/>
      <w:ind w:firstLine="480" w:firstLineChars="200"/>
    </w:pPr>
    <w:rPr>
      <w:sz w:val="24"/>
      <w:szCs w:val="20"/>
    </w:rPr>
  </w:style>
  <w:style w:type="paragraph" w:customStyle="1" w:styleId="811">
    <w:name w:val="P1"/>
    <w:basedOn w:val="1"/>
    <w:qFormat/>
    <w:uiPriority w:val="0"/>
    <w:pPr>
      <w:adjustRightInd/>
      <w:spacing w:line="288" w:lineRule="auto"/>
      <w:ind w:firstLine="425" w:firstLineChars="200"/>
    </w:pPr>
  </w:style>
  <w:style w:type="paragraph" w:customStyle="1" w:styleId="812">
    <w:name w:val="列表内容"/>
    <w:basedOn w:val="1"/>
    <w:next w:val="1"/>
    <w:qFormat/>
    <w:uiPriority w:val="0"/>
    <w:pPr>
      <w:widowControl/>
      <w:tabs>
        <w:tab w:val="left" w:pos="840"/>
      </w:tabs>
      <w:ind w:left="840" w:hanging="420"/>
      <w:jc w:val="left"/>
    </w:pPr>
    <w:rPr>
      <w:kern w:val="0"/>
      <w:sz w:val="18"/>
    </w:rPr>
  </w:style>
  <w:style w:type="paragraph" w:customStyle="1" w:styleId="813">
    <w:name w:val="Char Char11 Char Char Char1"/>
    <w:basedOn w:val="1"/>
    <w:qFormat/>
    <w:uiPriority w:val="6"/>
    <w:pPr>
      <w:spacing w:line="360" w:lineRule="auto"/>
    </w:pPr>
    <w:rPr>
      <w:szCs w:val="20"/>
    </w:rPr>
  </w:style>
  <w:style w:type="paragraph" w:customStyle="1" w:styleId="81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5">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6">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8">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9">
    <w:name w:val="默认段落字体 Para Char Char Char Char"/>
    <w:basedOn w:val="1"/>
    <w:qFormat/>
    <w:uiPriority w:val="0"/>
    <w:pPr>
      <w:spacing w:line="360" w:lineRule="auto"/>
    </w:pPr>
    <w:rPr>
      <w:szCs w:val="20"/>
    </w:rPr>
  </w:style>
  <w:style w:type="paragraph" w:customStyle="1" w:styleId="82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2">
    <w:name w:val="Char2 Char Char Char2"/>
    <w:basedOn w:val="1"/>
    <w:qFormat/>
    <w:uiPriority w:val="0"/>
    <w:rPr>
      <w:rFonts w:ascii="仿宋_GB2312" w:eastAsia="仿宋_GB2312"/>
      <w:b/>
      <w:sz w:val="32"/>
      <w:szCs w:val="32"/>
    </w:rPr>
  </w:style>
  <w:style w:type="paragraph" w:customStyle="1" w:styleId="82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5">
    <w:name w:val="正文 首行缩进:  2 字符 Char"/>
    <w:basedOn w:val="1"/>
    <w:qFormat/>
    <w:uiPriority w:val="0"/>
    <w:pPr>
      <w:adjustRightInd/>
      <w:spacing w:line="360" w:lineRule="auto"/>
      <w:ind w:firstLine="480"/>
    </w:pPr>
    <w:rPr>
      <w:rFonts w:cs="宋体"/>
      <w:sz w:val="24"/>
      <w:szCs w:val="20"/>
    </w:rPr>
  </w:style>
  <w:style w:type="paragraph" w:customStyle="1" w:styleId="826">
    <w:name w:val="Char Char4 Char Char"/>
    <w:basedOn w:val="1"/>
    <w:qFormat/>
    <w:uiPriority w:val="0"/>
    <w:pPr>
      <w:widowControl/>
      <w:adjustRightInd/>
      <w:spacing w:after="160" w:line="240" w:lineRule="exact"/>
      <w:jc w:val="left"/>
    </w:pPr>
  </w:style>
  <w:style w:type="paragraph" w:customStyle="1" w:styleId="82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8">
    <w:name w:val="Char Char11 Char Char Char2"/>
    <w:basedOn w:val="1"/>
    <w:qFormat/>
    <w:uiPriority w:val="0"/>
    <w:pPr>
      <w:spacing w:line="360" w:lineRule="auto"/>
    </w:pPr>
    <w:rPr>
      <w:szCs w:val="20"/>
    </w:rPr>
  </w:style>
  <w:style w:type="paragraph" w:customStyle="1" w:styleId="8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1">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5">
    <w:name w:val="Char311"/>
    <w:basedOn w:val="1"/>
    <w:qFormat/>
    <w:uiPriority w:val="0"/>
    <w:pPr>
      <w:adjustRightInd/>
      <w:ind w:firstLine="200" w:firstLineChars="200"/>
    </w:pPr>
    <w:rPr>
      <w:rFonts w:ascii="Tahoma" w:hAnsi="Tahoma"/>
      <w:sz w:val="24"/>
      <w:szCs w:val="20"/>
    </w:rPr>
  </w:style>
  <w:style w:type="paragraph" w:customStyle="1" w:styleId="836">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8">
    <w:name w:val="正文 内标"/>
    <w:basedOn w:val="754"/>
    <w:qFormat/>
    <w:uiPriority w:val="0"/>
    <w:pPr>
      <w:tabs>
        <w:tab w:val="left" w:pos="0"/>
      </w:tabs>
      <w:ind w:left="900" w:firstLine="0" w:firstLineChars="0"/>
    </w:pPr>
  </w:style>
  <w:style w:type="paragraph" w:customStyle="1" w:styleId="839">
    <w:name w:val="Bulleted List"/>
    <w:basedOn w:val="1"/>
    <w:qFormat/>
    <w:uiPriority w:val="0"/>
    <w:pPr>
      <w:tabs>
        <w:tab w:val="left" w:pos="1260"/>
      </w:tabs>
      <w:adjustRightInd/>
      <w:ind w:left="1260" w:hanging="420"/>
    </w:pPr>
  </w:style>
  <w:style w:type="paragraph" w:customStyle="1" w:styleId="840">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41">
    <w:name w:val="样式 左侧:  0.85 厘米"/>
    <w:basedOn w:val="1"/>
    <w:qFormat/>
    <w:uiPriority w:val="2"/>
    <w:pPr>
      <w:adjustRightInd/>
      <w:spacing w:line="360" w:lineRule="auto"/>
    </w:pPr>
    <w:rPr>
      <w:rFonts w:cs="宋体"/>
      <w:sz w:val="24"/>
      <w:szCs w:val="20"/>
    </w:rPr>
  </w:style>
  <w:style w:type="paragraph" w:customStyle="1" w:styleId="842">
    <w:name w:val="Char Char Char Char Char Char Char Char Char Char Char Char1 Char"/>
    <w:basedOn w:val="1"/>
    <w:qFormat/>
    <w:uiPriority w:val="0"/>
    <w:rPr>
      <w:rFonts w:ascii="Tahoma" w:hAnsi="Tahoma" w:cs="仿宋_GB2312"/>
      <w:sz w:val="24"/>
      <w:szCs w:val="20"/>
    </w:rPr>
  </w:style>
  <w:style w:type="paragraph" w:customStyle="1" w:styleId="843">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6">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7">
    <w:name w:val="Char Char1 Char Char Char Char Char Char"/>
    <w:basedOn w:val="1"/>
    <w:qFormat/>
    <w:uiPriority w:val="0"/>
    <w:rPr>
      <w:rFonts w:ascii="仿宋_GB2312" w:eastAsia="仿宋_GB2312"/>
      <w:b/>
      <w:sz w:val="32"/>
      <w:szCs w:val="20"/>
    </w:rPr>
  </w:style>
  <w:style w:type="paragraph" w:customStyle="1" w:styleId="84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9">
    <w:name w:val="Char Char1 Char Char Char Char Char Char2"/>
    <w:basedOn w:val="1"/>
    <w:qFormat/>
    <w:uiPriority w:val="0"/>
    <w:rPr>
      <w:rFonts w:ascii="仿宋_GB2312" w:eastAsia="仿宋_GB2312"/>
      <w:b/>
      <w:sz w:val="32"/>
      <w:szCs w:val="20"/>
    </w:rPr>
  </w:style>
  <w:style w:type="paragraph" w:customStyle="1" w:styleId="85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9">
    <w:name w:val="Char31"/>
    <w:basedOn w:val="1"/>
    <w:qFormat/>
    <w:uiPriority w:val="0"/>
    <w:pPr>
      <w:adjustRightInd/>
    </w:pPr>
    <w:rPr>
      <w:rFonts w:ascii="仿宋_GB2312" w:eastAsia="仿宋_GB2312"/>
      <w:b/>
      <w:sz w:val="32"/>
      <w:szCs w:val="32"/>
    </w:rPr>
  </w:style>
  <w:style w:type="paragraph" w:customStyle="1" w:styleId="860">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3">
    <w:name w:val="Char Char1"/>
    <w:basedOn w:val="1"/>
    <w:qFormat/>
    <w:uiPriority w:val="0"/>
    <w:pPr>
      <w:widowControl/>
      <w:spacing w:after="160" w:line="240" w:lineRule="exact"/>
      <w:jc w:val="left"/>
    </w:pPr>
    <w:rPr>
      <w:rFonts w:eastAsia="仿宋_GB2312"/>
      <w:sz w:val="28"/>
    </w:rPr>
  </w:style>
  <w:style w:type="paragraph" w:customStyle="1" w:styleId="864">
    <w:name w:val="Char21"/>
    <w:basedOn w:val="1"/>
    <w:qFormat/>
    <w:uiPriority w:val="0"/>
    <w:pPr>
      <w:adjustRightInd/>
      <w:ind w:firstLine="200" w:firstLineChars="200"/>
    </w:pPr>
    <w:rPr>
      <w:rFonts w:ascii="仿宋_GB2312" w:eastAsia="仿宋_GB2312"/>
      <w:b/>
      <w:sz w:val="32"/>
      <w:szCs w:val="32"/>
    </w:rPr>
  </w:style>
  <w:style w:type="paragraph" w:customStyle="1" w:styleId="865">
    <w:name w:val="列表段落11"/>
    <w:basedOn w:val="1"/>
    <w:qFormat/>
    <w:uiPriority w:val="34"/>
    <w:pPr>
      <w:adjustRightInd/>
      <w:ind w:right="238" w:firstLine="420"/>
    </w:pPr>
    <w:rPr>
      <w:rFonts w:ascii="Calibri" w:hAnsi="Calibri"/>
      <w:sz w:val="24"/>
    </w:rPr>
  </w:style>
  <w:style w:type="paragraph" w:customStyle="1" w:styleId="866">
    <w:name w:val="Char Char110"/>
    <w:basedOn w:val="1"/>
    <w:qFormat/>
    <w:uiPriority w:val="6"/>
    <w:pPr>
      <w:spacing w:line="360" w:lineRule="auto"/>
    </w:pPr>
    <w:rPr>
      <w:rFonts w:ascii="Tahoma" w:hAnsi="Tahoma"/>
      <w:sz w:val="24"/>
      <w:szCs w:val="20"/>
    </w:rPr>
  </w:style>
  <w:style w:type="paragraph" w:customStyle="1" w:styleId="867">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9">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1">
    <w:name w:val="Char Char Char Char Char Char Char Char Char Char Char Char1 Char2"/>
    <w:basedOn w:val="1"/>
    <w:qFormat/>
    <w:uiPriority w:val="0"/>
    <w:rPr>
      <w:rFonts w:ascii="Tahoma" w:hAnsi="Tahoma" w:cs="仿宋_GB2312"/>
      <w:sz w:val="24"/>
      <w:szCs w:val="20"/>
    </w:rPr>
  </w:style>
  <w:style w:type="paragraph" w:customStyle="1" w:styleId="872">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3">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4">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6">
    <w:name w:val="_Style 12"/>
    <w:basedOn w:val="18"/>
    <w:qFormat/>
    <w:uiPriority w:val="0"/>
    <w:pPr>
      <w:snapToGrid w:val="0"/>
      <w:spacing w:line="360" w:lineRule="auto"/>
    </w:pPr>
  </w:style>
  <w:style w:type="paragraph" w:customStyle="1" w:styleId="877">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8">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9">
    <w:name w:val="_Style 94"/>
    <w:basedOn w:val="1"/>
    <w:next w:val="262"/>
    <w:qFormat/>
    <w:uiPriority w:val="34"/>
    <w:pPr>
      <w:adjustRightInd/>
      <w:spacing w:line="360" w:lineRule="auto"/>
      <w:ind w:firstLine="200" w:firstLineChars="200"/>
    </w:pPr>
    <w:rPr>
      <w:rFonts w:ascii="Calibri" w:hAnsi="Calibri"/>
      <w:sz w:val="28"/>
      <w:szCs w:val="20"/>
    </w:rPr>
  </w:style>
  <w:style w:type="paragraph" w:customStyle="1" w:styleId="88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6"/>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2"/>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3"/>
    <w:qFormat/>
    <w:uiPriority w:val="0"/>
    <w:rPr>
      <w:b w:val="0"/>
      <w:sz w:val="20"/>
    </w:rPr>
  </w:style>
  <w:style w:type="paragraph" w:customStyle="1" w:styleId="896">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6"/>
    <w:next w:val="1"/>
    <w:qFormat/>
    <w:uiPriority w:val="0"/>
    <w:pPr>
      <w:tabs>
        <w:tab w:val="left" w:pos="1080"/>
      </w:tabs>
      <w:ind w:left="1080" w:hanging="1080"/>
    </w:pPr>
  </w:style>
  <w:style w:type="paragraph" w:customStyle="1" w:styleId="899">
    <w:name w:val="数字标题1"/>
    <w:basedOn w:val="2"/>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7"/>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6"/>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locked/>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字符"/>
    <w:link w:val="37"/>
    <w:qFormat/>
    <w:uiPriority w:val="0"/>
    <w:rPr>
      <w:kern w:val="2"/>
      <w:sz w:val="21"/>
      <w:szCs w:val="24"/>
      <w:lang w:val="zh-CN"/>
    </w:rPr>
  </w:style>
  <w:style w:type="character" w:customStyle="1" w:styleId="935">
    <w:name w:val="无间隔 字符"/>
    <w:link w:val="487"/>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2"/>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0"/>
    <w:qFormat/>
    <w:uiPriority w:val="0"/>
    <w:rPr>
      <w:color w:val="000000"/>
      <w:shd w:val="clear" w:color="auto" w:fill="EFD200"/>
    </w:rPr>
  </w:style>
  <w:style w:type="character" w:customStyle="1" w:styleId="964">
    <w:name w:val="font71"/>
    <w:basedOn w:val="70"/>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样式 标题 2 + Times New Roman 四号 非加粗 段前: 5 磅 段后: 0 磅 行距: 固定值 20..."/>
    <w:basedOn w:val="3"/>
    <w:qFormat/>
    <w:uiPriority w:val="0"/>
    <w:pPr>
      <w:tabs>
        <w:tab w:val="left" w:pos="1080"/>
        <w:tab w:val="clear" w:pos="432"/>
      </w:tabs>
      <w:spacing w:before="100" w:line="400" w:lineRule="exact"/>
    </w:pPr>
    <w:rPr>
      <w:rFonts w:ascii="Times New Roman" w:hAnsi="Times New Roman" w:eastAsia="黑体" w:cs="宋体"/>
      <w:b w:val="0"/>
      <w:sz w:val="28"/>
      <w:szCs w:val="20"/>
    </w:rPr>
  </w:style>
  <w:style w:type="paragraph" w:customStyle="1" w:styleId="967">
    <w:name w:val="p16"/>
    <w:basedOn w:val="1"/>
    <w:qFormat/>
    <w:uiPriority w:val="0"/>
    <w:pPr>
      <w:widowControl/>
      <w:spacing w:before="100" w:after="100"/>
      <w:jc w:val="left"/>
    </w:pPr>
    <w:rPr>
      <w:rFonts w:ascii="宋体" w:hAnsi="宋体" w:cs="宋体"/>
      <w:color w:val="000000"/>
      <w:kern w:val="0"/>
      <w:sz w:val="24"/>
    </w:rPr>
  </w:style>
  <w:style w:type="paragraph" w:customStyle="1" w:styleId="968">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9">
    <w:name w:val="[Normal]"/>
    <w:qFormat/>
    <w:uiPriority w:val="0"/>
    <w:rPr>
      <w:rFonts w:ascii="宋体" w:hAnsi="宋体" w:eastAsia="宋体" w:cs="Times New Roman"/>
      <w:sz w:val="24"/>
      <w:lang w:val="zh-CN" w:eastAsia="zh-CN" w:bidi="ar-SA"/>
    </w:rPr>
  </w:style>
  <w:style w:type="paragraph" w:styleId="970">
    <w:name w:val="List Paragraph"/>
    <w:basedOn w:val="1"/>
    <w:qFormat/>
    <w:uiPriority w:val="99"/>
    <w:pPr>
      <w:adjustRightInd/>
      <w:ind w:firstLine="420" w:firstLineChars="200"/>
    </w:pPr>
    <w:rPr>
      <w:szCs w:val="20"/>
    </w:rPr>
  </w:style>
  <w:style w:type="paragraph" w:customStyle="1" w:styleId="971">
    <w:name w:val="修订5"/>
    <w:hidden/>
    <w:unhideWhenUsed/>
    <w:qFormat/>
    <w:uiPriority w:val="99"/>
    <w:rPr>
      <w:rFonts w:ascii="Times New Roman" w:hAnsi="Times New Roman" w:eastAsia="宋体" w:cs="Times New Roman"/>
      <w:kern w:val="2"/>
      <w:sz w:val="21"/>
      <w:szCs w:val="24"/>
      <w:lang w:val="en-US" w:eastAsia="zh-CN" w:bidi="ar-SA"/>
    </w:rPr>
  </w:style>
  <w:style w:type="paragraph" w:styleId="972">
    <w:name w:val="No Spacing"/>
    <w:basedOn w:val="1"/>
    <w:qFormat/>
    <w:uiPriority w:val="1"/>
    <w:pPr>
      <w:spacing w:line="360" w:lineRule="auto"/>
    </w:pPr>
  </w:style>
  <w:style w:type="paragraph" w:customStyle="1" w:styleId="973">
    <w:name w:val="表格内容"/>
    <w:basedOn w:val="1"/>
    <w:qFormat/>
    <w:uiPriority w:val="0"/>
    <w:pPr>
      <w:jc w:val="center"/>
    </w:pPr>
    <w:rPr>
      <w:rFonts w:ascii="Calibri" w:hAnsi="Calibri"/>
      <w:szCs w:val="22"/>
    </w:rPr>
  </w:style>
  <w:style w:type="paragraph" w:customStyle="1" w:styleId="974">
    <w:name w:val="DAS正文"/>
    <w:basedOn w:val="1"/>
    <w:qFormat/>
    <w:uiPriority w:val="0"/>
    <w:pPr>
      <w:spacing w:line="360" w:lineRule="auto"/>
      <w:ind w:right="181" w:firstLine="480" w:firstLineChars="200"/>
    </w:pPr>
    <w:rPr>
      <w:rFonts w:ascii="Verdana" w:hAnsi="Verdana"/>
      <w:sz w:val="24"/>
    </w:rPr>
  </w:style>
  <w:style w:type="paragraph" w:customStyle="1" w:styleId="975">
    <w:name w:val="产品介绍目录"/>
    <w:basedOn w:val="1"/>
    <w:qFormat/>
    <w:uiPriority w:val="0"/>
    <w:pPr>
      <w:spacing w:beforeLines="50" w:afterLines="50"/>
      <w:ind w:left="1697" w:hanging="420"/>
    </w:pPr>
    <w:rPr>
      <w:rFonts w:ascii="黑体" w:hAnsi="黑体" w:eastAsia="黑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B669D2-CA9E-476B-88DE-2636780E5BC9}">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83</Pages>
  <Words>39887</Words>
  <Characters>41778</Characters>
  <Lines>297</Lines>
  <Paragraphs>83</Paragraphs>
  <TotalTime>5</TotalTime>
  <ScaleCrop>false</ScaleCrop>
  <LinksUpToDate>false</LinksUpToDate>
  <CharactersWithSpaces>46174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2024-04-01T06:10:00Z</dcterms:created>
  <dc:creator>玥</dc:creator>
  <cp:lastModifiedBy> 春＜＜  </cp:lastModifiedBy>
  <cp:lastPrinted>2024-04-01T02:17:00Z</cp:lastPrinted>
  <dcterms:modified xsi:type="dcterms:W3CDTF">2024-06-25T07:42:38Z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44ADC09439F646B8AA329E490A41B29C</vt:lpwstr>
  </property>
  <property fmtid="{D5CDD505-2E9C-101B-9397-08002B2CF9AE}" pid="5" name="commondata">
    <vt:lpwstr>eyJoZGlkIjoiNGNlMmFkMDQ1NDY0ZmRiM2Q0NjY4NTFjN2IwMTllYjMifQ==</vt:lpwstr>
  </property>
</Properties>
</file>