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ascii="仿宋" w:hAnsi="仿宋" w:eastAsia="仿宋" w:cs="仿宋"/>
          <w:b/>
          <w:sz w:val="48"/>
          <w:szCs w:val="48"/>
        </w:rPr>
      </w:pPr>
    </w:p>
    <w:p>
      <w:pPr>
        <w:rPr>
          <w:rFonts w:hint="eastAsia"/>
        </w:rPr>
      </w:pPr>
    </w:p>
    <w:p>
      <w:pPr>
        <w:adjustRightInd/>
        <w:spacing w:line="360" w:lineRule="auto"/>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城区道路标识标线漆画项目</w:t>
      </w:r>
    </w:p>
    <w:p>
      <w:pPr>
        <w:pStyle w:val="15"/>
        <w:rPr>
          <w:rFonts w:hint="eastAsia" w:ascii="仿宋" w:hAnsi="仿宋" w:eastAsia="仿宋" w:cs="仿宋"/>
          <w:b/>
          <w:bCs/>
          <w:sz w:val="52"/>
          <w:szCs w:val="52"/>
          <w:lang w:eastAsia="zh-CN"/>
        </w:rPr>
      </w:pPr>
    </w:p>
    <w:p>
      <w:pPr>
        <w:rPr>
          <w:rFonts w:hint="eastAsia"/>
        </w:rPr>
      </w:pPr>
    </w:p>
    <w:p>
      <w:pPr>
        <w:adjustRightInd/>
        <w:spacing w:line="360" w:lineRule="auto"/>
        <w:jc w:val="center"/>
        <w:rPr>
          <w:rFonts w:hint="eastAsia" w:ascii="仿宋" w:hAnsi="仿宋" w:eastAsia="仿宋" w:cs="仿宋"/>
          <w:b/>
          <w:sz w:val="44"/>
          <w:szCs w:val="44"/>
        </w:rPr>
      </w:pPr>
      <w:r>
        <w:rPr>
          <w:rFonts w:hint="eastAsia" w:ascii="仿宋" w:hAnsi="仿宋" w:eastAsia="仿宋" w:cs="仿宋"/>
          <w:sz w:val="52"/>
          <w:szCs w:val="52"/>
        </w:rPr>
        <w:t>招标文件</w:t>
      </w:r>
      <w:r>
        <w:rPr>
          <w:rFonts w:hint="eastAsia" w:ascii="仿宋" w:hAnsi="仿宋" w:eastAsia="仿宋" w:cs="仿宋"/>
          <w:sz w:val="48"/>
          <w:szCs w:val="48"/>
        </w:rPr>
        <w:t xml:space="preserve"> </w:t>
      </w:r>
      <w:r>
        <w:rPr>
          <w:rFonts w:hint="eastAsia" w:ascii="仿宋" w:hAnsi="仿宋" w:eastAsia="仿宋" w:cs="仿宋"/>
          <w:b/>
          <w:sz w:val="44"/>
          <w:szCs w:val="44"/>
        </w:rPr>
        <w:t xml:space="preserve">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（电子招投标）</w:t>
      </w:r>
    </w:p>
    <w:p>
      <w:pPr>
        <w:snapToGrid w:val="0"/>
        <w:spacing w:line="360" w:lineRule="auto"/>
        <w:jc w:val="center"/>
        <w:rPr>
          <w:rFonts w:hint="eastAsia" w:ascii="仿宋" w:hAnsi="仿宋" w:eastAsia="仿宋" w:cs="仿宋"/>
          <w:sz w:val="30"/>
          <w:szCs w:val="30"/>
        </w:rPr>
      </w:pPr>
      <w:r>
        <w:rPr>
          <w:rFonts w:hint="eastAsia" w:ascii="仿宋" w:hAnsi="仿宋" w:eastAsia="仿宋" w:cs="仿宋"/>
          <w:sz w:val="30"/>
          <w:szCs w:val="30"/>
        </w:rPr>
        <w:t>编号:（[2024]781号）</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pStyle w:val="3"/>
        <w:ind w:left="0" w:leftChars="0" w:firstLine="0" w:firstLineChars="0"/>
        <w:rPr>
          <w:rFonts w:hint="eastAsia" w:ascii="仿宋" w:hAnsi="仿宋" w:eastAsia="仿宋" w:cs="仿宋"/>
          <w:sz w:val="24"/>
        </w:rPr>
      </w:pPr>
    </w:p>
    <w:p>
      <w:pPr>
        <w:rPr>
          <w:rFonts w:hint="eastAsia" w:ascii="仿宋" w:hAnsi="仿宋" w:eastAsia="仿宋" w:cs="仿宋"/>
        </w:rPr>
      </w:pPr>
    </w:p>
    <w:p>
      <w:pPr>
        <w:spacing w:line="360" w:lineRule="auto"/>
        <w:rPr>
          <w:rFonts w:hint="eastAsia" w:ascii="仿宋" w:hAnsi="仿宋" w:eastAsia="仿宋" w:cs="仿宋"/>
          <w:sz w:val="32"/>
          <w:szCs w:val="32"/>
          <w:highlight w:val="none"/>
        </w:rPr>
      </w:pPr>
    </w:p>
    <w:p>
      <w:pPr>
        <w:pStyle w:val="15"/>
        <w:rPr>
          <w:rFonts w:hint="eastAsia"/>
        </w:rPr>
      </w:pPr>
    </w:p>
    <w:p>
      <w:pPr>
        <w:snapToGrid w:val="0"/>
        <w:spacing w:line="360" w:lineRule="auto"/>
        <w:ind w:firstLine="640" w:firstLineChars="200"/>
        <w:jc w:val="both"/>
        <w:rPr>
          <w:rFonts w:hint="eastAsia" w:ascii="仿宋" w:hAnsi="仿宋" w:eastAsia="仿宋" w:cs="仿宋"/>
          <w:bCs/>
          <w:sz w:val="32"/>
          <w:szCs w:val="32"/>
          <w:lang w:val="en-US" w:eastAsia="zh-CN"/>
        </w:rPr>
      </w:pPr>
    </w:p>
    <w:p>
      <w:pPr>
        <w:snapToGrid w:val="0"/>
        <w:spacing w:line="360" w:lineRule="auto"/>
        <w:ind w:firstLine="1280" w:firstLineChars="400"/>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采购人：杭州市公安局临安区分局交通警察大队</w:t>
      </w:r>
    </w:p>
    <w:p>
      <w:pPr>
        <w:snapToGrid w:val="0"/>
        <w:spacing w:line="360" w:lineRule="auto"/>
        <w:ind w:firstLine="1280" w:firstLineChars="400"/>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采购代理机构：浙江华耀建设咨询有限公司</w:t>
      </w:r>
    </w:p>
    <w:p>
      <w:pPr>
        <w:snapToGrid w:val="0"/>
        <w:spacing w:line="360" w:lineRule="auto"/>
        <w:jc w:val="center"/>
        <w:rPr>
          <w:rFonts w:hint="eastAsia" w:ascii="仿宋" w:hAnsi="仿宋" w:eastAsia="仿宋" w:cs="仿宋"/>
          <w:sz w:val="24"/>
          <w:highlight w:val="none"/>
        </w:rPr>
      </w:pPr>
      <w:r>
        <w:rPr>
          <w:rFonts w:hint="eastAsia" w:ascii="仿宋" w:hAnsi="仿宋" w:eastAsia="仿宋" w:cs="仿宋"/>
          <w:bCs/>
          <w:sz w:val="32"/>
          <w:szCs w:val="32"/>
          <w:highlight w:val="none"/>
        </w:rPr>
        <w:t>二〇二</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年</w:t>
      </w:r>
      <w:r>
        <w:rPr>
          <w:rFonts w:hint="eastAsia" w:ascii="仿宋" w:hAnsi="仿宋" w:eastAsia="仿宋" w:cs="仿宋"/>
          <w:bCs/>
          <w:sz w:val="32"/>
          <w:szCs w:val="32"/>
          <w:highlight w:val="none"/>
          <w:lang w:val="en-US" w:eastAsia="zh-CN"/>
        </w:rPr>
        <w:t>六</w:t>
      </w:r>
      <w:r>
        <w:rPr>
          <w:rFonts w:hint="eastAsia" w:ascii="仿宋" w:hAnsi="仿宋" w:eastAsia="仿宋" w:cs="仿宋"/>
          <w:bCs/>
          <w:sz w:val="32"/>
          <w:szCs w:val="32"/>
          <w:highlight w:val="none"/>
        </w:rPr>
        <w:t>月</w:t>
      </w:r>
      <w:r>
        <w:rPr>
          <w:rFonts w:hint="eastAsia" w:ascii="仿宋" w:hAnsi="仿宋" w:eastAsia="仿宋" w:cs="仿宋"/>
          <w:sz w:val="24"/>
          <w:highlight w:val="none"/>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lang w:eastAsia="zh-CN"/>
        </w:rPr>
        <w:t>城区道路标识标线漆画项目</w:t>
      </w:r>
      <w:r>
        <w:rPr>
          <w:rFonts w:hint="eastAsia" w:ascii="仿宋" w:hAnsi="仿宋" w:eastAsia="仿宋" w:cs="仿宋"/>
          <w:sz w:val="24"/>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03</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bCs/>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w:t>
      </w:r>
      <w:r>
        <w:rPr>
          <w:rFonts w:hint="eastAsia" w:ascii="仿宋" w:hAnsi="仿宋" w:eastAsia="仿宋" w:cs="仿宋"/>
          <w:sz w:val="24"/>
        </w:rPr>
        <w:t>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b w:val="0"/>
          <w:bCs/>
          <w:sz w:val="24"/>
          <w:lang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val="0"/>
          <w:bCs/>
          <w:sz w:val="24"/>
          <w:lang w:val="en-US" w:eastAsia="zh-CN"/>
        </w:rPr>
        <w:t>[2024]781号</w:t>
      </w:r>
    </w:p>
    <w:p>
      <w:pPr>
        <w:spacing w:line="360" w:lineRule="auto"/>
        <w:ind w:firstLine="480"/>
        <w:rPr>
          <w:rFonts w:hint="eastAsia" w:ascii="仿宋" w:hAnsi="仿宋" w:eastAsia="仿宋" w:cs="仿宋"/>
          <w:b/>
          <w:sz w:val="24"/>
        </w:rPr>
      </w:pPr>
      <w:r>
        <w:rPr>
          <w:rFonts w:hint="eastAsia" w:ascii="仿宋" w:hAnsi="仿宋" w:eastAsia="仿宋" w:cs="仿宋"/>
          <w:b/>
          <w:sz w:val="24"/>
        </w:rPr>
        <w:t>项目名称：</w:t>
      </w:r>
      <w:r>
        <w:rPr>
          <w:rFonts w:hint="eastAsia" w:ascii="仿宋" w:hAnsi="仿宋" w:eastAsia="仿宋" w:cs="仿宋"/>
          <w:b w:val="0"/>
          <w:bCs/>
          <w:sz w:val="24"/>
          <w:lang w:eastAsia="zh-CN"/>
        </w:rPr>
        <w:t>城区道路标识标线漆画项目</w:t>
      </w:r>
      <w:r>
        <w:rPr>
          <w:rFonts w:hint="eastAsia" w:ascii="仿宋" w:hAnsi="仿宋" w:eastAsia="仿宋" w:cs="仿宋"/>
          <w:sz w:val="24"/>
        </w:rPr>
        <w:t xml:space="preserve">   </w:t>
      </w:r>
      <w:r>
        <w:rPr>
          <w:rFonts w:hint="eastAsia" w:ascii="仿宋" w:hAnsi="仿宋" w:eastAsia="仿宋" w:cs="仿宋"/>
          <w:b/>
          <w:sz w:val="24"/>
        </w:rPr>
        <w:t xml:space="preserve"> </w:t>
      </w:r>
    </w:p>
    <w:p>
      <w:pPr>
        <w:spacing w:line="360" w:lineRule="auto"/>
        <w:ind w:firstLine="480"/>
        <w:rPr>
          <w:rFonts w:hint="default" w:ascii="仿宋" w:hAnsi="仿宋" w:eastAsia="仿宋" w:cs="仿宋"/>
          <w:sz w:val="24"/>
          <w:lang w:val="en-US" w:eastAsia="zh-CN"/>
        </w:rPr>
      </w:pPr>
      <w:r>
        <w:rPr>
          <w:rFonts w:hint="eastAsia" w:ascii="仿宋" w:hAnsi="仿宋" w:eastAsia="仿宋" w:cs="仿宋"/>
          <w:b/>
          <w:sz w:val="24"/>
        </w:rPr>
        <w:t>预算金额（元）：</w:t>
      </w:r>
      <w:r>
        <w:rPr>
          <w:rFonts w:hint="eastAsia" w:ascii="仿宋" w:hAnsi="仿宋" w:eastAsia="仿宋" w:cs="仿宋"/>
          <w:b w:val="0"/>
          <w:bCs/>
          <w:sz w:val="24"/>
        </w:rPr>
        <w:t>160</w:t>
      </w:r>
      <w:r>
        <w:rPr>
          <w:rFonts w:hint="eastAsia" w:ascii="仿宋" w:hAnsi="仿宋" w:eastAsia="仿宋" w:cs="仿宋"/>
          <w:b w:val="0"/>
          <w:bCs/>
          <w:sz w:val="24"/>
          <w:lang w:val="en-US" w:eastAsia="zh-CN"/>
        </w:rPr>
        <w:t>0000</w:t>
      </w:r>
    </w:p>
    <w:p>
      <w:pPr>
        <w:spacing w:line="360" w:lineRule="auto"/>
        <w:ind w:firstLine="48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b w:val="0"/>
          <w:bCs/>
          <w:sz w:val="24"/>
        </w:rPr>
        <w:t>160</w:t>
      </w:r>
      <w:r>
        <w:rPr>
          <w:rFonts w:hint="eastAsia" w:ascii="仿宋" w:hAnsi="仿宋" w:eastAsia="仿宋" w:cs="仿宋"/>
          <w:b w:val="0"/>
          <w:bCs/>
          <w:sz w:val="24"/>
          <w:lang w:val="en-US" w:eastAsia="zh-CN"/>
        </w:rPr>
        <w:t>0000</w:t>
      </w:r>
    </w:p>
    <w:p>
      <w:pPr>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rPr>
        <w:t>采购需求：</w:t>
      </w:r>
      <w:r>
        <w:rPr>
          <w:rFonts w:hint="eastAsia" w:ascii="仿宋" w:hAnsi="仿宋" w:eastAsia="仿宋" w:cs="仿宋"/>
          <w:b w:val="0"/>
          <w:bCs/>
          <w:sz w:val="24"/>
          <w:lang w:eastAsia="zh-CN"/>
        </w:rPr>
        <w:t>城区道路标识标线漆画项目</w:t>
      </w:r>
      <w:r>
        <w:rPr>
          <w:rFonts w:hint="eastAsia" w:ascii="仿宋" w:hAnsi="仿宋" w:eastAsia="仿宋" w:cs="仿宋"/>
          <w:b w:val="0"/>
          <w:bCs/>
          <w:sz w:val="24"/>
          <w:lang w:val="en-US" w:eastAsia="zh-CN"/>
        </w:rPr>
        <w:t>主要内容</w:t>
      </w:r>
      <w:r>
        <w:rPr>
          <w:rFonts w:hint="eastAsia" w:ascii="仿宋" w:hAnsi="仿宋" w:eastAsia="仿宋" w:cs="仿宋"/>
          <w:b w:val="0"/>
          <w:bCs/>
          <w:sz w:val="24"/>
          <w:lang w:eastAsia="zh-CN"/>
        </w:rPr>
        <w:t>：</w:t>
      </w:r>
      <w:r>
        <w:rPr>
          <w:rFonts w:hint="eastAsia" w:ascii="仿宋" w:hAnsi="仿宋" w:eastAsia="仿宋" w:cs="仿宋"/>
          <w:b w:val="0"/>
          <w:bCs/>
          <w:color w:val="auto"/>
          <w:sz w:val="24"/>
          <w:lang w:val="en-US" w:eastAsia="zh-CN"/>
        </w:rPr>
        <w:t>热熔型反光标线、彩色热熔减速带、振荡标线等漆画、清除</w:t>
      </w:r>
      <w:r>
        <w:rPr>
          <w:rFonts w:hint="eastAsia" w:ascii="仿宋" w:hAnsi="仿宋" w:eastAsia="仿宋" w:cs="仿宋"/>
          <w:b w:val="0"/>
          <w:bCs/>
          <w:color w:val="auto"/>
          <w:sz w:val="24"/>
        </w:rPr>
        <w:t>。具体以招标文件第三部分采购需求为准，供应商可点击本公告下方“浏览采购文件”查看采购需求。</w:t>
      </w:r>
    </w:p>
    <w:p>
      <w:pPr>
        <w:spacing w:line="360" w:lineRule="auto"/>
        <w:ind w:firstLine="480"/>
        <w:rPr>
          <w:rFonts w:hint="eastAsia" w:ascii="仿宋" w:hAnsi="仿宋" w:eastAsia="仿宋" w:cs="仿宋"/>
        </w:rPr>
      </w:pPr>
      <w:r>
        <w:rPr>
          <w:rFonts w:hint="eastAsia" w:ascii="仿宋" w:hAnsi="仿宋" w:eastAsia="仿宋" w:cs="仿宋"/>
          <w:b/>
          <w:color w:val="auto"/>
          <w:sz w:val="24"/>
          <w:highlight w:val="none"/>
        </w:rPr>
        <w:t>合同履约</w:t>
      </w:r>
      <w:r>
        <w:rPr>
          <w:rFonts w:hint="eastAsia" w:ascii="仿宋" w:hAnsi="仿宋" w:eastAsia="仿宋" w:cs="仿宋"/>
          <w:b/>
          <w:highlight w:val="none"/>
        </w:rPr>
        <w:t>期限：</w:t>
      </w:r>
      <w:r>
        <w:rPr>
          <w:rFonts w:hint="eastAsia" w:ascii="仿宋" w:hAnsi="仿宋" w:eastAsia="仿宋" w:cs="仿宋"/>
          <w:sz w:val="24"/>
          <w:szCs w:val="24"/>
          <w:lang w:val="en-US" w:eastAsia="zh-CN"/>
        </w:rPr>
        <w:t>合同签订后一年</w:t>
      </w:r>
      <w:r>
        <w:rPr>
          <w:rFonts w:hint="eastAsia" w:ascii="仿宋" w:hAnsi="仿宋" w:eastAsia="仿宋" w:cs="仿宋"/>
          <w:b w:val="0"/>
          <w:bCs/>
        </w:rPr>
        <w:t>。</w:t>
      </w:r>
    </w:p>
    <w:p>
      <w:pPr>
        <w:pStyle w:val="5"/>
        <w:spacing w:line="360" w:lineRule="auto"/>
        <w:ind w:firstLine="480"/>
        <w:rPr>
          <w:rFonts w:hint="eastAsia" w:ascii="仿宋" w:hAnsi="仿宋" w:eastAsia="仿宋" w:cs="仿宋"/>
          <w:color w:val="auto"/>
          <w:kern w:val="0"/>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176552672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w:t>
      </w:r>
      <w:bookmarkStart w:id="11" w:name="_Hlk101132948"/>
      <w:r>
        <w:rPr>
          <w:rFonts w:hint="eastAsia" w:ascii="仿宋" w:hAnsi="仿宋" w:eastAsia="仿宋" w:cs="仿宋"/>
          <w:b/>
          <w:sz w:val="24"/>
        </w:rPr>
        <w:t>申请人的资格要求</w:t>
      </w:r>
      <w:bookmarkEnd w:id="11"/>
      <w:r>
        <w:rPr>
          <w:rFonts w:hint="eastAsia" w:ascii="仿宋" w:hAnsi="仿宋" w:eastAsia="仿宋" w:cs="仿宋"/>
          <w:b/>
          <w:sz w:val="24"/>
        </w:rPr>
        <w:t>：</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2861692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02470430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sdt>
        <w:sdtPr>
          <w:rPr>
            <w:rFonts w:hint="eastAsia" w:ascii="仿宋" w:hAnsi="仿宋" w:eastAsia="仿宋" w:cs="仿宋"/>
            <w:kern w:val="0"/>
            <w:sz w:val="24"/>
          </w:rPr>
          <w:id w:val="-924730588"/>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lang w:val="en-US" w:eastAsia="zh-CN"/>
        </w:rPr>
        <w:t>服务</w:t>
      </w:r>
      <w:r>
        <w:rPr>
          <w:rFonts w:hint="eastAsia" w:ascii="仿宋" w:hAnsi="仿宋" w:eastAsia="仿宋" w:cs="仿宋"/>
          <w:sz w:val="24"/>
        </w:rPr>
        <w:t>全部由符合政策要求的中小企业承接，提供中小企业声明函；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115260493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服务</w:t>
      </w:r>
      <w:r>
        <w:rPr>
          <w:rFonts w:hint="eastAsia" w:ascii="仿宋" w:hAnsi="仿宋" w:eastAsia="仿宋" w:cs="仿宋"/>
          <w:sz w:val="24"/>
        </w:rPr>
        <w:t>全部由符合政策要求的小微企业承接，提供中小企业声明函；</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bookmarkStart w:id="12" w:name="_Hlk101132524"/>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w:t>
      </w:r>
      <w:r>
        <w:rPr>
          <w:rFonts w:hint="eastAsia" w:ascii="仿宋" w:hAnsi="仿宋" w:eastAsia="仿宋" w:cs="仿宋"/>
          <w:spacing w:val="8"/>
          <w:kern w:val="0"/>
          <w:sz w:val="24"/>
          <w:lang w:eastAsia="zh-CN"/>
        </w:rPr>
        <w:t>，</w:t>
      </w:r>
      <w:r>
        <w:rPr>
          <w:rFonts w:hint="eastAsia" w:ascii="仿宋" w:hAnsi="仿宋" w:eastAsia="仿宋" w:cs="仿宋"/>
          <w:spacing w:val="8"/>
          <w:kern w:val="0"/>
          <w:sz w:val="24"/>
        </w:rPr>
        <w:t>并相应达到了前述比例要求，视同符合了资格条件，无需再与其他中小企业组成联合体参加政府采购活动，无需提供联合协议</w:t>
      </w:r>
      <w:r>
        <w:rPr>
          <w:rFonts w:hint="eastAsia" w:ascii="仿宋" w:hAnsi="仿宋" w:eastAsia="仿宋" w:cs="仿宋"/>
          <w:sz w:val="24"/>
        </w:rPr>
        <w:t>；</w:t>
      </w:r>
    </w:p>
    <w:bookmarkEnd w:id="12"/>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highlight w:val="none"/>
        </w:rPr>
      </w:pPr>
      <w:r>
        <w:rPr>
          <w:rFonts w:hint="eastAsia" w:ascii="仿宋" w:hAnsi="仿宋" w:eastAsia="仿宋" w:cs="仿宋"/>
          <w:b/>
          <w:sz w:val="24"/>
        </w:rPr>
        <w:t>三、获取招标</w:t>
      </w:r>
      <w:r>
        <w:rPr>
          <w:rFonts w:hint="eastAsia" w:ascii="仿宋" w:hAnsi="仿宋" w:eastAsia="仿宋" w:cs="仿宋"/>
          <w:b/>
          <w:sz w:val="24"/>
          <w:highlight w:val="none"/>
        </w:rPr>
        <w:t xml:space="preserve">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03</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03</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03</w:t>
      </w:r>
      <w:bookmarkStart w:id="523" w:name="_GoBack"/>
      <w:bookmarkEnd w:id="523"/>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sz w:val="24"/>
          <w:lang w:eastAsia="zh-CN"/>
        </w:rPr>
        <w:t>采购代理机构</w:t>
      </w:r>
      <w:r>
        <w:rPr>
          <w:rFonts w:hint="eastAsia" w:ascii="仿宋" w:hAnsi="仿宋" w:eastAsia="仿宋" w:cs="仿宋"/>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w:t>
      </w:r>
      <w:r>
        <w:rPr>
          <w:rFonts w:hint="eastAsia" w:ascii="仿宋" w:hAnsi="仿宋" w:eastAsia="仿宋" w:cs="仿宋"/>
          <w:sz w:val="24"/>
          <w:lang w:eastAsia="zh-CN"/>
        </w:rPr>
        <w:t>杭州市公安局临安区分局交通警察大队</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sz w:val="24"/>
          <w:lang w:eastAsia="zh-CN"/>
        </w:rPr>
        <w:t>：浙江省杭州市临安区锦北街道马溪路667号</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 xml:space="preserve">项目联系人（询问）：凌雨田  </w:t>
      </w:r>
    </w:p>
    <w:p>
      <w:p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    项目联系方式（询问）：13806521321 </w:t>
      </w:r>
    </w:p>
    <w:p>
      <w:p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    质疑联系人：金益文</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质疑联系方式：13805705665</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lang w:eastAsia="zh-CN"/>
        </w:rPr>
      </w:pPr>
      <w:r>
        <w:rPr>
          <w:rFonts w:hint="eastAsia" w:ascii="仿宋" w:hAnsi="仿宋" w:eastAsia="仿宋" w:cs="仿宋"/>
          <w:sz w:val="24"/>
        </w:rPr>
        <w:t>名    称：</w:t>
      </w:r>
      <w:r>
        <w:rPr>
          <w:rFonts w:hint="eastAsia" w:ascii="仿宋" w:hAnsi="仿宋" w:eastAsia="仿宋" w:cs="仿宋"/>
          <w:sz w:val="24"/>
          <w:lang w:eastAsia="zh-CN"/>
        </w:rPr>
        <w:t>浙江华耀建设咨询有限公司</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地    址：杭州市临安区锦城街道钱王街465号1幢2楼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阮浦东</w:t>
      </w:r>
      <w:r>
        <w:rPr>
          <w:rFonts w:hint="eastAsia" w:ascii="仿宋" w:hAnsi="仿宋" w:eastAsia="仿宋" w:cs="仿宋"/>
          <w:sz w:val="24"/>
        </w:rPr>
        <w:t xml:space="preserve">          </w:t>
      </w:r>
    </w:p>
    <w:p>
      <w:pPr>
        <w:spacing w:line="360" w:lineRule="auto"/>
        <w:rPr>
          <w:rFonts w:hint="default" w:ascii="仿宋" w:hAnsi="仿宋" w:eastAsia="仿宋" w:cs="仿宋"/>
          <w:sz w:val="24"/>
          <w:lang w:val="en-US"/>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13083996937</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val="en-US" w:eastAsia="zh-CN"/>
        </w:rPr>
        <w:t>王燕平</w:t>
      </w:r>
      <w:r>
        <w:rPr>
          <w:rFonts w:hint="eastAsia" w:ascii="仿宋" w:hAnsi="仿宋" w:eastAsia="仿宋" w:cs="仿宋"/>
          <w:sz w:val="24"/>
        </w:rPr>
        <w:t xml:space="preserve">              </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    质疑联系方式：</w:t>
      </w:r>
      <w:r>
        <w:rPr>
          <w:rFonts w:hint="eastAsia" w:ascii="仿宋" w:hAnsi="仿宋" w:eastAsia="仿宋" w:cs="仿宋"/>
          <w:sz w:val="24"/>
          <w:lang w:val="en-US" w:eastAsia="zh-CN"/>
        </w:rPr>
        <w:t>15068834440</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址：杭州市临安区锦城街道临天路1950号财政大楼411室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真：0571-</w:t>
      </w:r>
      <w:r>
        <w:rPr>
          <w:rFonts w:hint="eastAsia" w:ascii="仿宋" w:hAnsi="仿宋" w:eastAsia="仿宋" w:cs="仿宋"/>
          <w:sz w:val="24"/>
          <w:lang w:val="en-US" w:eastAsia="zh-CN"/>
        </w:rPr>
        <w:t>89541600</w:t>
      </w:r>
    </w:p>
    <w:p>
      <w:pPr>
        <w:spacing w:line="360" w:lineRule="auto"/>
        <w:rPr>
          <w:rFonts w:hint="eastAsia" w:ascii="仿宋" w:hAnsi="仿宋" w:eastAsia="仿宋" w:cs="仿宋"/>
          <w:sz w:val="24"/>
        </w:rPr>
      </w:pPr>
      <w:r>
        <w:rPr>
          <w:rFonts w:hint="eastAsia" w:ascii="仿宋" w:hAnsi="仿宋" w:eastAsia="仿宋" w:cs="仿宋"/>
          <w:sz w:val="24"/>
        </w:rPr>
        <w:t xml:space="preserve">    联系人 ：赵女士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监督投诉电话：</w:t>
      </w:r>
      <w:r>
        <w:rPr>
          <w:rFonts w:hint="eastAsia" w:ascii="仿宋" w:hAnsi="仿宋" w:eastAsia="仿宋" w:cs="仿宋"/>
          <w:sz w:val="24"/>
          <w:lang w:val="en-US" w:eastAsia="zh-CN"/>
        </w:rPr>
        <w:t>0571-</w:t>
      </w:r>
      <w:r>
        <w:rPr>
          <w:rFonts w:hint="eastAsia" w:ascii="仿宋" w:hAnsi="仿宋" w:eastAsia="仿宋" w:cs="仿宋"/>
          <w:sz w:val="24"/>
        </w:rPr>
        <w:t>89541692、</w:t>
      </w:r>
      <w:r>
        <w:rPr>
          <w:rFonts w:hint="eastAsia" w:ascii="仿宋" w:hAnsi="仿宋" w:eastAsia="仿宋" w:cs="仿宋"/>
          <w:sz w:val="24"/>
          <w:lang w:val="en-US" w:eastAsia="zh-CN"/>
        </w:rPr>
        <w:t>0571-</w:t>
      </w:r>
      <w:r>
        <w:rPr>
          <w:rFonts w:hint="eastAsia" w:ascii="仿宋" w:hAnsi="仿宋" w:eastAsia="仿宋" w:cs="仿宋"/>
          <w:sz w:val="24"/>
        </w:rPr>
        <w:t>89541691、</w:t>
      </w:r>
      <w:r>
        <w:rPr>
          <w:rFonts w:hint="eastAsia" w:ascii="仿宋" w:hAnsi="仿宋" w:eastAsia="仿宋" w:cs="仿宋"/>
          <w:sz w:val="24"/>
          <w:lang w:val="en-US" w:eastAsia="zh-CN"/>
        </w:rPr>
        <w:t>0571-</w:t>
      </w:r>
      <w:r>
        <w:rPr>
          <w:rFonts w:hint="eastAsia" w:ascii="仿宋" w:hAnsi="仿宋" w:eastAsia="仿宋" w:cs="仿宋"/>
          <w:sz w:val="24"/>
        </w:rPr>
        <w:t xml:space="preserve">89541697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pStyle w:val="33"/>
        <w:spacing w:line="360" w:lineRule="auto"/>
        <w:rPr>
          <w:rFonts w:hint="eastAsia" w:ascii="仿宋" w:hAnsi="仿宋" w:eastAsia="仿宋" w:cs="仿宋"/>
          <w:sz w:val="24"/>
        </w:rPr>
      </w:pPr>
      <w:r>
        <w:rPr>
          <w:rFonts w:hint="eastAsia" w:ascii="仿宋" w:hAnsi="仿宋" w:eastAsia="仿宋" w:cs="仿宋"/>
          <w:sz w:val="24"/>
        </w:rPr>
        <w:t xml:space="preserve">CA问题联系电话（人工）：汇信CA 400-888-4636；天谷CA 400-087-8198。                       </w:t>
      </w:r>
    </w:p>
    <w:p>
      <w:pPr>
        <w:pStyle w:val="33"/>
        <w:spacing w:line="240" w:lineRule="auto"/>
        <w:ind w:firstLine="0" w:firstLineChars="0"/>
        <w:jc w:val="center"/>
        <w:rPr>
          <w:rFonts w:hint="eastAsia" w:ascii="仿宋" w:hAnsi="仿宋" w:eastAsia="仿宋" w:cs="仿宋"/>
          <w:b/>
          <w:sz w:val="36"/>
          <w:szCs w:val="20"/>
        </w:rPr>
      </w:pPr>
    </w:p>
    <w:p>
      <w:pPr>
        <w:pStyle w:val="33"/>
        <w:spacing w:line="240" w:lineRule="auto"/>
        <w:ind w:firstLine="0" w:firstLineChars="0"/>
        <w:jc w:val="center"/>
        <w:rPr>
          <w:rFonts w:hint="eastAsia" w:ascii="仿宋" w:hAnsi="仿宋" w:eastAsia="仿宋" w:cs="仿宋"/>
          <w:b/>
          <w:sz w:val="36"/>
          <w:szCs w:val="20"/>
        </w:rPr>
      </w:pPr>
    </w:p>
    <w:p>
      <w:pPr>
        <w:pStyle w:val="33"/>
        <w:spacing w:line="240" w:lineRule="auto"/>
        <w:ind w:firstLine="0" w:firstLineChars="0"/>
        <w:jc w:val="center"/>
        <w:rPr>
          <w:rFonts w:hint="eastAsia" w:ascii="仿宋" w:hAnsi="仿宋" w:eastAsia="仿宋" w:cs="仿宋"/>
          <w:b/>
          <w:sz w:val="36"/>
          <w:szCs w:val="20"/>
        </w:rPr>
      </w:pPr>
    </w:p>
    <w:p>
      <w:pPr>
        <w:pStyle w:val="33"/>
        <w:spacing w:line="240" w:lineRule="auto"/>
        <w:ind w:firstLine="0" w:firstLineChars="0"/>
        <w:jc w:val="center"/>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事项</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项目属性</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lang w:eastAsia="zh-CN"/>
              </w:rPr>
            </w:pPr>
            <w:r>
              <w:rPr>
                <w:rFonts w:hint="eastAsia" w:ascii="仿宋" w:hAnsi="仿宋" w:eastAsia="仿宋" w:cs="仿宋"/>
                <w:sz w:val="24"/>
                <w:lang w:val="en-US" w:eastAsia="zh-CN"/>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lang w:val="en-US"/>
              </w:rPr>
            </w:pPr>
            <w:r>
              <w:rPr>
                <w:rFonts w:hint="eastAsia" w:ascii="仿宋" w:hAnsi="仿宋" w:eastAsia="仿宋" w:cs="仿宋"/>
                <w:kern w:val="0"/>
                <w:sz w:val="24"/>
              </w:rPr>
              <w:t>标的：</w:t>
            </w:r>
            <w:r>
              <w:rPr>
                <w:rFonts w:hint="eastAsia" w:ascii="仿宋" w:hAnsi="仿宋" w:eastAsia="仿宋" w:cs="仿宋"/>
                <w:kern w:val="0"/>
                <w:sz w:val="24"/>
                <w:u w:val="single"/>
                <w:lang w:val="en-US" w:eastAsia="zh-CN"/>
              </w:rPr>
              <w:t>城区道路标识标线漆画项目</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，属于</w:t>
            </w:r>
            <w:r>
              <w:rPr>
                <w:rFonts w:hint="eastAsia" w:ascii="仿宋" w:hAnsi="仿宋" w:eastAsia="仿宋" w:cs="仿宋"/>
                <w:kern w:val="0"/>
                <w:sz w:val="24"/>
                <w:u w:val="single"/>
                <w:lang w:val="en-US" w:eastAsia="zh-CN"/>
              </w:rPr>
              <w:t xml:space="preserve"> 其他未列明 </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6"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是否允许采购进口产品</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分包</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u w:val="single"/>
                <w:lang w:eastAsia="zh-CN"/>
              </w:rPr>
              <w:t>运输、安装</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开标前答疑会或现场考察</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0"/>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样品提供</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B要求提供，</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lang w:val="en-US" w:eastAsia="zh-CN"/>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w:t>
            </w:r>
            <w:r>
              <w:rPr>
                <w:rFonts w:hint="eastAsia" w:ascii="仿宋" w:hAnsi="仿宋" w:eastAsia="仿宋" w:cs="仿宋"/>
                <w:sz w:val="24"/>
                <w:lang w:eastAsia="zh-CN"/>
              </w:rPr>
              <w:t>采购代理机构</w:t>
            </w:r>
            <w:r>
              <w:rPr>
                <w:rFonts w:hint="eastAsia" w:ascii="仿宋" w:hAnsi="仿宋" w:eastAsia="仿宋" w:cs="仿宋"/>
                <w:sz w:val="24"/>
              </w:rPr>
              <w:t>将通知未中标人在规定的时间内取回，逾期未取回的，采购人、</w:t>
            </w:r>
            <w:r>
              <w:rPr>
                <w:rFonts w:hint="eastAsia" w:ascii="仿宋" w:hAnsi="仿宋" w:eastAsia="仿宋" w:cs="仿宋"/>
                <w:sz w:val="24"/>
                <w:lang w:eastAsia="zh-CN"/>
              </w:rPr>
              <w:t>采购代理机构</w:t>
            </w:r>
            <w:r>
              <w:rPr>
                <w:rFonts w:hint="eastAsia" w:ascii="仿宋" w:hAnsi="仿宋" w:eastAsia="仿宋" w:cs="仿宋"/>
                <w:sz w:val="24"/>
              </w:rPr>
              <w:t>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41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414"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tblHeader/>
          <w:jc w:val="cent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414"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41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414"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有关本项目实施所需的所有费用（含税费）均计入报价。投标文件开标一览表（报价表）是报价的唯一载体，如投标人在政府采购云平台填写的投标报价与投标文件报价文件中开标一览表（报价表）不一致的，以报价文件中开标一览表（报价表）为准。投标文件中价格全部采用人民币报价。招标文件未列明，而投标人认为必需的费用也需列入报价。提醒：验收时检测费用由采购人承担，不包含在投标总价中。</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投标报价出现下列情形的，投标无效：</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投标文件出现不是唯一的、有选择性投标报价的；</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投标报价超过招标文件中规定的预算金额或者最高限价的;</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报价明显低于其他通过符合性审查投标人的报价，有可能影响产品质量或者不能诚信履约的，未能按要求提供书面说明或者提交相关证明材料证明其报价合理性的;</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中小企业信用融资</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adjustRightInd w:val="0"/>
              <w:spacing w:line="400" w:lineRule="exact"/>
              <w:ind w:firstLine="420" w:firstLineChars="200"/>
              <w:textAlignment w:val="auto"/>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20" w:firstLineChars="200"/>
              <w:textAlignment w:val="auto"/>
              <w:rPr>
                <w:rFonts w:hint="eastAsia" w:ascii="仿宋" w:hAnsi="仿宋" w:eastAsia="仿宋" w:cs="仿宋"/>
              </w:rPr>
            </w:pP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414"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u w:val="single"/>
              </w:rPr>
              <w:t>杭州市临安区锦城街道钱王街465号1幢2楼（</w:t>
            </w:r>
            <w:r>
              <w:rPr>
                <w:rFonts w:hint="eastAsia" w:ascii="仿宋" w:hAnsi="仿宋" w:eastAsia="仿宋" w:cs="仿宋"/>
                <w:kern w:val="28"/>
                <w:sz w:val="24"/>
                <w:szCs w:val="24"/>
                <w:u w:val="single"/>
                <w:lang w:eastAsia="zh-CN"/>
              </w:rPr>
              <w:t>浙江华耀建设咨询有限公司</w:t>
            </w:r>
            <w:r>
              <w:rPr>
                <w:rFonts w:hint="eastAsia" w:ascii="仿宋" w:hAnsi="仿宋" w:eastAsia="仿宋" w:cs="仿宋"/>
                <w:kern w:val="28"/>
                <w:sz w:val="24"/>
                <w:szCs w:val="24"/>
                <w:u w:val="single"/>
              </w:rPr>
              <w:t>） ；备份投标文件签收人员联系电话：</w:t>
            </w:r>
            <w:r>
              <w:rPr>
                <w:rFonts w:hint="eastAsia" w:ascii="仿宋" w:hAnsi="仿宋" w:eastAsia="仿宋" w:cs="仿宋"/>
                <w:kern w:val="28"/>
                <w:sz w:val="24"/>
                <w:szCs w:val="24"/>
                <w:u w:val="single"/>
                <w:lang w:val="en-US" w:eastAsia="zh-CN"/>
              </w:rPr>
              <w:t>15068834440</w:t>
            </w:r>
            <w:r>
              <w:rPr>
                <w:rFonts w:hint="eastAsia" w:ascii="仿宋" w:hAnsi="仿宋" w:eastAsia="仿宋" w:cs="仿宋"/>
                <w:kern w:val="28"/>
                <w:sz w:val="24"/>
                <w:szCs w:val="24"/>
                <w:u w:val="single"/>
              </w:rPr>
              <w:t>。</w:t>
            </w:r>
            <w:r>
              <w:rPr>
                <w:rFonts w:hint="eastAsia" w:ascii="仿宋" w:hAnsi="仿宋" w:eastAsia="仿宋" w:cs="仿宋"/>
                <w:b/>
                <w:sz w:val="24"/>
                <w:szCs w:val="24"/>
              </w:rPr>
              <w:t>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r>
              <w:rPr>
                <w:rFonts w:hint="eastAsia" w:ascii="仿宋" w:hAnsi="仿宋" w:eastAsia="仿宋" w:cs="仿宋"/>
                <w:b/>
                <w:sz w:val="24"/>
              </w:rPr>
              <w:t>特别说明</w:t>
            </w: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采购代理服务费按发改价格（2011）534号文件标准的</w:t>
            </w:r>
            <w:r>
              <w:rPr>
                <w:rFonts w:hint="eastAsia" w:ascii="仿宋" w:hAnsi="仿宋" w:eastAsia="仿宋" w:cs="仿宋"/>
                <w:snapToGrid w:val="0"/>
                <w:kern w:val="28"/>
                <w:sz w:val="24"/>
                <w:lang w:val="en-US" w:eastAsia="zh-CN"/>
              </w:rPr>
              <w:t>8</w:t>
            </w:r>
            <w:r>
              <w:rPr>
                <w:rFonts w:hint="eastAsia" w:ascii="仿宋" w:hAnsi="仿宋" w:eastAsia="仿宋" w:cs="仿宋"/>
                <w:snapToGrid w:val="0"/>
                <w:kern w:val="28"/>
                <w:sz w:val="24"/>
              </w:rPr>
              <w:t>0%计取，由中标人支付，费用在发出中标通知书前一次性付清。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2" w:hRule="atLeast"/>
          <w:tblHeader/>
          <w:jc w:val="center"/>
        </w:trPr>
        <w:tc>
          <w:tcPr>
            <w:tcW w:w="629" w:type="dxa"/>
            <w:vMerge w:val="continue"/>
            <w:tcBorders>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bookmarkStart w:id="13" w:name="_Toc164416483"/>
            <w:bookmarkStart w:id="14" w:name="第三部分"/>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本项目评审报告推荐的中标候选人数量：1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3" w:hRule="atLeast"/>
          <w:tblHeader/>
          <w:jc w:val="center"/>
        </w:trPr>
        <w:tc>
          <w:tcPr>
            <w:tcW w:w="629" w:type="dxa"/>
            <w:vMerge w:val="continue"/>
            <w:tcBorders>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4"/>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4"/>
              </w:rPr>
            </w:pPr>
          </w:p>
        </w:tc>
        <w:tc>
          <w:tcPr>
            <w:tcW w:w="641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解释：本采购文件的解释权属于采购</w:t>
            </w:r>
            <w:r>
              <w:rPr>
                <w:rFonts w:hint="eastAsia" w:ascii="仿宋" w:hAnsi="仿宋" w:eastAsia="仿宋" w:cs="仿宋"/>
                <w:snapToGrid w:val="0"/>
                <w:kern w:val="28"/>
                <w:sz w:val="24"/>
                <w:lang w:eastAsia="zh-CN"/>
              </w:rPr>
              <w:t>人</w:t>
            </w:r>
            <w:r>
              <w:rPr>
                <w:rFonts w:hint="eastAsia" w:ascii="仿宋" w:hAnsi="仿宋" w:eastAsia="仿宋" w:cs="仿宋"/>
                <w:snapToGrid w:val="0"/>
                <w:kern w:val="28"/>
                <w:sz w:val="24"/>
              </w:rPr>
              <w:t>和</w:t>
            </w:r>
            <w:r>
              <w:rPr>
                <w:rFonts w:hint="eastAsia" w:ascii="仿宋" w:hAnsi="仿宋" w:eastAsia="仿宋" w:cs="仿宋"/>
                <w:snapToGrid w:val="0"/>
                <w:kern w:val="28"/>
                <w:sz w:val="24"/>
                <w:lang w:eastAsia="zh-CN"/>
              </w:rPr>
              <w:t>采购代理机构</w:t>
            </w:r>
            <w:r>
              <w:rPr>
                <w:rFonts w:hint="eastAsia" w:ascii="仿宋" w:hAnsi="仿宋" w:eastAsia="仿宋" w:cs="仿宋"/>
                <w:snapToGrid w:val="0"/>
                <w:kern w:val="28"/>
                <w:sz w:val="24"/>
              </w:rPr>
              <w:t>。</w:t>
            </w:r>
          </w:p>
        </w:tc>
      </w:tr>
      <w:bookmarkEnd w:id="10"/>
    </w:tbl>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w:t>
      </w:r>
      <w:r>
        <w:rPr>
          <w:rFonts w:hint="eastAsia" w:ascii="仿宋" w:hAnsi="仿宋" w:eastAsia="仿宋" w:cs="仿宋"/>
          <w:sz w:val="24"/>
          <w:lang w:eastAsia="zh-CN"/>
        </w:rPr>
        <w:t>采购代理机构</w:t>
      </w:r>
      <w:r>
        <w:rPr>
          <w:rFonts w:hint="eastAsia" w:ascii="仿宋" w:hAnsi="仿宋" w:eastAsia="仿宋" w:cs="仿宋"/>
          <w:sz w:val="24"/>
        </w:rPr>
        <w:t>”系指招标公告中载明的本项目的</w:t>
      </w:r>
      <w:r>
        <w:rPr>
          <w:rFonts w:hint="eastAsia" w:ascii="仿宋" w:hAnsi="仿宋" w:eastAsia="仿宋" w:cs="仿宋"/>
          <w:sz w:val="24"/>
          <w:lang w:eastAsia="zh-CN"/>
        </w:rPr>
        <w:t>采购代理机构</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sz w:val="24"/>
          <w:lang w:eastAsia="zh-CN"/>
        </w:rPr>
        <w:t>采购代理机构</w:t>
      </w:r>
      <w:r>
        <w:rPr>
          <w:rFonts w:hint="eastAsia" w:ascii="仿宋" w:hAnsi="仿宋" w:eastAsia="仿宋" w:cs="仿宋"/>
          <w:sz w:val="24"/>
        </w:rPr>
        <w:t>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4.2供应商询问</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4.3供应商质疑</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4.3.1提出质疑的供应商应当是参与所质疑项目采购活动的供应商。潜在供应商已依法获取其可质疑的招标文件的，可以对该文件提出质疑。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4.3.2.1对招标文件提出质疑的，质疑期限为供应商获得招标文件之日或者招标文件公告期限届满之日起计算。</w:t>
      </w:r>
    </w:p>
    <w:p>
      <w:pPr>
        <w:pStyle w:val="33"/>
        <w:spacing w:line="360" w:lineRule="auto"/>
        <w:ind w:left="479" w:leftChars="228" w:firstLine="0" w:firstLineChars="0"/>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4.3.3供应商提出质疑应当提交质疑函和必要的证明材料。质疑函应当包括下列内容：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　　4.3.3.1供应商的姓名或者名称、地址、邮编、联系人及联系电话；</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　　4.3.3.2质疑项目的名称、编号；</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　　4.3.3.3具体、明确的质疑事项和与质疑事项相关的请求；</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　　4.3.3.4事实依据；</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　　4.3.3.5必要的法律依据；</w:t>
      </w:r>
    </w:p>
    <w:p>
      <w:pPr>
        <w:pStyle w:val="33"/>
        <w:spacing w:line="360" w:lineRule="auto"/>
        <w:ind w:firstLine="960" w:firstLineChars="400"/>
        <w:rPr>
          <w:rFonts w:hint="eastAsia" w:ascii="仿宋" w:hAnsi="仿宋" w:eastAsia="仿宋" w:cs="仿宋"/>
          <w:sz w:val="24"/>
        </w:rPr>
      </w:pPr>
      <w:r>
        <w:rPr>
          <w:rFonts w:hint="eastAsia" w:ascii="仿宋" w:hAnsi="仿宋" w:eastAsia="仿宋" w:cs="仿宋"/>
          <w:sz w:val="24"/>
        </w:rPr>
        <w:t>4.3.3.6提出质疑的日期。</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sz w:val="24"/>
        </w:rPr>
        <w:t>质疑函范本及制作说明详见附件2。</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hint="eastAsia" w:ascii="仿宋" w:hAnsi="仿宋" w:eastAsia="仿宋" w:cs="仿宋"/>
          <w:lang w:val="en-US" w:eastAsia="zh-CN"/>
        </w:rPr>
      </w:pPr>
      <w:r>
        <w:rPr>
          <w:rFonts w:hint="eastAsia" w:ascii="仿宋" w:hAnsi="仿宋" w:eastAsia="仿宋" w:cs="仿宋"/>
        </w:rPr>
        <w:t>质疑函范本及制作说明详见附件2。</w:t>
      </w:r>
      <w:r>
        <w:rPr>
          <w:rFonts w:hint="eastAsia" w:ascii="仿宋" w:hAnsi="仿宋" w:eastAsia="仿宋" w:cs="仿宋"/>
          <w:lang w:val="en-US" w:eastAsia="zh-CN"/>
        </w:rPr>
        <w:t>3</w:t>
      </w:r>
    </w:p>
    <w:p>
      <w:pPr>
        <w:pStyle w:val="888"/>
        <w:shd w:val="clear" w:color="auto" w:fill="FFFFFF"/>
        <w:snapToGrid w:val="0"/>
        <w:spacing w:after="240" w:afterAutospacing="0" w:line="360" w:lineRule="auto"/>
        <w:ind w:firstLine="400"/>
        <w:contextualSpacing/>
        <w:rPr>
          <w:rFonts w:hint="eastAsia" w:ascii="仿宋" w:hAnsi="仿宋" w:eastAsia="仿宋" w:cs="仿宋"/>
          <w:lang w:val="en-US" w:eastAsia="zh-CN"/>
        </w:rPr>
      </w:pPr>
      <w:r>
        <w:rPr>
          <w:rFonts w:hint="eastAsia" w:ascii="仿宋" w:hAnsi="仿宋" w:eastAsia="仿宋" w:cs="仿宋"/>
          <w:lang w:val="en-US" w:eastAsia="zh-CN"/>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ascii="仿宋" w:hAnsi="仿宋" w:eastAsia="仿宋" w:cs="仿宋"/>
          <w:lang w:val="en-US" w:eastAsia="zh-CN"/>
        </w:rPr>
      </w:pPr>
      <w:r>
        <w:rPr>
          <w:rFonts w:hint="eastAsia" w:ascii="仿宋" w:hAnsi="仿宋" w:eastAsia="仿宋" w:cs="仿宋"/>
          <w:lang w:val="en-US" w:eastAsia="zh-CN"/>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4.3.6询问或者质疑事项可能影响采购结果的，采购人应当暂停签订合同，已经签订合同的，应当中止履行合同。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4.4供应商投诉</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4.4.1质疑供应商对采购人、</w:t>
      </w:r>
      <w:r>
        <w:rPr>
          <w:rFonts w:hint="eastAsia" w:ascii="仿宋" w:hAnsi="仿宋" w:eastAsia="仿宋" w:cs="仿宋"/>
          <w:lang w:eastAsia="zh-CN"/>
        </w:rPr>
        <w:t>采购代理机构</w:t>
      </w:r>
      <w:r>
        <w:rPr>
          <w:rFonts w:hint="eastAsia" w:ascii="仿宋" w:hAnsi="仿宋" w:eastAsia="仿宋" w:cs="仿宋"/>
        </w:rPr>
        <w:t>的答复不满意或者采购人、</w:t>
      </w:r>
      <w:r>
        <w:rPr>
          <w:rFonts w:hint="eastAsia" w:ascii="仿宋" w:hAnsi="仿宋" w:eastAsia="仿宋" w:cs="仿宋"/>
          <w:lang w:eastAsia="zh-CN"/>
        </w:rPr>
        <w:t>采购代理机构</w:t>
      </w:r>
      <w:r>
        <w:rPr>
          <w:rFonts w:hint="eastAsia" w:ascii="仿宋" w:hAnsi="仿宋" w:eastAsia="仿宋" w:cs="仿宋"/>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投诉书范本及制作说明详见附件3。</w:t>
      </w:r>
    </w:p>
    <w:p>
      <w:pPr>
        <w:pStyle w:val="130"/>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30"/>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w:t>
      </w:r>
      <w:r>
        <w:rPr>
          <w:rFonts w:hint="eastAsia" w:ascii="仿宋" w:hAnsi="仿宋" w:eastAsia="仿宋" w:cs="仿宋"/>
          <w:lang w:val="en-US" w:eastAsia="zh-CN"/>
        </w:rPr>
        <w:t>代理</w:t>
      </w:r>
      <w:r>
        <w:rPr>
          <w:rFonts w:hint="eastAsia" w:ascii="仿宋" w:hAnsi="仿宋" w:eastAsia="仿宋" w:cs="仿宋"/>
        </w:rPr>
        <w:t>机构提出。</w:t>
      </w:r>
    </w:p>
    <w:p>
      <w:pPr>
        <w:pStyle w:val="130"/>
        <w:snapToGrid w:val="0"/>
        <w:spacing w:before="0"/>
        <w:ind w:firstLine="480"/>
        <w:rPr>
          <w:rFonts w:hint="eastAsia" w:ascii="仿宋" w:hAnsi="仿宋" w:eastAsia="仿宋" w:cs="仿宋"/>
        </w:rPr>
      </w:pPr>
      <w:r>
        <w:rPr>
          <w:rFonts w:hint="eastAsia" w:ascii="仿宋" w:hAnsi="仿宋" w:eastAsia="仿宋" w:cs="仿宋"/>
        </w:rPr>
        <w:t>6.2 采购</w:t>
      </w:r>
      <w:r>
        <w:rPr>
          <w:rFonts w:hint="eastAsia" w:ascii="仿宋" w:hAnsi="仿宋" w:eastAsia="仿宋" w:cs="仿宋"/>
          <w:lang w:val="en-US" w:eastAsia="zh-CN"/>
        </w:rPr>
        <w:t>代理</w:t>
      </w:r>
      <w:r>
        <w:rPr>
          <w:rFonts w:hint="eastAsia" w:ascii="仿宋" w:hAnsi="仿宋" w:eastAsia="仿宋" w:cs="仿宋"/>
        </w:rPr>
        <w:t>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bookmarkStart w:id="15" w:name="_Hlk101259339"/>
      <w:r>
        <w:rPr>
          <w:rFonts w:hint="eastAsia" w:ascii="仿宋" w:hAnsi="仿宋" w:eastAsia="仿宋" w:cs="仿宋"/>
          <w:snapToGrid w:val="0"/>
          <w:kern w:val="28"/>
          <w:sz w:val="24"/>
          <w:szCs w:val="20"/>
        </w:rPr>
        <w:t>联合协议</w:t>
      </w:r>
      <w:bookmarkStart w:id="16" w:name="_Hlk101257010"/>
      <w:r>
        <w:rPr>
          <w:rFonts w:hint="eastAsia" w:ascii="仿宋" w:hAnsi="仿宋" w:eastAsia="仿宋" w:cs="仿宋"/>
          <w:snapToGrid w:val="0"/>
          <w:kern w:val="28"/>
          <w:sz w:val="24"/>
          <w:szCs w:val="20"/>
        </w:rPr>
        <w:t>（如果有)</w:t>
      </w:r>
      <w:bookmarkEnd w:id="15"/>
      <w:bookmarkEnd w:id="16"/>
      <w:r>
        <w:rPr>
          <w:rFonts w:hint="eastAsia" w:ascii="仿宋" w:hAnsi="仿宋" w:eastAsia="仿宋" w:cs="仿宋"/>
          <w:snapToGrid w:val="0"/>
          <w:kern w:val="28"/>
          <w:sz w:val="24"/>
          <w:szCs w:val="20"/>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lang w:eastAsia="zh-CN"/>
        </w:rPr>
        <w:t>：提供中小企业声明函（附件</w:t>
      </w:r>
      <w:r>
        <w:rPr>
          <w:rFonts w:hint="eastAsia" w:ascii="仿宋" w:hAnsi="仿宋" w:eastAsia="仿宋" w:cs="仿宋"/>
          <w:snapToGrid w:val="0"/>
          <w:kern w:val="28"/>
          <w:sz w:val="24"/>
          <w:szCs w:val="20"/>
          <w:lang w:val="en-US" w:eastAsia="zh-CN"/>
        </w:rPr>
        <w:t>7</w:t>
      </w:r>
      <w:r>
        <w:rPr>
          <w:rFonts w:hint="eastAsia" w:ascii="仿宋" w:hAnsi="仿宋" w:eastAsia="仿宋" w:cs="仿宋"/>
          <w:snapToGrid w:val="0"/>
          <w:kern w:val="28"/>
          <w:sz w:val="24"/>
          <w:szCs w:val="20"/>
          <w:lang w:eastAsia="zh-CN"/>
        </w:rPr>
        <w:t>）</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30"/>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30"/>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0"/>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30"/>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 w:hAnsi="仿宋" w:eastAsia="仿宋" w:cs="仿宋"/>
          <w:szCs w:val="24"/>
        </w:rPr>
      </w:pPr>
      <w:r>
        <w:rPr>
          <w:rFonts w:hint="eastAsia" w:ascii="仿宋" w:hAnsi="仿宋" w:eastAsia="仿宋" w:cs="仿宋"/>
          <w:szCs w:val="24"/>
        </w:rPr>
        <w:t>14.3采购人、</w:t>
      </w:r>
      <w:r>
        <w:rPr>
          <w:rFonts w:hint="eastAsia" w:ascii="仿宋" w:hAnsi="仿宋" w:eastAsia="仿宋" w:cs="仿宋"/>
          <w:szCs w:val="24"/>
          <w:lang w:eastAsia="zh-CN"/>
        </w:rPr>
        <w:t>采购代理机构</w:t>
      </w:r>
      <w:r>
        <w:rPr>
          <w:rFonts w:hint="eastAsia" w:ascii="仿宋" w:hAnsi="仿宋" w:eastAsia="仿宋" w:cs="仿宋"/>
          <w:szCs w:val="24"/>
        </w:rPr>
        <w:t>可以视情况延长投标文件提交的截止时间。在上述情况下，</w:t>
      </w:r>
      <w:r>
        <w:rPr>
          <w:rFonts w:hint="eastAsia" w:ascii="仿宋" w:hAnsi="仿宋" w:eastAsia="仿宋" w:cs="仿宋"/>
          <w:szCs w:val="24"/>
          <w:lang w:eastAsia="zh-CN"/>
        </w:rPr>
        <w:t>采购代理机构</w:t>
      </w:r>
      <w:r>
        <w:rPr>
          <w:rFonts w:hint="eastAsia" w:ascii="仿宋" w:hAnsi="仿宋" w:eastAsia="仿宋" w:cs="仿宋"/>
          <w:szCs w:val="24"/>
        </w:rPr>
        <w:t>与投标人以前在投标截止期方面的全部权利、责任和义务，将适用于延长至新的投标截止期。</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3"/>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p>
      <w:pPr>
        <w:pStyle w:val="33"/>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4.2规定</w:t>
      </w:r>
      <w:r>
        <w:rPr>
          <w:rFonts w:hint="eastAsia" w:ascii="仿宋" w:hAnsi="仿宋" w:eastAsia="仿宋" w:cs="仿宋"/>
          <w:szCs w:val="21"/>
        </w:rPr>
        <w:t>的情形之一的，投标无效：</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0"/>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30"/>
        <w:spacing w:before="0"/>
        <w:ind w:firstLine="480"/>
        <w:rPr>
          <w:rFonts w:hint="eastAsia" w:ascii="仿宋" w:hAnsi="仿宋" w:eastAsia="仿宋" w:cs="仿宋"/>
        </w:rPr>
      </w:pPr>
      <w:r>
        <w:rPr>
          <w:rFonts w:hint="eastAsia" w:ascii="仿宋" w:hAnsi="仿宋" w:eastAsia="仿宋" w:cs="仿宋"/>
        </w:rPr>
        <w:t>17.3在原定投标有效期满之前，如果出现特殊情况，</w:t>
      </w:r>
      <w:r>
        <w:rPr>
          <w:rFonts w:hint="eastAsia" w:ascii="仿宋" w:hAnsi="仿宋" w:eastAsia="仿宋" w:cs="仿宋"/>
          <w:lang w:eastAsia="zh-CN"/>
        </w:rPr>
        <w:t>采购代理机构</w:t>
      </w:r>
      <w:r>
        <w:rPr>
          <w:rFonts w:hint="eastAsia" w:ascii="仿宋" w:hAnsi="仿宋" w:eastAsia="仿宋" w:cs="仿宋"/>
        </w:rPr>
        <w:t>可以以书面形式通知投标人延长投标有效期。投标人同意延长的，不得要求或被允许修改其投标文件，投标人拒绝延长的，其投标无效。</w:t>
      </w:r>
    </w:p>
    <w:p>
      <w:pPr>
        <w:pStyle w:val="130"/>
        <w:spacing w:before="0"/>
        <w:ind w:firstLine="643"/>
        <w:rPr>
          <w:rFonts w:hint="eastAsia" w:ascii="仿宋" w:hAnsi="仿宋" w:eastAsia="仿宋" w:cs="仿宋"/>
          <w:b/>
          <w:sz w:val="32"/>
        </w:rPr>
      </w:pPr>
    </w:p>
    <w:p>
      <w:pPr>
        <w:pStyle w:val="130"/>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6"/>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6"/>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lang w:eastAsia="zh-CN"/>
        </w:rPr>
        <w:t>采购代理机构</w:t>
      </w:r>
      <w:r>
        <w:rPr>
          <w:rFonts w:hint="eastAsia" w:ascii="仿宋" w:hAnsi="仿宋" w:eastAsia="仿宋" w:cs="仿宋"/>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w:t>
      </w:r>
      <w:r>
        <w:rPr>
          <w:rFonts w:hint="eastAsia" w:ascii="仿宋" w:hAnsi="仿宋" w:eastAsia="仿宋" w:cs="仿宋"/>
          <w:sz w:val="24"/>
          <w:lang w:eastAsia="zh-CN"/>
        </w:rPr>
        <w:t>采购代理机构</w:t>
      </w:r>
      <w:r>
        <w:rPr>
          <w:rFonts w:hint="eastAsia" w:ascii="仿宋" w:hAnsi="仿宋" w:eastAsia="仿宋" w:cs="仿宋"/>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130"/>
        <w:spacing w:before="0"/>
        <w:ind w:firstLine="480"/>
        <w:rPr>
          <w:rFonts w:hint="eastAsia" w:ascii="仿宋" w:hAnsi="仿宋" w:eastAsia="仿宋" w:cs="仿宋"/>
        </w:rPr>
      </w:pPr>
      <w:r>
        <w:rPr>
          <w:rFonts w:hint="eastAsia" w:ascii="仿宋" w:hAnsi="仿宋" w:eastAsia="仿宋" w:cs="仿宋"/>
        </w:rPr>
        <w:t>19.1采购人或采购代理机构依据法律法规和招标文件的规定，对投标人的资格进行审查。</w:t>
      </w:r>
    </w:p>
    <w:p>
      <w:pPr>
        <w:pStyle w:val="130"/>
        <w:spacing w:before="0"/>
        <w:ind w:firstLine="480"/>
        <w:rPr>
          <w:rFonts w:hint="eastAsia" w:ascii="仿宋" w:hAnsi="仿宋" w:eastAsia="仿宋" w:cs="仿宋"/>
        </w:rPr>
      </w:pPr>
      <w:r>
        <w:rPr>
          <w:rFonts w:hint="eastAsia" w:ascii="仿宋" w:hAnsi="仿宋" w:eastAsia="仿宋" w:cs="仿宋"/>
        </w:rPr>
        <w:t>19.2投标人未按照招标文件要求提供与资格条件相应的有效资格证明材料的，视为投标人不具备招标文件中规定的资格要求，其投标无效。</w:t>
      </w:r>
    </w:p>
    <w:p>
      <w:pPr>
        <w:pStyle w:val="130"/>
        <w:spacing w:before="0"/>
        <w:ind w:firstLine="480"/>
        <w:rPr>
          <w:rFonts w:hint="eastAsia" w:ascii="仿宋" w:hAnsi="仿宋" w:eastAsia="仿宋" w:cs="仿宋"/>
        </w:rPr>
      </w:pPr>
      <w:r>
        <w:rPr>
          <w:rFonts w:hint="eastAsia" w:ascii="仿宋" w:hAnsi="仿宋" w:eastAsia="仿宋" w:cs="仿宋"/>
        </w:rPr>
        <w:t>19.3对未通过资格审查的投标人，采购人或采购代理机构告知其未通过的原因。</w:t>
      </w:r>
    </w:p>
    <w:p>
      <w:pPr>
        <w:pStyle w:val="130"/>
        <w:spacing w:before="0"/>
        <w:ind w:firstLine="480"/>
        <w:rPr>
          <w:rFonts w:hint="eastAsia" w:ascii="仿宋" w:hAnsi="仿宋" w:eastAsia="仿宋" w:cs="仿宋"/>
        </w:rPr>
      </w:pPr>
      <w:r>
        <w:rPr>
          <w:rFonts w:hint="eastAsia" w:ascii="仿宋" w:hAnsi="仿宋" w:eastAsia="仿宋" w:cs="仿宋"/>
        </w:rPr>
        <w:t>19.4合格投标人不足3家的，不再评标。</w:t>
      </w:r>
    </w:p>
    <w:p>
      <w:pPr>
        <w:pStyle w:val="130"/>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3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w:t>
      </w:r>
      <w:r>
        <w:rPr>
          <w:rFonts w:hint="eastAsia" w:ascii="仿宋" w:hAnsi="仿宋" w:eastAsia="仿宋" w:cs="仿宋"/>
          <w:kern w:val="0"/>
          <w:szCs w:val="24"/>
          <w:lang w:eastAsia="zh-CN"/>
        </w:rPr>
        <w:t>采购代理机构</w:t>
      </w:r>
      <w:r>
        <w:rPr>
          <w:rFonts w:hint="eastAsia" w:ascii="仿宋" w:hAnsi="仿宋" w:eastAsia="仿宋" w:cs="仿宋"/>
          <w:kern w:val="0"/>
          <w:szCs w:val="24"/>
        </w:rPr>
        <w:t>将在资格审查时通过“信用中国”网站(www.creditchina.gov.cn)、中国政府采购网(www.ccgp.gov.cn)渠道查询投标人接受资格审查时的信用记录。</w:t>
      </w:r>
    </w:p>
    <w:p>
      <w:pPr>
        <w:pStyle w:val="13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0"/>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7"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30"/>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w:t>
      </w:r>
      <w:r>
        <w:rPr>
          <w:rFonts w:hint="eastAsia" w:ascii="仿宋" w:hAnsi="仿宋" w:eastAsia="仿宋" w:cs="仿宋"/>
          <w:sz w:val="24"/>
          <w:lang w:eastAsia="zh-CN"/>
        </w:rPr>
        <w:t>采购代理机构</w:t>
      </w:r>
      <w:r>
        <w:rPr>
          <w:rFonts w:hint="eastAsia" w:ascii="仿宋" w:hAnsi="仿宋" w:eastAsia="仿宋" w:cs="仿宋"/>
          <w:sz w:val="24"/>
        </w:rPr>
        <w:t>通过电子交易平台向中标人发出中标通知书，同时编制发布采购结果公告。</w:t>
      </w:r>
      <w:r>
        <w:rPr>
          <w:rFonts w:hint="eastAsia" w:ascii="仿宋" w:hAnsi="仿宋" w:eastAsia="仿宋" w:cs="仿宋"/>
          <w:sz w:val="24"/>
          <w:lang w:eastAsia="zh-CN"/>
        </w:rPr>
        <w:t>采购代理机构</w:t>
      </w:r>
      <w:r>
        <w:rPr>
          <w:rFonts w:hint="eastAsia" w:ascii="仿宋" w:hAnsi="仿宋" w:eastAsia="仿宋" w:cs="仿宋"/>
          <w:sz w:val="24"/>
        </w:rPr>
        <w:t>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w:t>
      </w:r>
      <w:r>
        <w:rPr>
          <w:rFonts w:hint="eastAsia" w:ascii="仿宋" w:hAnsi="仿宋" w:eastAsia="仿宋" w:cs="仿宋"/>
          <w:sz w:val="24"/>
          <w:lang w:eastAsia="zh-CN"/>
        </w:rPr>
        <w:t>采购代理机构</w:t>
      </w:r>
      <w:r>
        <w:rPr>
          <w:rFonts w:hint="eastAsia" w:ascii="仿宋" w:hAnsi="仿宋" w:eastAsia="仿宋" w:cs="仿宋"/>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0"/>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numPr>
          <w:ilvl w:val="0"/>
          <w:numId w:val="1"/>
        </w:numPr>
        <w:spacing w:line="360" w:lineRule="auto"/>
        <w:ind w:left="479" w:hanging="479" w:hangingChars="199"/>
        <w:rPr>
          <w:rFonts w:hint="eastAsia" w:ascii="仿宋" w:hAnsi="仿宋" w:eastAsia="仿宋" w:cs="仿宋"/>
          <w:b/>
        </w:rPr>
      </w:pPr>
      <w:r>
        <w:rPr>
          <w:rFonts w:hint="eastAsia" w:ascii="仿宋" w:hAnsi="仿宋" w:eastAsia="仿宋" w:cs="仿宋"/>
          <w:b/>
        </w:rPr>
        <w:t>履约保证金</w:t>
      </w:r>
    </w:p>
    <w:p>
      <w:pPr>
        <w:pStyle w:val="25"/>
        <w:ind w:left="0" w:firstLineChars="200"/>
        <w:rPr>
          <w:rFonts w:hint="eastAsia" w:ascii="仿宋" w:hAnsi="仿宋" w:eastAsia="仿宋" w:cs="仿宋"/>
          <w:b w:val="0"/>
          <w:bCs w:val="0"/>
          <w:snapToGrid w:val="0"/>
          <w:kern w:val="28"/>
          <w:sz w:val="24"/>
        </w:rPr>
      </w:pPr>
      <w:r>
        <w:rPr>
          <w:rFonts w:hint="eastAsia" w:ascii="仿宋" w:hAnsi="仿宋" w:eastAsia="仿宋" w:cs="仿宋"/>
          <w:b w:val="0"/>
          <w:bCs w:val="0"/>
          <w:snapToGrid w:val="0"/>
          <w:kern w:val="28"/>
          <w:sz w:val="24"/>
        </w:rPr>
        <w:t>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5"/>
        <w:ind w:left="0" w:firstLineChars="200"/>
        <w:rPr>
          <w:rFonts w:hint="eastAsia" w:ascii="仿宋" w:hAnsi="仿宋" w:eastAsia="仿宋" w:cs="仿宋"/>
          <w:b w:val="0"/>
          <w:bCs w:val="0"/>
          <w:snapToGrid w:val="0"/>
          <w:kern w:val="28"/>
          <w:sz w:val="24"/>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5"/>
        <w:spacing w:line="360" w:lineRule="auto"/>
        <w:ind w:left="479" w:hanging="479" w:hangingChars="199"/>
        <w:rPr>
          <w:rFonts w:hint="eastAsia" w:ascii="仿宋" w:hAnsi="仿宋" w:eastAsia="仿宋" w:cs="仿宋"/>
          <w:b/>
          <w:lang w:val="en-US"/>
        </w:rPr>
      </w:pPr>
      <w:r>
        <w:rPr>
          <w:rFonts w:hint="eastAsia" w:ascii="仿宋" w:hAnsi="仿宋" w:eastAsia="仿宋" w:cs="仿宋"/>
          <w:b/>
          <w:lang w:val="en-US"/>
        </w:rPr>
        <w:t>27.预付款</w:t>
      </w:r>
    </w:p>
    <w:p>
      <w:pPr>
        <w:pStyle w:val="2"/>
        <w:ind w:left="0" w:firstLine="480" w:firstLineChars="200"/>
        <w:rPr>
          <w:rFonts w:hint="eastAsia" w:ascii="仿宋" w:hAnsi="仿宋" w:eastAsia="仿宋" w:cs="仿宋"/>
          <w:b w:val="0"/>
          <w:bCs w:val="0"/>
          <w:snapToGrid w:val="0"/>
          <w:kern w:val="28"/>
          <w:sz w:val="24"/>
          <w:lang w:val="en-US"/>
        </w:rPr>
      </w:pPr>
      <w:r>
        <w:rPr>
          <w:rFonts w:hint="eastAsia" w:ascii="仿宋" w:hAnsi="仿宋" w:eastAsia="仿宋" w:cs="仿宋"/>
          <w:b w:val="0"/>
          <w:bCs w:val="0"/>
          <w:snapToGrid w:val="0"/>
          <w:kern w:val="28"/>
          <w:sz w:val="24"/>
          <w:lang w:val="en-US"/>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30"/>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lang w:val="en-US" w:eastAsia="zh-CN"/>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w:t>
      </w:r>
      <w:r>
        <w:rPr>
          <w:rFonts w:hint="eastAsia" w:ascii="仿宋" w:hAnsi="仿宋" w:eastAsia="仿宋" w:cs="仿宋"/>
          <w:lang w:eastAsia="zh-CN"/>
        </w:rPr>
        <w:t>采购代理机构</w:t>
      </w:r>
      <w:r>
        <w:rPr>
          <w:rFonts w:hint="eastAsia" w:ascii="仿宋" w:hAnsi="仿宋" w:eastAsia="仿宋" w:cs="仿宋"/>
        </w:rPr>
        <w:t>可中止电子交易活动：</w:t>
      </w:r>
    </w:p>
    <w:p>
      <w:pPr>
        <w:pStyle w:val="130"/>
        <w:snapToGrid w:val="0"/>
        <w:spacing w:before="0"/>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8</w:t>
      </w:r>
      <w:r>
        <w:rPr>
          <w:rFonts w:hint="eastAsia" w:ascii="仿宋" w:hAnsi="仿宋" w:eastAsia="仿宋" w:cs="仿宋"/>
        </w:rPr>
        <w:t xml:space="preserve">.1电子交易平台发生故障而无法登录访问的； </w:t>
      </w:r>
    </w:p>
    <w:p>
      <w:pPr>
        <w:pStyle w:val="130"/>
        <w:snapToGrid w:val="0"/>
        <w:spacing w:before="0"/>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8</w:t>
      </w:r>
      <w:r>
        <w:rPr>
          <w:rFonts w:hint="eastAsia" w:ascii="仿宋" w:hAnsi="仿宋" w:eastAsia="仿宋" w:cs="仿宋"/>
        </w:rPr>
        <w:t>.2电子交易平台应用或数据库出现错误，不能进行正常操作的；</w:t>
      </w:r>
    </w:p>
    <w:p>
      <w:pPr>
        <w:pStyle w:val="130"/>
        <w:snapToGrid w:val="0"/>
        <w:spacing w:before="0"/>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8</w:t>
      </w:r>
      <w:r>
        <w:rPr>
          <w:rFonts w:hint="eastAsia" w:ascii="仿宋" w:hAnsi="仿宋" w:eastAsia="仿宋" w:cs="仿宋"/>
        </w:rPr>
        <w:t>.3电子交易平台发现严重安全漏洞，有潜在泄密危险的；</w:t>
      </w:r>
    </w:p>
    <w:p>
      <w:pPr>
        <w:pStyle w:val="130"/>
        <w:snapToGrid w:val="0"/>
        <w:spacing w:before="0"/>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8</w:t>
      </w:r>
      <w:r>
        <w:rPr>
          <w:rFonts w:hint="eastAsia" w:ascii="仿宋" w:hAnsi="仿宋" w:eastAsia="仿宋" w:cs="仿宋"/>
        </w:rPr>
        <w:t xml:space="preserve">.4病毒发作导致不能进行正常操作的； </w:t>
      </w:r>
    </w:p>
    <w:p>
      <w:pPr>
        <w:pStyle w:val="130"/>
        <w:snapToGrid w:val="0"/>
        <w:spacing w:before="0"/>
        <w:ind w:firstLine="480"/>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8</w:t>
      </w:r>
      <w:r>
        <w:rPr>
          <w:rFonts w:hint="eastAsia" w:ascii="仿宋" w:hAnsi="仿宋" w:eastAsia="仿宋" w:cs="仿宋"/>
        </w:rPr>
        <w:t>.5其他无法保证电子交易的公平、公正和安全的情况。</w:t>
      </w:r>
    </w:p>
    <w:p>
      <w:pPr>
        <w:pStyle w:val="130"/>
        <w:snapToGrid w:val="0"/>
        <w:spacing w:before="0"/>
        <w:ind w:firstLine="0" w:firstLineChars="0"/>
        <w:rPr>
          <w:rFonts w:hint="eastAsia" w:ascii="仿宋" w:hAnsi="仿宋" w:eastAsia="仿宋" w:cs="仿宋"/>
        </w:rPr>
      </w:pPr>
      <w:r>
        <w:rPr>
          <w:rFonts w:hint="eastAsia" w:ascii="仿宋" w:hAnsi="仿宋" w:eastAsia="仿宋" w:cs="仿宋"/>
        </w:rPr>
        <w:t xml:space="preserve"> 2</w:t>
      </w:r>
      <w:r>
        <w:rPr>
          <w:rFonts w:hint="eastAsia" w:ascii="仿宋" w:hAnsi="仿宋" w:eastAsia="仿宋" w:cs="仿宋"/>
          <w:lang w:val="en-US" w:eastAsia="zh-CN"/>
        </w:rPr>
        <w:t>9</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lang w:val="en-US" w:eastAsia="zh-CN"/>
        </w:rPr>
        <w:t>30</w:t>
      </w:r>
      <w:r>
        <w:rPr>
          <w:rFonts w:hint="eastAsia" w:ascii="仿宋" w:hAnsi="仿宋" w:eastAsia="仿宋" w:cs="仿宋"/>
          <w:b/>
        </w:rPr>
        <w:t>.验收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lang w:val="en-US" w:eastAsia="zh-CN"/>
        </w:rPr>
        <w:t>30</w:t>
      </w:r>
      <w:r>
        <w:rPr>
          <w:rFonts w:hint="eastAsia" w:ascii="仿宋" w:hAnsi="仿宋" w:eastAsia="仿宋" w:cs="仿宋"/>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lang w:val="en-US" w:eastAsia="zh-CN"/>
        </w:rPr>
        <w:t>30</w:t>
      </w:r>
      <w:r>
        <w:rPr>
          <w:rFonts w:hint="eastAsia" w:ascii="仿宋" w:hAnsi="仿宋" w:eastAsia="仿宋" w:cs="仿宋"/>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lang w:val="en-US" w:eastAsia="zh-CN"/>
        </w:rPr>
        <w:t>30</w:t>
      </w:r>
      <w:r>
        <w:rPr>
          <w:rFonts w:hint="eastAsia" w:ascii="仿宋" w:hAnsi="仿宋" w:eastAsia="仿宋" w:cs="仿宋"/>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lang w:val="en-US" w:eastAsia="zh-CN"/>
        </w:rPr>
        <w:t>30</w:t>
      </w:r>
      <w:r>
        <w:rPr>
          <w:rFonts w:hint="eastAsia" w:ascii="仿宋" w:hAnsi="仿宋" w:eastAsia="仿宋" w:cs="仿宋"/>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68403820"/>
      <w:bookmarkEnd w:id="18"/>
      <w:bookmarkStart w:id="19" w:name="_Hlt74707468"/>
      <w:bookmarkEnd w:id="19"/>
      <w:bookmarkStart w:id="20" w:name="_Hlt75236290"/>
      <w:bookmarkEnd w:id="20"/>
      <w:bookmarkStart w:id="21" w:name="_Hlt74714665"/>
      <w:bookmarkEnd w:id="21"/>
      <w:bookmarkStart w:id="22" w:name="_Hlt68057669"/>
      <w:bookmarkEnd w:id="22"/>
      <w:bookmarkStart w:id="23" w:name="_Hlt75236101"/>
      <w:bookmarkEnd w:id="23"/>
      <w:bookmarkStart w:id="24" w:name="_Hlt74729768"/>
      <w:bookmarkEnd w:id="24"/>
      <w:bookmarkStart w:id="25" w:name="_Hlt74730295"/>
      <w:bookmarkEnd w:id="25"/>
      <w:bookmarkStart w:id="26" w:name="_Hlt68072998"/>
      <w:bookmarkEnd w:id="26"/>
      <w:bookmarkStart w:id="27" w:name="_Hlt75236011"/>
      <w:bookmarkEnd w:id="27"/>
      <w:bookmarkStart w:id="28" w:name="_Hlt68073093"/>
      <w:bookmarkEnd w:id="28"/>
      <w:bookmarkStart w:id="29" w:name="_Hlt68072990"/>
      <w:bookmarkEnd w:id="29"/>
    </w:p>
    <w:bookmarkEnd w:id="13"/>
    <w:bookmarkEnd w:id="14"/>
    <w:p>
      <w:pPr>
        <w:spacing w:line="360" w:lineRule="auto"/>
        <w:jc w:val="center"/>
        <w:outlineLvl w:val="0"/>
        <w:rPr>
          <w:rFonts w:hint="eastAsia" w:ascii="宋体" w:hAnsi="宋体" w:eastAsia="宋体"/>
          <w:color w:val="000000" w:themeColor="text1"/>
          <w14:textFill>
            <w14:solidFill>
              <w14:schemeClr w14:val="tx1"/>
            </w14:solidFill>
          </w14:textFill>
        </w:rPr>
      </w:pPr>
      <w:bookmarkStart w:id="30" w:name="第四部分"/>
      <w:r>
        <w:rPr>
          <w:rFonts w:hint="eastAsia" w:ascii="仿宋" w:hAnsi="仿宋" w:eastAsia="仿宋" w:cs="仿宋"/>
          <w:b/>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360" w:leftChars="0"/>
        <w:textAlignment w:val="auto"/>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一、项目清单</w:t>
      </w:r>
    </w:p>
    <w:tbl>
      <w:tblPr>
        <w:tblStyle w:val="63"/>
        <w:tblpPr w:leftFromText="180" w:rightFromText="180" w:vertAnchor="page" w:horzAnchor="page" w:tblpX="1452" w:tblpY="2799"/>
        <w:tblOverlap w:val="never"/>
        <w:tblW w:w="8868" w:type="dxa"/>
        <w:tblInd w:w="0" w:type="dxa"/>
        <w:tblLayout w:type="fixed"/>
        <w:tblCellMar>
          <w:top w:w="0" w:type="dxa"/>
          <w:left w:w="108" w:type="dxa"/>
          <w:bottom w:w="0" w:type="dxa"/>
          <w:right w:w="108" w:type="dxa"/>
        </w:tblCellMar>
      </w:tblPr>
      <w:tblGrid>
        <w:gridCol w:w="914"/>
        <w:gridCol w:w="1527"/>
        <w:gridCol w:w="3980"/>
        <w:gridCol w:w="2447"/>
      </w:tblGrid>
      <w:tr>
        <w:tblPrEx>
          <w:tblCellMar>
            <w:top w:w="0" w:type="dxa"/>
            <w:left w:w="108" w:type="dxa"/>
            <w:bottom w:w="0" w:type="dxa"/>
            <w:right w:w="108" w:type="dxa"/>
          </w:tblCellMar>
        </w:tblPrEx>
        <w:trPr>
          <w:trHeight w:val="566" w:hRule="atLeast"/>
        </w:trPr>
        <w:tc>
          <w:tcPr>
            <w:tcW w:w="88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城区道路标识标线漆画项目</w:t>
            </w:r>
          </w:p>
        </w:tc>
      </w:tr>
      <w:tr>
        <w:tblPrEx>
          <w:tblCellMar>
            <w:top w:w="0" w:type="dxa"/>
            <w:left w:w="108" w:type="dxa"/>
            <w:bottom w:w="0" w:type="dxa"/>
            <w:right w:w="108"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品名</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规格</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预计工程量(㎡)</w:t>
            </w:r>
          </w:p>
        </w:tc>
      </w:tr>
      <w:tr>
        <w:tblPrEx>
          <w:tblCellMar>
            <w:top w:w="0" w:type="dxa"/>
            <w:left w:w="108" w:type="dxa"/>
            <w:bottom w:w="0" w:type="dxa"/>
            <w:right w:w="108" w:type="dxa"/>
          </w:tblCellMar>
        </w:tblPrEx>
        <w:trPr>
          <w:trHeight w:val="270" w:hRule="atLeast"/>
        </w:trPr>
        <w:tc>
          <w:tcPr>
            <w:tcW w:w="91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交通标线</w:t>
            </w: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热熔型反光标线</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65000</w:t>
            </w:r>
          </w:p>
        </w:tc>
      </w:tr>
      <w:tr>
        <w:tblPrEx>
          <w:tblCellMar>
            <w:top w:w="0" w:type="dxa"/>
            <w:left w:w="108" w:type="dxa"/>
            <w:bottom w:w="0" w:type="dxa"/>
            <w:right w:w="108" w:type="dxa"/>
          </w:tblCellMar>
        </w:tblPrEx>
        <w:trPr>
          <w:trHeight w:val="270" w:hRule="atLeast"/>
        </w:trPr>
        <w:tc>
          <w:tcPr>
            <w:tcW w:w="914"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除热熔标线（高压水打磨）</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2000</w:t>
            </w:r>
          </w:p>
        </w:tc>
      </w:tr>
      <w:tr>
        <w:tblPrEx>
          <w:tblCellMar>
            <w:top w:w="0" w:type="dxa"/>
            <w:left w:w="108" w:type="dxa"/>
            <w:bottom w:w="0" w:type="dxa"/>
            <w:right w:w="108" w:type="dxa"/>
          </w:tblCellMar>
        </w:tblPrEx>
        <w:trPr>
          <w:trHeight w:val="270" w:hRule="atLeast"/>
        </w:trPr>
        <w:tc>
          <w:tcPr>
            <w:tcW w:w="914"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常温型标线</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500</w:t>
            </w:r>
          </w:p>
        </w:tc>
      </w:tr>
      <w:tr>
        <w:tblPrEx>
          <w:tblCellMar>
            <w:top w:w="0" w:type="dxa"/>
            <w:left w:w="108" w:type="dxa"/>
            <w:bottom w:w="0" w:type="dxa"/>
            <w:right w:w="108" w:type="dxa"/>
          </w:tblCellMar>
        </w:tblPrEx>
        <w:trPr>
          <w:trHeight w:val="270" w:hRule="atLeast"/>
        </w:trPr>
        <w:tc>
          <w:tcPr>
            <w:tcW w:w="914"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彩色热熔减速带</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200</w:t>
            </w:r>
          </w:p>
        </w:tc>
      </w:tr>
      <w:tr>
        <w:tblPrEx>
          <w:tblCellMar>
            <w:top w:w="0" w:type="dxa"/>
            <w:left w:w="108" w:type="dxa"/>
            <w:bottom w:w="0" w:type="dxa"/>
            <w:right w:w="108" w:type="dxa"/>
          </w:tblCellMar>
        </w:tblPrEx>
        <w:trPr>
          <w:trHeight w:val="270" w:hRule="atLeast"/>
        </w:trPr>
        <w:tc>
          <w:tcPr>
            <w:tcW w:w="914"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振荡标线（小方块形）</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200</w:t>
            </w:r>
          </w:p>
        </w:tc>
      </w:tr>
      <w:tr>
        <w:tblPrEx>
          <w:tblCellMar>
            <w:top w:w="0" w:type="dxa"/>
            <w:left w:w="108" w:type="dxa"/>
            <w:bottom w:w="0" w:type="dxa"/>
            <w:right w:w="108" w:type="dxa"/>
          </w:tblCellMar>
        </w:tblPrEx>
        <w:trPr>
          <w:trHeight w:val="270" w:hRule="atLeast"/>
        </w:trPr>
        <w:tc>
          <w:tcPr>
            <w:tcW w:w="914"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p>
        </w:tc>
        <w:tc>
          <w:tcPr>
            <w:tcW w:w="3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spacing w:line="440" w:lineRule="exact"/>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振荡标线（排骨形）</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200</w:t>
            </w:r>
          </w:p>
        </w:tc>
      </w:tr>
      <w:tr>
        <w:tblPrEx>
          <w:tblCellMar>
            <w:top w:w="0" w:type="dxa"/>
            <w:left w:w="108" w:type="dxa"/>
            <w:bottom w:w="0" w:type="dxa"/>
            <w:right w:w="108" w:type="dxa"/>
          </w:tblCellMar>
        </w:tblPrEx>
        <w:trPr>
          <w:trHeight w:val="270" w:hRule="atLeast"/>
        </w:trPr>
        <w:tc>
          <w:tcPr>
            <w:tcW w:w="91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rPr>
                <w:rFonts w:hint="eastAsia" w:ascii="仿宋" w:hAnsi="仿宋" w:eastAsia="仿宋" w:cs="仿宋"/>
                <w:color w:val="000000"/>
                <w:sz w:val="24"/>
                <w:szCs w:val="24"/>
              </w:rPr>
            </w:pPr>
          </w:p>
        </w:tc>
        <w:tc>
          <w:tcPr>
            <w:tcW w:w="5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合计</w:t>
            </w:r>
          </w:p>
        </w:tc>
        <w:tc>
          <w:tcPr>
            <w:tcW w:w="2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val="0"/>
              <w:snapToGrid/>
              <w:spacing w:line="440" w:lineRule="exact"/>
              <w:jc w:val="center"/>
              <w:textAlignment w:val="bottom"/>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68100</w:t>
            </w:r>
          </w:p>
        </w:tc>
      </w:tr>
    </w:tbl>
    <w:p>
      <w:pPr>
        <w:keepNext w:val="0"/>
        <w:keepLines w:val="0"/>
        <w:pageBreakBefore w:val="0"/>
        <w:widowControl w:val="0"/>
        <w:numPr>
          <w:ilvl w:val="0"/>
          <w:numId w:val="0"/>
        </w:numPr>
        <w:kinsoku/>
        <w:wordWrap/>
        <w:overflowPunct/>
        <w:topLinePunct w:val="0"/>
        <w:autoSpaceDE/>
        <w:autoSpaceDN/>
        <w:bidi w:val="0"/>
        <w:adjustRightInd/>
        <w:spacing w:line="360" w:lineRule="auto"/>
        <w:ind w:left="-360" w:leftChars="0"/>
        <w:textAlignment w:val="auto"/>
        <w:rPr>
          <w:rFonts w:hint="eastAsia" w:ascii="仿宋" w:hAnsi="仿宋" w:eastAsia="仿宋" w:cs="仿宋"/>
          <w:color w:val="000000"/>
          <w:sz w:val="28"/>
          <w:szCs w:val="28"/>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pacing w:line="360" w:lineRule="auto"/>
        <w:ind w:left="-360" w:leftChars="0"/>
        <w:textAlignment w:val="auto"/>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项目要求</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1、产品必须符合国家以及相关行业的规定质量标准。</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eastAsia="仿宋" w:cs="仿宋"/>
          <w:b w:val="0"/>
          <w:bCs w:val="0"/>
          <w:sz w:val="24"/>
          <w:szCs w:val="24"/>
          <w:lang w:val="en-US" w:eastAsia="zh-CN"/>
        </w:rPr>
        <w:t>2、</w:t>
      </w:r>
      <w:r>
        <w:rPr>
          <w:rFonts w:hint="eastAsia" w:ascii="仿宋" w:hAnsi="仿宋" w:eastAsia="仿宋" w:cs="仿宋"/>
          <w:b w:val="0"/>
          <w:bCs w:val="0"/>
          <w:sz w:val="24"/>
          <w:szCs w:val="24"/>
          <w:lang w:val="en-US" w:eastAsia="zh-CN"/>
        </w:rPr>
        <w:t>标线制作要求：</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eastAsia="仿宋" w:cs="仿宋"/>
          <w:b w:val="0"/>
          <w:bCs w:val="0"/>
          <w:sz w:val="24"/>
          <w:szCs w:val="24"/>
          <w:lang w:val="en-US" w:eastAsia="zh-CN"/>
        </w:rPr>
        <w:t>（1）</w:t>
      </w:r>
      <w:r>
        <w:rPr>
          <w:rFonts w:hint="eastAsia" w:ascii="仿宋" w:hAnsi="仿宋" w:eastAsia="仿宋" w:cs="仿宋"/>
          <w:b w:val="0"/>
          <w:bCs w:val="0"/>
          <w:sz w:val="24"/>
          <w:szCs w:val="24"/>
          <w:lang w:val="en-US" w:eastAsia="zh-CN"/>
        </w:rPr>
        <w:t>材料需有交通部检测报告；</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eastAsia="仿宋" w:cs="仿宋"/>
          <w:b w:val="0"/>
          <w:bCs w:val="0"/>
          <w:sz w:val="24"/>
          <w:szCs w:val="24"/>
          <w:lang w:val="en-US" w:eastAsia="zh-CN"/>
        </w:rPr>
        <w:t>（2）</w:t>
      </w:r>
      <w:r>
        <w:rPr>
          <w:rFonts w:hint="eastAsia" w:ascii="仿宋" w:hAnsi="仿宋" w:eastAsia="仿宋" w:cs="仿宋"/>
          <w:b w:val="0"/>
          <w:bCs w:val="0"/>
          <w:sz w:val="24"/>
          <w:szCs w:val="24"/>
          <w:lang w:val="en-US" w:eastAsia="zh-CN"/>
        </w:rPr>
        <w:t>热熔标线厚度1.5-2.0mm；</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eastAsia="仿宋" w:cs="仿宋"/>
          <w:b w:val="0"/>
          <w:bCs w:val="0"/>
          <w:sz w:val="24"/>
          <w:szCs w:val="24"/>
          <w:lang w:val="en-US" w:eastAsia="zh-CN"/>
        </w:rPr>
        <w:t>（3）</w:t>
      </w:r>
      <w:r>
        <w:rPr>
          <w:rFonts w:hint="eastAsia" w:ascii="仿宋" w:hAnsi="仿宋" w:eastAsia="仿宋" w:cs="仿宋"/>
          <w:b w:val="0"/>
          <w:bCs w:val="0"/>
          <w:sz w:val="24"/>
          <w:szCs w:val="24"/>
          <w:lang w:val="en-US" w:eastAsia="zh-CN"/>
        </w:rPr>
        <w:t>常温标线每平方米0.36kg以上。</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eastAsia="仿宋" w:cs="仿宋"/>
          <w:b w:val="0"/>
          <w:bCs w:val="0"/>
          <w:sz w:val="24"/>
          <w:szCs w:val="24"/>
          <w:lang w:val="en-US" w:eastAsia="zh-CN"/>
        </w:rPr>
        <w:t>（4）</w:t>
      </w:r>
      <w:r>
        <w:rPr>
          <w:rFonts w:hint="eastAsia" w:ascii="仿宋" w:hAnsi="仿宋" w:eastAsia="仿宋" w:cs="仿宋"/>
          <w:b w:val="0"/>
          <w:bCs w:val="0"/>
          <w:sz w:val="24"/>
          <w:szCs w:val="24"/>
          <w:lang w:val="en-US" w:eastAsia="zh-CN"/>
        </w:rPr>
        <w:t>原有标线超厚或者破损严重的需对原有标线打磨处理后再漆画；</w:t>
      </w:r>
    </w:p>
    <w:p>
      <w:pPr>
        <w:pageBreakBefore w:val="0"/>
        <w:widowControl w:val="0"/>
        <w:kinsoku/>
        <w:wordWrap/>
        <w:overflowPunct/>
        <w:topLinePunct w:val="0"/>
        <w:autoSpaceDE/>
        <w:autoSpaceDN/>
        <w:bidi w:val="0"/>
        <w:snapToGrid/>
        <w:spacing w:line="44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3、拟派项目人员不少于6人，为满足本项目实际需求，设立24小时服务专用电话，接受维修指令。</w:t>
      </w:r>
    </w:p>
    <w:p>
      <w:pPr>
        <w:pStyle w:val="2"/>
        <w:pageBreakBefore w:val="0"/>
        <w:widowControl w:val="0"/>
        <w:kinsoku/>
        <w:wordWrap/>
        <w:overflowPunct/>
        <w:topLinePunct w:val="0"/>
        <w:autoSpaceDE/>
        <w:autoSpaceDN/>
        <w:bidi w:val="0"/>
        <w:snapToGrid/>
        <w:spacing w:line="440" w:lineRule="exact"/>
        <w:textAlignment w:val="auto"/>
        <w:rPr>
          <w:rFonts w:hint="eastAsia" w:ascii="仿宋" w:eastAsia="仿宋" w:cs="仿宋"/>
          <w:b w:val="0"/>
          <w:bCs w:val="0"/>
          <w:sz w:val="24"/>
          <w:szCs w:val="24"/>
          <w:lang w:val="en-US" w:eastAsia="zh-CN"/>
        </w:rPr>
      </w:pPr>
      <w:r>
        <w:rPr>
          <w:rFonts w:hint="eastAsia" w:ascii="仿宋" w:eastAsia="仿宋" w:cs="仿宋"/>
          <w:b w:val="0"/>
          <w:bCs w:val="0"/>
          <w:sz w:val="24"/>
          <w:szCs w:val="24"/>
          <w:lang w:val="en-US" w:eastAsia="zh-CN"/>
        </w:rPr>
        <w:t>4、配备满足本项目的基本需求的机械设备。</w:t>
      </w:r>
    </w:p>
    <w:p>
      <w:pPr>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pacing w:line="360" w:lineRule="auto"/>
        <w:ind w:left="-360" w:leftChars="0"/>
        <w:textAlignment w:val="auto"/>
        <w:rPr>
          <w:rFonts w:hint="default"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其他</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项目施工完成后，由采购人组织专业人员验收。验收以国家行业标准为基础，结合本次招标文件和合同为依据进行。如不符要求，一律返工，直到符合要求为止，否则拒付款，并扣相应罚金。结算时按审计后实际工程量支付</w:t>
      </w:r>
      <w:r>
        <w:rPr>
          <w:rFonts w:hint="eastAsia" w:ascii="仿宋" w:eastAsia="仿宋" w:cs="仿宋"/>
          <w:b w:val="0"/>
          <w:bCs w:val="0"/>
          <w:sz w:val="24"/>
          <w:szCs w:val="24"/>
          <w:lang w:val="en-US" w:eastAsia="zh-CN"/>
        </w:rPr>
        <w:t>，</w:t>
      </w:r>
      <w:r>
        <w:rPr>
          <w:rFonts w:hint="eastAsia" w:ascii="仿宋" w:hAnsi="仿宋" w:eastAsia="仿宋" w:cs="仿宋"/>
          <w:b w:val="0"/>
          <w:bCs w:val="0"/>
          <w:sz w:val="24"/>
          <w:szCs w:val="24"/>
          <w:lang w:val="en-US" w:eastAsia="zh-CN"/>
        </w:rPr>
        <w:t>总价超</w:t>
      </w:r>
      <w:r>
        <w:rPr>
          <w:rFonts w:hint="eastAsia" w:ascii="仿宋" w:eastAsia="仿宋" w:cs="仿宋"/>
          <w:b w:val="0"/>
          <w:bCs w:val="0"/>
          <w:sz w:val="24"/>
          <w:szCs w:val="24"/>
          <w:lang w:val="en-US" w:eastAsia="zh-CN"/>
        </w:rPr>
        <w:t>过</w:t>
      </w:r>
      <w:r>
        <w:rPr>
          <w:rFonts w:hint="eastAsia" w:ascii="仿宋" w:hAnsi="仿宋" w:eastAsia="仿宋" w:cs="仿宋"/>
          <w:b w:val="0"/>
          <w:bCs w:val="0"/>
          <w:sz w:val="24"/>
          <w:szCs w:val="24"/>
          <w:lang w:val="en-US" w:eastAsia="zh-CN"/>
        </w:rPr>
        <w:t>中标总额</w:t>
      </w:r>
      <w:r>
        <w:rPr>
          <w:rFonts w:hint="eastAsia" w:ascii="仿宋" w:eastAsia="仿宋" w:cs="仿宋"/>
          <w:b w:val="0"/>
          <w:bCs w:val="0"/>
          <w:sz w:val="24"/>
          <w:szCs w:val="24"/>
          <w:lang w:val="en-US" w:eastAsia="zh-CN"/>
        </w:rPr>
        <w:t>部分视为优惠</w:t>
      </w:r>
      <w:r>
        <w:rPr>
          <w:rFonts w:hint="eastAsia" w:ascii="仿宋" w:hAnsi="仿宋" w:eastAsia="仿宋" w:cs="仿宋"/>
          <w:b w:val="0"/>
          <w:bCs w:val="0"/>
          <w:sz w:val="24"/>
          <w:szCs w:val="24"/>
          <w:lang w:val="en-US" w:eastAsia="zh-CN"/>
        </w:rPr>
        <w:t>（投标单价不</w:t>
      </w:r>
      <w:r>
        <w:rPr>
          <w:rFonts w:hint="eastAsia" w:ascii="仿宋" w:eastAsia="仿宋" w:cs="仿宋"/>
          <w:b w:val="0"/>
          <w:bCs w:val="0"/>
          <w:sz w:val="24"/>
          <w:szCs w:val="24"/>
          <w:lang w:val="en-US" w:eastAsia="zh-CN"/>
        </w:rPr>
        <w:t>作</w:t>
      </w:r>
      <w:r>
        <w:rPr>
          <w:rFonts w:hint="eastAsia" w:ascii="仿宋" w:hAnsi="仿宋" w:eastAsia="仿宋" w:cs="仿宋"/>
          <w:b w:val="0"/>
          <w:bCs w:val="0"/>
          <w:sz w:val="24"/>
          <w:szCs w:val="24"/>
          <w:lang w:val="en-US" w:eastAsia="zh-CN"/>
        </w:rPr>
        <w:t>调整）。</w:t>
      </w:r>
    </w:p>
    <w:p>
      <w:pPr>
        <w:pStyle w:val="2"/>
        <w:pageBreakBefore w:val="0"/>
        <w:widowControl w:val="0"/>
        <w:numPr>
          <w:ilvl w:val="0"/>
          <w:numId w:val="0"/>
        </w:numPr>
        <w:kinsoku/>
        <w:wordWrap/>
        <w:overflowPunct/>
        <w:topLinePunct w:val="0"/>
        <w:autoSpaceDE/>
        <w:autoSpaceDN/>
        <w:bidi w:val="0"/>
        <w:snapToGrid/>
        <w:spacing w:line="440" w:lineRule="exact"/>
        <w:ind w:leftChars="0"/>
        <w:textAlignment w:val="auto"/>
        <w:rPr>
          <w:rFonts w:hint="eastAsia" w:asci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r>
        <w:rPr>
          <w:rFonts w:hint="eastAsia" w:ascii="仿宋" w:eastAsia="仿宋" w:cs="仿宋"/>
          <w:b w:val="0"/>
          <w:bCs w:val="0"/>
          <w:sz w:val="24"/>
          <w:szCs w:val="24"/>
          <w:lang w:val="en-US" w:eastAsia="zh-CN"/>
        </w:rPr>
        <w:t>在本项目服务期内随时满足采购方对漆画要求进行施工。</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rPr>
      </w:pPr>
    </w:p>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31" w:name="_Toc184308106"/>
      <w:bookmarkEnd w:id="31"/>
      <w:bookmarkStart w:id="32" w:name="_Toc184312081"/>
      <w:bookmarkEnd w:id="32"/>
      <w:bookmarkStart w:id="33" w:name="_Toc184310293"/>
      <w:bookmarkEnd w:id="33"/>
      <w:bookmarkStart w:id="34" w:name="_Toc184313296"/>
      <w:bookmarkEnd w:id="34"/>
      <w:bookmarkStart w:id="35" w:name="_Toc184313272"/>
      <w:bookmarkEnd w:id="35"/>
      <w:bookmarkStart w:id="36" w:name="_Toc184310314"/>
      <w:bookmarkEnd w:id="36"/>
      <w:bookmarkStart w:id="37" w:name="_Toc184308056"/>
      <w:bookmarkEnd w:id="37"/>
      <w:bookmarkStart w:id="38" w:name="_Toc184310276"/>
      <w:bookmarkEnd w:id="38"/>
      <w:bookmarkStart w:id="39" w:name="_Toc184312124"/>
      <w:bookmarkEnd w:id="39"/>
      <w:bookmarkStart w:id="40" w:name="_Toc184310280"/>
      <w:bookmarkEnd w:id="40"/>
      <w:bookmarkStart w:id="41" w:name="_Toc184313253"/>
      <w:bookmarkEnd w:id="41"/>
      <w:bookmarkStart w:id="42" w:name="_Toc184308054"/>
      <w:bookmarkEnd w:id="42"/>
      <w:bookmarkStart w:id="43" w:name="_Toc184314433"/>
      <w:bookmarkEnd w:id="43"/>
      <w:bookmarkStart w:id="44" w:name="_Toc184308100"/>
      <w:bookmarkEnd w:id="44"/>
      <w:bookmarkStart w:id="45" w:name="_Toc184308060"/>
      <w:bookmarkEnd w:id="45"/>
      <w:bookmarkStart w:id="46" w:name="_Toc184314470"/>
      <w:bookmarkEnd w:id="46"/>
      <w:bookmarkStart w:id="47" w:name="_Toc184308096"/>
      <w:bookmarkEnd w:id="47"/>
      <w:bookmarkStart w:id="48" w:name="_Toc184313266"/>
      <w:bookmarkEnd w:id="48"/>
      <w:bookmarkStart w:id="49" w:name="_Toc184308067"/>
      <w:bookmarkEnd w:id="49"/>
      <w:bookmarkStart w:id="50" w:name="_Toc184314458"/>
      <w:bookmarkEnd w:id="50"/>
      <w:bookmarkStart w:id="51" w:name="_Toc184308076"/>
      <w:bookmarkEnd w:id="51"/>
      <w:bookmarkStart w:id="52" w:name="_Toc184312126"/>
      <w:bookmarkEnd w:id="52"/>
      <w:bookmarkStart w:id="53" w:name="_Toc184314421"/>
      <w:bookmarkEnd w:id="53"/>
      <w:bookmarkStart w:id="54" w:name="_Toc184310329"/>
      <w:bookmarkEnd w:id="54"/>
      <w:bookmarkStart w:id="55" w:name="_Toc184313263"/>
      <w:bookmarkEnd w:id="55"/>
      <w:bookmarkStart w:id="56" w:name="_Toc184312105"/>
      <w:bookmarkEnd w:id="56"/>
      <w:bookmarkStart w:id="57" w:name="_Toc184308041"/>
      <w:bookmarkEnd w:id="57"/>
      <w:bookmarkStart w:id="58" w:name="_Toc184308061"/>
      <w:bookmarkEnd w:id="58"/>
      <w:bookmarkStart w:id="59" w:name="_Toc184312069"/>
      <w:bookmarkEnd w:id="59"/>
      <w:bookmarkStart w:id="60" w:name="_Toc184312086"/>
      <w:bookmarkEnd w:id="60"/>
      <w:bookmarkStart w:id="61" w:name="_Toc184310327"/>
      <w:bookmarkEnd w:id="61"/>
      <w:bookmarkStart w:id="62" w:name="_Toc184312108"/>
      <w:bookmarkEnd w:id="62"/>
      <w:bookmarkStart w:id="63" w:name="_Toc184313297"/>
      <w:bookmarkEnd w:id="63"/>
      <w:bookmarkStart w:id="64" w:name="_Toc184313243"/>
      <w:bookmarkEnd w:id="64"/>
      <w:bookmarkStart w:id="65" w:name="_Toc184313303"/>
      <w:bookmarkEnd w:id="65"/>
      <w:bookmarkStart w:id="66" w:name="_Toc184314462"/>
      <w:bookmarkEnd w:id="66"/>
      <w:bookmarkStart w:id="67" w:name="_Toc184314469"/>
      <w:bookmarkEnd w:id="67"/>
      <w:bookmarkStart w:id="68" w:name="_Toc184310340"/>
      <w:bookmarkEnd w:id="68"/>
      <w:bookmarkStart w:id="69" w:name="_Toc184308104"/>
      <w:bookmarkEnd w:id="69"/>
      <w:bookmarkStart w:id="70" w:name="_Toc184313267"/>
      <w:bookmarkEnd w:id="70"/>
      <w:bookmarkStart w:id="71" w:name="_Toc184312102"/>
      <w:bookmarkEnd w:id="71"/>
      <w:bookmarkStart w:id="72" w:name="_Toc184312087"/>
      <w:bookmarkEnd w:id="72"/>
      <w:bookmarkStart w:id="73" w:name="_Toc184313261"/>
      <w:bookmarkEnd w:id="73"/>
      <w:bookmarkStart w:id="74" w:name="_Toc184312114"/>
      <w:bookmarkEnd w:id="74"/>
      <w:bookmarkStart w:id="75" w:name="_Toc184308080"/>
      <w:bookmarkEnd w:id="75"/>
      <w:bookmarkStart w:id="76" w:name="_Toc184308057"/>
      <w:bookmarkEnd w:id="76"/>
      <w:bookmarkStart w:id="77" w:name="_Toc184310309"/>
      <w:bookmarkEnd w:id="77"/>
      <w:bookmarkStart w:id="78" w:name="_Toc184308095"/>
      <w:bookmarkEnd w:id="78"/>
      <w:bookmarkStart w:id="79" w:name="_Toc184313290"/>
      <w:bookmarkEnd w:id="79"/>
      <w:bookmarkStart w:id="80" w:name="_Toc184310274"/>
      <w:bookmarkEnd w:id="80"/>
      <w:bookmarkStart w:id="81" w:name="_Toc184308040"/>
      <w:bookmarkEnd w:id="81"/>
      <w:bookmarkStart w:id="82" w:name="_Toc184314418"/>
      <w:bookmarkEnd w:id="82"/>
      <w:bookmarkStart w:id="83" w:name="_Toc184308043"/>
      <w:bookmarkEnd w:id="83"/>
      <w:bookmarkStart w:id="84" w:name="_Toc184312134"/>
      <w:bookmarkEnd w:id="84"/>
      <w:bookmarkStart w:id="85" w:name="_Toc184310316"/>
      <w:bookmarkEnd w:id="85"/>
      <w:bookmarkStart w:id="86" w:name="_Toc184310323"/>
      <w:bookmarkEnd w:id="86"/>
      <w:bookmarkStart w:id="87" w:name="_Toc184312098"/>
      <w:bookmarkEnd w:id="87"/>
      <w:bookmarkStart w:id="88" w:name="_Toc184314428"/>
      <w:bookmarkEnd w:id="88"/>
      <w:bookmarkStart w:id="89" w:name="_Toc184310318"/>
      <w:bookmarkEnd w:id="89"/>
      <w:bookmarkStart w:id="90" w:name="_Toc184313265"/>
      <w:bookmarkEnd w:id="90"/>
      <w:bookmarkStart w:id="91" w:name="_Toc184314426"/>
      <w:bookmarkEnd w:id="91"/>
      <w:bookmarkStart w:id="92" w:name="_Toc184312113"/>
      <w:bookmarkEnd w:id="92"/>
      <w:bookmarkStart w:id="93" w:name="_Toc184313292"/>
      <w:bookmarkEnd w:id="93"/>
      <w:bookmarkStart w:id="94" w:name="_Toc184312133"/>
      <w:bookmarkEnd w:id="94"/>
      <w:bookmarkStart w:id="95" w:name="_Toc184308097"/>
      <w:bookmarkEnd w:id="95"/>
      <w:bookmarkStart w:id="96" w:name="_Toc184308059"/>
      <w:bookmarkEnd w:id="96"/>
      <w:bookmarkStart w:id="97" w:name="_Toc184313248"/>
      <w:bookmarkEnd w:id="97"/>
      <w:bookmarkStart w:id="98" w:name="_Toc184310343"/>
      <w:bookmarkEnd w:id="98"/>
      <w:bookmarkStart w:id="99" w:name="_Toc184314454"/>
      <w:bookmarkEnd w:id="99"/>
      <w:bookmarkStart w:id="100" w:name="_Toc184310302"/>
      <w:bookmarkEnd w:id="100"/>
      <w:bookmarkStart w:id="101" w:name="_Toc184313271"/>
      <w:bookmarkEnd w:id="101"/>
      <w:bookmarkStart w:id="102" w:name="_Toc184310339"/>
      <w:bookmarkEnd w:id="102"/>
      <w:bookmarkStart w:id="103" w:name="_Toc184310297"/>
      <w:bookmarkEnd w:id="103"/>
      <w:bookmarkStart w:id="104" w:name="_Toc184313260"/>
      <w:bookmarkEnd w:id="104"/>
      <w:bookmarkStart w:id="105" w:name="_Toc184308073"/>
      <w:bookmarkEnd w:id="105"/>
      <w:bookmarkStart w:id="106" w:name="_Toc184312132"/>
      <w:bookmarkEnd w:id="106"/>
      <w:bookmarkStart w:id="107" w:name="_Toc184310306"/>
      <w:bookmarkEnd w:id="107"/>
      <w:bookmarkStart w:id="108" w:name="_Toc184313238"/>
      <w:bookmarkEnd w:id="108"/>
      <w:bookmarkStart w:id="109" w:name="_Toc184313251"/>
      <w:bookmarkEnd w:id="109"/>
      <w:bookmarkStart w:id="110" w:name="_Toc184313241"/>
      <w:bookmarkEnd w:id="110"/>
      <w:bookmarkStart w:id="111" w:name="_Toc184308045"/>
      <w:bookmarkEnd w:id="111"/>
      <w:bookmarkStart w:id="112" w:name="_Toc184313245"/>
      <w:bookmarkEnd w:id="112"/>
      <w:bookmarkStart w:id="113" w:name="_Toc184313301"/>
      <w:bookmarkEnd w:id="113"/>
      <w:bookmarkStart w:id="114" w:name="_Toc184308036"/>
      <w:bookmarkEnd w:id="114"/>
      <w:bookmarkStart w:id="115" w:name="_Toc184308084"/>
      <w:bookmarkEnd w:id="115"/>
      <w:bookmarkStart w:id="116" w:name="_Toc184314424"/>
      <w:bookmarkEnd w:id="116"/>
      <w:bookmarkStart w:id="117" w:name="_Toc184308047"/>
      <w:bookmarkEnd w:id="117"/>
      <w:bookmarkStart w:id="118" w:name="_Toc184308071"/>
      <w:bookmarkEnd w:id="118"/>
      <w:bookmarkStart w:id="119" w:name="_Toc184314472"/>
      <w:bookmarkEnd w:id="119"/>
      <w:bookmarkStart w:id="120" w:name="_Toc184312070"/>
      <w:bookmarkEnd w:id="120"/>
      <w:bookmarkStart w:id="121" w:name="_Toc184314444"/>
      <w:bookmarkEnd w:id="121"/>
      <w:bookmarkStart w:id="122" w:name="_Toc184313277"/>
      <w:bookmarkEnd w:id="122"/>
      <w:bookmarkStart w:id="123" w:name="_Toc184314449"/>
      <w:bookmarkEnd w:id="123"/>
      <w:bookmarkStart w:id="124" w:name="_Toc184308101"/>
      <w:bookmarkEnd w:id="124"/>
      <w:bookmarkStart w:id="125" w:name="_Toc184314478"/>
      <w:bookmarkEnd w:id="125"/>
      <w:bookmarkStart w:id="126" w:name="_Toc184308105"/>
      <w:bookmarkEnd w:id="126"/>
      <w:bookmarkStart w:id="127" w:name="_Toc184308039"/>
      <w:bookmarkEnd w:id="127"/>
      <w:bookmarkStart w:id="128" w:name="_Toc184313302"/>
      <w:bookmarkEnd w:id="128"/>
      <w:bookmarkStart w:id="129" w:name="_Toc184314438"/>
      <w:bookmarkEnd w:id="129"/>
      <w:bookmarkStart w:id="130" w:name="_Toc184312116"/>
      <w:bookmarkEnd w:id="130"/>
      <w:bookmarkStart w:id="131" w:name="_Toc184310319"/>
      <w:bookmarkEnd w:id="131"/>
      <w:bookmarkStart w:id="132" w:name="_Toc184312071"/>
      <w:bookmarkEnd w:id="132"/>
      <w:bookmarkStart w:id="133" w:name="_Toc184313309"/>
      <w:bookmarkEnd w:id="133"/>
      <w:bookmarkStart w:id="134" w:name="_Toc184308074"/>
      <w:bookmarkEnd w:id="134"/>
      <w:bookmarkStart w:id="135" w:name="_Toc184312129"/>
      <w:bookmarkEnd w:id="135"/>
      <w:bookmarkStart w:id="136" w:name="_Toc184310310"/>
      <w:bookmarkEnd w:id="136"/>
      <w:bookmarkStart w:id="137" w:name="_Toc184310322"/>
      <w:bookmarkEnd w:id="137"/>
      <w:bookmarkStart w:id="138" w:name="_Toc184308102"/>
      <w:bookmarkEnd w:id="138"/>
      <w:bookmarkStart w:id="139" w:name="_Toc184313276"/>
      <w:bookmarkEnd w:id="139"/>
      <w:bookmarkStart w:id="140" w:name="_Toc184314447"/>
      <w:bookmarkEnd w:id="140"/>
      <w:bookmarkStart w:id="141" w:name="_Toc184314416"/>
      <w:bookmarkEnd w:id="141"/>
      <w:bookmarkStart w:id="142" w:name="_Toc184310279"/>
      <w:bookmarkEnd w:id="142"/>
      <w:bookmarkStart w:id="143" w:name="_Toc184313284"/>
      <w:bookmarkEnd w:id="143"/>
      <w:bookmarkStart w:id="144" w:name="_Toc184313283"/>
      <w:bookmarkEnd w:id="144"/>
      <w:bookmarkStart w:id="145" w:name="_Toc184310282"/>
      <w:bookmarkEnd w:id="145"/>
      <w:bookmarkStart w:id="146" w:name="_Toc184310337"/>
      <w:bookmarkEnd w:id="146"/>
      <w:bookmarkStart w:id="147" w:name="_Toc184313257"/>
      <w:bookmarkEnd w:id="147"/>
      <w:bookmarkStart w:id="148" w:name="_Toc184313308"/>
      <w:bookmarkEnd w:id="148"/>
      <w:bookmarkStart w:id="149" w:name="_Toc184308083"/>
      <w:bookmarkEnd w:id="149"/>
      <w:bookmarkStart w:id="150" w:name="_Toc184312091"/>
      <w:bookmarkEnd w:id="150"/>
      <w:bookmarkStart w:id="151" w:name="_Toc184313288"/>
      <w:bookmarkEnd w:id="151"/>
      <w:bookmarkStart w:id="152" w:name="_Toc184310291"/>
      <w:bookmarkEnd w:id="152"/>
      <w:bookmarkStart w:id="153" w:name="_Toc184313273"/>
      <w:bookmarkEnd w:id="153"/>
      <w:bookmarkStart w:id="154" w:name="_Toc184314464"/>
      <w:bookmarkEnd w:id="154"/>
      <w:bookmarkStart w:id="155" w:name="_Toc184310278"/>
      <w:bookmarkEnd w:id="155"/>
      <w:bookmarkStart w:id="156" w:name="_Toc184312120"/>
      <w:bookmarkEnd w:id="156"/>
      <w:bookmarkStart w:id="157" w:name="_Toc184310301"/>
      <w:bookmarkEnd w:id="157"/>
      <w:bookmarkStart w:id="158" w:name="_Toc184308078"/>
      <w:bookmarkEnd w:id="158"/>
      <w:bookmarkStart w:id="159" w:name="_Toc184308098"/>
      <w:bookmarkEnd w:id="159"/>
      <w:bookmarkStart w:id="160" w:name="_Toc184314473"/>
      <w:bookmarkEnd w:id="160"/>
      <w:bookmarkStart w:id="161" w:name="_Toc184314459"/>
      <w:bookmarkEnd w:id="161"/>
      <w:bookmarkStart w:id="162" w:name="_Toc184314475"/>
      <w:bookmarkEnd w:id="162"/>
      <w:bookmarkStart w:id="163" w:name="_Toc184312084"/>
      <w:bookmarkEnd w:id="163"/>
      <w:bookmarkStart w:id="164" w:name="_Toc184313295"/>
      <w:bookmarkEnd w:id="164"/>
      <w:bookmarkStart w:id="165" w:name="_Toc184312079"/>
      <w:bookmarkEnd w:id="165"/>
      <w:bookmarkStart w:id="166" w:name="_Toc184312131"/>
      <w:bookmarkEnd w:id="166"/>
      <w:bookmarkStart w:id="167" w:name="_Toc184313268"/>
      <w:bookmarkEnd w:id="167"/>
      <w:bookmarkStart w:id="168" w:name="_Toc184314425"/>
      <w:bookmarkEnd w:id="168"/>
      <w:bookmarkStart w:id="169" w:name="_Toc184312128"/>
      <w:bookmarkEnd w:id="169"/>
      <w:bookmarkStart w:id="170" w:name="_Toc184314410"/>
      <w:bookmarkEnd w:id="170"/>
      <w:bookmarkStart w:id="171" w:name="_Toc184313264"/>
      <w:bookmarkEnd w:id="171"/>
      <w:bookmarkStart w:id="172" w:name="_Toc184312097"/>
      <w:bookmarkEnd w:id="172"/>
      <w:bookmarkStart w:id="173" w:name="_Toc184312089"/>
      <w:bookmarkEnd w:id="173"/>
      <w:bookmarkStart w:id="174" w:name="_Toc184310289"/>
      <w:bookmarkEnd w:id="174"/>
      <w:bookmarkStart w:id="175" w:name="_Toc184313281"/>
      <w:bookmarkEnd w:id="175"/>
      <w:bookmarkStart w:id="176" w:name="_Toc184314476"/>
      <w:bookmarkEnd w:id="176"/>
      <w:bookmarkStart w:id="177" w:name="_Toc184313250"/>
      <w:bookmarkEnd w:id="177"/>
      <w:bookmarkStart w:id="178" w:name="_Toc184308090"/>
      <w:bookmarkEnd w:id="178"/>
      <w:bookmarkStart w:id="179" w:name="_Toc184312074"/>
      <w:bookmarkEnd w:id="179"/>
      <w:bookmarkStart w:id="180" w:name="_Toc184310307"/>
      <w:bookmarkEnd w:id="180"/>
      <w:bookmarkStart w:id="181" w:name="_Toc184310330"/>
      <w:bookmarkEnd w:id="181"/>
      <w:bookmarkStart w:id="182" w:name="_Toc184313242"/>
      <w:bookmarkEnd w:id="182"/>
      <w:bookmarkStart w:id="183" w:name="_Toc184308046"/>
      <w:bookmarkEnd w:id="183"/>
      <w:bookmarkStart w:id="184" w:name="_Toc184314479"/>
      <w:bookmarkEnd w:id="184"/>
      <w:bookmarkStart w:id="185" w:name="_Toc184312093"/>
      <w:bookmarkEnd w:id="185"/>
      <w:bookmarkStart w:id="186" w:name="_Toc184310283"/>
      <w:bookmarkEnd w:id="186"/>
      <w:bookmarkStart w:id="187" w:name="_Toc184312094"/>
      <w:bookmarkEnd w:id="187"/>
      <w:bookmarkStart w:id="188" w:name="_Toc184314453"/>
      <w:bookmarkEnd w:id="188"/>
      <w:bookmarkStart w:id="189" w:name="_Toc184312112"/>
      <w:bookmarkEnd w:id="189"/>
      <w:bookmarkStart w:id="190" w:name="_Toc184312119"/>
      <w:bookmarkEnd w:id="190"/>
      <w:bookmarkStart w:id="191" w:name="_Toc184314467"/>
      <w:bookmarkEnd w:id="191"/>
      <w:bookmarkStart w:id="192" w:name="_Toc184314411"/>
      <w:bookmarkEnd w:id="192"/>
      <w:bookmarkStart w:id="193" w:name="_Toc184310284"/>
      <w:bookmarkEnd w:id="193"/>
      <w:bookmarkStart w:id="194" w:name="_Toc184312111"/>
      <w:bookmarkEnd w:id="194"/>
      <w:bookmarkStart w:id="195" w:name="_Toc184312096"/>
      <w:bookmarkEnd w:id="195"/>
      <w:bookmarkStart w:id="196" w:name="_Toc184312138"/>
      <w:bookmarkEnd w:id="196"/>
      <w:bookmarkStart w:id="197" w:name="_Toc184313307"/>
      <w:bookmarkEnd w:id="197"/>
      <w:bookmarkStart w:id="198" w:name="_Toc184314437"/>
      <w:bookmarkEnd w:id="198"/>
      <w:bookmarkStart w:id="199" w:name="_Toc184310290"/>
      <w:bookmarkEnd w:id="199"/>
      <w:bookmarkStart w:id="200" w:name="_Toc184308089"/>
      <w:bookmarkEnd w:id="200"/>
      <w:bookmarkStart w:id="201" w:name="_Toc184314434"/>
      <w:bookmarkEnd w:id="201"/>
      <w:bookmarkStart w:id="202" w:name="_Toc184310275"/>
      <w:bookmarkEnd w:id="202"/>
      <w:bookmarkStart w:id="203" w:name="_Toc184313293"/>
      <w:bookmarkEnd w:id="203"/>
      <w:bookmarkStart w:id="204" w:name="_Toc184310304"/>
      <w:bookmarkEnd w:id="204"/>
      <w:bookmarkStart w:id="205" w:name="_Toc184314443"/>
      <w:bookmarkEnd w:id="205"/>
      <w:bookmarkStart w:id="206" w:name="_Toc184313304"/>
      <w:bookmarkEnd w:id="206"/>
      <w:bookmarkStart w:id="207" w:name="_Toc184310292"/>
      <w:bookmarkEnd w:id="207"/>
      <w:bookmarkStart w:id="208" w:name="_Toc184312115"/>
      <w:bookmarkEnd w:id="208"/>
      <w:bookmarkStart w:id="209" w:name="_Toc184308070"/>
      <w:bookmarkEnd w:id="209"/>
      <w:bookmarkStart w:id="210" w:name="_Toc184314420"/>
      <w:bookmarkEnd w:id="210"/>
      <w:bookmarkStart w:id="211" w:name="_Toc184310273"/>
      <w:bookmarkEnd w:id="211"/>
      <w:bookmarkStart w:id="212" w:name="_Toc184310294"/>
      <w:bookmarkEnd w:id="212"/>
      <w:bookmarkStart w:id="213" w:name="_Toc184314474"/>
      <w:bookmarkEnd w:id="213"/>
      <w:bookmarkStart w:id="214" w:name="_Toc184310286"/>
      <w:bookmarkEnd w:id="214"/>
      <w:bookmarkStart w:id="215" w:name="_Toc184308068"/>
      <w:bookmarkEnd w:id="215"/>
      <w:bookmarkStart w:id="216" w:name="_Toc184314423"/>
      <w:bookmarkEnd w:id="216"/>
      <w:bookmarkStart w:id="217" w:name="_Toc184312085"/>
      <w:bookmarkEnd w:id="217"/>
      <w:bookmarkStart w:id="218" w:name="_Toc184308053"/>
      <w:bookmarkEnd w:id="218"/>
      <w:bookmarkStart w:id="219" w:name="_Toc184310313"/>
      <w:bookmarkEnd w:id="219"/>
      <w:bookmarkStart w:id="220" w:name="_Toc184310334"/>
      <w:bookmarkEnd w:id="220"/>
      <w:bookmarkStart w:id="221" w:name="_Toc184310338"/>
      <w:bookmarkEnd w:id="221"/>
      <w:bookmarkStart w:id="222" w:name="_Toc184312136"/>
      <w:bookmarkEnd w:id="222"/>
      <w:bookmarkStart w:id="223" w:name="_Toc184308079"/>
      <w:bookmarkEnd w:id="223"/>
      <w:bookmarkStart w:id="224" w:name="_Toc184314480"/>
      <w:bookmarkEnd w:id="224"/>
      <w:bookmarkStart w:id="225" w:name="_Toc184310300"/>
      <w:bookmarkEnd w:id="225"/>
      <w:bookmarkStart w:id="226" w:name="_Toc184308085"/>
      <w:bookmarkEnd w:id="226"/>
      <w:bookmarkStart w:id="227" w:name="_Toc184312067"/>
      <w:bookmarkEnd w:id="227"/>
      <w:bookmarkStart w:id="228" w:name="_Toc184310287"/>
      <w:bookmarkEnd w:id="228"/>
      <w:bookmarkStart w:id="229" w:name="_Toc184312135"/>
      <w:bookmarkEnd w:id="229"/>
      <w:bookmarkStart w:id="230" w:name="_Toc184314482"/>
      <w:bookmarkEnd w:id="230"/>
      <w:bookmarkStart w:id="231" w:name="_Toc184308044"/>
      <w:bookmarkEnd w:id="231"/>
      <w:bookmarkStart w:id="232" w:name="_Toc184313310"/>
      <w:bookmarkEnd w:id="232"/>
      <w:bookmarkStart w:id="233" w:name="_Toc184310328"/>
      <w:bookmarkEnd w:id="233"/>
      <w:bookmarkStart w:id="234" w:name="_Toc184312130"/>
      <w:bookmarkEnd w:id="234"/>
      <w:bookmarkStart w:id="235" w:name="_Toc184312118"/>
      <w:bookmarkEnd w:id="235"/>
      <w:bookmarkStart w:id="236" w:name="_Toc184313262"/>
      <w:bookmarkEnd w:id="236"/>
      <w:bookmarkStart w:id="237" w:name="_Toc184312106"/>
      <w:bookmarkEnd w:id="237"/>
      <w:bookmarkStart w:id="238" w:name="_Toc184314415"/>
      <w:bookmarkEnd w:id="238"/>
      <w:bookmarkStart w:id="239" w:name="_Toc184308072"/>
      <w:bookmarkEnd w:id="239"/>
      <w:bookmarkStart w:id="240" w:name="_Toc184313291"/>
      <w:bookmarkEnd w:id="240"/>
      <w:bookmarkStart w:id="241" w:name="_Toc184312095"/>
      <w:bookmarkEnd w:id="241"/>
      <w:bookmarkStart w:id="242" w:name="_Toc184312078"/>
      <w:bookmarkEnd w:id="242"/>
      <w:bookmarkStart w:id="243" w:name="_Toc184308050"/>
      <w:bookmarkEnd w:id="243"/>
      <w:bookmarkStart w:id="244" w:name="_Toc184310335"/>
      <w:bookmarkEnd w:id="244"/>
      <w:bookmarkStart w:id="245" w:name="_Toc184314466"/>
      <w:bookmarkEnd w:id="245"/>
      <w:bookmarkStart w:id="246" w:name="_Toc184310315"/>
      <w:bookmarkEnd w:id="246"/>
      <w:bookmarkStart w:id="247" w:name="_Toc184312101"/>
      <w:bookmarkEnd w:id="247"/>
      <w:bookmarkStart w:id="248" w:name="_Toc184314417"/>
      <w:bookmarkEnd w:id="248"/>
      <w:bookmarkStart w:id="249" w:name="_Toc184314445"/>
      <w:bookmarkEnd w:id="249"/>
      <w:bookmarkStart w:id="250" w:name="_Toc184314452"/>
      <w:bookmarkEnd w:id="250"/>
      <w:bookmarkStart w:id="251" w:name="_Toc184313282"/>
      <w:bookmarkEnd w:id="251"/>
      <w:bookmarkStart w:id="252" w:name="_Toc184313299"/>
      <w:bookmarkEnd w:id="252"/>
      <w:bookmarkStart w:id="253" w:name="_Toc184310288"/>
      <w:bookmarkEnd w:id="253"/>
      <w:bookmarkStart w:id="254" w:name="_Toc184314436"/>
      <w:bookmarkEnd w:id="254"/>
      <w:bookmarkStart w:id="255" w:name="_Toc184312121"/>
      <w:bookmarkEnd w:id="255"/>
      <w:bookmarkStart w:id="256" w:name="_Toc184312122"/>
      <w:bookmarkEnd w:id="256"/>
      <w:bookmarkStart w:id="257" w:name="_Toc184310341"/>
      <w:bookmarkEnd w:id="257"/>
      <w:bookmarkStart w:id="258" w:name="_Toc184313252"/>
      <w:bookmarkEnd w:id="258"/>
      <w:bookmarkStart w:id="259" w:name="_Toc184312073"/>
      <w:bookmarkEnd w:id="259"/>
      <w:bookmarkStart w:id="260" w:name="_Toc184310295"/>
      <w:bookmarkEnd w:id="260"/>
      <w:bookmarkStart w:id="261" w:name="_Toc184308087"/>
      <w:bookmarkEnd w:id="261"/>
      <w:bookmarkStart w:id="262" w:name="_Toc184313298"/>
      <w:bookmarkEnd w:id="262"/>
      <w:bookmarkStart w:id="263" w:name="_Toc184310298"/>
      <w:bookmarkEnd w:id="263"/>
      <w:bookmarkStart w:id="264" w:name="_Toc184310305"/>
      <w:bookmarkEnd w:id="264"/>
      <w:bookmarkStart w:id="265" w:name="_Toc184313249"/>
      <w:bookmarkEnd w:id="265"/>
      <w:bookmarkStart w:id="266" w:name="_Toc184314465"/>
      <w:bookmarkEnd w:id="266"/>
      <w:bookmarkStart w:id="267" w:name="_Toc184312100"/>
      <w:bookmarkEnd w:id="267"/>
      <w:bookmarkStart w:id="268" w:name="_Toc184313279"/>
      <w:bookmarkEnd w:id="268"/>
      <w:bookmarkStart w:id="269" w:name="_Toc184314455"/>
      <w:bookmarkEnd w:id="269"/>
      <w:bookmarkStart w:id="270" w:name="_Toc184312139"/>
      <w:bookmarkEnd w:id="270"/>
      <w:bookmarkStart w:id="271" w:name="_Toc184314477"/>
      <w:bookmarkEnd w:id="271"/>
      <w:bookmarkStart w:id="272" w:name="_Toc184314413"/>
      <w:bookmarkEnd w:id="272"/>
      <w:bookmarkStart w:id="273" w:name="_Toc184308064"/>
      <w:bookmarkEnd w:id="273"/>
      <w:bookmarkStart w:id="274" w:name="_Toc184314461"/>
      <w:bookmarkEnd w:id="274"/>
      <w:bookmarkStart w:id="275" w:name="_Toc184313246"/>
      <w:bookmarkEnd w:id="275"/>
      <w:bookmarkStart w:id="276" w:name="_Toc184313306"/>
      <w:bookmarkEnd w:id="276"/>
      <w:bookmarkStart w:id="277" w:name="_Toc184308092"/>
      <w:bookmarkEnd w:id="277"/>
      <w:bookmarkStart w:id="278" w:name="_Toc184312109"/>
      <w:bookmarkEnd w:id="278"/>
      <w:bookmarkStart w:id="279" w:name="_Toc184308048"/>
      <w:bookmarkEnd w:id="279"/>
      <w:bookmarkStart w:id="280" w:name="_Toc184312099"/>
      <w:bookmarkEnd w:id="280"/>
      <w:bookmarkStart w:id="281" w:name="_Toc184314451"/>
      <w:bookmarkEnd w:id="281"/>
      <w:bookmarkStart w:id="282" w:name="_Toc184313240"/>
      <w:bookmarkEnd w:id="282"/>
      <w:bookmarkStart w:id="283" w:name="_Toc184308062"/>
      <w:bookmarkEnd w:id="283"/>
      <w:bookmarkStart w:id="284" w:name="_Toc184313258"/>
      <w:bookmarkEnd w:id="284"/>
      <w:bookmarkStart w:id="285" w:name="_Toc184312092"/>
      <w:bookmarkEnd w:id="285"/>
      <w:bookmarkStart w:id="286" w:name="_Toc184308051"/>
      <w:bookmarkEnd w:id="286"/>
      <w:bookmarkStart w:id="287" w:name="_Toc184313294"/>
      <w:bookmarkEnd w:id="287"/>
      <w:bookmarkStart w:id="288" w:name="_Toc184314446"/>
      <w:bookmarkEnd w:id="288"/>
      <w:bookmarkStart w:id="289" w:name="_Toc184313305"/>
      <w:bookmarkEnd w:id="289"/>
      <w:bookmarkStart w:id="290" w:name="_Toc184313287"/>
      <w:bookmarkEnd w:id="290"/>
      <w:bookmarkStart w:id="291" w:name="_Toc184314460"/>
      <w:bookmarkEnd w:id="291"/>
      <w:bookmarkStart w:id="292" w:name="_Toc184308103"/>
      <w:bookmarkEnd w:id="292"/>
      <w:bookmarkStart w:id="293" w:name="_Toc184314481"/>
      <w:bookmarkEnd w:id="293"/>
      <w:bookmarkStart w:id="294" w:name="_Toc184314468"/>
      <w:bookmarkEnd w:id="294"/>
      <w:bookmarkStart w:id="295" w:name="_Toc184310299"/>
      <w:bookmarkEnd w:id="295"/>
      <w:bookmarkStart w:id="296" w:name="_Toc184310317"/>
      <w:bookmarkEnd w:id="296"/>
      <w:bookmarkStart w:id="297" w:name="_Toc184308055"/>
      <w:bookmarkEnd w:id="297"/>
      <w:bookmarkStart w:id="298" w:name="_Toc184312104"/>
      <w:bookmarkEnd w:id="298"/>
      <w:bookmarkStart w:id="299" w:name="_Toc184313247"/>
      <w:bookmarkEnd w:id="299"/>
      <w:bookmarkStart w:id="300" w:name="_Toc184314429"/>
      <w:bookmarkEnd w:id="300"/>
      <w:bookmarkStart w:id="301" w:name="_Toc184310342"/>
      <w:bookmarkEnd w:id="301"/>
      <w:bookmarkStart w:id="302" w:name="_Toc184313274"/>
      <w:bookmarkEnd w:id="302"/>
      <w:bookmarkStart w:id="303" w:name="_Toc184308108"/>
      <w:bookmarkEnd w:id="303"/>
      <w:bookmarkStart w:id="304" w:name="_Toc184314427"/>
      <w:bookmarkEnd w:id="304"/>
      <w:bookmarkStart w:id="305" w:name="_Toc184308052"/>
      <w:bookmarkEnd w:id="305"/>
      <w:bookmarkStart w:id="306" w:name="_Toc184310311"/>
      <w:bookmarkEnd w:id="306"/>
      <w:bookmarkStart w:id="307" w:name="_Toc184310281"/>
      <w:bookmarkEnd w:id="307"/>
      <w:bookmarkStart w:id="308" w:name="_Toc184310324"/>
      <w:bookmarkEnd w:id="308"/>
      <w:bookmarkStart w:id="309" w:name="_Toc184312075"/>
      <w:bookmarkEnd w:id="309"/>
      <w:bookmarkStart w:id="310" w:name="_Toc184308082"/>
      <w:bookmarkEnd w:id="310"/>
      <w:bookmarkStart w:id="311" w:name="_Toc184313285"/>
      <w:bookmarkEnd w:id="311"/>
      <w:bookmarkStart w:id="312" w:name="_Toc184314448"/>
      <w:bookmarkEnd w:id="312"/>
      <w:bookmarkStart w:id="313" w:name="_Toc184312137"/>
      <w:bookmarkEnd w:id="313"/>
      <w:bookmarkStart w:id="314" w:name="_Toc184310308"/>
      <w:bookmarkEnd w:id="314"/>
      <w:bookmarkStart w:id="315" w:name="_Toc184314463"/>
      <w:bookmarkEnd w:id="315"/>
      <w:bookmarkStart w:id="316" w:name="_Toc184310296"/>
      <w:bookmarkEnd w:id="316"/>
      <w:bookmarkStart w:id="317" w:name="_Toc184308065"/>
      <w:bookmarkEnd w:id="317"/>
      <w:bookmarkStart w:id="318" w:name="_Toc184312103"/>
      <w:bookmarkEnd w:id="318"/>
      <w:bookmarkStart w:id="319" w:name="_Toc184312077"/>
      <w:bookmarkEnd w:id="319"/>
      <w:bookmarkStart w:id="320" w:name="_Toc184310326"/>
      <w:bookmarkEnd w:id="320"/>
      <w:bookmarkStart w:id="321" w:name="_Toc184314414"/>
      <w:bookmarkEnd w:id="321"/>
      <w:bookmarkStart w:id="322" w:name="_Toc184310277"/>
      <w:bookmarkEnd w:id="322"/>
      <w:bookmarkStart w:id="323" w:name="_Toc184314435"/>
      <w:bookmarkEnd w:id="323"/>
      <w:bookmarkStart w:id="324" w:name="_Toc184313280"/>
      <w:bookmarkEnd w:id="324"/>
      <w:bookmarkStart w:id="325" w:name="_Toc184312088"/>
      <w:bookmarkEnd w:id="325"/>
      <w:bookmarkStart w:id="326" w:name="_Toc184308042"/>
      <w:bookmarkEnd w:id="326"/>
      <w:bookmarkStart w:id="327" w:name="_Toc184308037"/>
      <w:bookmarkEnd w:id="327"/>
      <w:bookmarkStart w:id="328" w:name="_Toc184313300"/>
      <w:bookmarkEnd w:id="328"/>
      <w:bookmarkStart w:id="329" w:name="_Toc184308063"/>
      <w:bookmarkEnd w:id="329"/>
      <w:bookmarkStart w:id="330" w:name="_Toc184312127"/>
      <w:bookmarkEnd w:id="330"/>
      <w:bookmarkStart w:id="331" w:name="_Toc184314471"/>
      <w:bookmarkEnd w:id="331"/>
      <w:bookmarkStart w:id="332" w:name="_Toc184314457"/>
      <w:bookmarkEnd w:id="332"/>
      <w:bookmarkStart w:id="333" w:name="_Toc184313269"/>
      <w:bookmarkEnd w:id="333"/>
      <w:bookmarkStart w:id="334" w:name="_Toc184312125"/>
      <w:bookmarkEnd w:id="334"/>
      <w:bookmarkStart w:id="335" w:name="_Toc184314419"/>
      <w:bookmarkEnd w:id="335"/>
      <w:bookmarkStart w:id="336" w:name="_Toc184308091"/>
      <w:bookmarkEnd w:id="336"/>
      <w:bookmarkStart w:id="337" w:name="_Toc184312076"/>
      <w:bookmarkEnd w:id="337"/>
      <w:bookmarkStart w:id="338" w:name="_Toc184314422"/>
      <w:bookmarkEnd w:id="338"/>
      <w:bookmarkStart w:id="339" w:name="_Toc184310325"/>
      <w:bookmarkEnd w:id="339"/>
      <w:bookmarkStart w:id="340" w:name="_Toc184312068"/>
      <w:bookmarkEnd w:id="340"/>
      <w:bookmarkStart w:id="341" w:name="_Toc184313259"/>
      <w:bookmarkEnd w:id="341"/>
      <w:bookmarkStart w:id="342" w:name="_Toc184314439"/>
      <w:bookmarkEnd w:id="342"/>
      <w:bookmarkStart w:id="343" w:name="_Toc184313278"/>
      <w:bookmarkEnd w:id="343"/>
      <w:bookmarkStart w:id="344" w:name="_Toc184310321"/>
      <w:bookmarkEnd w:id="344"/>
      <w:bookmarkStart w:id="345" w:name="_Toc184308066"/>
      <w:bookmarkEnd w:id="345"/>
      <w:bookmarkStart w:id="346" w:name="_Toc184314432"/>
      <w:bookmarkEnd w:id="346"/>
      <w:bookmarkStart w:id="347" w:name="_Toc184308069"/>
      <w:bookmarkEnd w:id="347"/>
      <w:bookmarkStart w:id="348" w:name="_Toc184313254"/>
      <w:bookmarkEnd w:id="348"/>
      <w:bookmarkStart w:id="349" w:name="_Toc184312107"/>
      <w:bookmarkEnd w:id="349"/>
      <w:bookmarkStart w:id="350" w:name="_Toc184314441"/>
      <w:bookmarkEnd w:id="350"/>
      <w:bookmarkStart w:id="351" w:name="_Toc184314450"/>
      <w:bookmarkEnd w:id="351"/>
      <w:bookmarkStart w:id="352" w:name="_Toc184310333"/>
      <w:bookmarkEnd w:id="352"/>
      <w:bookmarkStart w:id="353" w:name="_Toc184308049"/>
      <w:bookmarkEnd w:id="353"/>
      <w:bookmarkStart w:id="354" w:name="_Toc184310312"/>
      <w:bookmarkEnd w:id="354"/>
      <w:bookmarkStart w:id="355" w:name="_Toc184312080"/>
      <w:bookmarkEnd w:id="355"/>
      <w:bookmarkStart w:id="356" w:name="_Toc184314442"/>
      <w:bookmarkEnd w:id="356"/>
      <w:bookmarkStart w:id="357" w:name="_Toc184313244"/>
      <w:bookmarkEnd w:id="357"/>
      <w:bookmarkStart w:id="358" w:name="_Toc184310336"/>
      <w:bookmarkEnd w:id="358"/>
      <w:bookmarkStart w:id="359" w:name="_Toc184308093"/>
      <w:bookmarkEnd w:id="359"/>
      <w:bookmarkStart w:id="360" w:name="_Toc184312090"/>
      <w:bookmarkEnd w:id="360"/>
      <w:bookmarkStart w:id="361" w:name="_Toc184310272"/>
      <w:bookmarkEnd w:id="361"/>
      <w:bookmarkStart w:id="362" w:name="_Toc184310332"/>
      <w:bookmarkEnd w:id="362"/>
      <w:bookmarkStart w:id="363" w:name="_Toc184308038"/>
      <w:bookmarkEnd w:id="363"/>
      <w:bookmarkStart w:id="364" w:name="_Toc184310320"/>
      <w:bookmarkEnd w:id="364"/>
      <w:bookmarkStart w:id="365" w:name="_Toc184314440"/>
      <w:bookmarkEnd w:id="365"/>
      <w:bookmarkStart w:id="366" w:name="_Toc184313289"/>
      <w:bookmarkEnd w:id="366"/>
      <w:bookmarkStart w:id="367" w:name="_Toc184310331"/>
      <w:bookmarkEnd w:id="367"/>
      <w:bookmarkStart w:id="368" w:name="_Toc184314430"/>
      <w:bookmarkEnd w:id="368"/>
      <w:bookmarkStart w:id="369" w:name="_Toc184308088"/>
      <w:bookmarkEnd w:id="369"/>
      <w:bookmarkStart w:id="370" w:name="_Toc184308077"/>
      <w:bookmarkEnd w:id="370"/>
      <w:bookmarkStart w:id="371" w:name="_Toc184312072"/>
      <w:bookmarkEnd w:id="371"/>
      <w:bookmarkStart w:id="372" w:name="_Toc184313255"/>
      <w:bookmarkEnd w:id="372"/>
      <w:bookmarkStart w:id="373" w:name="_Toc184312117"/>
      <w:bookmarkEnd w:id="373"/>
      <w:bookmarkStart w:id="374" w:name="_Toc184313256"/>
      <w:bookmarkEnd w:id="374"/>
      <w:bookmarkStart w:id="375" w:name="_Toc184310303"/>
      <w:bookmarkEnd w:id="375"/>
      <w:bookmarkStart w:id="376" w:name="_Toc184314412"/>
      <w:bookmarkEnd w:id="376"/>
      <w:bookmarkStart w:id="377" w:name="_Toc184310344"/>
      <w:bookmarkEnd w:id="377"/>
      <w:bookmarkStart w:id="378" w:name="_Toc184308086"/>
      <w:bookmarkEnd w:id="378"/>
      <w:bookmarkStart w:id="379" w:name="_Toc184314431"/>
      <w:bookmarkEnd w:id="379"/>
      <w:bookmarkStart w:id="380" w:name="_Toc184308094"/>
      <w:bookmarkEnd w:id="380"/>
      <w:bookmarkStart w:id="381" w:name="_Toc184313286"/>
      <w:bookmarkEnd w:id="381"/>
      <w:bookmarkStart w:id="382" w:name="_Toc184313239"/>
      <w:bookmarkEnd w:id="382"/>
      <w:bookmarkStart w:id="383" w:name="_Toc184312083"/>
      <w:bookmarkEnd w:id="383"/>
      <w:bookmarkStart w:id="384" w:name="_Toc184312123"/>
      <w:bookmarkEnd w:id="384"/>
      <w:bookmarkStart w:id="385" w:name="_Toc184313275"/>
      <w:bookmarkEnd w:id="385"/>
      <w:bookmarkStart w:id="386" w:name="_Toc184312110"/>
      <w:bookmarkEnd w:id="386"/>
      <w:bookmarkStart w:id="387" w:name="_Toc184310285"/>
      <w:bookmarkEnd w:id="387"/>
      <w:bookmarkStart w:id="388" w:name="_Toc184308081"/>
      <w:bookmarkEnd w:id="388"/>
      <w:bookmarkStart w:id="389" w:name="_Toc184312082"/>
      <w:bookmarkEnd w:id="389"/>
      <w:bookmarkStart w:id="390" w:name="_Toc184308058"/>
      <w:bookmarkEnd w:id="390"/>
      <w:bookmarkStart w:id="391" w:name="_Toc184314456"/>
      <w:bookmarkEnd w:id="391"/>
      <w:bookmarkStart w:id="392" w:name="_Toc184308107"/>
      <w:bookmarkEnd w:id="392"/>
      <w:bookmarkStart w:id="393" w:name="_Toc184308075"/>
      <w:bookmarkEnd w:id="393"/>
      <w:bookmarkStart w:id="394" w:name="_Toc184308099"/>
      <w:bookmarkEnd w:id="394"/>
      <w:bookmarkStart w:id="395" w:name="_Toc184313270"/>
      <w:bookmarkEnd w:id="395"/>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p>
      <w:pPr>
        <w:snapToGrid w:val="0"/>
        <w:spacing w:line="360" w:lineRule="auto"/>
        <w:rPr>
          <w:rFonts w:hint="eastAsia" w:ascii="仿宋" w:hAnsi="仿宋" w:eastAsia="仿宋" w:cs="仿宋"/>
          <w:sz w:val="20"/>
          <w:szCs w:val="20"/>
          <w:shd w:val="clear" w:color="auto" w:fill="FFFFFF"/>
        </w:rPr>
      </w:pPr>
      <w:r>
        <w:rPr>
          <w:rFonts w:hint="eastAsia" w:ascii="仿宋" w:hAnsi="仿宋" w:eastAsia="仿宋" w:cs="仿宋"/>
          <w:sz w:val="20"/>
          <w:szCs w:val="20"/>
          <w:shd w:val="clear" w:color="auto" w:fill="FFFFFF"/>
        </w:rPr>
        <w:t> </w:t>
      </w:r>
    </w:p>
    <w:tbl>
      <w:tblPr>
        <w:tblStyle w:val="63"/>
        <w:tblpPr w:leftFromText="180" w:rightFromText="180" w:vertAnchor="text" w:horzAnchor="page" w:tblpXSpec="center" w:tblpY="126"/>
        <w:tblW w:w="52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5617"/>
        <w:gridCol w:w="565"/>
        <w:gridCol w:w="739"/>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56"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2903" w:type="pct"/>
            <w:vAlign w:val="center"/>
          </w:tcPr>
          <w:p>
            <w:pPr>
              <w:spacing w:line="360" w:lineRule="auto"/>
              <w:ind w:firstLine="1560" w:firstLineChars="650"/>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292"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382"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eastAsia="zh-CN"/>
              </w:rPr>
              <w:t>分值类型</w:t>
            </w:r>
          </w:p>
        </w:tc>
        <w:tc>
          <w:tcPr>
            <w:tcW w:w="1066"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356" w:type="pct"/>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sz w:val="24"/>
                <w:highlight w:val="none"/>
              </w:rPr>
              <w:t>1</w:t>
            </w:r>
          </w:p>
        </w:tc>
        <w:tc>
          <w:tcPr>
            <w:tcW w:w="2903"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投标人对本项目制定的总体方案完整性、科学合理性、细节程度等方面进行综合评审。内容详实、适用性、可操作性强的</w:t>
            </w:r>
            <w:r>
              <w:rPr>
                <w:rFonts w:hint="eastAsia" w:ascii="仿宋" w:hAnsi="仿宋" w:eastAsia="仿宋" w:cs="仿宋"/>
                <w:bCs/>
                <w:sz w:val="24"/>
              </w:rPr>
              <w:t>得</w:t>
            </w:r>
            <w:r>
              <w:rPr>
                <w:rFonts w:hint="eastAsia" w:ascii="仿宋" w:hAnsi="仿宋" w:eastAsia="仿宋" w:cs="仿宋"/>
                <w:bCs/>
                <w:sz w:val="24"/>
                <w:lang w:val="en-US" w:eastAsia="zh-CN"/>
              </w:rPr>
              <w:t>10分，</w:t>
            </w:r>
            <w:r>
              <w:rPr>
                <w:rFonts w:hint="eastAsia" w:ascii="仿宋" w:hAnsi="仿宋" w:eastAsia="仿宋" w:cs="仿宋_GB2312"/>
                <w:sz w:val="24"/>
                <w:highlight w:val="none"/>
                <w:lang w:val="en-US" w:eastAsia="zh-CN"/>
              </w:rPr>
              <w:t>内容详实、适用性、可操作性较强的</w:t>
            </w:r>
            <w:r>
              <w:rPr>
                <w:rFonts w:hint="eastAsia" w:ascii="仿宋" w:hAnsi="仿宋" w:eastAsia="仿宋" w:cs="仿宋"/>
                <w:bCs/>
                <w:sz w:val="24"/>
              </w:rPr>
              <w:t>得</w:t>
            </w:r>
            <w:r>
              <w:rPr>
                <w:rFonts w:hint="eastAsia" w:ascii="仿宋" w:hAnsi="仿宋" w:eastAsia="仿宋" w:cs="仿宋"/>
                <w:bCs/>
                <w:sz w:val="24"/>
                <w:lang w:val="en-US" w:eastAsia="zh-CN"/>
              </w:rPr>
              <w:t>7分，</w:t>
            </w:r>
            <w:r>
              <w:rPr>
                <w:rFonts w:hint="eastAsia" w:ascii="仿宋" w:hAnsi="仿宋" w:eastAsia="仿宋" w:cs="仿宋_GB2312"/>
                <w:sz w:val="24"/>
                <w:highlight w:val="none"/>
                <w:lang w:val="en-US" w:eastAsia="zh-CN"/>
              </w:rPr>
              <w:t>内容详实、适用性、可操作性一般的</w:t>
            </w:r>
            <w:r>
              <w:rPr>
                <w:rFonts w:hint="eastAsia" w:ascii="仿宋" w:hAnsi="仿宋" w:eastAsia="仿宋" w:cs="仿宋"/>
                <w:bCs/>
                <w:sz w:val="24"/>
              </w:rPr>
              <w:t>得</w:t>
            </w:r>
            <w:r>
              <w:rPr>
                <w:rFonts w:hint="eastAsia" w:ascii="仿宋" w:hAnsi="仿宋" w:eastAsia="仿宋" w:cs="仿宋"/>
                <w:bCs/>
                <w:sz w:val="24"/>
                <w:lang w:val="en-US" w:eastAsia="zh-CN"/>
              </w:rPr>
              <w:t>5分</w:t>
            </w:r>
            <w:r>
              <w:rPr>
                <w:rFonts w:hint="default" w:ascii="仿宋" w:hAnsi="仿宋" w:eastAsia="仿宋" w:cs="仿宋_GB2312"/>
                <w:kern w:val="2"/>
                <w:sz w:val="24"/>
                <w:szCs w:val="24"/>
                <w:highlight w:val="none"/>
                <w:lang w:val="en-US" w:eastAsia="zh-CN" w:bidi="ar-SA"/>
              </w:rPr>
              <w:t>。</w:t>
            </w:r>
            <w:r>
              <w:rPr>
                <w:rFonts w:hint="eastAsia" w:ascii="仿宋" w:hAnsi="仿宋" w:eastAsia="仿宋" w:cs="仿宋"/>
                <w:bCs/>
                <w:sz w:val="24"/>
                <w:lang w:val="en-US" w:eastAsia="zh-CN"/>
              </w:rPr>
              <w:t>未提供不得分。</w:t>
            </w:r>
          </w:p>
        </w:tc>
        <w:tc>
          <w:tcPr>
            <w:tcW w:w="292"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382"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1066"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（一）项目</w:t>
            </w:r>
            <w:r>
              <w:rPr>
                <w:rFonts w:hint="eastAsia" w:ascii="仿宋" w:hAnsi="仿宋" w:eastAsia="仿宋" w:cs="仿宋"/>
                <w:sz w:val="24"/>
                <w:szCs w:val="24"/>
                <w:highlight w:val="none"/>
                <w:lang w:val="en-US" w:eastAsia="zh-CN"/>
              </w:rPr>
              <w:t>总体</w:t>
            </w:r>
            <w:r>
              <w:rPr>
                <w:rFonts w:hint="eastAsia" w:ascii="仿宋" w:hAnsi="仿宋" w:eastAsia="仿宋" w:cs="仿宋"/>
                <w:sz w:val="24"/>
                <w:szCs w:val="24"/>
                <w:highlight w:val="none"/>
                <w:lang w:eastAsia="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356" w:type="pct"/>
            <w:vAlign w:val="center"/>
          </w:tcPr>
          <w:p>
            <w:pPr>
              <w:spacing w:line="360" w:lineRule="auto"/>
              <w:jc w:val="center"/>
              <w:outlineLvl w:val="0"/>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2</w:t>
            </w:r>
          </w:p>
        </w:tc>
        <w:tc>
          <w:tcPr>
            <w:tcW w:w="2903" w:type="pct"/>
            <w:vAlign w:val="center"/>
          </w:tcPr>
          <w:p>
            <w:pPr>
              <w:spacing w:line="360" w:lineRule="auto"/>
              <w:outlineLvl w:val="0"/>
              <w:rPr>
                <w:lang w:val="en-US" w:eastAsia="zh-CN"/>
              </w:rPr>
            </w:pPr>
            <w:r>
              <w:rPr>
                <w:rFonts w:hint="eastAsia" w:ascii="仿宋" w:hAnsi="仿宋" w:eastAsia="仿宋" w:cs="仿宋_GB2312"/>
                <w:sz w:val="24"/>
                <w:highlight w:val="none"/>
                <w:lang w:val="en-US" w:eastAsia="zh-CN"/>
              </w:rPr>
              <w:t>投标人对本项目制定的施工交通组织方案完整性、科学合理性、细节程度等方面进行综合评审。内容详实、适用性、可操作性强的</w:t>
            </w:r>
            <w:r>
              <w:rPr>
                <w:rFonts w:hint="eastAsia" w:ascii="仿宋" w:hAnsi="仿宋" w:eastAsia="仿宋" w:cs="仿宋"/>
                <w:bCs/>
                <w:sz w:val="24"/>
              </w:rPr>
              <w:t>得</w:t>
            </w:r>
            <w:r>
              <w:rPr>
                <w:rFonts w:hint="eastAsia" w:ascii="仿宋" w:hAnsi="仿宋" w:eastAsia="仿宋" w:cs="仿宋"/>
                <w:bCs/>
                <w:sz w:val="24"/>
                <w:lang w:val="en-US" w:eastAsia="zh-CN"/>
              </w:rPr>
              <w:t>7分，</w:t>
            </w:r>
            <w:r>
              <w:rPr>
                <w:rFonts w:hint="eastAsia" w:ascii="仿宋" w:hAnsi="仿宋" w:eastAsia="仿宋" w:cs="仿宋_GB2312"/>
                <w:sz w:val="24"/>
                <w:highlight w:val="none"/>
                <w:lang w:val="en-US" w:eastAsia="zh-CN"/>
              </w:rPr>
              <w:t>内容详实、适用性、可操作性较强的</w:t>
            </w:r>
            <w:r>
              <w:rPr>
                <w:rFonts w:hint="eastAsia" w:ascii="仿宋" w:hAnsi="仿宋" w:eastAsia="仿宋" w:cs="仿宋"/>
                <w:bCs/>
                <w:sz w:val="24"/>
              </w:rPr>
              <w:t>得</w:t>
            </w:r>
            <w:r>
              <w:rPr>
                <w:rFonts w:hint="eastAsia" w:ascii="仿宋" w:hAnsi="仿宋" w:eastAsia="仿宋" w:cs="仿宋"/>
                <w:bCs/>
                <w:sz w:val="24"/>
                <w:lang w:val="en-US" w:eastAsia="zh-CN"/>
              </w:rPr>
              <w:t>5分，</w:t>
            </w:r>
            <w:r>
              <w:rPr>
                <w:rFonts w:hint="eastAsia" w:ascii="仿宋" w:hAnsi="仿宋" w:eastAsia="仿宋" w:cs="仿宋_GB2312"/>
                <w:sz w:val="24"/>
                <w:highlight w:val="none"/>
                <w:lang w:val="en-US" w:eastAsia="zh-CN"/>
              </w:rPr>
              <w:t>内容详实、适用性、可操作性一般的</w:t>
            </w:r>
            <w:r>
              <w:rPr>
                <w:rFonts w:hint="eastAsia" w:ascii="仿宋" w:hAnsi="仿宋" w:eastAsia="仿宋" w:cs="仿宋"/>
                <w:bCs/>
                <w:sz w:val="24"/>
              </w:rPr>
              <w:t>得</w:t>
            </w:r>
            <w:r>
              <w:rPr>
                <w:rFonts w:hint="eastAsia" w:ascii="仿宋" w:hAnsi="仿宋" w:eastAsia="仿宋" w:cs="仿宋"/>
                <w:bCs/>
                <w:sz w:val="24"/>
                <w:lang w:val="en-US" w:eastAsia="zh-CN"/>
              </w:rPr>
              <w:t>3分</w:t>
            </w:r>
            <w:r>
              <w:rPr>
                <w:rFonts w:hint="default" w:ascii="仿宋" w:hAnsi="仿宋" w:eastAsia="仿宋" w:cs="仿宋_GB2312"/>
                <w:kern w:val="2"/>
                <w:sz w:val="24"/>
                <w:szCs w:val="24"/>
                <w:highlight w:val="none"/>
                <w:lang w:val="en-US" w:eastAsia="zh-CN" w:bidi="ar-SA"/>
              </w:rPr>
              <w:t>。</w:t>
            </w:r>
            <w:r>
              <w:rPr>
                <w:rFonts w:hint="eastAsia" w:ascii="仿宋" w:hAnsi="仿宋" w:eastAsia="仿宋" w:cs="仿宋"/>
                <w:bCs/>
                <w:sz w:val="24"/>
                <w:lang w:val="en-US" w:eastAsia="zh-CN"/>
              </w:rPr>
              <w:t>未提供不得分。</w:t>
            </w:r>
          </w:p>
        </w:tc>
        <w:tc>
          <w:tcPr>
            <w:tcW w:w="292" w:type="pct"/>
            <w:vAlign w:val="center"/>
          </w:tcPr>
          <w:p>
            <w:pPr>
              <w:spacing w:line="360" w:lineRule="auto"/>
              <w:jc w:val="center"/>
              <w:outlineLvl w:val="0"/>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7</w:t>
            </w:r>
          </w:p>
        </w:tc>
        <w:tc>
          <w:tcPr>
            <w:tcW w:w="382"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1066"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lang w:val="en-US" w:eastAsia="zh-CN"/>
              </w:rPr>
              <w:t>施工交通组织方案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356"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2903" w:type="pct"/>
            <w:vAlign w:val="center"/>
          </w:tcPr>
          <w:p>
            <w:pPr>
              <w:spacing w:line="360" w:lineRule="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投标人对本项目材料组织供应计划及保证措施方案</w:t>
            </w:r>
            <w:r>
              <w:rPr>
                <w:rFonts w:hint="default" w:ascii="仿宋" w:hAnsi="仿宋" w:eastAsia="仿宋" w:cs="仿宋_GB2312"/>
                <w:kern w:val="2"/>
                <w:sz w:val="24"/>
                <w:szCs w:val="24"/>
                <w:highlight w:val="none"/>
                <w:lang w:val="en-US" w:eastAsia="zh-CN" w:bidi="ar-SA"/>
              </w:rPr>
              <w:t>从完整性、科学合理性等方面进行综合评审。科学的、方案完整性强的得5分，科学的、完整性较强的得3分，科学的、完整性一般的得1分。未提供不得分。</w:t>
            </w:r>
          </w:p>
        </w:tc>
        <w:tc>
          <w:tcPr>
            <w:tcW w:w="292"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382"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1066"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lang w:eastAsia="zh-CN"/>
              </w:rPr>
              <w:t>）</w:t>
            </w:r>
            <w:r>
              <w:rPr>
                <w:rFonts w:hint="eastAsia" w:ascii="仿宋" w:hAnsi="仿宋" w:eastAsia="仿宋" w:cs="仿宋_GB2312"/>
                <w:sz w:val="24"/>
                <w:highlight w:val="none"/>
                <w:lang w:val="en-US" w:eastAsia="zh-CN"/>
              </w:rPr>
              <w:t>材料组织供应计划及保证措施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356"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2903"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投标人对本项目的人员、时间及总体计划安排方案从完整性、科学合理性、全面性等方面进行综合评审。方案内容详细、完善合理的得5分，内容较全、合理的得3分，内容缺失、一般的得1分。未提供不得分。</w:t>
            </w:r>
          </w:p>
        </w:tc>
        <w:tc>
          <w:tcPr>
            <w:tcW w:w="292"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382"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1066"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人员、计划安排方案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356"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2903" w:type="pct"/>
            <w:vAlign w:val="center"/>
          </w:tcPr>
          <w:p>
            <w:pPr>
              <w:spacing w:line="360" w:lineRule="auto"/>
              <w:rPr>
                <w:rFonts w:hint="default" w:ascii="仿宋" w:hAnsi="仿宋" w:eastAsia="仿宋"/>
                <w:sz w:val="24"/>
                <w:szCs w:val="24"/>
                <w:highlight w:val="none"/>
                <w:lang w:val="en-US" w:eastAsia="zh-CN"/>
              </w:rPr>
            </w:pPr>
            <w:r>
              <w:rPr>
                <w:rFonts w:hint="default" w:ascii="仿宋" w:hAnsi="仿宋" w:eastAsia="仿宋"/>
                <w:sz w:val="24"/>
                <w:szCs w:val="24"/>
                <w:highlight w:val="none"/>
                <w:lang w:val="en-US" w:eastAsia="zh-CN"/>
              </w:rPr>
              <w:t>投标人</w:t>
            </w:r>
            <w:r>
              <w:rPr>
                <w:rFonts w:hint="eastAsia" w:ascii="仿宋" w:hAnsi="仿宋" w:eastAsia="仿宋"/>
                <w:sz w:val="24"/>
                <w:szCs w:val="24"/>
                <w:highlight w:val="none"/>
                <w:lang w:val="en-US" w:eastAsia="zh-CN"/>
              </w:rPr>
              <w:t>对本项目的设备配备从</w:t>
            </w:r>
            <w:r>
              <w:rPr>
                <w:rFonts w:hint="default" w:ascii="仿宋" w:hAnsi="仿宋" w:eastAsia="仿宋"/>
                <w:sz w:val="24"/>
                <w:szCs w:val="24"/>
                <w:highlight w:val="none"/>
                <w:lang w:val="en-US" w:eastAsia="zh-CN"/>
              </w:rPr>
              <w:t>完整性、科学合理性、设备优化等方面进行综合评</w:t>
            </w:r>
            <w:r>
              <w:rPr>
                <w:rFonts w:hint="eastAsia" w:ascii="仿宋" w:hAnsi="仿宋" w:eastAsia="仿宋"/>
                <w:sz w:val="24"/>
                <w:szCs w:val="24"/>
                <w:highlight w:val="none"/>
                <w:lang w:val="en-US" w:eastAsia="zh-CN"/>
              </w:rPr>
              <w:t>审。科学的、方案完整性强的得5分，科学的、完整性较强的得3分，科学的、完整性一般的得1分。未提供不得分。</w:t>
            </w:r>
          </w:p>
        </w:tc>
        <w:tc>
          <w:tcPr>
            <w:tcW w:w="292" w:type="pct"/>
            <w:vAlign w:val="center"/>
          </w:tcPr>
          <w:p>
            <w:pPr>
              <w:jc w:val="center"/>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5</w:t>
            </w:r>
          </w:p>
        </w:tc>
        <w:tc>
          <w:tcPr>
            <w:tcW w:w="382"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主观分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设备配备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6</w:t>
            </w:r>
          </w:p>
        </w:tc>
        <w:tc>
          <w:tcPr>
            <w:tcW w:w="2903" w:type="pct"/>
            <w:vAlign w:val="top"/>
          </w:tcPr>
          <w:p>
            <w:pPr>
              <w:spacing w:line="360" w:lineRule="auto"/>
              <w:outlineLvl w:val="0"/>
              <w:rPr>
                <w:rFonts w:hint="default" w:ascii="仿宋" w:hAnsi="仿宋" w:eastAsia="仿宋" w:cs="仿宋_GB2312"/>
                <w:kern w:val="2"/>
                <w:sz w:val="24"/>
                <w:szCs w:val="24"/>
                <w:highlight w:val="none"/>
                <w:lang w:val="en-US" w:eastAsia="zh-CN" w:bidi="ar-SA"/>
              </w:rPr>
            </w:pPr>
            <w:r>
              <w:rPr>
                <w:rFonts w:hint="default" w:ascii="仿宋" w:hAnsi="仿宋" w:eastAsia="仿宋" w:cs="仿宋_GB2312"/>
                <w:kern w:val="2"/>
                <w:sz w:val="24"/>
                <w:szCs w:val="24"/>
                <w:highlight w:val="none"/>
                <w:lang w:val="en-US" w:eastAsia="zh-CN" w:bidi="ar-SA"/>
              </w:rPr>
              <w:t>投标人</w:t>
            </w:r>
            <w:r>
              <w:rPr>
                <w:rFonts w:hint="eastAsia" w:ascii="仿宋" w:hAnsi="仿宋" w:eastAsia="仿宋" w:cs="仿宋_GB2312"/>
                <w:kern w:val="2"/>
                <w:sz w:val="24"/>
                <w:szCs w:val="24"/>
                <w:highlight w:val="none"/>
                <w:lang w:val="en-US" w:eastAsia="zh-CN" w:bidi="ar-SA"/>
              </w:rPr>
              <w:t>对本项目重难点分析方案</w:t>
            </w:r>
            <w:r>
              <w:rPr>
                <w:rFonts w:hint="default" w:ascii="仿宋" w:hAnsi="仿宋" w:eastAsia="仿宋" w:cs="仿宋_GB2312"/>
                <w:kern w:val="2"/>
                <w:sz w:val="24"/>
                <w:szCs w:val="24"/>
                <w:highlight w:val="none"/>
                <w:lang w:val="en-US" w:eastAsia="zh-CN" w:bidi="ar-SA"/>
              </w:rPr>
              <w:t>从完整性、科学合理性等方面进行综合评审。科学的、方案完整性强的得5分，科学的、完整性较强的得3分，科学的、完整性一般的得1分。未提供不得分。</w:t>
            </w:r>
          </w:p>
        </w:tc>
        <w:tc>
          <w:tcPr>
            <w:tcW w:w="292"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highlight w:val="none"/>
                <w:lang w:val="en-US" w:eastAsia="zh-CN"/>
              </w:rPr>
              <w:t>5</w:t>
            </w:r>
          </w:p>
        </w:tc>
        <w:tc>
          <w:tcPr>
            <w:tcW w:w="382"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主观分</w:t>
            </w:r>
          </w:p>
        </w:tc>
        <w:tc>
          <w:tcPr>
            <w:tcW w:w="1066"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（六）重难点分析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2903" w:type="pct"/>
            <w:vAlign w:val="top"/>
          </w:tcPr>
          <w:p>
            <w:pPr>
              <w:spacing w:line="360" w:lineRule="auto"/>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投标人制定的安全管理方案从完整性、科学合理性、全面性等方面进行综合评审。方案内容详细、完善合理的得7分，内容较全、合理的得5分，内容缺失、一般的得3分</w:t>
            </w:r>
            <w:r>
              <w:rPr>
                <w:rFonts w:hint="default" w:ascii="仿宋" w:hAnsi="仿宋" w:eastAsia="仿宋" w:cs="仿宋_GB2312"/>
                <w:kern w:val="2"/>
                <w:sz w:val="24"/>
                <w:szCs w:val="24"/>
                <w:highlight w:val="none"/>
                <w:lang w:val="en-US" w:eastAsia="zh-CN" w:bidi="ar-SA"/>
              </w:rPr>
              <w:t>。</w:t>
            </w:r>
            <w:r>
              <w:rPr>
                <w:rFonts w:hint="eastAsia" w:ascii="仿宋" w:hAnsi="仿宋" w:eastAsia="仿宋" w:cs="仿宋_GB2312"/>
                <w:kern w:val="2"/>
                <w:sz w:val="24"/>
                <w:szCs w:val="24"/>
                <w:highlight w:val="none"/>
                <w:lang w:val="en-US" w:eastAsia="zh-CN" w:bidi="ar-SA"/>
              </w:rPr>
              <w:t>未提供不得分。</w:t>
            </w:r>
          </w:p>
        </w:tc>
        <w:tc>
          <w:tcPr>
            <w:tcW w:w="292" w:type="pct"/>
            <w:vAlign w:val="center"/>
          </w:tcPr>
          <w:p>
            <w:pPr>
              <w:spacing w:line="360" w:lineRule="auto"/>
              <w:jc w:val="center"/>
              <w:outlineLvl w:val="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7</w:t>
            </w:r>
          </w:p>
        </w:tc>
        <w:tc>
          <w:tcPr>
            <w:tcW w:w="382"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（七）安全管理方案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2903" w:type="pct"/>
            <w:vAlign w:val="center"/>
          </w:tcPr>
          <w:p>
            <w:pPr>
              <w:spacing w:line="360" w:lineRule="auto"/>
              <w:outlineLvl w:val="0"/>
              <w:rPr>
                <w:rFonts w:hint="default" w:ascii="仿宋" w:hAnsi="仿宋" w:eastAsia="仿宋" w:cs="仿宋_GB2312"/>
                <w:kern w:val="2"/>
                <w:sz w:val="24"/>
                <w:szCs w:val="24"/>
                <w:highlight w:val="none"/>
                <w:lang w:val="en-US" w:eastAsia="zh-Hans" w:bidi="ar-SA"/>
              </w:rPr>
            </w:pPr>
            <w:r>
              <w:rPr>
                <w:rFonts w:hint="default" w:ascii="仿宋" w:hAnsi="仿宋" w:eastAsia="仿宋" w:cs="仿宋_GB2312"/>
                <w:kern w:val="2"/>
                <w:sz w:val="24"/>
                <w:szCs w:val="24"/>
                <w:highlight w:val="none"/>
                <w:lang w:val="en-US" w:eastAsia="zh-CN" w:bidi="ar-SA"/>
              </w:rPr>
              <w:t>投标人制定的质量保证措施从完整性、科学合理性等方面进行综合评审</w:t>
            </w:r>
            <w:r>
              <w:rPr>
                <w:rFonts w:hint="eastAsia" w:ascii="仿宋" w:hAnsi="仿宋" w:eastAsia="仿宋" w:cs="仿宋_GB2312"/>
                <w:kern w:val="2"/>
                <w:sz w:val="24"/>
                <w:szCs w:val="24"/>
                <w:highlight w:val="none"/>
                <w:lang w:val="en-US" w:eastAsia="zh-CN" w:bidi="ar-SA"/>
              </w:rPr>
              <w:t>。方案内容详细、完善合理的得7分，内容较全、合理的得5分，内容缺失、一般的得3分。未提供不得分。</w:t>
            </w:r>
          </w:p>
        </w:tc>
        <w:tc>
          <w:tcPr>
            <w:tcW w:w="292"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w:t>
            </w:r>
          </w:p>
        </w:tc>
        <w:tc>
          <w:tcPr>
            <w:tcW w:w="382"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主观分</w:t>
            </w:r>
          </w:p>
        </w:tc>
        <w:tc>
          <w:tcPr>
            <w:tcW w:w="1066"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（八）质量保障措施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2903" w:type="pct"/>
            <w:vAlign w:val="center"/>
          </w:tcPr>
          <w:p>
            <w:pPr>
              <w:spacing w:line="360" w:lineRule="auto"/>
              <w:outlineLvl w:val="0"/>
              <w:rPr>
                <w:rFonts w:hint="default" w:ascii="仿宋" w:hAnsi="仿宋" w:eastAsia="仿宋" w:cs="仿宋_GB2312"/>
                <w:kern w:val="2"/>
                <w:sz w:val="24"/>
                <w:szCs w:val="24"/>
                <w:highlight w:val="none"/>
                <w:lang w:val="en-US" w:eastAsia="zh-CN" w:bidi="ar-SA"/>
              </w:rPr>
            </w:pPr>
            <w:r>
              <w:rPr>
                <w:rFonts w:hint="default" w:ascii="仿宋" w:hAnsi="仿宋" w:eastAsia="仿宋" w:cs="仿宋_GB2312"/>
                <w:kern w:val="2"/>
                <w:sz w:val="24"/>
                <w:szCs w:val="24"/>
                <w:highlight w:val="none"/>
                <w:lang w:val="en-US" w:eastAsia="zh-CN" w:bidi="ar-SA"/>
              </w:rPr>
              <w:t>投标人制定的应急预案从完整性、响应程度、科学合理性等方面进行综合评审。</w:t>
            </w:r>
            <w:r>
              <w:rPr>
                <w:rFonts w:hint="eastAsia" w:ascii="仿宋" w:hAnsi="仿宋" w:eastAsia="仿宋" w:cs="仿宋_GB2312"/>
                <w:kern w:val="2"/>
                <w:sz w:val="24"/>
                <w:szCs w:val="24"/>
                <w:highlight w:val="none"/>
                <w:lang w:val="en-US" w:eastAsia="zh-CN" w:bidi="ar-SA"/>
              </w:rPr>
              <w:t>方案内容详细、完善合理的得5分，内容较全、合理的得3分，内容缺失、一般的得1分。未提供不得分。</w:t>
            </w:r>
          </w:p>
        </w:tc>
        <w:tc>
          <w:tcPr>
            <w:tcW w:w="292"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382"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（九）应急预案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2903" w:type="pct"/>
            <w:vAlign w:val="center"/>
          </w:tcPr>
          <w:p>
            <w:pPr>
              <w:spacing w:line="360" w:lineRule="auto"/>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
                <w:bCs/>
                <w:sz w:val="24"/>
                <w:szCs w:val="24"/>
                <w:highlight w:val="none"/>
                <w:lang w:val="en-US" w:eastAsia="zh-CN"/>
              </w:rPr>
              <w:t>投标人制定售后服务方案具体详细可靠的、科学的得5分，较可靠的、科学的得3分，基本可靠的、科学的得1分，未提供不得分。</w:t>
            </w:r>
          </w:p>
        </w:tc>
        <w:tc>
          <w:tcPr>
            <w:tcW w:w="292"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382"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主观分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（十售后服务方案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2903" w:type="pct"/>
            <w:vAlign w:val="center"/>
          </w:tcPr>
          <w:p>
            <w:pPr>
              <w:spacing w:line="360" w:lineRule="auto"/>
              <w:outlineLvl w:val="0"/>
              <w:rPr>
                <w:rFonts w:hint="default"/>
                <w:lang w:val="en-US" w:eastAsia="zh-CN"/>
              </w:rPr>
            </w:pPr>
            <w:r>
              <w:rPr>
                <w:rFonts w:hint="default" w:ascii="仿宋" w:hAnsi="仿宋" w:eastAsia="仿宋" w:cs="仿宋_GB2312"/>
                <w:kern w:val="2"/>
                <w:sz w:val="24"/>
                <w:szCs w:val="24"/>
                <w:highlight w:val="none"/>
                <w:lang w:val="en-US" w:eastAsia="zh-CN" w:bidi="ar-SA"/>
              </w:rPr>
              <w:t>具有质量管理体系认证证书</w:t>
            </w:r>
            <w:r>
              <w:rPr>
                <w:rFonts w:hint="eastAsia" w:ascii="仿宋" w:hAnsi="仿宋" w:eastAsia="仿宋" w:cs="仿宋_GB2312"/>
                <w:kern w:val="2"/>
                <w:sz w:val="24"/>
                <w:szCs w:val="24"/>
                <w:highlight w:val="none"/>
                <w:lang w:val="en-US" w:eastAsia="zh-CN" w:bidi="ar-SA"/>
              </w:rPr>
              <w:t>、</w:t>
            </w:r>
            <w:r>
              <w:rPr>
                <w:rFonts w:hint="default" w:ascii="仿宋" w:hAnsi="仿宋" w:eastAsia="仿宋" w:cs="仿宋_GB2312"/>
                <w:kern w:val="2"/>
                <w:sz w:val="24"/>
                <w:szCs w:val="24"/>
                <w:highlight w:val="none"/>
                <w:lang w:val="en-US" w:eastAsia="zh-CN" w:bidi="ar-SA"/>
              </w:rPr>
              <w:t>环境管理体系认证证书</w:t>
            </w:r>
            <w:r>
              <w:rPr>
                <w:rFonts w:hint="eastAsia" w:ascii="仿宋" w:hAnsi="仿宋" w:eastAsia="仿宋" w:cs="仿宋_GB2312"/>
                <w:kern w:val="2"/>
                <w:sz w:val="24"/>
                <w:szCs w:val="24"/>
                <w:highlight w:val="none"/>
                <w:lang w:val="en-US" w:eastAsia="zh-CN" w:bidi="ar-SA"/>
              </w:rPr>
              <w:t>、</w:t>
            </w:r>
            <w:r>
              <w:rPr>
                <w:rFonts w:hint="default" w:ascii="仿宋" w:hAnsi="仿宋" w:eastAsia="仿宋" w:cs="仿宋_GB2312"/>
                <w:kern w:val="2"/>
                <w:sz w:val="24"/>
                <w:szCs w:val="24"/>
                <w:highlight w:val="none"/>
                <w:lang w:val="en-US" w:eastAsia="zh-CN" w:bidi="ar-SA"/>
              </w:rPr>
              <w:t>职业健康安全管理体系认证证书的</w:t>
            </w:r>
            <w:r>
              <w:rPr>
                <w:rFonts w:hint="eastAsia" w:ascii="仿宋" w:hAnsi="仿宋" w:eastAsia="仿宋" w:cs="仿宋_GB2312"/>
                <w:kern w:val="2"/>
                <w:sz w:val="24"/>
                <w:szCs w:val="24"/>
                <w:highlight w:val="none"/>
                <w:lang w:val="en-US" w:eastAsia="zh-CN" w:bidi="ar-SA"/>
              </w:rPr>
              <w:t>，每个</w:t>
            </w:r>
            <w:r>
              <w:rPr>
                <w:rFonts w:hint="default" w:ascii="仿宋" w:hAnsi="仿宋" w:eastAsia="仿宋" w:cs="仿宋_GB2312"/>
                <w:kern w:val="2"/>
                <w:sz w:val="24"/>
                <w:szCs w:val="24"/>
                <w:highlight w:val="none"/>
                <w:lang w:val="en-US" w:eastAsia="zh-CN" w:bidi="ar-SA"/>
              </w:rPr>
              <w:t>得</w:t>
            </w:r>
            <w:r>
              <w:rPr>
                <w:rFonts w:hint="eastAsia" w:ascii="仿宋" w:hAnsi="仿宋" w:eastAsia="仿宋" w:cs="仿宋_GB2312"/>
                <w:kern w:val="2"/>
                <w:sz w:val="24"/>
                <w:szCs w:val="24"/>
                <w:highlight w:val="none"/>
                <w:lang w:val="en-US" w:eastAsia="zh-CN" w:bidi="ar-SA"/>
              </w:rPr>
              <w:t>2</w:t>
            </w:r>
            <w:r>
              <w:rPr>
                <w:rFonts w:hint="default" w:ascii="仿宋" w:hAnsi="仿宋" w:eastAsia="仿宋" w:cs="仿宋_GB2312"/>
                <w:kern w:val="2"/>
                <w:sz w:val="24"/>
                <w:szCs w:val="24"/>
                <w:highlight w:val="none"/>
                <w:lang w:val="en-US" w:eastAsia="zh-CN" w:bidi="ar-SA"/>
              </w:rPr>
              <w:t>分</w:t>
            </w:r>
            <w:r>
              <w:rPr>
                <w:rFonts w:hint="eastAsia" w:ascii="仿宋" w:hAnsi="仿宋" w:eastAsia="仿宋" w:cs="仿宋_GB2312"/>
                <w:kern w:val="2"/>
                <w:sz w:val="24"/>
                <w:szCs w:val="24"/>
                <w:highlight w:val="none"/>
                <w:lang w:val="en-US" w:eastAsia="zh-CN" w:bidi="ar-SA"/>
              </w:rPr>
              <w:t>，最高得6分。（认证范围需包含标识、标线等相关服务）</w:t>
            </w:r>
          </w:p>
          <w:p>
            <w:pPr>
              <w:spacing w:line="360" w:lineRule="auto"/>
              <w:outlineLvl w:val="0"/>
              <w:rPr>
                <w:rFonts w:hint="default" w:ascii="仿宋" w:hAnsi="仿宋" w:eastAsia="仿宋" w:cs="仿宋_GB2312"/>
                <w:kern w:val="2"/>
                <w:sz w:val="24"/>
                <w:szCs w:val="24"/>
                <w:highlight w:val="none"/>
                <w:lang w:val="en-US" w:eastAsia="zh-CN" w:bidi="ar-SA"/>
              </w:rPr>
            </w:pPr>
            <w:r>
              <w:rPr>
                <w:rFonts w:hint="default" w:ascii="仿宋" w:hAnsi="仿宋" w:eastAsia="仿宋" w:cs="仿宋_GB2312"/>
                <w:kern w:val="2"/>
                <w:sz w:val="24"/>
                <w:szCs w:val="24"/>
                <w:highlight w:val="none"/>
                <w:lang w:val="en-US" w:eastAsia="zh-CN" w:bidi="ar-SA"/>
              </w:rPr>
              <w:t>（需提供</w:t>
            </w:r>
            <w:r>
              <w:rPr>
                <w:rFonts w:hint="eastAsia" w:ascii="仿宋" w:hAnsi="仿宋" w:eastAsia="仿宋" w:cs="仿宋_GB2312"/>
                <w:kern w:val="2"/>
                <w:sz w:val="24"/>
                <w:szCs w:val="24"/>
                <w:highlight w:val="none"/>
                <w:lang w:val="en-US" w:eastAsia="zh-CN" w:bidi="ar-SA"/>
              </w:rPr>
              <w:t>有效的认证证书复印件并加盖单位公章</w:t>
            </w:r>
            <w:r>
              <w:rPr>
                <w:rFonts w:hint="default" w:ascii="仿宋" w:hAnsi="仿宋" w:eastAsia="仿宋" w:cs="仿宋_GB2312"/>
                <w:kern w:val="2"/>
                <w:sz w:val="24"/>
                <w:szCs w:val="24"/>
                <w:highlight w:val="none"/>
                <w:lang w:val="en-US" w:eastAsia="zh-CN" w:bidi="ar-SA"/>
              </w:rPr>
              <w:t>）</w:t>
            </w:r>
          </w:p>
        </w:tc>
        <w:tc>
          <w:tcPr>
            <w:tcW w:w="292"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w:t>
            </w:r>
          </w:p>
        </w:tc>
        <w:tc>
          <w:tcPr>
            <w:tcW w:w="382"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（十二）体系认证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p>
        </w:tc>
        <w:tc>
          <w:tcPr>
            <w:tcW w:w="2903" w:type="pct"/>
            <w:vAlign w:val="center"/>
          </w:tcPr>
          <w:p>
            <w:pPr>
              <w:numPr>
                <w:ilvl w:val="-1"/>
                <w:numId w:val="0"/>
              </w:numPr>
              <w:spacing w:line="360" w:lineRule="auto"/>
              <w:ind w:leftChars="0"/>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具有公路交通工程（公路安全设施）专业承包资质得3分。</w:t>
            </w:r>
          </w:p>
          <w:p>
            <w:pPr>
              <w:numPr>
                <w:ilvl w:val="-1"/>
                <w:numId w:val="0"/>
              </w:numPr>
              <w:spacing w:line="360" w:lineRule="auto"/>
              <w:ind w:leftChars="0"/>
              <w:outlineLvl w:val="0"/>
              <w:rPr>
                <w:rFonts w:hint="default"/>
                <w:highlight w:val="none"/>
                <w:lang w:val="en-US" w:eastAsia="zh-CN"/>
              </w:rPr>
            </w:pPr>
            <w:r>
              <w:rPr>
                <w:rFonts w:hint="eastAsia" w:ascii="仿宋" w:hAnsi="仿宋" w:eastAsia="仿宋" w:cs="仿宋_GB2312"/>
                <w:kern w:val="2"/>
                <w:sz w:val="24"/>
                <w:szCs w:val="24"/>
                <w:highlight w:val="none"/>
                <w:lang w:val="en-US" w:eastAsia="zh-CN" w:bidi="ar-SA"/>
              </w:rPr>
              <w:t>（需提供有效的证书复印件并加盖单位公章）</w:t>
            </w:r>
          </w:p>
        </w:tc>
        <w:tc>
          <w:tcPr>
            <w:tcW w:w="292"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w:t>
            </w:r>
          </w:p>
        </w:tc>
        <w:tc>
          <w:tcPr>
            <w:tcW w:w="382"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（十三）企业实力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356"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w:t>
            </w:r>
          </w:p>
        </w:tc>
        <w:tc>
          <w:tcPr>
            <w:tcW w:w="2903" w:type="pct"/>
            <w:vAlign w:val="center"/>
          </w:tcPr>
          <w:p>
            <w:pPr>
              <w:numPr>
                <w:ilvl w:val="0"/>
                <w:numId w:val="3"/>
              </w:numPr>
              <w:spacing w:line="360" w:lineRule="auto"/>
              <w:ind w:leftChars="0"/>
              <w:outlineLvl w:val="0"/>
              <w:rPr>
                <w:rFonts w:hint="default"/>
                <w:lang w:val="en-US" w:eastAsia="zh-CN"/>
              </w:rPr>
            </w:pPr>
            <w:r>
              <w:rPr>
                <w:rFonts w:hint="eastAsia" w:ascii="仿宋" w:hAnsi="仿宋" w:eastAsia="仿宋" w:cs="仿宋_GB2312"/>
                <w:kern w:val="2"/>
                <w:sz w:val="24"/>
                <w:szCs w:val="24"/>
                <w:highlight w:val="none"/>
                <w:lang w:val="en-US" w:eastAsia="zh-CN" w:bidi="ar-SA"/>
              </w:rPr>
              <w:t>拟派项目负责人具有二级及以上建造师执业资格证书并取得安全生产证书（交安B证）得4分。</w:t>
            </w:r>
          </w:p>
          <w:p>
            <w:pPr>
              <w:numPr>
                <w:ilvl w:val="0"/>
                <w:numId w:val="3"/>
              </w:numPr>
              <w:spacing w:line="360" w:lineRule="auto"/>
              <w:ind w:left="0" w:leftChars="0" w:firstLine="0" w:firstLineChars="0"/>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拟派其他项目成员具有初级及以上职称的得2分，具有安全生产证书（交安C证）的得2分，本项最高得4分。</w:t>
            </w:r>
          </w:p>
          <w:p>
            <w:pPr>
              <w:spacing w:line="360" w:lineRule="auto"/>
              <w:rPr>
                <w:rFonts w:hint="default"/>
                <w:lang w:val="en-US" w:eastAsia="zh-CN"/>
              </w:rPr>
            </w:pPr>
            <w:r>
              <w:rPr>
                <w:rFonts w:hint="eastAsia" w:ascii="仿宋" w:hAnsi="仿宋" w:eastAsia="仿宋" w:cs="仿宋_GB2312"/>
                <w:snapToGrid w:val="0"/>
                <w:sz w:val="24"/>
                <w:szCs w:val="24"/>
                <w:highlight w:val="none"/>
                <w:lang w:val="en-US" w:eastAsia="zh-CN"/>
              </w:rPr>
              <w:t>（以上人员需提供相关证书材料及近月的社保缴纳证明）</w:t>
            </w:r>
          </w:p>
        </w:tc>
        <w:tc>
          <w:tcPr>
            <w:tcW w:w="292"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w:t>
            </w:r>
          </w:p>
        </w:tc>
        <w:tc>
          <w:tcPr>
            <w:tcW w:w="382"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1066"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（十四）项目组成员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56"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15</w:t>
            </w:r>
          </w:p>
        </w:tc>
        <w:tc>
          <w:tcPr>
            <w:tcW w:w="2903" w:type="pct"/>
            <w:vAlign w:val="center"/>
          </w:tcPr>
          <w:p>
            <w:pPr>
              <w:spacing w:line="360" w:lineRule="auto"/>
              <w:rPr>
                <w:rFonts w:hint="eastAsia" w:ascii="仿宋" w:hAnsi="仿宋" w:eastAsia="仿宋" w:cs="仿宋_GB2312"/>
                <w:snapToGrid w:val="0"/>
                <w:sz w:val="24"/>
                <w:szCs w:val="24"/>
                <w:highlight w:val="none"/>
                <w:lang w:val="en-US" w:eastAsia="zh-CN"/>
              </w:rPr>
            </w:pPr>
            <w:r>
              <w:rPr>
                <w:rFonts w:hint="eastAsia" w:ascii="仿宋" w:hAnsi="仿宋" w:eastAsia="仿宋" w:cs="仿宋_GB2312"/>
                <w:snapToGrid w:val="0"/>
                <w:sz w:val="24"/>
                <w:szCs w:val="24"/>
                <w:highlight w:val="none"/>
                <w:lang w:val="en-US" w:eastAsia="zh-CN"/>
              </w:rPr>
              <w:t>投标人2020年1月1日以来（以合同签订时间为准），承担过类似项目业绩的每个得1分，最高得2分。</w:t>
            </w:r>
          </w:p>
          <w:p>
            <w:pPr>
              <w:spacing w:line="360" w:lineRule="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napToGrid w:val="0"/>
                <w:sz w:val="24"/>
                <w:szCs w:val="24"/>
                <w:highlight w:val="none"/>
                <w:lang w:val="en-US" w:eastAsia="zh-CN"/>
              </w:rPr>
              <w:t>（提供合同复印件并加盖单位公章）</w:t>
            </w:r>
          </w:p>
        </w:tc>
        <w:tc>
          <w:tcPr>
            <w:tcW w:w="292"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_GB2312"/>
                <w:snapToGrid w:val="0"/>
                <w:sz w:val="24"/>
                <w:szCs w:val="24"/>
                <w:highlight w:val="none"/>
                <w:lang w:val="en-US" w:eastAsia="zh-CN"/>
              </w:rPr>
              <w:t>2</w:t>
            </w:r>
          </w:p>
        </w:tc>
        <w:tc>
          <w:tcPr>
            <w:tcW w:w="382"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客观分</w:t>
            </w:r>
          </w:p>
        </w:tc>
        <w:tc>
          <w:tcPr>
            <w:tcW w:w="1066"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十五</w:t>
            </w:r>
            <w:r>
              <w:rPr>
                <w:rFonts w:hint="eastAsia" w:ascii="仿宋" w:hAnsi="仿宋" w:eastAsia="仿宋" w:cs="仿宋"/>
                <w:sz w:val="24"/>
                <w:szCs w:val="24"/>
                <w:highlight w:val="none"/>
                <w:lang w:eastAsia="zh-CN"/>
              </w:rPr>
              <w:t>）同类业绩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56"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16</w:t>
            </w:r>
          </w:p>
        </w:tc>
        <w:tc>
          <w:tcPr>
            <w:tcW w:w="2903" w:type="pct"/>
            <w:vAlign w:val="top"/>
          </w:tcPr>
          <w:p>
            <w:pPr>
              <w:spacing w:line="360" w:lineRule="auto"/>
              <w:ind w:firstLine="480" w:firstLineChars="200"/>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有效投标报价的最低价作为评标基准价，其最低报价为满分；按［投标报价得分=（评标基准价/投标报价）*</w:t>
            </w:r>
            <w:r>
              <w:rPr>
                <w:rFonts w:hint="eastAsia" w:ascii="仿宋" w:hAnsi="仿宋" w:eastAsia="仿宋" w:cs="仿宋_GB2312"/>
                <w:sz w:val="24"/>
                <w:szCs w:val="24"/>
                <w:highlight w:val="none"/>
                <w:lang w:val="en-US" w:eastAsia="zh-CN"/>
              </w:rPr>
              <w:t>2</w:t>
            </w:r>
            <w:r>
              <w:rPr>
                <w:rFonts w:hint="eastAsia" w:ascii="仿宋" w:hAnsi="仿宋" w:eastAsia="仿宋" w:cs="仿宋_GB2312"/>
                <w:sz w:val="24"/>
                <w:szCs w:val="24"/>
                <w:highlight w:val="none"/>
              </w:rPr>
              <w:t>0］的计算公式计算。</w:t>
            </w:r>
          </w:p>
          <w:p>
            <w:pPr>
              <w:spacing w:line="360" w:lineRule="auto"/>
              <w:ind w:firstLine="480" w:firstLineChars="200"/>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rPr>
              <w:t>评标过程中，不得去掉报价中的最高报价和最低报价。</w:t>
            </w:r>
          </w:p>
        </w:tc>
        <w:tc>
          <w:tcPr>
            <w:tcW w:w="292"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w:t>
            </w:r>
          </w:p>
        </w:tc>
        <w:tc>
          <w:tcPr>
            <w:tcW w:w="382"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p>
        </w:tc>
        <w:tc>
          <w:tcPr>
            <w:tcW w:w="1066"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30"/>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0"/>
        <w:spacing w:before="0"/>
        <w:ind w:firstLine="480"/>
        <w:rPr>
          <w:rFonts w:hint="eastAsia" w:ascii="仿宋" w:hAnsi="仿宋" w:eastAsia="仿宋" w:cs="仿宋"/>
          <w:kern w:val="0"/>
          <w:szCs w:val="24"/>
          <w:lang w:eastAsia="zh-CN"/>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30"/>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2"/>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w:t>
      </w:r>
      <w:r>
        <w:rPr>
          <w:rFonts w:hint="eastAsia" w:ascii="仿宋" w:hAnsi="仿宋" w:eastAsia="仿宋" w:cs="仿宋"/>
          <w:lang w:eastAsia="zh-CN"/>
        </w:rPr>
        <w:t>采购代理机构</w:t>
      </w:r>
      <w:r>
        <w:rPr>
          <w:rFonts w:hint="eastAsia" w:ascii="仿宋" w:hAnsi="仿宋" w:eastAsia="仿宋" w:cs="仿宋"/>
        </w:rPr>
        <w:t>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lang w:eastAsia="zh-CN"/>
        </w:rPr>
        <w:t>采购代理机构</w:t>
      </w:r>
      <w:r>
        <w:rPr>
          <w:rFonts w:hint="eastAsia" w:ascii="仿宋" w:hAnsi="仿宋" w:eastAsia="仿宋" w:cs="仿宋"/>
        </w:rPr>
        <w:t>沟通并作书面记录。采购人、</w:t>
      </w:r>
      <w:r>
        <w:rPr>
          <w:rFonts w:hint="eastAsia" w:ascii="仿宋" w:hAnsi="仿宋" w:eastAsia="仿宋" w:cs="仿宋"/>
          <w:lang w:eastAsia="zh-CN"/>
        </w:rPr>
        <w:t>采购代理机构</w:t>
      </w:r>
      <w:r>
        <w:rPr>
          <w:rFonts w:hint="eastAsia" w:ascii="仿宋" w:hAnsi="仿宋" w:eastAsia="仿宋" w:cs="仿宋"/>
        </w:rPr>
        <w:t>确认后，将修改招标文件，重新组织采购活动。</w:t>
      </w:r>
    </w:p>
    <w:p>
      <w:pPr>
        <w:pStyle w:val="25"/>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bookmarkEnd w:id="30"/>
    <w:p>
      <w:pPr>
        <w:pStyle w:val="62"/>
        <w:ind w:left="0" w:leftChars="0" w:firstLine="0" w:firstLineChars="0"/>
        <w:rPr>
          <w:rFonts w:hint="eastAsia"/>
        </w:rPr>
      </w:pPr>
      <w:bookmarkStart w:id="396" w:name="第五部分"/>
      <w:bookmarkStart w:id="397"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pStyle w:val="2"/>
        <w:rPr>
          <w:rFonts w:hint="eastAsia" w:ascii="仿宋" w:hAnsi="仿宋" w:eastAsia="仿宋" w:cs="仿宋"/>
          <w:b/>
          <w:sz w:val="28"/>
          <w:szCs w:val="28"/>
        </w:rPr>
      </w:pPr>
    </w:p>
    <w:p>
      <w:pPr>
        <w:rPr>
          <w:rFonts w:hint="eastAsia" w:ascii="仿宋" w:hAnsi="仿宋" w:eastAsia="仿宋" w:cs="仿宋"/>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（服务类）</w:t>
      </w:r>
    </w:p>
    <w:p>
      <w:pPr>
        <w:pStyle w:val="701"/>
        <w:ind w:firstLine="2843" w:firstLineChars="1180"/>
        <w:rPr>
          <w:rFonts w:hint="eastAsia" w:ascii="仿宋" w:hAnsi="仿宋" w:eastAsia="仿宋" w:cs="仿宋"/>
          <w:b/>
          <w:szCs w:val="24"/>
        </w:rPr>
      </w:pPr>
    </w:p>
    <w:p>
      <w:pPr>
        <w:pStyle w:val="701"/>
        <w:ind w:firstLine="2843" w:firstLineChars="1180"/>
        <w:rPr>
          <w:rFonts w:hint="eastAsia" w:ascii="仿宋" w:hAnsi="仿宋" w:eastAsia="仿宋" w:cs="仿宋"/>
          <w:b/>
          <w:szCs w:val="24"/>
        </w:rPr>
      </w:pPr>
    </w:p>
    <w:p>
      <w:pPr>
        <w:pStyle w:val="701"/>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hint="eastAsia" w:ascii="仿宋" w:hAnsi="仿宋" w:eastAsia="仿宋" w:cs="仿宋"/>
          <w:sz w:val="24"/>
        </w:rPr>
      </w:pPr>
    </w:p>
    <w:p>
      <w:pPr>
        <w:pStyle w:val="2"/>
        <w:rPr>
          <w:rFonts w:hint="eastAsia" w:ascii="仿宋" w:hAnsi="仿宋" w:eastAsia="仿宋" w:cs="仿宋"/>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8"/>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276" w:right="1417" w:bottom="1247" w:left="1417" w:header="851" w:footer="851" w:gutter="0"/>
          <w:cols w:space="720" w:num="1"/>
        </w:sectPr>
      </w:pP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（项目名称）  </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（采购人） </w:t>
      </w:r>
      <w:r>
        <w:rPr>
          <w:rFonts w:hint="eastAsia" w:ascii="仿宋" w:hAnsi="仿宋" w:eastAsia="仿宋" w:cs="仿宋"/>
          <w:sz w:val="24"/>
          <w:u w:val="single"/>
        </w:rPr>
        <w:t xml:space="preserve">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sz w:val="24"/>
        </w:rPr>
      </w:pPr>
      <w:bookmarkStart w:id="398" w:name="_Toc15367"/>
      <w:bookmarkStart w:id="399" w:name="_Toc22967"/>
      <w:bookmarkStart w:id="400" w:name="_Toc28855"/>
      <w:bookmarkStart w:id="401" w:name="_Toc20421"/>
      <w:bookmarkStart w:id="402" w:name="_Toc19273"/>
      <w:r>
        <w:rPr>
          <w:rFonts w:hint="eastAsia" w:ascii="仿宋" w:hAnsi="仿宋" w:eastAsia="仿宋" w:cs="仿宋"/>
          <w:b/>
          <w:sz w:val="24"/>
        </w:rPr>
        <w:t>1.1 合同组成部分</w:t>
      </w:r>
      <w:bookmarkEnd w:id="398"/>
      <w:bookmarkEnd w:id="399"/>
      <w:bookmarkEnd w:id="400"/>
      <w:bookmarkEnd w:id="401"/>
      <w:bookmarkEnd w:id="402"/>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1.1.1 本合同及其补充合同、变更协议；</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1.1.2 中标或者成交通知书；</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1.1.3 投标或者响应文件（含澄清或者说明文件）；</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1.1.4 采购文件（含澄清或者修改文件）；</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1.1.5 其他相关采购文件。</w:t>
      </w:r>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b/>
          <w:sz w:val="24"/>
        </w:rPr>
      </w:pPr>
      <w:bookmarkStart w:id="403" w:name="_Toc22185"/>
      <w:bookmarkStart w:id="404" w:name="_Toc6311"/>
      <w:bookmarkStart w:id="405" w:name="_Toc2918"/>
      <w:bookmarkStart w:id="406" w:name="_Toc18585"/>
      <w:bookmarkStart w:id="407" w:name="_Toc6773"/>
      <w:r>
        <w:rPr>
          <w:rFonts w:hint="eastAsia" w:ascii="仿宋" w:hAnsi="仿宋" w:eastAsia="仿宋" w:cs="仿宋"/>
          <w:b/>
          <w:sz w:val="24"/>
        </w:rPr>
        <w:t>1.2 标的</w:t>
      </w:r>
      <w:bookmarkEnd w:id="403"/>
      <w:bookmarkEnd w:id="404"/>
      <w:bookmarkEnd w:id="405"/>
      <w:bookmarkEnd w:id="406"/>
      <w:bookmarkEnd w:id="407"/>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pageBreakBefore w:val="0"/>
        <w:kinsoku/>
        <w:wordWrap/>
        <w:overflowPunct/>
        <w:topLinePunct w:val="0"/>
        <w:bidi w:val="0"/>
        <w:snapToGrid/>
        <w:spacing w:line="500" w:lineRule="exact"/>
        <w:ind w:firstLine="480" w:firstLineChars="200"/>
        <w:jc w:val="left"/>
        <w:textAlignment w:val="auto"/>
        <w:rPr>
          <w:rFonts w:hint="eastAsia" w:ascii="仿宋" w:hAnsi="仿宋" w:eastAsia="仿宋" w:cs="仿宋"/>
          <w:sz w:val="24"/>
          <w:u w:val="single"/>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bookmarkStart w:id="408" w:name="_Toc21124"/>
      <w:bookmarkStart w:id="409" w:name="_Toc1386"/>
      <w:bookmarkStart w:id="410" w:name="_Toc13918"/>
      <w:bookmarkStart w:id="411" w:name="_Toc4929"/>
      <w:bookmarkStart w:id="412" w:name="_Toc5635"/>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rPr>
        <w:t>1.3 价款</w:t>
      </w:r>
      <w:bookmarkEnd w:id="408"/>
      <w:bookmarkEnd w:id="409"/>
      <w:bookmarkEnd w:id="410"/>
      <w:bookmarkEnd w:id="411"/>
      <w:bookmarkEnd w:id="412"/>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lang w:val="en-US"/>
        </w:rPr>
      </w:pPr>
      <w:bookmarkStart w:id="413" w:name="_Toc30506"/>
      <w:bookmarkStart w:id="414" w:name="_Toc26916"/>
      <w:bookmarkStart w:id="415" w:name="_Toc14993"/>
      <w:bookmarkStart w:id="416" w:name="_Toc30158"/>
      <w:bookmarkStart w:id="417" w:name="_Toc3654"/>
      <w:r>
        <w:rPr>
          <w:rFonts w:hint="eastAsia" w:ascii="仿宋" w:hAnsi="仿宋" w:eastAsia="仿宋" w:cs="仿宋"/>
          <w:bCs/>
          <w:sz w:val="24"/>
        </w:rPr>
        <w:t>1.3.</w:t>
      </w:r>
      <w:r>
        <w:rPr>
          <w:rFonts w:hint="eastAsia" w:ascii="仿宋" w:hAnsi="仿宋" w:eastAsia="仿宋" w:cs="仿宋"/>
          <w:bCs/>
          <w:sz w:val="24"/>
          <w:lang w:val="en-US" w:eastAsia="zh-CN"/>
        </w:rPr>
        <w:t>2</w:t>
      </w:r>
      <w:r>
        <w:rPr>
          <w:rFonts w:hint="eastAsia" w:ascii="仿宋" w:hAnsi="仿宋" w:eastAsia="仿宋" w:cs="仿宋"/>
          <w:bCs/>
          <w:sz w:val="24"/>
        </w:rPr>
        <w:t>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bookmarkEnd w:id="413"/>
    <w:bookmarkEnd w:id="414"/>
    <w:bookmarkEnd w:id="415"/>
    <w:bookmarkEnd w:id="416"/>
    <w:bookmarkEnd w:id="417"/>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b/>
        </w:rPr>
      </w:pPr>
      <w:bookmarkStart w:id="418" w:name="_Toc1814"/>
      <w:bookmarkStart w:id="419" w:name="_Toc10340"/>
      <w:bookmarkStart w:id="420" w:name="_Toc22618"/>
      <w:bookmarkStart w:id="421" w:name="_Toc31421"/>
      <w:bookmarkStart w:id="422" w:name="_Toc8772"/>
      <w:bookmarkStart w:id="423" w:name="_Toc11108"/>
      <w:bookmarkStart w:id="424" w:name="_Toc3625"/>
      <w:bookmarkStart w:id="425" w:name="_Toc4760"/>
      <w:r>
        <w:rPr>
          <w:rFonts w:hint="eastAsia" w:ascii="仿宋" w:hAnsi="仿宋" w:eastAsia="仿宋" w:cs="仿宋"/>
          <w:b/>
        </w:rPr>
        <w:t>1.4履约保证金</w:t>
      </w:r>
    </w:p>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pageBreakBefore w:val="0"/>
        <w:kinsoku/>
        <w:wordWrap/>
        <w:overflowPunct/>
        <w:topLinePunct w:val="0"/>
        <w:bidi w:val="0"/>
        <w:snapToGrid/>
        <w:spacing w:line="500" w:lineRule="exact"/>
        <w:ind w:firstLine="480" w:firstLineChars="200"/>
        <w:textAlignment w:val="auto"/>
        <w:outlineLvl w:val="0"/>
        <w:rPr>
          <w:rFonts w:hint="eastAsia"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ageBreakBefore w:val="0"/>
        <w:kinsoku/>
        <w:wordWrap/>
        <w:overflowPunct/>
        <w:topLinePunct w:val="0"/>
        <w:bidi w:val="0"/>
        <w:snapToGrid/>
        <w:spacing w:line="500" w:lineRule="exact"/>
        <w:ind w:firstLine="480" w:firstLineChars="200"/>
        <w:textAlignment w:val="auto"/>
        <w:outlineLvl w:val="0"/>
        <w:rPr>
          <w:rFonts w:hint="eastAsia"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2"/>
        <w:pageBreakBefore w:val="0"/>
        <w:tabs>
          <w:tab w:val="left" w:pos="0"/>
        </w:tabs>
        <w:kinsoku/>
        <w:wordWrap/>
        <w:overflowPunct/>
        <w:topLinePunct w:val="0"/>
        <w:bidi w:val="0"/>
        <w:snapToGrid/>
        <w:spacing w:line="500" w:lineRule="exact"/>
        <w:ind w:left="0" w:firstLine="480" w:firstLineChars="200"/>
        <w:textAlignment w:val="auto"/>
        <w:rPr>
          <w:rFonts w:hint="eastAsia" w:ascii="仿宋" w:hAnsi="仿宋" w:eastAsia="仿宋" w:cs="仿宋"/>
          <w:lang w:val="en-US"/>
        </w:rPr>
      </w:pPr>
      <w:r>
        <w:rPr>
          <w:rFonts w:hint="eastAsia" w:ascii="仿宋" w:hAns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wordWrap/>
        <w:overflowPunct/>
        <w:topLinePunct w:val="0"/>
        <w:bidi w:val="0"/>
        <w:snapToGrid/>
        <w:spacing w:line="500" w:lineRule="exact"/>
        <w:ind w:firstLine="480" w:firstLineChars="200"/>
        <w:textAlignment w:val="auto"/>
        <w:outlineLvl w:val="0"/>
        <w:rPr>
          <w:rFonts w:hint="eastAsia"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rPr>
        <w:t>1.5</w:t>
      </w:r>
      <w:bookmarkEnd w:id="418"/>
      <w:bookmarkEnd w:id="419"/>
      <w:bookmarkEnd w:id="420"/>
      <w:r>
        <w:rPr>
          <w:rFonts w:hint="eastAsia" w:ascii="仿宋" w:hAnsi="仿宋" w:eastAsia="仿宋" w:cs="仿宋"/>
          <w:b/>
          <w:sz w:val="24"/>
        </w:rPr>
        <w:t>预付款</w:t>
      </w:r>
    </w:p>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b/>
          <w:bCs/>
        </w:rPr>
      </w:pPr>
      <w:r>
        <w:rPr>
          <w:rFonts w:hint="eastAsia" w:ascii="仿宋" w:hAnsi="仿宋" w:eastAsia="仿宋" w:cs="仿宋"/>
          <w:b/>
          <w:bCs/>
        </w:rPr>
        <w:t>1.6资金支付</w:t>
      </w:r>
    </w:p>
    <w:p>
      <w:pPr>
        <w:pStyle w:val="959"/>
        <w:pageBreakBefore w:val="0"/>
        <w:kinsoku/>
        <w:wordWrap/>
        <w:overflowPunct/>
        <w:topLinePunct w:val="0"/>
        <w:bidi w:val="0"/>
        <w:snapToGrid/>
        <w:spacing w:before="0" w:beforeAutospacing="0" w:after="0" w:afterAutospacing="0" w:line="500" w:lineRule="exact"/>
        <w:ind w:firstLine="480"/>
        <w:textAlignment w:val="auto"/>
        <w:rPr>
          <w:rFonts w:hint="eastAsia"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ageBreakBefore w:val="0"/>
        <w:kinsoku/>
        <w:wordWrap/>
        <w:overflowPunct/>
        <w:topLinePunct w:val="0"/>
        <w:bidi w:val="0"/>
        <w:snapToGrid/>
        <w:spacing w:line="500" w:lineRule="exact"/>
        <w:ind w:firstLine="480" w:firstLineChars="200"/>
        <w:textAlignment w:val="auto"/>
        <w:outlineLvl w:val="0"/>
        <w:rPr>
          <w:rFonts w:hint="eastAsia"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b/>
          <w:sz w:val="24"/>
        </w:rPr>
      </w:pPr>
      <w:r>
        <w:rPr>
          <w:rFonts w:hint="eastAsia" w:ascii="仿宋" w:hAnsi="仿宋" w:eastAsia="仿宋" w:cs="仿宋"/>
          <w:b/>
          <w:sz w:val="24"/>
        </w:rPr>
        <w:t>1.7 履行期限、地点和方式</w:t>
      </w:r>
      <w:bookmarkEnd w:id="421"/>
      <w:bookmarkEnd w:id="422"/>
      <w:bookmarkEnd w:id="423"/>
      <w:bookmarkEnd w:id="424"/>
      <w:bookmarkEnd w:id="425"/>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outlineLvl w:val="0"/>
        <w:rPr>
          <w:rFonts w:hint="eastAsia" w:ascii="仿宋" w:hAnsi="仿宋" w:eastAsia="仿宋" w:cs="仿宋"/>
          <w:bCs/>
          <w:sz w:val="24"/>
        </w:rPr>
      </w:pPr>
      <w:bookmarkStart w:id="426" w:name="_Toc3079"/>
      <w:bookmarkStart w:id="427" w:name="_Toc2375"/>
      <w:bookmarkStart w:id="428" w:name="_Toc24662"/>
      <w:bookmarkStart w:id="429" w:name="_Toc5698"/>
      <w:bookmarkStart w:id="430" w:name="_Toc8586"/>
      <w:r>
        <w:rPr>
          <w:rFonts w:hint="eastAsia" w:ascii="仿宋" w:hAnsi="仿宋" w:eastAsia="仿宋" w:cs="仿宋"/>
          <w:bCs/>
          <w:sz w:val="24"/>
        </w:rPr>
        <w:t>1.7.4若服务涉及货物的，则货物的：</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sz w:val="24"/>
          <w:u w:val="single"/>
        </w:rPr>
      </w:pPr>
      <w:r>
        <w:rPr>
          <w:rFonts w:hint="eastAsia" w:ascii="仿宋" w:hAnsi="仿宋" w:eastAsia="仿宋" w:cs="仿宋"/>
          <w:b/>
          <w:sz w:val="24"/>
        </w:rPr>
        <w:t>1.8违约责任</w:t>
      </w:r>
      <w:bookmarkEnd w:id="426"/>
      <w:bookmarkEnd w:id="427"/>
      <w:bookmarkEnd w:id="428"/>
      <w:bookmarkEnd w:id="429"/>
      <w:bookmarkEnd w:id="430"/>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2"/>
        <w:pageBreakBefore w:val="0"/>
        <w:kinsoku/>
        <w:wordWrap/>
        <w:overflowPunct/>
        <w:topLinePunct w:val="0"/>
        <w:bidi w:val="0"/>
        <w:snapToGrid/>
        <w:spacing w:line="500" w:lineRule="exact"/>
        <w:ind w:left="0" w:firstLine="480" w:firstLineChars="200"/>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sz w:val="24"/>
          <w:szCs w:val="24"/>
          <w:u w:val="single"/>
          <w:lang w:val="en-US"/>
        </w:rPr>
        <w:t xml:space="preserve"> 0.05 </w:t>
      </w:r>
      <w:r>
        <w:rPr>
          <w:rFonts w:hint="eastAsia" w:ascii="仿宋" w:hAnsi="仿宋" w:eastAsia="仿宋" w:cs="仿宋"/>
          <w:b w:val="0"/>
          <w:bCs w:val="0"/>
          <w:sz w:val="24"/>
          <w:szCs w:val="24"/>
          <w:lang w:val="en-US"/>
        </w:rPr>
        <w:t>%计算，最高限额为本合同总价的</w:t>
      </w:r>
      <w:r>
        <w:rPr>
          <w:rFonts w:hint="eastAsia" w:ascii="仿宋" w:hAnsi="仿宋" w:eastAsia="仿宋" w:cs="仿宋"/>
          <w:b w:val="0"/>
          <w:bCs w:val="0"/>
          <w:sz w:val="24"/>
          <w:szCs w:val="24"/>
          <w:u w:val="single"/>
          <w:lang w:val="en-US"/>
        </w:rPr>
        <w:t xml:space="preserve">  20  </w:t>
      </w:r>
      <w:r>
        <w:rPr>
          <w:rFonts w:hint="eastAsia" w:ascii="仿宋" w:hAnsi="仿宋" w:eastAsia="仿宋" w:cs="仿宋"/>
          <w:b w:val="0"/>
          <w:bCs w:val="0"/>
          <w:sz w:val="24"/>
          <w:szCs w:val="24"/>
          <w:lang w:val="en-US"/>
        </w:rPr>
        <w:t>%；迟延交付货物的违约金计算数额达到前述最高限额之日起，甲方有权在要求乙方支付违约金的同时，书面通知乙方解除本合同；</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bookmarkStart w:id="431" w:name="_Toc32454"/>
      <w:bookmarkStart w:id="432" w:name="_Toc26807"/>
      <w:bookmarkStart w:id="433" w:name="_Toc9497"/>
      <w:bookmarkStart w:id="434" w:name="_Toc30329"/>
      <w:bookmarkStart w:id="435" w:name="_Toc18683"/>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pageBreakBefore w:val="0"/>
        <w:kinsoku/>
        <w:wordWrap/>
        <w:overflowPunct/>
        <w:topLinePunct w:val="0"/>
        <w:bidi w:val="0"/>
        <w:snapToGrid/>
        <w:spacing w:line="500" w:lineRule="exact"/>
        <w:ind w:right="-420" w:rightChars="-200" w:firstLine="480" w:firstLineChars="200"/>
        <w:textAlignment w:val="auto"/>
        <w:rPr>
          <w:rFonts w:hint="eastAsia"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431"/>
    <w:bookmarkEnd w:id="432"/>
    <w:bookmarkEnd w:id="433"/>
    <w:bookmarkEnd w:id="434"/>
    <w:bookmarkEnd w:id="435"/>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b/>
          <w:sz w:val="24"/>
        </w:rPr>
      </w:pPr>
      <w:bookmarkStart w:id="436" w:name="_Toc28375"/>
      <w:bookmarkStart w:id="437" w:name="_Toc15583"/>
      <w:bookmarkStart w:id="438" w:name="_Toc16021"/>
      <w:r>
        <w:rPr>
          <w:rFonts w:hint="eastAsia" w:ascii="仿宋" w:hAnsi="仿宋" w:eastAsia="仿宋" w:cs="仿宋"/>
          <w:b/>
          <w:sz w:val="24"/>
        </w:rPr>
        <w:t>1.9合同争议的解决</w:t>
      </w:r>
      <w:bookmarkEnd w:id="436"/>
      <w:bookmarkEnd w:id="437"/>
      <w:bookmarkEnd w:id="438"/>
    </w:p>
    <w:p>
      <w:pPr>
        <w:pageBreakBefore w:val="0"/>
        <w:kinsoku/>
        <w:wordWrap/>
        <w:overflowPunct/>
        <w:topLinePunct w:val="0"/>
        <w:bidi w:val="0"/>
        <w:snapToGrid/>
        <w:spacing w:line="500" w:lineRule="exact"/>
        <w:ind w:left="-61" w:leftChars="-29" w:right="-420" w:rightChars="-200" w:firstLine="240" w:firstLineChars="100"/>
        <w:textAlignment w:val="auto"/>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pageBreakBefore w:val="0"/>
        <w:kinsoku/>
        <w:wordWrap/>
        <w:overflowPunct/>
        <w:topLinePunct w:val="0"/>
        <w:bidi w:val="0"/>
        <w:snapToGrid/>
        <w:spacing w:line="500" w:lineRule="exact"/>
        <w:ind w:left="-420" w:leftChars="-200" w:right="-420" w:rightChars="-200" w:firstLine="600" w:firstLineChars="250"/>
        <w:textAlignment w:val="auto"/>
        <w:rPr>
          <w:rFonts w:hint="eastAsia"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pageBreakBefore w:val="0"/>
        <w:kinsoku/>
        <w:wordWrap/>
        <w:overflowPunct/>
        <w:topLinePunct w:val="0"/>
        <w:bidi w:val="0"/>
        <w:snapToGrid/>
        <w:spacing w:line="500" w:lineRule="exact"/>
        <w:ind w:left="-420" w:leftChars="-200" w:right="-420" w:rightChars="-200" w:firstLine="600" w:firstLineChars="250"/>
        <w:textAlignment w:val="auto"/>
        <w:rPr>
          <w:rFonts w:hint="eastAsia"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pageBreakBefore w:val="0"/>
        <w:kinsoku/>
        <w:wordWrap/>
        <w:overflowPunct/>
        <w:topLinePunct w:val="0"/>
        <w:bidi w:val="0"/>
        <w:snapToGrid/>
        <w:spacing w:line="500" w:lineRule="exact"/>
        <w:ind w:firstLine="482" w:firstLineChars="200"/>
        <w:textAlignment w:val="auto"/>
        <w:outlineLvl w:val="0"/>
        <w:rPr>
          <w:rFonts w:hint="eastAsia" w:ascii="仿宋" w:hAnsi="仿宋" w:eastAsia="仿宋" w:cs="仿宋"/>
          <w:b/>
          <w:sz w:val="24"/>
        </w:rPr>
      </w:pPr>
      <w:bookmarkStart w:id="439" w:name="_Toc15322"/>
      <w:bookmarkStart w:id="440" w:name="_Toc7245"/>
      <w:bookmarkStart w:id="441" w:name="_Toc11173"/>
      <w:r>
        <w:rPr>
          <w:rFonts w:hint="eastAsia" w:ascii="仿宋" w:hAnsi="仿宋" w:eastAsia="仿宋" w:cs="仿宋"/>
          <w:b/>
          <w:sz w:val="24"/>
        </w:rPr>
        <w:t>2.0 合同生效</w:t>
      </w:r>
      <w:bookmarkEnd w:id="439"/>
      <w:bookmarkEnd w:id="440"/>
      <w:bookmarkEnd w:id="441"/>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b/>
          <w:sz w:val="24"/>
        </w:rPr>
      </w:pPr>
      <w:r>
        <w:rPr>
          <w:rFonts w:hint="eastAsia" w:ascii="仿宋" w:hAnsi="仿宋" w:eastAsia="仿宋" w:cs="仿宋"/>
          <w:sz w:val="24"/>
        </w:rPr>
        <w:t>本合同自双方当事人盖章签字时生效。</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住所：                                   住所：</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联系人：                                 联系人：</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邮政编码：                               邮政编码：</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lang w:val="zh-CN"/>
        </w:rPr>
      </w:pPr>
      <w:r>
        <w:rPr>
          <w:rFonts w:hint="eastAsia" w:ascii="仿宋" w:hAnsi="仿宋" w:eastAsia="仿宋" w:cs="仿宋"/>
          <w:sz w:val="24"/>
          <w:lang w:val="zh-CN"/>
        </w:rPr>
        <w:t>传真:                                    传真:</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rPr>
      </w:pPr>
      <w:r>
        <w:rPr>
          <w:rFonts w:hint="eastAsia" w:ascii="仿宋" w:hAnsi="仿宋" w:eastAsia="仿宋" w:cs="仿宋"/>
          <w:sz w:val="24"/>
          <w:lang w:val="zh-CN"/>
        </w:rPr>
        <w:t>电子邮箱：                               电子邮箱：</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rPr>
      </w:pPr>
      <w:r>
        <w:rPr>
          <w:rFonts w:hint="eastAsia" w:ascii="仿宋" w:hAnsi="仿宋" w:eastAsia="仿宋" w:cs="仿宋"/>
          <w:sz w:val="24"/>
        </w:rPr>
        <w:t xml:space="preserve">开户银行：                               开户银行： </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rPr>
      </w:pPr>
      <w:r>
        <w:rPr>
          <w:rFonts w:hint="eastAsia" w:ascii="仿宋" w:hAnsi="仿宋" w:eastAsia="仿宋" w:cs="仿宋"/>
          <w:sz w:val="24"/>
        </w:rPr>
        <w:t xml:space="preserve">开户名称：                               开户名称： </w:t>
      </w:r>
    </w:p>
    <w:p>
      <w:pPr>
        <w:pageBreakBefore w:val="0"/>
        <w:kinsoku/>
        <w:wordWrap/>
        <w:overflowPunct/>
        <w:topLinePunct w:val="0"/>
        <w:autoSpaceDE w:val="0"/>
        <w:autoSpaceDN w:val="0"/>
        <w:bidi w:val="0"/>
        <w:snapToGrid/>
        <w:spacing w:line="500" w:lineRule="exact"/>
        <w:textAlignment w:val="auto"/>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rPr>
        <w:br w:type="page"/>
      </w:r>
    </w:p>
    <w:p>
      <w:pPr>
        <w:pStyle w:val="701"/>
        <w:keepNext w:val="0"/>
        <w:keepLines w:val="0"/>
        <w:pageBreakBefore w:val="0"/>
        <w:widowControl w:val="0"/>
        <w:kinsoku/>
        <w:wordWrap/>
        <w:overflowPunct/>
        <w:topLinePunct w:val="0"/>
        <w:bidi w:val="0"/>
        <w:adjustRightInd w:val="0"/>
        <w:spacing w:line="500" w:lineRule="exact"/>
        <w:ind w:firstLine="482"/>
        <w:jc w:val="center"/>
        <w:textAlignment w:val="auto"/>
        <w:rPr>
          <w:rFonts w:hint="eastAsia" w:ascii="仿宋" w:hAnsi="仿宋" w:eastAsia="仿宋" w:cs="仿宋"/>
          <w:b/>
          <w:szCs w:val="24"/>
        </w:rPr>
      </w:pPr>
      <w:r>
        <w:rPr>
          <w:rFonts w:hint="eastAsia" w:ascii="仿宋" w:hAnsi="仿宋" w:eastAsia="仿宋" w:cs="仿宋"/>
          <w:b/>
          <w:szCs w:val="24"/>
        </w:rPr>
        <w:t>第二部分 合同一般条款</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42" w:name="_Toc31297"/>
      <w:bookmarkStart w:id="443" w:name="_Toc25079"/>
      <w:bookmarkStart w:id="444" w:name="_Toc14021"/>
      <w:bookmarkStart w:id="445" w:name="_Toc5228"/>
      <w:bookmarkStart w:id="446" w:name="_Toc19680"/>
      <w:r>
        <w:rPr>
          <w:rFonts w:hint="eastAsia" w:ascii="仿宋" w:hAnsi="仿宋" w:eastAsia="仿宋" w:cs="仿宋"/>
          <w:b/>
          <w:sz w:val="24"/>
        </w:rPr>
        <w:t>2.1 定义</w:t>
      </w:r>
      <w:bookmarkEnd w:id="442"/>
      <w:bookmarkEnd w:id="443"/>
      <w:bookmarkEnd w:id="444"/>
      <w:bookmarkEnd w:id="445"/>
      <w:bookmarkEnd w:id="446"/>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本合同中的下列词语应按以下内容进行解释：</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2.1.6 “现场”系指合同约定提供服务的地点。</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47" w:name="_Toc16752"/>
      <w:bookmarkStart w:id="448" w:name="_Toc3769"/>
      <w:bookmarkStart w:id="449" w:name="_Toc19539"/>
      <w:bookmarkStart w:id="450" w:name="_Toc31402"/>
      <w:bookmarkStart w:id="451" w:name="_Toc23289"/>
      <w:r>
        <w:rPr>
          <w:rFonts w:hint="eastAsia" w:ascii="仿宋" w:hAnsi="仿宋" w:eastAsia="仿宋" w:cs="仿宋"/>
          <w:b/>
          <w:sz w:val="24"/>
        </w:rPr>
        <w:t>2.2 技术规范</w:t>
      </w:r>
      <w:bookmarkEnd w:id="447"/>
      <w:bookmarkEnd w:id="448"/>
      <w:bookmarkEnd w:id="449"/>
      <w:bookmarkEnd w:id="450"/>
      <w:bookmarkEnd w:id="451"/>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52" w:name="_Toc13673"/>
      <w:bookmarkStart w:id="453" w:name="_Toc12412"/>
      <w:bookmarkStart w:id="454" w:name="_Toc27945"/>
      <w:bookmarkStart w:id="455" w:name="_Toc4133"/>
      <w:bookmarkStart w:id="456" w:name="_Toc9161"/>
      <w:r>
        <w:rPr>
          <w:rFonts w:hint="eastAsia" w:ascii="仿宋" w:hAnsi="仿宋" w:eastAsia="仿宋" w:cs="仿宋"/>
          <w:b/>
          <w:sz w:val="24"/>
        </w:rPr>
        <w:t>2.3 知识产权</w:t>
      </w:r>
      <w:bookmarkEnd w:id="452"/>
      <w:bookmarkEnd w:id="453"/>
      <w:bookmarkEnd w:id="454"/>
      <w:bookmarkEnd w:id="455"/>
      <w:bookmarkEnd w:id="456"/>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keepNext w:val="0"/>
        <w:keepLines w:val="0"/>
        <w:pageBreakBefore w:val="0"/>
        <w:widowControl w:val="0"/>
        <w:kinsoku/>
        <w:wordWrap/>
        <w:overflowPunct/>
        <w:topLinePunct w:val="0"/>
        <w:bidi w:val="0"/>
        <w:adjustRightInd w:val="0"/>
        <w:spacing w:line="5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2.4 履约检查和问题反馈</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57" w:name="_Toc31233"/>
      <w:bookmarkStart w:id="458" w:name="_Toc26555"/>
      <w:bookmarkStart w:id="459" w:name="_Toc15447"/>
      <w:bookmarkStart w:id="460" w:name="_Toc22011"/>
      <w:bookmarkStart w:id="461" w:name="_Toc32670"/>
      <w:r>
        <w:rPr>
          <w:rFonts w:hint="eastAsia" w:ascii="仿宋" w:hAnsi="仿宋" w:eastAsia="仿宋" w:cs="仿宋"/>
          <w:b/>
          <w:sz w:val="24"/>
        </w:rPr>
        <w:t>2.5 结算方式和付款条件</w:t>
      </w:r>
      <w:bookmarkEnd w:id="457"/>
      <w:bookmarkEnd w:id="458"/>
      <w:bookmarkEnd w:id="459"/>
      <w:bookmarkEnd w:id="460"/>
      <w:bookmarkEnd w:id="461"/>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62" w:name="_Toc16163"/>
      <w:bookmarkStart w:id="463" w:name="_Toc13154"/>
      <w:bookmarkStart w:id="464" w:name="_Toc18990"/>
      <w:bookmarkStart w:id="465" w:name="_Toc30507"/>
      <w:bookmarkStart w:id="466" w:name="_Toc13467"/>
      <w:r>
        <w:rPr>
          <w:rFonts w:hint="eastAsia" w:ascii="仿宋" w:hAnsi="仿宋" w:eastAsia="仿宋" w:cs="仿宋"/>
          <w:b/>
          <w:sz w:val="24"/>
        </w:rPr>
        <w:t>2.6 技术资料和保密义务</w:t>
      </w:r>
      <w:bookmarkEnd w:id="462"/>
      <w:bookmarkEnd w:id="463"/>
      <w:bookmarkEnd w:id="464"/>
      <w:bookmarkEnd w:id="465"/>
      <w:bookmarkEnd w:id="466"/>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67" w:name="_Toc19069"/>
      <w:r>
        <w:rPr>
          <w:rFonts w:hint="eastAsia" w:ascii="仿宋" w:hAnsi="仿宋" w:eastAsia="仿宋" w:cs="仿宋"/>
          <w:b/>
          <w:sz w:val="24"/>
        </w:rPr>
        <w:t>2.7 质量保证</w:t>
      </w:r>
      <w:bookmarkEnd w:id="467"/>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68" w:name="_Toc22267"/>
      <w:r>
        <w:rPr>
          <w:rFonts w:hint="eastAsia" w:ascii="仿宋" w:hAnsi="仿宋" w:eastAsia="仿宋" w:cs="仿宋"/>
          <w:b/>
          <w:sz w:val="24"/>
        </w:rPr>
        <w:t>2.8 延迟履行</w:t>
      </w:r>
      <w:bookmarkEnd w:id="468"/>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69" w:name="_Toc10611"/>
      <w:r>
        <w:rPr>
          <w:rFonts w:hint="eastAsia" w:ascii="仿宋" w:hAnsi="仿宋" w:eastAsia="仿宋" w:cs="仿宋"/>
          <w:b/>
          <w:sz w:val="24"/>
        </w:rPr>
        <w:t>2.9 合同变更</w:t>
      </w:r>
      <w:bookmarkEnd w:id="469"/>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70" w:name="_Toc10663"/>
      <w:bookmarkStart w:id="471" w:name="_Toc42"/>
      <w:bookmarkStart w:id="472" w:name="_Toc23368"/>
      <w:bookmarkStart w:id="473" w:name="_Toc21830"/>
      <w:bookmarkStart w:id="474" w:name="_Toc26689"/>
      <w:r>
        <w:rPr>
          <w:rFonts w:hint="eastAsia" w:ascii="仿宋" w:hAnsi="仿宋" w:eastAsia="仿宋" w:cs="仿宋"/>
          <w:b/>
          <w:sz w:val="24"/>
        </w:rPr>
        <w:t>2.10 合同转让和分包</w:t>
      </w:r>
      <w:bookmarkEnd w:id="470"/>
      <w:bookmarkEnd w:id="471"/>
      <w:bookmarkEnd w:id="472"/>
      <w:bookmarkEnd w:id="473"/>
      <w:bookmarkEnd w:id="474"/>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75" w:name="_Toc32494"/>
      <w:bookmarkStart w:id="476" w:name="_Toc14371"/>
      <w:bookmarkStart w:id="477" w:name="_Toc25571"/>
      <w:bookmarkStart w:id="478" w:name="_Toc4720"/>
      <w:bookmarkStart w:id="479" w:name="_Toc26633"/>
      <w:r>
        <w:rPr>
          <w:rFonts w:hint="eastAsia" w:ascii="仿宋" w:hAnsi="仿宋" w:eastAsia="仿宋" w:cs="仿宋"/>
          <w:b/>
          <w:sz w:val="24"/>
        </w:rPr>
        <w:t>2.11 不可抗力</w:t>
      </w:r>
      <w:bookmarkEnd w:id="475"/>
      <w:bookmarkEnd w:id="476"/>
      <w:bookmarkEnd w:id="477"/>
      <w:bookmarkEnd w:id="478"/>
      <w:bookmarkEnd w:id="479"/>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80" w:name="_Toc25783"/>
      <w:bookmarkStart w:id="481" w:name="_Toc23854"/>
      <w:bookmarkStart w:id="482" w:name="_Toc24465"/>
      <w:bookmarkStart w:id="483" w:name="_Toc3638"/>
      <w:bookmarkStart w:id="484" w:name="_Toc14115"/>
      <w:r>
        <w:rPr>
          <w:rFonts w:hint="eastAsia" w:ascii="仿宋" w:hAnsi="仿宋" w:eastAsia="仿宋" w:cs="仿宋"/>
          <w:b/>
          <w:sz w:val="24"/>
        </w:rPr>
        <w:t>2.12 税费</w:t>
      </w:r>
      <w:bookmarkEnd w:id="480"/>
      <w:bookmarkEnd w:id="481"/>
      <w:bookmarkEnd w:id="482"/>
      <w:bookmarkEnd w:id="483"/>
      <w:bookmarkEnd w:id="484"/>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85" w:name="_Toc7315"/>
      <w:bookmarkStart w:id="486" w:name="_Toc30105"/>
      <w:bookmarkStart w:id="487" w:name="_Toc25525"/>
      <w:bookmarkStart w:id="488" w:name="_Toc14814"/>
      <w:bookmarkStart w:id="489" w:name="_Toc26883"/>
      <w:r>
        <w:rPr>
          <w:rFonts w:hint="eastAsia" w:ascii="仿宋" w:hAnsi="仿宋" w:eastAsia="仿宋" w:cs="仿宋"/>
          <w:b/>
          <w:sz w:val="24"/>
        </w:rPr>
        <w:t>2.13 乙方破产</w:t>
      </w:r>
      <w:bookmarkEnd w:id="485"/>
      <w:bookmarkEnd w:id="486"/>
      <w:bookmarkEnd w:id="487"/>
      <w:bookmarkEnd w:id="488"/>
      <w:bookmarkEnd w:id="489"/>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90" w:name="_Toc1123"/>
      <w:bookmarkStart w:id="491" w:name="_Toc2016"/>
      <w:bookmarkStart w:id="492" w:name="_Toc23323"/>
      <w:r>
        <w:rPr>
          <w:rFonts w:hint="eastAsia" w:ascii="仿宋" w:hAnsi="仿宋" w:eastAsia="仿宋" w:cs="仿宋"/>
          <w:b/>
          <w:sz w:val="24"/>
        </w:rPr>
        <w:t>2.14 合同中止、终止</w:t>
      </w:r>
      <w:bookmarkEnd w:id="490"/>
      <w:bookmarkEnd w:id="491"/>
      <w:bookmarkEnd w:id="492"/>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2.14.1 双方当事人不得擅自中止或者终止合同；</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93" w:name="_Toc17363"/>
      <w:bookmarkStart w:id="494" w:name="_Toc1969"/>
      <w:bookmarkStart w:id="495" w:name="_Toc14525"/>
      <w:r>
        <w:rPr>
          <w:rFonts w:hint="eastAsia" w:ascii="仿宋" w:hAnsi="仿宋" w:eastAsia="仿宋" w:cs="仿宋"/>
          <w:b/>
          <w:sz w:val="24"/>
        </w:rPr>
        <w:t>2.15 检验和验收</w:t>
      </w:r>
      <w:bookmarkEnd w:id="493"/>
      <w:bookmarkEnd w:id="494"/>
      <w:bookmarkEnd w:id="495"/>
    </w:p>
    <w:p>
      <w:pPr>
        <w:keepNext w:val="0"/>
        <w:keepLines w:val="0"/>
        <w:pageBreakBefore w:val="0"/>
        <w:widowControl w:val="0"/>
        <w:tabs>
          <w:tab w:val="left" w:pos="360"/>
          <w:tab w:val="left" w:pos="540"/>
          <w:tab w:val="left" w:pos="1080"/>
        </w:tabs>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keepNext w:val="0"/>
        <w:keepLines w:val="0"/>
        <w:pageBreakBefore w:val="0"/>
        <w:widowControl w:val="0"/>
        <w:tabs>
          <w:tab w:val="left" w:pos="360"/>
          <w:tab w:val="left" w:pos="540"/>
          <w:tab w:val="left" w:pos="1080"/>
        </w:tabs>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widowControl w:val="0"/>
        <w:tabs>
          <w:tab w:val="left" w:pos="360"/>
          <w:tab w:val="left" w:pos="540"/>
          <w:tab w:val="left" w:pos="1080"/>
        </w:tabs>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496" w:name="_Toc12666"/>
      <w:bookmarkStart w:id="497" w:name="_Toc31892"/>
      <w:bookmarkStart w:id="498" w:name="_Toc2308"/>
      <w:bookmarkStart w:id="499" w:name="_Toc9808"/>
      <w:bookmarkStart w:id="500" w:name="_Toc25198"/>
      <w:r>
        <w:rPr>
          <w:rFonts w:hint="eastAsia" w:ascii="仿宋" w:hAnsi="仿宋" w:eastAsia="仿宋" w:cs="仿宋"/>
          <w:b/>
          <w:sz w:val="24"/>
        </w:rPr>
        <w:t>2.16 通知和送达</w:t>
      </w:r>
      <w:bookmarkEnd w:id="496"/>
      <w:bookmarkEnd w:id="497"/>
      <w:bookmarkEnd w:id="498"/>
      <w:bookmarkEnd w:id="499"/>
      <w:bookmarkEnd w:id="500"/>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bookmarkStart w:id="501" w:name="_Toc18401"/>
      <w:bookmarkStart w:id="502"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1"/>
      <w:bookmarkEnd w:id="502"/>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503" w:name="_Toc5063"/>
      <w:bookmarkStart w:id="504" w:name="_Toc20808"/>
      <w:bookmarkStart w:id="505" w:name="_Toc27644"/>
      <w:bookmarkStart w:id="506" w:name="_Toc12254"/>
      <w:bookmarkStart w:id="507" w:name="_Toc28906"/>
      <w:r>
        <w:rPr>
          <w:rFonts w:hint="eastAsia" w:ascii="仿宋" w:hAnsi="仿宋" w:eastAsia="仿宋" w:cs="仿宋"/>
          <w:b/>
          <w:sz w:val="24"/>
        </w:rPr>
        <w:t>2.17 合同使用的文字和适用的法律</w:t>
      </w:r>
      <w:bookmarkEnd w:id="503"/>
      <w:bookmarkEnd w:id="504"/>
      <w:bookmarkEnd w:id="505"/>
      <w:bookmarkEnd w:id="506"/>
      <w:bookmarkEnd w:id="507"/>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2.17.1 合同使用汉语书就、变更和解释；</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2.17.2 合同适用中华人民共和国法律。</w:t>
      </w:r>
    </w:p>
    <w:p>
      <w:pPr>
        <w:keepNext w:val="0"/>
        <w:keepLines w:val="0"/>
        <w:pageBreakBefore w:val="0"/>
        <w:widowControl w:val="0"/>
        <w:kinsoku/>
        <w:wordWrap/>
        <w:overflowPunct/>
        <w:topLinePunct w:val="0"/>
        <w:bidi w:val="0"/>
        <w:adjustRightInd w:val="0"/>
        <w:spacing w:line="500" w:lineRule="exact"/>
        <w:ind w:firstLine="482" w:firstLineChars="200"/>
        <w:textAlignment w:val="auto"/>
        <w:outlineLvl w:val="0"/>
        <w:rPr>
          <w:rFonts w:hint="eastAsia" w:ascii="仿宋" w:hAnsi="仿宋" w:eastAsia="仿宋" w:cs="仿宋"/>
          <w:b/>
          <w:sz w:val="24"/>
        </w:rPr>
      </w:pPr>
      <w:bookmarkStart w:id="508" w:name="_Toc30599"/>
      <w:bookmarkStart w:id="509" w:name="_Toc4355"/>
      <w:bookmarkStart w:id="510" w:name="_Toc18540"/>
      <w:r>
        <w:rPr>
          <w:rFonts w:hint="eastAsia" w:ascii="仿宋" w:hAnsi="仿宋" w:eastAsia="仿宋" w:cs="仿宋"/>
          <w:b/>
          <w:sz w:val="24"/>
        </w:rPr>
        <w:t>2.18 计量单位</w:t>
      </w:r>
      <w:bookmarkEnd w:id="508"/>
      <w:bookmarkEnd w:id="509"/>
      <w:bookmarkEnd w:id="510"/>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keepNext w:val="0"/>
        <w:keepLines w:val="0"/>
        <w:pageBreakBefore w:val="0"/>
        <w:widowControl w:val="0"/>
        <w:kinsoku/>
        <w:wordWrap/>
        <w:overflowPunct/>
        <w:topLinePunct w:val="0"/>
        <w:bidi w:val="0"/>
        <w:adjustRightInd w:val="0"/>
        <w:spacing w:line="5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2.19合同份数</w:t>
      </w:r>
    </w:p>
    <w:p>
      <w:pPr>
        <w:keepNext w:val="0"/>
        <w:keepLines w:val="0"/>
        <w:pageBreakBefore w:val="0"/>
        <w:widowControl w:val="0"/>
        <w:kinsoku/>
        <w:wordWrap/>
        <w:overflowPunct/>
        <w:topLinePunct w:val="0"/>
        <w:bidi w:val="0"/>
        <w:adjustRightInd w:val="0"/>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hint="eastAsia" w:ascii="仿宋" w:hAnsi="仿宋" w:eastAsia="仿宋" w:cs="仿宋"/>
          <w:b/>
          <w:sz w:val="24"/>
        </w:rPr>
      </w:pPr>
      <w:r>
        <w:rPr>
          <w:rFonts w:hint="eastAsia" w:ascii="仿宋" w:hAnsi="仿宋" w:eastAsia="仿宋" w:cs="仿宋"/>
          <w:kern w:val="0"/>
        </w:rPr>
        <w:br w:type="page"/>
      </w:r>
      <w:bookmarkStart w:id="511" w:name="_Toc331685784"/>
      <w:r>
        <w:rPr>
          <w:rFonts w:hint="eastAsia" w:ascii="仿宋" w:hAnsi="仿宋" w:eastAsia="仿宋" w:cs="仿宋"/>
          <w:b/>
          <w:sz w:val="24"/>
        </w:rPr>
        <w:t xml:space="preserve"> </w:t>
      </w:r>
      <w:bookmarkEnd w:id="511"/>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1.5.1 </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2.11.4 </w:t>
            </w:r>
          </w:p>
        </w:tc>
        <w:tc>
          <w:tcPr>
            <w:tcW w:w="4464" w:type="pct"/>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hint="eastAsia" w:ascii="仿宋" w:hAnsi="仿宋" w:eastAsia="仿宋" w:cs="仿宋"/>
                <w:sz w:val="24"/>
              </w:rPr>
            </w:pPr>
          </w:p>
        </w:tc>
      </w:tr>
    </w:tbl>
    <w:p>
      <w:pPr>
        <w:spacing w:line="360" w:lineRule="auto"/>
        <w:ind w:right="-420" w:rightChars="-200"/>
        <w:jc w:val="both"/>
        <w:outlineLvl w:val="0"/>
        <w:rPr>
          <w:rFonts w:hint="default" w:ascii="仿宋" w:hAnsi="仿宋" w:eastAsia="仿宋" w:cs="仿宋"/>
          <w:sz w:val="24"/>
          <w:lang w:val="en-US" w:eastAsia="zh-CN"/>
        </w:rPr>
      </w:pPr>
    </w:p>
    <w:p>
      <w:pPr>
        <w:pStyle w:val="62"/>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6"/>
      <w:r>
        <w:rPr>
          <w:rFonts w:hint="eastAsia" w:ascii="仿宋" w:hAnsi="仿宋" w:eastAsia="仿宋" w:cs="仿宋"/>
          <w:b/>
          <w:sz w:val="36"/>
          <w:szCs w:val="20"/>
        </w:rPr>
        <w:t xml:space="preserve"> </w:t>
      </w:r>
      <w:bookmarkEnd w:id="397"/>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w:t>
      </w:r>
      <w:r>
        <w:rPr>
          <w:rFonts w:hint="eastAsia" w:ascii="仿宋" w:hAnsi="仿宋" w:eastAsia="仿宋" w:cs="仿宋"/>
          <w:sz w:val="24"/>
          <w:lang w:eastAsia="zh-CN"/>
        </w:rPr>
        <w:t>承接</w:t>
      </w:r>
      <w:r>
        <w:rPr>
          <w:rFonts w:hint="eastAsia" w:ascii="仿宋" w:hAnsi="仿宋" w:eastAsia="仿宋" w:cs="仿宋"/>
          <w:sz w:val="24"/>
        </w:rPr>
        <w:t>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w:t>
      </w:r>
      <w:r>
        <w:rPr>
          <w:rFonts w:hint="eastAsia" w:ascii="仿宋" w:hAnsi="仿宋" w:eastAsia="仿宋" w:cs="仿宋"/>
          <w:sz w:val="24"/>
          <w:lang w:eastAsia="zh-CN"/>
        </w:rPr>
        <w:t>承接</w:t>
      </w:r>
      <w:r>
        <w:rPr>
          <w:rFonts w:hint="eastAsia" w:ascii="仿宋" w:hAnsi="仿宋" w:eastAsia="仿宋" w:cs="仿宋"/>
          <w:sz w:val="24"/>
        </w:rPr>
        <w:t>的，视同符合了资格条件，无需再向中小企业分包，无需提供分包意向协议。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3855" w:firstLineChars="1200"/>
        <w:outlineLvl w:val="0"/>
        <w:rPr>
          <w:rFonts w:hint="eastAsia" w:ascii="仿宋" w:hAnsi="仿宋" w:eastAsia="仿宋" w:cs="仿宋"/>
          <w:b/>
          <w:kern w:val="0"/>
          <w:sz w:val="32"/>
          <w:szCs w:val="32"/>
        </w:rPr>
      </w:pPr>
    </w:p>
    <w:p>
      <w:pPr>
        <w:snapToGrid w:val="0"/>
        <w:spacing w:line="360" w:lineRule="auto"/>
        <w:ind w:firstLine="3855" w:firstLineChars="1200"/>
        <w:outlineLvl w:val="0"/>
        <w:rPr>
          <w:rFonts w:hint="eastAsia" w:ascii="仿宋" w:hAnsi="仿宋" w:eastAsia="仿宋" w:cs="仿宋"/>
          <w:b/>
          <w:kern w:val="0"/>
          <w:sz w:val="32"/>
          <w:szCs w:val="32"/>
        </w:rPr>
      </w:pPr>
    </w:p>
    <w:p>
      <w:pPr>
        <w:snapToGrid w:val="0"/>
        <w:spacing w:line="360" w:lineRule="auto"/>
        <w:ind w:firstLine="3855" w:firstLineChars="1200"/>
        <w:outlineLvl w:val="0"/>
        <w:rPr>
          <w:rFonts w:hint="eastAsia" w:ascii="仿宋" w:hAnsi="仿宋" w:eastAsia="仿宋" w:cs="仿宋"/>
          <w:b/>
          <w:kern w:val="0"/>
          <w:sz w:val="32"/>
          <w:szCs w:val="32"/>
        </w:rPr>
      </w:pPr>
    </w:p>
    <w:p>
      <w:pPr>
        <w:pStyle w:val="2"/>
        <w:rPr>
          <w:rFonts w:hint="eastAsia" w:ascii="仿宋" w:hAnsi="仿宋" w:eastAsia="仿宋" w:cs="仿宋"/>
          <w:lang w:val="en-US"/>
        </w:rPr>
      </w:pPr>
    </w:p>
    <w:p>
      <w:pPr>
        <w:snapToGrid w:val="0"/>
        <w:spacing w:line="360" w:lineRule="auto"/>
        <w:ind w:firstLine="3855" w:firstLineChars="1200"/>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8"/>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8"/>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p>
    <w:p>
      <w:pPr>
        <w:widowControl/>
        <w:spacing w:line="360" w:lineRule="auto"/>
        <w:ind w:firstLine="120" w:firstLineChars="50"/>
        <w:jc w:val="left"/>
        <w:rPr>
          <w:rFonts w:hint="eastAsia" w:ascii="仿宋" w:hAnsi="仿宋" w:eastAsia="仿宋" w:cs="仿宋"/>
          <w:sz w:val="24"/>
        </w:rPr>
      </w:pPr>
      <w:bookmarkStart w:id="512" w:name="_Hlk101169080"/>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bookmarkEnd w:id="512"/>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2"/>
              <w:rPr>
                <w:rFonts w:hint="eastAsia" w:ascii="仿宋" w:hAnsi="仿宋" w:eastAsia="仿宋" w:cs="仿宋"/>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4</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4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843"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311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99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55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98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合计</w:t>
            </w:r>
          </w:p>
        </w:tc>
        <w:tc>
          <w:tcPr>
            <w:tcW w:w="3119"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kern w:val="0"/>
          <w:sz w:val="24"/>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bookmarkStart w:id="513" w:name="_Hlk101259491"/>
      <w:r>
        <w:rPr>
          <w:rFonts w:hint="eastAsia" w:ascii="仿宋" w:hAnsi="仿宋" w:eastAsia="仿宋" w:cs="仿宋"/>
          <w:sz w:val="32"/>
          <w:szCs w:val="32"/>
        </w:rPr>
        <w:t>（如果有）</w:t>
      </w:r>
      <w:bookmarkEnd w:id="513"/>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2"/>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2"/>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2"/>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514" w:name="_Toc465665161"/>
      <w:r>
        <w:rPr>
          <w:rFonts w:hint="eastAsia" w:ascii="仿宋" w:hAnsi="仿宋" w:eastAsia="仿宋" w:cs="仿宋"/>
        </w:rPr>
        <w:t>附件</w:t>
      </w:r>
      <w:bookmarkEnd w:id="514"/>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15" w:name="OLE_LINK14"/>
      <w:bookmarkStart w:id="516" w:name="OLE_LINK13"/>
      <w:r>
        <w:rPr>
          <w:rFonts w:hint="eastAsia" w:ascii="仿宋" w:hAnsi="仿宋" w:eastAsia="仿宋" w:cs="仿宋"/>
          <w:b/>
          <w:spacing w:val="6"/>
          <w:sz w:val="32"/>
          <w:szCs w:val="32"/>
        </w:rPr>
        <w:t>残疾人福利性单位声明函</w:t>
      </w:r>
    </w:p>
    <w:bookmarkEnd w:id="515"/>
    <w:bookmarkEnd w:id="516"/>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bookmarkStart w:id="517"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bookmarkEnd w:id="517"/>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518"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18"/>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（采购人）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（标的名称），属于 （采购文件中明确的所属行业） ；承建（承接）企业为 （企业名称） ，从业人员   人，营业收入为  万元，资产总额为   万元属于 （中型企业、小型企业、微型企业）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（标的名称），属于 （采购文件中明确的所属行业） ；承建（承接）企业为 （企业名称） ，从业人员   人，营业收入为  万元，资产总额为   万元属于 （中型企业、小型企业、微型企业）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firstLine="480" w:firstLineChars="20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firstLine="480" w:firstLineChars="200"/>
        <w:jc w:val="right"/>
        <w:rPr>
          <w:rFonts w:hint="eastAsia" w:ascii="仿宋" w:hAnsi="仿宋" w:eastAsia="仿宋" w:cs="仿宋"/>
          <w:sz w:val="24"/>
        </w:rPr>
      </w:pPr>
      <w:r>
        <w:rPr>
          <w:rFonts w:hint="eastAsia" w:ascii="仿宋" w:hAnsi="仿宋" w:eastAsia="仿宋" w:cs="仿宋"/>
          <w:sz w:val="24"/>
        </w:rPr>
        <w:t>日 期：</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从业人员、营业收入、资产总额填报上一年度数据，无上一年度数据的新成立企业可不填报。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jc w:val="center"/>
        <w:rPr>
          <w:rFonts w:hint="eastAsia" w:ascii="宋体" w:hAnsi="宋体" w:eastAsia="宋体" w:cs="宋体"/>
          <w:sz w:val="44"/>
          <w:szCs w:val="44"/>
        </w:rPr>
      </w:pPr>
      <w:r>
        <w:rPr>
          <w:rFonts w:hint="eastAsia" w:ascii="宋体" w:hAnsi="宋体" w:eastAsia="宋体" w:cs="宋体"/>
          <w:b/>
          <w:bCs/>
          <w:sz w:val="40"/>
          <w:szCs w:val="40"/>
        </w:rPr>
        <w:t>政府采购融资畅通工程金融机构联系信息表</w:t>
      </w:r>
    </w:p>
    <w:p>
      <w:pPr>
        <w:rPr>
          <w:rFonts w:hint="eastAsia" w:ascii="宋体" w:hAnsi="宋体" w:eastAsia="宋体" w:cs="宋体"/>
          <w:sz w:val="44"/>
          <w:szCs w:val="44"/>
        </w:rPr>
      </w:pPr>
    </w:p>
    <w:tbl>
      <w:tblPr>
        <w:tblStyle w:val="63"/>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金融机构各称</w:t>
            </w:r>
          </w:p>
        </w:tc>
        <w:tc>
          <w:tcPr>
            <w:tcW w:w="142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44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77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南</w:t>
            </w:r>
            <w:r>
              <w:rPr>
                <w:rFonts w:hint="eastAsia" w:ascii="宋体" w:hAnsi="宋体" w:eastAsia="宋体" w:cs="宋体"/>
                <w:color w:val="030303"/>
                <w:sz w:val="24"/>
                <w:szCs w:val="24"/>
                <w:shd w:val="clear" w:color="auto" w:fill="FFFFFF"/>
              </w:rPr>
              <w:t>浔银行</w:t>
            </w:r>
          </w:p>
        </w:tc>
        <w:tc>
          <w:tcPr>
            <w:tcW w:w="1425" w:type="dxa"/>
            <w:tcBorders>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030303"/>
                <w:sz w:val="24"/>
                <w:szCs w:val="24"/>
                <w:shd w:val="clear" w:color="auto" w:fill="FFFFFF"/>
              </w:rPr>
              <w:t>方薇</w:t>
            </w:r>
          </w:p>
        </w:tc>
        <w:tc>
          <w:tcPr>
            <w:tcW w:w="2444" w:type="dxa"/>
            <w:tcBorders>
              <w:bottom w:val="single" w:color="auto" w:sz="4" w:space="0"/>
            </w:tcBorders>
            <w:vAlign w:val="center"/>
          </w:tcPr>
          <w:p>
            <w:pPr>
              <w:jc w:val="center"/>
              <w:rPr>
                <w:rFonts w:hint="eastAsia" w:ascii="宋体" w:hAnsi="宋体" w:eastAsia="宋体" w:cs="宋体"/>
                <w:color w:val="030303"/>
                <w:sz w:val="24"/>
                <w:szCs w:val="24"/>
                <w:shd w:val="clear" w:color="auto" w:fill="FFFFFF"/>
              </w:rPr>
            </w:pPr>
            <w:r>
              <w:rPr>
                <w:rFonts w:hint="eastAsia" w:ascii="宋体" w:hAnsi="宋体" w:eastAsia="宋体" w:cs="宋体"/>
                <w:color w:val="030303"/>
                <w:sz w:val="24"/>
                <w:szCs w:val="24"/>
                <w:shd w:val="clear" w:color="auto" w:fill="FFFFFF"/>
              </w:rPr>
              <w:t>13868003773</w:t>
            </w:r>
          </w:p>
        </w:tc>
        <w:tc>
          <w:tcPr>
            <w:tcW w:w="2775" w:type="dxa"/>
            <w:tcBorders>
              <w:bottom w:val="single" w:color="auto" w:sz="4" w:space="0"/>
            </w:tcBorders>
            <w:vAlign w:val="center"/>
          </w:tcPr>
          <w:p>
            <w:pPr>
              <w:pStyle w:val="58"/>
              <w:jc w:val="center"/>
              <w:rPr>
                <w:rFonts w:hint="eastAsia" w:ascii="宋体" w:hAnsi="宋体" w:eastAsia="宋体" w:cs="宋体"/>
                <w:sz w:val="24"/>
                <w:szCs w:val="24"/>
              </w:rPr>
            </w:pPr>
            <w:r>
              <w:rPr>
                <w:rFonts w:hint="eastAsia" w:ascii="宋体" w:hAnsi="宋体" w:eastAsia="宋体" w:cs="宋体"/>
                <w:sz w:val="24"/>
                <w:szCs w:val="24"/>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浦发银行临安分行</w:t>
            </w:r>
          </w:p>
        </w:tc>
        <w:tc>
          <w:tcPr>
            <w:tcW w:w="1425"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沈</w:t>
            </w:r>
            <w:r>
              <w:rPr>
                <w:rFonts w:hint="eastAsia" w:ascii="宋体" w:hAnsi="宋体" w:eastAsia="宋体" w:cs="宋体"/>
                <w:color w:val="030303"/>
                <w:sz w:val="24"/>
                <w:szCs w:val="24"/>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宋体" w:hAnsi="宋体" w:eastAsia="宋体" w:cs="宋体"/>
                <w:color w:val="030303"/>
                <w:sz w:val="24"/>
                <w:szCs w:val="24"/>
                <w:shd w:val="clear" w:color="auto" w:fill="FFFFFF"/>
              </w:rPr>
            </w:pPr>
            <w:r>
              <w:rPr>
                <w:rFonts w:hint="eastAsia" w:ascii="宋体" w:hAnsi="宋体" w:eastAsia="宋体" w:cs="宋体"/>
                <w:color w:val="030303"/>
                <w:sz w:val="24"/>
                <w:szCs w:val="24"/>
                <w:shd w:val="clear" w:color="auto" w:fill="FFFFFF"/>
              </w:rPr>
              <w:t>61092936</w:t>
            </w:r>
          </w:p>
          <w:p>
            <w:pPr>
              <w:jc w:val="center"/>
              <w:rPr>
                <w:rFonts w:hint="eastAsia" w:ascii="宋体" w:hAnsi="宋体" w:eastAsia="宋体" w:cs="宋体"/>
                <w:color w:val="030303"/>
                <w:sz w:val="24"/>
                <w:szCs w:val="24"/>
                <w:shd w:val="clear" w:color="auto" w:fill="FFFFFF"/>
              </w:rPr>
            </w:pPr>
            <w:r>
              <w:rPr>
                <w:rFonts w:hint="eastAsia" w:ascii="宋体" w:hAnsi="宋体" w:eastAsia="宋体" w:cs="宋体"/>
                <w:color w:val="030303"/>
                <w:sz w:val="24"/>
                <w:szCs w:val="24"/>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030303"/>
                <w:sz w:val="24"/>
                <w:szCs w:val="24"/>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金林妹</w:t>
            </w:r>
          </w:p>
        </w:tc>
        <w:tc>
          <w:tcPr>
            <w:tcW w:w="2444" w:type="dxa"/>
            <w:tcBorders>
              <w:top w:val="single" w:color="auto" w:sz="4" w:space="0"/>
              <w:bottom w:val="single" w:color="auto" w:sz="4" w:space="0"/>
            </w:tcBorders>
            <w:vAlign w:val="center"/>
          </w:tcPr>
          <w:p>
            <w:pPr>
              <w:jc w:val="center"/>
              <w:rPr>
                <w:rFonts w:hint="eastAsia" w:ascii="宋体" w:hAnsi="宋体" w:eastAsia="宋体" w:cs="宋体"/>
                <w:color w:val="030303"/>
                <w:sz w:val="24"/>
                <w:szCs w:val="24"/>
                <w:shd w:val="clear" w:color="auto" w:fill="FFFFFF"/>
              </w:rPr>
            </w:pPr>
            <w:r>
              <w:rPr>
                <w:rFonts w:hint="eastAsia" w:ascii="宋体" w:hAnsi="宋体" w:eastAsia="宋体" w:cs="宋体"/>
                <w:color w:val="030303"/>
                <w:sz w:val="24"/>
                <w:szCs w:val="24"/>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临安中信村镇银行</w:t>
            </w:r>
          </w:p>
        </w:tc>
        <w:tc>
          <w:tcPr>
            <w:tcW w:w="1425"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吕祎</w:t>
            </w:r>
          </w:p>
        </w:tc>
        <w:tc>
          <w:tcPr>
            <w:tcW w:w="2444" w:type="dxa"/>
            <w:tcBorders>
              <w:top w:val="single" w:color="auto" w:sz="4" w:space="0"/>
              <w:bottom w:val="single" w:color="auto" w:sz="4" w:space="0"/>
            </w:tcBorders>
            <w:vAlign w:val="center"/>
          </w:tcPr>
          <w:p>
            <w:pPr>
              <w:jc w:val="center"/>
              <w:rPr>
                <w:rFonts w:hint="eastAsia" w:ascii="宋体" w:hAnsi="宋体" w:eastAsia="宋体" w:cs="宋体"/>
                <w:color w:val="030303"/>
                <w:sz w:val="24"/>
                <w:szCs w:val="24"/>
                <w:shd w:val="clear" w:color="auto" w:fill="FFFFFF"/>
              </w:rPr>
            </w:pPr>
            <w:r>
              <w:rPr>
                <w:rFonts w:hint="eastAsia" w:ascii="宋体" w:hAnsi="宋体" w:eastAsia="宋体" w:cs="宋体"/>
                <w:color w:val="030303"/>
                <w:sz w:val="24"/>
                <w:szCs w:val="24"/>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石镜街777号</w:t>
            </w:r>
          </w:p>
        </w:tc>
      </w:tr>
    </w:tbl>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19" w:name="_Toc131845147"/>
    <w:bookmarkStart w:id="520" w:name="_Toc91899912"/>
    <w:bookmarkStart w:id="521" w:name="_Toc164085800"/>
    <w:bookmarkStart w:id="522" w:name="_Toc36110187"/>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pPr>
    <w:r>
      <w:t></w:t>
    </w:r>
    <w:r>
      <w:rPr>
        <w:rFonts w:hint="eastAsia"/>
      </w:rPr>
      <w:t xml:space="preserve">     </w:t>
    </w:r>
  </w:p>
  <w:p>
    <w:pPr>
      <w:pStyle w:val="59"/>
      <w:pBdr>
        <w:bottom w:val="none" w:color="auto" w:sz="0" w:space="0"/>
      </w:pBdr>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right"/>
    </w:pPr>
    <w:r>
      <w:rPr>
        <w:lang w:val="zh-CN"/>
      </w:rPr>
      <w:t></w:t>
    </w:r>
    <w:r>
      <w:tab/>
    </w:r>
    <w:r>
      <w:rPr>
        <w:lang w:val="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pPr>
    <w:r>
      <w:t></w:t>
    </w:r>
    <w:r>
      <w:rPr>
        <w:rFonts w:hint="eastAsia"/>
      </w:rPr>
      <w:t xml:space="preserve">         </w:t>
    </w:r>
  </w:p>
  <w:p>
    <w:pPr>
      <w:pStyle w:val="41"/>
      <w:pBdr>
        <w:bottom w:val="none" w:color="auto" w:sz="0" w:space="1"/>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rPr>
        <w:rFonts w:ascii="仿宋_GB2312" w:eastAsia="仿宋_GB2312"/>
        <w:b/>
        <w:i/>
        <w:u w:val="single"/>
      </w:rPr>
    </w:pPr>
    <w:r>
      <w:t></w:t>
    </w:r>
    <w:r>
      <w:rPr>
        <w:rFonts w:hint="eastAsia"/>
      </w:rPr>
      <w:t xml:space="preserve">                                         </w:t>
    </w:r>
  </w:p>
  <w:p>
    <w:pPr>
      <w:pBdr>
        <w:bottom w:val="none" w:color="auto" w:sz="0" w:space="0"/>
      </w:pBd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pPr>
    <w:r>
      <w:t></w:t>
    </w:r>
    <w:r>
      <w:rPr>
        <w:rFonts w:hint="eastAsia"/>
      </w:rPr>
      <w:t xml:space="preserve">         </w:t>
    </w:r>
  </w:p>
  <w:p>
    <w:pPr>
      <w:pStyle w:val="41"/>
      <w:pBdr>
        <w:bottom w:val="none" w:color="auto" w:sz="0" w:space="1"/>
      </w:pBdr>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rPr>
        <w:rFonts w:ascii="仿宋_GB2312" w:eastAsia="仿宋_GB2312"/>
        <w:b/>
        <w:i/>
        <w:u w:val="single"/>
      </w:rPr>
    </w:pPr>
    <w:r>
      <w:rPr>
        <w:rFonts w:hint="eastAsia"/>
      </w:rPr>
      <w:t xml:space="preserve">                              </w:t>
    </w:r>
  </w:p>
  <w:p>
    <w:pPr>
      <w:pBdr>
        <w:bottom w:val="none" w:color="auto" w:sz="0" w:space="0"/>
      </w:pBd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3740B"/>
    <w:multiLevelType w:val="singleLevel"/>
    <w:tmpl w:val="CA13740B"/>
    <w:lvl w:ilvl="0" w:tentative="0">
      <w:start w:val="1"/>
      <w:numFmt w:val="decimal"/>
      <w:suff w:val="nothing"/>
      <w:lvlText w:val="%1、"/>
      <w:lvlJc w:val="left"/>
    </w:lvl>
  </w:abstractNum>
  <w:abstractNum w:abstractNumId="1">
    <w:nsid w:val="15E60B9A"/>
    <w:multiLevelType w:val="singleLevel"/>
    <w:tmpl w:val="15E60B9A"/>
    <w:lvl w:ilvl="0" w:tentative="0">
      <w:start w:val="2"/>
      <w:numFmt w:val="chineseCounting"/>
      <w:suff w:val="nothing"/>
      <w:lvlText w:val="%1、"/>
      <w:lvlJc w:val="left"/>
      <w:rPr>
        <w:rFonts w:hint="eastAsia"/>
      </w:rPr>
    </w:lvl>
  </w:abstractNum>
  <w:abstractNum w:abstractNumId="2">
    <w:nsid w:val="6DDD38A8"/>
    <w:multiLevelType w:val="singleLevel"/>
    <w:tmpl w:val="6DDD38A8"/>
    <w:lvl w:ilvl="0" w:tentative="0">
      <w:start w:val="26"/>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NGIwOTZmNTRlNWQyNWRlY2ZkZDg3OTgyNGNkM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03"/>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81F"/>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464"/>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272"/>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5"/>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535F8"/>
    <w:rsid w:val="019F7441"/>
    <w:rsid w:val="01B37585"/>
    <w:rsid w:val="01D55165"/>
    <w:rsid w:val="01DF6BF8"/>
    <w:rsid w:val="01EC2C57"/>
    <w:rsid w:val="02557C87"/>
    <w:rsid w:val="025F0711"/>
    <w:rsid w:val="026B2E25"/>
    <w:rsid w:val="02824D4D"/>
    <w:rsid w:val="029F53A6"/>
    <w:rsid w:val="02AF0F61"/>
    <w:rsid w:val="02D22B26"/>
    <w:rsid w:val="02DC4B10"/>
    <w:rsid w:val="02DD76CE"/>
    <w:rsid w:val="02F36323"/>
    <w:rsid w:val="02F5619C"/>
    <w:rsid w:val="031275AE"/>
    <w:rsid w:val="0326446A"/>
    <w:rsid w:val="032D5555"/>
    <w:rsid w:val="036634D2"/>
    <w:rsid w:val="03857E60"/>
    <w:rsid w:val="03DD35E4"/>
    <w:rsid w:val="04076900"/>
    <w:rsid w:val="041A5A3B"/>
    <w:rsid w:val="042311BA"/>
    <w:rsid w:val="042B157A"/>
    <w:rsid w:val="047414D8"/>
    <w:rsid w:val="048F763B"/>
    <w:rsid w:val="049F330E"/>
    <w:rsid w:val="04AA775C"/>
    <w:rsid w:val="04AF1889"/>
    <w:rsid w:val="04C77768"/>
    <w:rsid w:val="04F66F48"/>
    <w:rsid w:val="05251E14"/>
    <w:rsid w:val="059047BB"/>
    <w:rsid w:val="05A16594"/>
    <w:rsid w:val="05A7762D"/>
    <w:rsid w:val="060E5941"/>
    <w:rsid w:val="06110FAF"/>
    <w:rsid w:val="06493CA7"/>
    <w:rsid w:val="065739A5"/>
    <w:rsid w:val="065A6178"/>
    <w:rsid w:val="066F1CF3"/>
    <w:rsid w:val="06930BB8"/>
    <w:rsid w:val="069639E4"/>
    <w:rsid w:val="06E670D4"/>
    <w:rsid w:val="07245D42"/>
    <w:rsid w:val="07264C62"/>
    <w:rsid w:val="0779354C"/>
    <w:rsid w:val="07B5708F"/>
    <w:rsid w:val="08056AEF"/>
    <w:rsid w:val="08061376"/>
    <w:rsid w:val="08452D77"/>
    <w:rsid w:val="086401F8"/>
    <w:rsid w:val="0868109B"/>
    <w:rsid w:val="08751CAA"/>
    <w:rsid w:val="087E4C40"/>
    <w:rsid w:val="08A871D0"/>
    <w:rsid w:val="08AD030B"/>
    <w:rsid w:val="08D66AD6"/>
    <w:rsid w:val="08DA33A3"/>
    <w:rsid w:val="08E80F13"/>
    <w:rsid w:val="091247A9"/>
    <w:rsid w:val="09335624"/>
    <w:rsid w:val="093648CC"/>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4E34C6"/>
    <w:rsid w:val="0B5331D2"/>
    <w:rsid w:val="0B547599"/>
    <w:rsid w:val="0B631A88"/>
    <w:rsid w:val="0B683D45"/>
    <w:rsid w:val="0B7F3F11"/>
    <w:rsid w:val="0B884417"/>
    <w:rsid w:val="0BB936E4"/>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3050C4"/>
    <w:rsid w:val="0D4A7419"/>
    <w:rsid w:val="0D616F31"/>
    <w:rsid w:val="0D827401"/>
    <w:rsid w:val="0D84094E"/>
    <w:rsid w:val="0D8A00E9"/>
    <w:rsid w:val="0D8D589E"/>
    <w:rsid w:val="0DA01C73"/>
    <w:rsid w:val="0DD63300"/>
    <w:rsid w:val="0DF50604"/>
    <w:rsid w:val="0DF702FE"/>
    <w:rsid w:val="0E060E51"/>
    <w:rsid w:val="0E1116D0"/>
    <w:rsid w:val="0E280042"/>
    <w:rsid w:val="0E5604B2"/>
    <w:rsid w:val="0E6D5D79"/>
    <w:rsid w:val="0E6E66B4"/>
    <w:rsid w:val="0E9D0089"/>
    <w:rsid w:val="0EB803EE"/>
    <w:rsid w:val="0EF94D4B"/>
    <w:rsid w:val="0F4958DC"/>
    <w:rsid w:val="0F515DF7"/>
    <w:rsid w:val="0F596BA8"/>
    <w:rsid w:val="0F6248D2"/>
    <w:rsid w:val="0F693536"/>
    <w:rsid w:val="0F791955"/>
    <w:rsid w:val="0F7B0511"/>
    <w:rsid w:val="0F7B76D9"/>
    <w:rsid w:val="0F816ACD"/>
    <w:rsid w:val="0F9832DB"/>
    <w:rsid w:val="0FBF3FD2"/>
    <w:rsid w:val="0FBF7FF3"/>
    <w:rsid w:val="0FEA2B2C"/>
    <w:rsid w:val="10343EAB"/>
    <w:rsid w:val="10450B3A"/>
    <w:rsid w:val="10646583"/>
    <w:rsid w:val="107D4B15"/>
    <w:rsid w:val="108A3C80"/>
    <w:rsid w:val="10C26171"/>
    <w:rsid w:val="10F33360"/>
    <w:rsid w:val="10FC16EA"/>
    <w:rsid w:val="110F1D40"/>
    <w:rsid w:val="11266F33"/>
    <w:rsid w:val="118963A1"/>
    <w:rsid w:val="11C6522A"/>
    <w:rsid w:val="11E104CC"/>
    <w:rsid w:val="11E20309"/>
    <w:rsid w:val="11ED5CE9"/>
    <w:rsid w:val="12255233"/>
    <w:rsid w:val="12530213"/>
    <w:rsid w:val="127723A9"/>
    <w:rsid w:val="12862074"/>
    <w:rsid w:val="12883966"/>
    <w:rsid w:val="129E45B4"/>
    <w:rsid w:val="12D81596"/>
    <w:rsid w:val="13072A44"/>
    <w:rsid w:val="135F4BE2"/>
    <w:rsid w:val="139B1A0A"/>
    <w:rsid w:val="139D25C7"/>
    <w:rsid w:val="13BF3CE4"/>
    <w:rsid w:val="13DC0C82"/>
    <w:rsid w:val="13F80232"/>
    <w:rsid w:val="141008D8"/>
    <w:rsid w:val="14125FE6"/>
    <w:rsid w:val="142A67B4"/>
    <w:rsid w:val="146D271E"/>
    <w:rsid w:val="14982588"/>
    <w:rsid w:val="149A5AD9"/>
    <w:rsid w:val="14A7619D"/>
    <w:rsid w:val="150536C3"/>
    <w:rsid w:val="150C1963"/>
    <w:rsid w:val="151447A0"/>
    <w:rsid w:val="154A6454"/>
    <w:rsid w:val="15762120"/>
    <w:rsid w:val="16A8729C"/>
    <w:rsid w:val="16B33777"/>
    <w:rsid w:val="16B77463"/>
    <w:rsid w:val="16BC70A7"/>
    <w:rsid w:val="16C6339E"/>
    <w:rsid w:val="16D06A17"/>
    <w:rsid w:val="16EF2784"/>
    <w:rsid w:val="172F2D79"/>
    <w:rsid w:val="17557BEF"/>
    <w:rsid w:val="176F70BC"/>
    <w:rsid w:val="17D349C1"/>
    <w:rsid w:val="1830729E"/>
    <w:rsid w:val="1870062C"/>
    <w:rsid w:val="18817102"/>
    <w:rsid w:val="18830A15"/>
    <w:rsid w:val="18852B28"/>
    <w:rsid w:val="188B5321"/>
    <w:rsid w:val="189A3B26"/>
    <w:rsid w:val="18A27B3B"/>
    <w:rsid w:val="19081158"/>
    <w:rsid w:val="19932372"/>
    <w:rsid w:val="19A20DD5"/>
    <w:rsid w:val="19AE03F1"/>
    <w:rsid w:val="1A071A03"/>
    <w:rsid w:val="1A1F16AE"/>
    <w:rsid w:val="1A3B5C77"/>
    <w:rsid w:val="1A984BAD"/>
    <w:rsid w:val="1AB8220E"/>
    <w:rsid w:val="1AE4166C"/>
    <w:rsid w:val="1AF06CFB"/>
    <w:rsid w:val="1AF11B8D"/>
    <w:rsid w:val="1AF4365D"/>
    <w:rsid w:val="1B11359C"/>
    <w:rsid w:val="1B2A271F"/>
    <w:rsid w:val="1B530544"/>
    <w:rsid w:val="1B713184"/>
    <w:rsid w:val="1BA209CF"/>
    <w:rsid w:val="1BB4777D"/>
    <w:rsid w:val="1BD75AB8"/>
    <w:rsid w:val="1BFB1448"/>
    <w:rsid w:val="1C0459C2"/>
    <w:rsid w:val="1C1B3B4A"/>
    <w:rsid w:val="1C88086E"/>
    <w:rsid w:val="1CA27B15"/>
    <w:rsid w:val="1CD7691D"/>
    <w:rsid w:val="1CD84995"/>
    <w:rsid w:val="1D266CE1"/>
    <w:rsid w:val="1D3963AF"/>
    <w:rsid w:val="1D6A673C"/>
    <w:rsid w:val="1D9247AE"/>
    <w:rsid w:val="1DB567EC"/>
    <w:rsid w:val="1DB83859"/>
    <w:rsid w:val="1DD4763E"/>
    <w:rsid w:val="1DF51A98"/>
    <w:rsid w:val="1DF910B2"/>
    <w:rsid w:val="1E3D060F"/>
    <w:rsid w:val="1E3F7D2E"/>
    <w:rsid w:val="1E4134E4"/>
    <w:rsid w:val="1E5062B3"/>
    <w:rsid w:val="1E523514"/>
    <w:rsid w:val="1E714A66"/>
    <w:rsid w:val="1E802593"/>
    <w:rsid w:val="1E8B6156"/>
    <w:rsid w:val="1EA703CC"/>
    <w:rsid w:val="1EB7330C"/>
    <w:rsid w:val="1F0A0FF3"/>
    <w:rsid w:val="1F3A37E1"/>
    <w:rsid w:val="1F5771FF"/>
    <w:rsid w:val="1F6F397B"/>
    <w:rsid w:val="1FE868A9"/>
    <w:rsid w:val="20034907"/>
    <w:rsid w:val="200A4283"/>
    <w:rsid w:val="20173E4B"/>
    <w:rsid w:val="202C1C96"/>
    <w:rsid w:val="204E48BC"/>
    <w:rsid w:val="208642F0"/>
    <w:rsid w:val="208921B3"/>
    <w:rsid w:val="20973DEB"/>
    <w:rsid w:val="20B26522"/>
    <w:rsid w:val="20B40C42"/>
    <w:rsid w:val="20B44310"/>
    <w:rsid w:val="20F20E70"/>
    <w:rsid w:val="211116EB"/>
    <w:rsid w:val="216133FC"/>
    <w:rsid w:val="21D56769"/>
    <w:rsid w:val="21E52EF3"/>
    <w:rsid w:val="21ED4F0B"/>
    <w:rsid w:val="21FB5D7B"/>
    <w:rsid w:val="22015E94"/>
    <w:rsid w:val="220B1C3D"/>
    <w:rsid w:val="221700E9"/>
    <w:rsid w:val="221D1D20"/>
    <w:rsid w:val="22334A87"/>
    <w:rsid w:val="22433200"/>
    <w:rsid w:val="22521DD3"/>
    <w:rsid w:val="22BE6801"/>
    <w:rsid w:val="233500BF"/>
    <w:rsid w:val="23377FF7"/>
    <w:rsid w:val="236B425F"/>
    <w:rsid w:val="23836192"/>
    <w:rsid w:val="23901F29"/>
    <w:rsid w:val="239C0061"/>
    <w:rsid w:val="23B908A4"/>
    <w:rsid w:val="23E95BEF"/>
    <w:rsid w:val="23FD0064"/>
    <w:rsid w:val="24324CA4"/>
    <w:rsid w:val="243C43AB"/>
    <w:rsid w:val="245375B0"/>
    <w:rsid w:val="24642C0A"/>
    <w:rsid w:val="24B22173"/>
    <w:rsid w:val="24B95AD9"/>
    <w:rsid w:val="24BE24DA"/>
    <w:rsid w:val="24CF5825"/>
    <w:rsid w:val="24D663E6"/>
    <w:rsid w:val="24D77F2B"/>
    <w:rsid w:val="25690BA7"/>
    <w:rsid w:val="258B00E2"/>
    <w:rsid w:val="25A917A6"/>
    <w:rsid w:val="25BB1883"/>
    <w:rsid w:val="25BE27CC"/>
    <w:rsid w:val="25F74A5C"/>
    <w:rsid w:val="261D1FBA"/>
    <w:rsid w:val="2628662C"/>
    <w:rsid w:val="262D45DE"/>
    <w:rsid w:val="26362DEA"/>
    <w:rsid w:val="26871DC8"/>
    <w:rsid w:val="268B1A7D"/>
    <w:rsid w:val="26A53EF9"/>
    <w:rsid w:val="26A94201"/>
    <w:rsid w:val="26AC274F"/>
    <w:rsid w:val="27044A29"/>
    <w:rsid w:val="271D34C8"/>
    <w:rsid w:val="276142BF"/>
    <w:rsid w:val="27783712"/>
    <w:rsid w:val="278C564A"/>
    <w:rsid w:val="27907362"/>
    <w:rsid w:val="279D33B3"/>
    <w:rsid w:val="28075DD3"/>
    <w:rsid w:val="28333E1D"/>
    <w:rsid w:val="28454BD6"/>
    <w:rsid w:val="28455253"/>
    <w:rsid w:val="28551971"/>
    <w:rsid w:val="285B1C53"/>
    <w:rsid w:val="289F7086"/>
    <w:rsid w:val="28C32028"/>
    <w:rsid w:val="28CC490F"/>
    <w:rsid w:val="28DE40AA"/>
    <w:rsid w:val="29345E77"/>
    <w:rsid w:val="294C65AD"/>
    <w:rsid w:val="2975004B"/>
    <w:rsid w:val="29806583"/>
    <w:rsid w:val="298B3C4C"/>
    <w:rsid w:val="299656F1"/>
    <w:rsid w:val="29B03496"/>
    <w:rsid w:val="29BF5862"/>
    <w:rsid w:val="29C70BBB"/>
    <w:rsid w:val="29F26D24"/>
    <w:rsid w:val="2A15033F"/>
    <w:rsid w:val="2A1662C1"/>
    <w:rsid w:val="2A1C7367"/>
    <w:rsid w:val="2A2815FA"/>
    <w:rsid w:val="2A6A1DC0"/>
    <w:rsid w:val="2A6D6092"/>
    <w:rsid w:val="2A7D76B4"/>
    <w:rsid w:val="2A9055E7"/>
    <w:rsid w:val="2B2972EA"/>
    <w:rsid w:val="2B437463"/>
    <w:rsid w:val="2B7807EE"/>
    <w:rsid w:val="2BA50BF7"/>
    <w:rsid w:val="2BBD7D65"/>
    <w:rsid w:val="2BBF00EC"/>
    <w:rsid w:val="2BC37CFD"/>
    <w:rsid w:val="2BD5237F"/>
    <w:rsid w:val="2BE536CE"/>
    <w:rsid w:val="2BE758D9"/>
    <w:rsid w:val="2C09049E"/>
    <w:rsid w:val="2C0A653C"/>
    <w:rsid w:val="2C191F85"/>
    <w:rsid w:val="2CE82D6F"/>
    <w:rsid w:val="2D343236"/>
    <w:rsid w:val="2DD15014"/>
    <w:rsid w:val="2DDD31D8"/>
    <w:rsid w:val="2DED7666"/>
    <w:rsid w:val="2DF72DE4"/>
    <w:rsid w:val="2E0220AF"/>
    <w:rsid w:val="2E4B082A"/>
    <w:rsid w:val="2E5D4E86"/>
    <w:rsid w:val="2E5D790B"/>
    <w:rsid w:val="2E9A3C18"/>
    <w:rsid w:val="2EBB0FEE"/>
    <w:rsid w:val="2EC63002"/>
    <w:rsid w:val="2F0A6B38"/>
    <w:rsid w:val="2F1860AA"/>
    <w:rsid w:val="2F946CCB"/>
    <w:rsid w:val="2FA36573"/>
    <w:rsid w:val="2FD25781"/>
    <w:rsid w:val="2FDC745C"/>
    <w:rsid w:val="2FFD7934"/>
    <w:rsid w:val="30733ACD"/>
    <w:rsid w:val="308C3862"/>
    <w:rsid w:val="309379D8"/>
    <w:rsid w:val="30A270F7"/>
    <w:rsid w:val="30C33CA7"/>
    <w:rsid w:val="30DF1478"/>
    <w:rsid w:val="30EC586F"/>
    <w:rsid w:val="31466869"/>
    <w:rsid w:val="31983503"/>
    <w:rsid w:val="319C6071"/>
    <w:rsid w:val="31AC537E"/>
    <w:rsid w:val="31E3679B"/>
    <w:rsid w:val="31E732FD"/>
    <w:rsid w:val="320C0799"/>
    <w:rsid w:val="32517576"/>
    <w:rsid w:val="329460F0"/>
    <w:rsid w:val="32BE5C2C"/>
    <w:rsid w:val="32FB6478"/>
    <w:rsid w:val="33263B3F"/>
    <w:rsid w:val="33512FB1"/>
    <w:rsid w:val="336963EB"/>
    <w:rsid w:val="33816EEB"/>
    <w:rsid w:val="33AC25F0"/>
    <w:rsid w:val="33EB55CD"/>
    <w:rsid w:val="33EC4C02"/>
    <w:rsid w:val="340D2360"/>
    <w:rsid w:val="3410665D"/>
    <w:rsid w:val="342015F4"/>
    <w:rsid w:val="34211214"/>
    <w:rsid w:val="342E63AB"/>
    <w:rsid w:val="34516252"/>
    <w:rsid w:val="34950E68"/>
    <w:rsid w:val="34986E94"/>
    <w:rsid w:val="34AF62C9"/>
    <w:rsid w:val="34C44C99"/>
    <w:rsid w:val="34C46423"/>
    <w:rsid w:val="34CB4388"/>
    <w:rsid w:val="34FA6E12"/>
    <w:rsid w:val="354D7158"/>
    <w:rsid w:val="358D5588"/>
    <w:rsid w:val="35BE1323"/>
    <w:rsid w:val="363A3B40"/>
    <w:rsid w:val="365302AE"/>
    <w:rsid w:val="36547242"/>
    <w:rsid w:val="36607A0A"/>
    <w:rsid w:val="366E227C"/>
    <w:rsid w:val="366F2E0D"/>
    <w:rsid w:val="367B6A5C"/>
    <w:rsid w:val="36A74ADA"/>
    <w:rsid w:val="36AD60D5"/>
    <w:rsid w:val="36B224F9"/>
    <w:rsid w:val="36EC0CC9"/>
    <w:rsid w:val="370014F0"/>
    <w:rsid w:val="373F410B"/>
    <w:rsid w:val="3745217E"/>
    <w:rsid w:val="37EE7094"/>
    <w:rsid w:val="38296C89"/>
    <w:rsid w:val="383002EB"/>
    <w:rsid w:val="384004B6"/>
    <w:rsid w:val="38586797"/>
    <w:rsid w:val="38632BBA"/>
    <w:rsid w:val="387160B0"/>
    <w:rsid w:val="38BC0149"/>
    <w:rsid w:val="38BE5FCB"/>
    <w:rsid w:val="38D87D1C"/>
    <w:rsid w:val="393F77FE"/>
    <w:rsid w:val="39636459"/>
    <w:rsid w:val="396B7F6C"/>
    <w:rsid w:val="39B417A9"/>
    <w:rsid w:val="39CB2002"/>
    <w:rsid w:val="39F657B6"/>
    <w:rsid w:val="39FC5695"/>
    <w:rsid w:val="3A006D8E"/>
    <w:rsid w:val="3A3651E5"/>
    <w:rsid w:val="3A744481"/>
    <w:rsid w:val="3A8C7BEF"/>
    <w:rsid w:val="3A906246"/>
    <w:rsid w:val="3AAC7D24"/>
    <w:rsid w:val="3B2349B7"/>
    <w:rsid w:val="3B616CFF"/>
    <w:rsid w:val="3B6259F6"/>
    <w:rsid w:val="3B976654"/>
    <w:rsid w:val="3BC01EFC"/>
    <w:rsid w:val="3BCA786A"/>
    <w:rsid w:val="3BD31E2F"/>
    <w:rsid w:val="3BF15831"/>
    <w:rsid w:val="3C105946"/>
    <w:rsid w:val="3C471448"/>
    <w:rsid w:val="3C5F759A"/>
    <w:rsid w:val="3C6C525A"/>
    <w:rsid w:val="3C785211"/>
    <w:rsid w:val="3CCE23CB"/>
    <w:rsid w:val="3CD17D17"/>
    <w:rsid w:val="3D3C7F39"/>
    <w:rsid w:val="3D440F09"/>
    <w:rsid w:val="3D4504A0"/>
    <w:rsid w:val="3D46234D"/>
    <w:rsid w:val="3D8734BB"/>
    <w:rsid w:val="3D9A11D4"/>
    <w:rsid w:val="3DA16D89"/>
    <w:rsid w:val="3DA364BE"/>
    <w:rsid w:val="3DE041CB"/>
    <w:rsid w:val="3DEB2C72"/>
    <w:rsid w:val="3E0D48F6"/>
    <w:rsid w:val="3E1868B4"/>
    <w:rsid w:val="3E377251"/>
    <w:rsid w:val="3E42664B"/>
    <w:rsid w:val="3E5A7334"/>
    <w:rsid w:val="3E7B5D6B"/>
    <w:rsid w:val="3E843E66"/>
    <w:rsid w:val="3E8F51FE"/>
    <w:rsid w:val="3E926F87"/>
    <w:rsid w:val="3E9A59DE"/>
    <w:rsid w:val="3EAD617A"/>
    <w:rsid w:val="3EAF4836"/>
    <w:rsid w:val="3EC33DFA"/>
    <w:rsid w:val="3ED41415"/>
    <w:rsid w:val="3F060E16"/>
    <w:rsid w:val="3F1D1096"/>
    <w:rsid w:val="3F26732B"/>
    <w:rsid w:val="3F2F0234"/>
    <w:rsid w:val="3F6363FE"/>
    <w:rsid w:val="3F756B8F"/>
    <w:rsid w:val="3F95482B"/>
    <w:rsid w:val="4019356B"/>
    <w:rsid w:val="40447A68"/>
    <w:rsid w:val="40497963"/>
    <w:rsid w:val="40592157"/>
    <w:rsid w:val="406E1CAE"/>
    <w:rsid w:val="40893058"/>
    <w:rsid w:val="40A0133A"/>
    <w:rsid w:val="40C31A53"/>
    <w:rsid w:val="40FF545D"/>
    <w:rsid w:val="410067C8"/>
    <w:rsid w:val="415E16F0"/>
    <w:rsid w:val="418F0D2A"/>
    <w:rsid w:val="41D01505"/>
    <w:rsid w:val="42474939"/>
    <w:rsid w:val="424C3C57"/>
    <w:rsid w:val="42613FF3"/>
    <w:rsid w:val="42660D96"/>
    <w:rsid w:val="426D00FA"/>
    <w:rsid w:val="428667D2"/>
    <w:rsid w:val="42CD1CE0"/>
    <w:rsid w:val="42E1381E"/>
    <w:rsid w:val="42ED6459"/>
    <w:rsid w:val="42FE58DD"/>
    <w:rsid w:val="430F5FF8"/>
    <w:rsid w:val="43174B3D"/>
    <w:rsid w:val="434B790E"/>
    <w:rsid w:val="4360274F"/>
    <w:rsid w:val="43977AB6"/>
    <w:rsid w:val="43A3342B"/>
    <w:rsid w:val="43A65672"/>
    <w:rsid w:val="43C77C27"/>
    <w:rsid w:val="43DE09EE"/>
    <w:rsid w:val="44002FAD"/>
    <w:rsid w:val="440429F3"/>
    <w:rsid w:val="4453631F"/>
    <w:rsid w:val="445F5EC9"/>
    <w:rsid w:val="44727C49"/>
    <w:rsid w:val="449101DD"/>
    <w:rsid w:val="44DE1391"/>
    <w:rsid w:val="451B225C"/>
    <w:rsid w:val="451F3201"/>
    <w:rsid w:val="452410C9"/>
    <w:rsid w:val="45317DFB"/>
    <w:rsid w:val="456D3CE4"/>
    <w:rsid w:val="4579042C"/>
    <w:rsid w:val="457F0571"/>
    <w:rsid w:val="45803E7F"/>
    <w:rsid w:val="45851176"/>
    <w:rsid w:val="45C63B94"/>
    <w:rsid w:val="45DC3A28"/>
    <w:rsid w:val="460E7DA5"/>
    <w:rsid w:val="46422483"/>
    <w:rsid w:val="4659254A"/>
    <w:rsid w:val="465B0637"/>
    <w:rsid w:val="465E3F0D"/>
    <w:rsid w:val="466A16E6"/>
    <w:rsid w:val="46893F2B"/>
    <w:rsid w:val="46C4686E"/>
    <w:rsid w:val="46F54B5B"/>
    <w:rsid w:val="47665118"/>
    <w:rsid w:val="477B778F"/>
    <w:rsid w:val="478203EC"/>
    <w:rsid w:val="47B025FA"/>
    <w:rsid w:val="47DA10BA"/>
    <w:rsid w:val="4809698F"/>
    <w:rsid w:val="4811697D"/>
    <w:rsid w:val="487A3E25"/>
    <w:rsid w:val="488B5503"/>
    <w:rsid w:val="48937E21"/>
    <w:rsid w:val="489A0361"/>
    <w:rsid w:val="48B94FF3"/>
    <w:rsid w:val="48E37AAB"/>
    <w:rsid w:val="48FD4B4C"/>
    <w:rsid w:val="490A68E0"/>
    <w:rsid w:val="491055FE"/>
    <w:rsid w:val="495F5B3E"/>
    <w:rsid w:val="496D41D3"/>
    <w:rsid w:val="496F77D7"/>
    <w:rsid w:val="497654FD"/>
    <w:rsid w:val="49901338"/>
    <w:rsid w:val="49B601A8"/>
    <w:rsid w:val="49B64211"/>
    <w:rsid w:val="49F6167F"/>
    <w:rsid w:val="4A062019"/>
    <w:rsid w:val="4A064FA0"/>
    <w:rsid w:val="4A16615C"/>
    <w:rsid w:val="4A192ED1"/>
    <w:rsid w:val="4A4424D7"/>
    <w:rsid w:val="4A5F0DE7"/>
    <w:rsid w:val="4AB82D0F"/>
    <w:rsid w:val="4AC37A65"/>
    <w:rsid w:val="4ADE0788"/>
    <w:rsid w:val="4AEB7664"/>
    <w:rsid w:val="4AFD7C19"/>
    <w:rsid w:val="4B0567D1"/>
    <w:rsid w:val="4B236AAE"/>
    <w:rsid w:val="4B707271"/>
    <w:rsid w:val="4B9739F7"/>
    <w:rsid w:val="4BEE2503"/>
    <w:rsid w:val="4C245A30"/>
    <w:rsid w:val="4C3A37FC"/>
    <w:rsid w:val="4C60371D"/>
    <w:rsid w:val="4C673F17"/>
    <w:rsid w:val="4CB6685F"/>
    <w:rsid w:val="4CC367FE"/>
    <w:rsid w:val="4D077F3C"/>
    <w:rsid w:val="4D0F570C"/>
    <w:rsid w:val="4D123355"/>
    <w:rsid w:val="4D2A3B31"/>
    <w:rsid w:val="4D312C52"/>
    <w:rsid w:val="4D4976F7"/>
    <w:rsid w:val="4D905305"/>
    <w:rsid w:val="4D947DEA"/>
    <w:rsid w:val="4D964A72"/>
    <w:rsid w:val="4D9C1254"/>
    <w:rsid w:val="4DAE33A9"/>
    <w:rsid w:val="4DB06937"/>
    <w:rsid w:val="4DFA6AC1"/>
    <w:rsid w:val="4E0452F6"/>
    <w:rsid w:val="4E1C5322"/>
    <w:rsid w:val="4E793892"/>
    <w:rsid w:val="4E800872"/>
    <w:rsid w:val="4EC569ED"/>
    <w:rsid w:val="4ED50EA1"/>
    <w:rsid w:val="4EEC050C"/>
    <w:rsid w:val="4F104EC3"/>
    <w:rsid w:val="4F47354A"/>
    <w:rsid w:val="4F911C54"/>
    <w:rsid w:val="4FE048DD"/>
    <w:rsid w:val="4FE625E0"/>
    <w:rsid w:val="501222E0"/>
    <w:rsid w:val="5021480F"/>
    <w:rsid w:val="50423170"/>
    <w:rsid w:val="50962ECB"/>
    <w:rsid w:val="50A42E38"/>
    <w:rsid w:val="50A4577F"/>
    <w:rsid w:val="50B73D1F"/>
    <w:rsid w:val="50BD5BC9"/>
    <w:rsid w:val="50C11EEE"/>
    <w:rsid w:val="50E97CFC"/>
    <w:rsid w:val="50FA4028"/>
    <w:rsid w:val="510D65B7"/>
    <w:rsid w:val="511157AB"/>
    <w:rsid w:val="5142540C"/>
    <w:rsid w:val="515B1A65"/>
    <w:rsid w:val="51714DE5"/>
    <w:rsid w:val="518832C8"/>
    <w:rsid w:val="519D3C50"/>
    <w:rsid w:val="51A0432A"/>
    <w:rsid w:val="51A86090"/>
    <w:rsid w:val="51B7396D"/>
    <w:rsid w:val="51E64DE7"/>
    <w:rsid w:val="522E4CC3"/>
    <w:rsid w:val="5244713B"/>
    <w:rsid w:val="52615633"/>
    <w:rsid w:val="526F4DE4"/>
    <w:rsid w:val="52977FD4"/>
    <w:rsid w:val="529F7E91"/>
    <w:rsid w:val="52A25790"/>
    <w:rsid w:val="52A96B6F"/>
    <w:rsid w:val="52B45975"/>
    <w:rsid w:val="52D94AA4"/>
    <w:rsid w:val="52EA3A62"/>
    <w:rsid w:val="52F50BB8"/>
    <w:rsid w:val="53097272"/>
    <w:rsid w:val="53544462"/>
    <w:rsid w:val="535A7413"/>
    <w:rsid w:val="5397158E"/>
    <w:rsid w:val="54013861"/>
    <w:rsid w:val="54487265"/>
    <w:rsid w:val="544D6070"/>
    <w:rsid w:val="54605E1E"/>
    <w:rsid w:val="548B08B3"/>
    <w:rsid w:val="54B3506A"/>
    <w:rsid w:val="54CA0D16"/>
    <w:rsid w:val="54DD4057"/>
    <w:rsid w:val="54DE6A2C"/>
    <w:rsid w:val="54E7490F"/>
    <w:rsid w:val="54F63D4E"/>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832FC"/>
    <w:rsid w:val="56E842F8"/>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17322"/>
    <w:rsid w:val="58350E34"/>
    <w:rsid w:val="58705DF6"/>
    <w:rsid w:val="58795AA4"/>
    <w:rsid w:val="588A3F92"/>
    <w:rsid w:val="58917D2F"/>
    <w:rsid w:val="5894085C"/>
    <w:rsid w:val="58A25926"/>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173059"/>
    <w:rsid w:val="5B2E1A1D"/>
    <w:rsid w:val="5B843A1C"/>
    <w:rsid w:val="5B873E3F"/>
    <w:rsid w:val="5BC12FED"/>
    <w:rsid w:val="5BCB618D"/>
    <w:rsid w:val="5C02690E"/>
    <w:rsid w:val="5C196DA7"/>
    <w:rsid w:val="5C1D3B53"/>
    <w:rsid w:val="5C2752B7"/>
    <w:rsid w:val="5C2A048C"/>
    <w:rsid w:val="5C46242D"/>
    <w:rsid w:val="5C80234E"/>
    <w:rsid w:val="5C8A680C"/>
    <w:rsid w:val="5CDB37DD"/>
    <w:rsid w:val="5D0C4701"/>
    <w:rsid w:val="5D0F0395"/>
    <w:rsid w:val="5D221076"/>
    <w:rsid w:val="5D397964"/>
    <w:rsid w:val="5D3A5AD2"/>
    <w:rsid w:val="5D5A391C"/>
    <w:rsid w:val="5D5F10C0"/>
    <w:rsid w:val="5D891B7B"/>
    <w:rsid w:val="5DAD38EE"/>
    <w:rsid w:val="5E006862"/>
    <w:rsid w:val="5E0207B9"/>
    <w:rsid w:val="5E1834A1"/>
    <w:rsid w:val="5E261785"/>
    <w:rsid w:val="5E4A7017"/>
    <w:rsid w:val="5E552BBA"/>
    <w:rsid w:val="5E611C10"/>
    <w:rsid w:val="5E68756F"/>
    <w:rsid w:val="5E7A0F3F"/>
    <w:rsid w:val="5EDD3604"/>
    <w:rsid w:val="5EFC7377"/>
    <w:rsid w:val="5EFC7E4E"/>
    <w:rsid w:val="5F06174D"/>
    <w:rsid w:val="5F3A3602"/>
    <w:rsid w:val="5F45733B"/>
    <w:rsid w:val="5F6277C6"/>
    <w:rsid w:val="5F6D0B1D"/>
    <w:rsid w:val="5F8D0B82"/>
    <w:rsid w:val="5FA32F55"/>
    <w:rsid w:val="5FCC5339"/>
    <w:rsid w:val="5FDE140F"/>
    <w:rsid w:val="5FE34A5B"/>
    <w:rsid w:val="5FFE1E36"/>
    <w:rsid w:val="60232584"/>
    <w:rsid w:val="60465DA1"/>
    <w:rsid w:val="606B48E7"/>
    <w:rsid w:val="607330CE"/>
    <w:rsid w:val="60825176"/>
    <w:rsid w:val="609F2AC4"/>
    <w:rsid w:val="60A40C05"/>
    <w:rsid w:val="60FA2EE8"/>
    <w:rsid w:val="61054A27"/>
    <w:rsid w:val="610A52BC"/>
    <w:rsid w:val="611D2366"/>
    <w:rsid w:val="61421856"/>
    <w:rsid w:val="615227C4"/>
    <w:rsid w:val="61654E3F"/>
    <w:rsid w:val="6182292A"/>
    <w:rsid w:val="619F7F92"/>
    <w:rsid w:val="61F94C26"/>
    <w:rsid w:val="62000E56"/>
    <w:rsid w:val="624F3E49"/>
    <w:rsid w:val="62632286"/>
    <w:rsid w:val="62885958"/>
    <w:rsid w:val="6292056C"/>
    <w:rsid w:val="62F40B65"/>
    <w:rsid w:val="62FC2CFE"/>
    <w:rsid w:val="63024505"/>
    <w:rsid w:val="635600A5"/>
    <w:rsid w:val="635B1DB5"/>
    <w:rsid w:val="636C36C9"/>
    <w:rsid w:val="63711FED"/>
    <w:rsid w:val="63880DDC"/>
    <w:rsid w:val="638D750D"/>
    <w:rsid w:val="63AC6CC0"/>
    <w:rsid w:val="63F22C96"/>
    <w:rsid w:val="64055776"/>
    <w:rsid w:val="64240056"/>
    <w:rsid w:val="643E143A"/>
    <w:rsid w:val="64491666"/>
    <w:rsid w:val="648B6EEF"/>
    <w:rsid w:val="64C158BF"/>
    <w:rsid w:val="64CE2EAA"/>
    <w:rsid w:val="653C3090"/>
    <w:rsid w:val="6543453A"/>
    <w:rsid w:val="65476131"/>
    <w:rsid w:val="656B0A66"/>
    <w:rsid w:val="65743C91"/>
    <w:rsid w:val="65854376"/>
    <w:rsid w:val="658767BE"/>
    <w:rsid w:val="65892531"/>
    <w:rsid w:val="66195831"/>
    <w:rsid w:val="662E75B1"/>
    <w:rsid w:val="66342C2E"/>
    <w:rsid w:val="663E784C"/>
    <w:rsid w:val="66404E66"/>
    <w:rsid w:val="668B6A45"/>
    <w:rsid w:val="672F3F24"/>
    <w:rsid w:val="673E055F"/>
    <w:rsid w:val="67551CE3"/>
    <w:rsid w:val="67A22552"/>
    <w:rsid w:val="67AF4FE5"/>
    <w:rsid w:val="67B22DCC"/>
    <w:rsid w:val="67BE71AA"/>
    <w:rsid w:val="67D90273"/>
    <w:rsid w:val="67DE5875"/>
    <w:rsid w:val="67E55852"/>
    <w:rsid w:val="67EB1AB4"/>
    <w:rsid w:val="67FA1285"/>
    <w:rsid w:val="68475A05"/>
    <w:rsid w:val="68551F4F"/>
    <w:rsid w:val="686B7CD4"/>
    <w:rsid w:val="687C10C9"/>
    <w:rsid w:val="68840C16"/>
    <w:rsid w:val="68876EFB"/>
    <w:rsid w:val="68884654"/>
    <w:rsid w:val="689F444F"/>
    <w:rsid w:val="68B96DBB"/>
    <w:rsid w:val="68CA2805"/>
    <w:rsid w:val="68E937A3"/>
    <w:rsid w:val="693E15D3"/>
    <w:rsid w:val="69627681"/>
    <w:rsid w:val="6977531D"/>
    <w:rsid w:val="69BB20C1"/>
    <w:rsid w:val="69BE6173"/>
    <w:rsid w:val="69BF099D"/>
    <w:rsid w:val="69CC2BFF"/>
    <w:rsid w:val="69FD55B8"/>
    <w:rsid w:val="6A0B1C62"/>
    <w:rsid w:val="6A2406C8"/>
    <w:rsid w:val="6A327CD8"/>
    <w:rsid w:val="6A4C5F97"/>
    <w:rsid w:val="6A945AAB"/>
    <w:rsid w:val="6AA8074B"/>
    <w:rsid w:val="6AC41E33"/>
    <w:rsid w:val="6ACF4DB3"/>
    <w:rsid w:val="6ADE0BD1"/>
    <w:rsid w:val="6AE96859"/>
    <w:rsid w:val="6B144D07"/>
    <w:rsid w:val="6B147746"/>
    <w:rsid w:val="6B1C669A"/>
    <w:rsid w:val="6B24787C"/>
    <w:rsid w:val="6B573233"/>
    <w:rsid w:val="6B5B6274"/>
    <w:rsid w:val="6B935D53"/>
    <w:rsid w:val="6C196F71"/>
    <w:rsid w:val="6C226FCB"/>
    <w:rsid w:val="6C31226F"/>
    <w:rsid w:val="6C552F0B"/>
    <w:rsid w:val="6C5B0941"/>
    <w:rsid w:val="6C6F2320"/>
    <w:rsid w:val="6C871E1C"/>
    <w:rsid w:val="6C8C67B7"/>
    <w:rsid w:val="6C9D744C"/>
    <w:rsid w:val="6CAA31D9"/>
    <w:rsid w:val="6D167928"/>
    <w:rsid w:val="6D26299B"/>
    <w:rsid w:val="6D4772EC"/>
    <w:rsid w:val="6D9078AF"/>
    <w:rsid w:val="6DAA3FEF"/>
    <w:rsid w:val="6DC0172B"/>
    <w:rsid w:val="6DCB690C"/>
    <w:rsid w:val="6DD41A5B"/>
    <w:rsid w:val="6DF43C2E"/>
    <w:rsid w:val="6DF51CA3"/>
    <w:rsid w:val="6E627AD2"/>
    <w:rsid w:val="6E8335BD"/>
    <w:rsid w:val="6E8E12EF"/>
    <w:rsid w:val="6E972936"/>
    <w:rsid w:val="6ED446C5"/>
    <w:rsid w:val="6F2A7D94"/>
    <w:rsid w:val="6F3E58A4"/>
    <w:rsid w:val="6F8331F1"/>
    <w:rsid w:val="6FAE1A09"/>
    <w:rsid w:val="6FD75BF8"/>
    <w:rsid w:val="70374D7E"/>
    <w:rsid w:val="703B0F88"/>
    <w:rsid w:val="707723D0"/>
    <w:rsid w:val="70A22325"/>
    <w:rsid w:val="70C22155"/>
    <w:rsid w:val="70F5661B"/>
    <w:rsid w:val="7128150C"/>
    <w:rsid w:val="7133352F"/>
    <w:rsid w:val="71360107"/>
    <w:rsid w:val="713B688E"/>
    <w:rsid w:val="71D43752"/>
    <w:rsid w:val="71F1796A"/>
    <w:rsid w:val="720179A9"/>
    <w:rsid w:val="7206772C"/>
    <w:rsid w:val="72154626"/>
    <w:rsid w:val="72262B5D"/>
    <w:rsid w:val="72263B1A"/>
    <w:rsid w:val="72283FF7"/>
    <w:rsid w:val="722E7212"/>
    <w:rsid w:val="723A0474"/>
    <w:rsid w:val="72516841"/>
    <w:rsid w:val="725923E4"/>
    <w:rsid w:val="72864BF7"/>
    <w:rsid w:val="728C6BB3"/>
    <w:rsid w:val="729023FC"/>
    <w:rsid w:val="730A558D"/>
    <w:rsid w:val="739C2AB8"/>
    <w:rsid w:val="73C01571"/>
    <w:rsid w:val="73C0646E"/>
    <w:rsid w:val="740179E8"/>
    <w:rsid w:val="742222F5"/>
    <w:rsid w:val="743769E8"/>
    <w:rsid w:val="74476126"/>
    <w:rsid w:val="74696ABC"/>
    <w:rsid w:val="74706664"/>
    <w:rsid w:val="747F3682"/>
    <w:rsid w:val="749C4185"/>
    <w:rsid w:val="75067759"/>
    <w:rsid w:val="752E6DCD"/>
    <w:rsid w:val="75354737"/>
    <w:rsid w:val="754B5C49"/>
    <w:rsid w:val="7551380D"/>
    <w:rsid w:val="75600BE5"/>
    <w:rsid w:val="7564475C"/>
    <w:rsid w:val="7583797F"/>
    <w:rsid w:val="75D20F1D"/>
    <w:rsid w:val="75DA2C18"/>
    <w:rsid w:val="75F419BD"/>
    <w:rsid w:val="75F45E62"/>
    <w:rsid w:val="75F54412"/>
    <w:rsid w:val="761D08E0"/>
    <w:rsid w:val="762F2AA0"/>
    <w:rsid w:val="765909D8"/>
    <w:rsid w:val="765D347C"/>
    <w:rsid w:val="76826699"/>
    <w:rsid w:val="76A912CA"/>
    <w:rsid w:val="76C87133"/>
    <w:rsid w:val="76CD08D5"/>
    <w:rsid w:val="76DB4B92"/>
    <w:rsid w:val="76E71522"/>
    <w:rsid w:val="77052AA4"/>
    <w:rsid w:val="77136511"/>
    <w:rsid w:val="77340A39"/>
    <w:rsid w:val="77351FD0"/>
    <w:rsid w:val="77472422"/>
    <w:rsid w:val="777F31F2"/>
    <w:rsid w:val="77D1700D"/>
    <w:rsid w:val="77EC04CC"/>
    <w:rsid w:val="78775729"/>
    <w:rsid w:val="78A225BF"/>
    <w:rsid w:val="78A42DB0"/>
    <w:rsid w:val="78A656AB"/>
    <w:rsid w:val="78B2245C"/>
    <w:rsid w:val="78E172CC"/>
    <w:rsid w:val="78EA1D1F"/>
    <w:rsid w:val="7904172F"/>
    <w:rsid w:val="790F7E27"/>
    <w:rsid w:val="792A231A"/>
    <w:rsid w:val="79316829"/>
    <w:rsid w:val="793D51E2"/>
    <w:rsid w:val="793F31F5"/>
    <w:rsid w:val="797E66A9"/>
    <w:rsid w:val="798518A4"/>
    <w:rsid w:val="79A0298D"/>
    <w:rsid w:val="79A97383"/>
    <w:rsid w:val="79E27E8B"/>
    <w:rsid w:val="79F850CE"/>
    <w:rsid w:val="79FD443C"/>
    <w:rsid w:val="7A1D1975"/>
    <w:rsid w:val="7A3E5150"/>
    <w:rsid w:val="7A4670D6"/>
    <w:rsid w:val="7A49604F"/>
    <w:rsid w:val="7A534B63"/>
    <w:rsid w:val="7A615382"/>
    <w:rsid w:val="7A67303B"/>
    <w:rsid w:val="7AAB1D04"/>
    <w:rsid w:val="7ABA4368"/>
    <w:rsid w:val="7AD05746"/>
    <w:rsid w:val="7B257FFD"/>
    <w:rsid w:val="7B343476"/>
    <w:rsid w:val="7B5A2978"/>
    <w:rsid w:val="7B5A7E4C"/>
    <w:rsid w:val="7B667AF9"/>
    <w:rsid w:val="7B7468F8"/>
    <w:rsid w:val="7B9559F0"/>
    <w:rsid w:val="7BEE0103"/>
    <w:rsid w:val="7C0A0FE4"/>
    <w:rsid w:val="7C254906"/>
    <w:rsid w:val="7C3467E0"/>
    <w:rsid w:val="7C4E24B7"/>
    <w:rsid w:val="7C590818"/>
    <w:rsid w:val="7C7C10F6"/>
    <w:rsid w:val="7C853BEA"/>
    <w:rsid w:val="7C881368"/>
    <w:rsid w:val="7CE27788"/>
    <w:rsid w:val="7D014FA8"/>
    <w:rsid w:val="7D0C32F1"/>
    <w:rsid w:val="7D0F408D"/>
    <w:rsid w:val="7D491C6C"/>
    <w:rsid w:val="7D5429C0"/>
    <w:rsid w:val="7D6E6D43"/>
    <w:rsid w:val="7DB57A34"/>
    <w:rsid w:val="7DE60973"/>
    <w:rsid w:val="7DEF0916"/>
    <w:rsid w:val="7E1E5218"/>
    <w:rsid w:val="7E2769C4"/>
    <w:rsid w:val="7E3F09AC"/>
    <w:rsid w:val="7E9A4E1F"/>
    <w:rsid w:val="7EA7723A"/>
    <w:rsid w:val="7EF56FBB"/>
    <w:rsid w:val="7F0768EB"/>
    <w:rsid w:val="7F0C4CE4"/>
    <w:rsid w:val="7F143BEC"/>
    <w:rsid w:val="7F715AF2"/>
    <w:rsid w:val="7F886E69"/>
    <w:rsid w:val="7F9A1827"/>
    <w:rsid w:val="7FE40CF4"/>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index 8"/>
    <w:basedOn w:val="1"/>
    <w:next w:val="1"/>
    <w:autoRedefine/>
    <w:qFormat/>
    <w:uiPriority w:val="0"/>
    <w:pPr>
      <w:tabs>
        <w:tab w:val="left" w:pos="540"/>
        <w:tab w:val="left" w:pos="900"/>
      </w:tabs>
      <w:jc w:val="center"/>
    </w:pPr>
    <w:rPr>
      <w:rFonts w:ascii="宋体" w:hAnsi="宋体" w:cs="宋体"/>
      <w:color w:val="000000"/>
      <w:sz w:val="32"/>
      <w:szCs w:val="32"/>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1"/>
    <w:autoRedefine/>
    <w:qFormat/>
    <w:uiPriority w:val="0"/>
    <w:pPr>
      <w:spacing w:after="120" w:line="480" w:lineRule="auto"/>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5"/>
    <w:autoRedefine/>
    <w:qFormat/>
    <w:uiPriority w:val="0"/>
    <w:rPr>
      <w:b/>
      <w:bCs/>
    </w:rPr>
  </w:style>
  <w:style w:type="paragraph" w:styleId="61">
    <w:name w:val="Body Text First Indent"/>
    <w:basedOn w:val="24"/>
    <w:next w:val="51"/>
    <w:link w:val="320"/>
    <w:autoRedefine/>
    <w:qFormat/>
    <w:uiPriority w:val="0"/>
    <w:pPr>
      <w:ind w:firstLine="420"/>
    </w:pPr>
    <w:rPr>
      <w:rFonts w:hAnsi="Calibri" w:cs="Times New Roman"/>
      <w:snapToGrid/>
      <w:szCs w:val="20"/>
    </w:rPr>
  </w:style>
  <w:style w:type="paragraph" w:styleId="62">
    <w:name w:val="Body Text First Indent 2"/>
    <w:basedOn w:val="25"/>
    <w:next w:val="61"/>
    <w:link w:val="12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xl53"/>
    <w:basedOn w:val="1"/>
    <w:next w:val="1"/>
    <w:autoRedefine/>
    <w:qFormat/>
    <w:uiPriority w:val="0"/>
    <w:pPr>
      <w:widowControl w:val="0"/>
      <w:spacing w:before="280" w:after="280" w:line="100" w:lineRule="exact"/>
      <w:jc w:val="center"/>
    </w:pPr>
    <w:rPr>
      <w:rFonts w:ascii="宋体" w:hAnsi="Times New Roman"/>
      <w:b/>
      <w:kern w:val="2"/>
      <w:szCs w:val="28"/>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0"/>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2"/>
    <w:autoRedefine/>
    <w:qFormat/>
    <w:uiPriority w:val="0"/>
    <w:rPr>
      <w:rFonts w:ascii="宋体" w:hAnsi="宋体"/>
      <w:kern w:val="2"/>
      <w:sz w:val="21"/>
      <w:szCs w:val="24"/>
    </w:rPr>
  </w:style>
  <w:style w:type="character" w:customStyle="1" w:styleId="121">
    <w:name w:val="font11"/>
    <w:basedOn w:val="70"/>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7"/>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6"/>
    <w:autoRedefine/>
    <w:qFormat/>
    <w:uiPriority w:val="0"/>
    <w:rPr>
      <w:rFonts w:ascii="宋体"/>
      <w:kern w:val="2"/>
      <w:sz w:val="24"/>
      <w:szCs w:val="21"/>
      <w:lang w:val="zh-CN"/>
    </w:rPr>
  </w:style>
  <w:style w:type="character" w:customStyle="1" w:styleId="181">
    <w:name w:val="标题 9 字符"/>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7"/>
    <w:autoRedefine/>
    <w:qFormat/>
    <w:uiPriority w:val="0"/>
    <w:rPr>
      <w:rFonts w:ascii="黑体" w:hAnsi="Courier New" w:eastAsia="黑体"/>
    </w:rPr>
  </w:style>
  <w:style w:type="character" w:customStyle="1" w:styleId="301">
    <w:name w:val="正文文本 2 字符1"/>
    <w:link w:val="56"/>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0"/>
    <w:rPr>
      <w:b/>
      <w:bCs/>
      <w:kern w:val="2"/>
      <w:sz w:val="24"/>
      <w:szCs w:val="24"/>
    </w:rPr>
  </w:style>
  <w:style w:type="character" w:customStyle="1" w:styleId="307">
    <w:name w:val="正文文本缩进 2 字符"/>
    <w:link w:val="37"/>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0"/>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basedOn w:val="70"/>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1"/>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autoRedefine/>
    <w:qFormat/>
    <w:uiPriority w:val="0"/>
    <w:rPr>
      <w:kern w:val="2"/>
      <w:sz w:val="21"/>
      <w:szCs w:val="24"/>
    </w:rPr>
  </w:style>
  <w:style w:type="character" w:customStyle="1" w:styleId="344">
    <w:name w:val="签名 字符"/>
    <w:link w:val="42"/>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3"/>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0"/>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1"/>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1"/>
    <w:autoRedefine/>
    <w:qFormat/>
    <w:uiPriority w:val="0"/>
    <w:pPr>
      <w:tabs>
        <w:tab w:val="left" w:pos="1260"/>
        <w:tab w:val="left" w:pos="1680"/>
        <w:tab w:val="left" w:pos="2100"/>
      </w:tabs>
      <w:ind w:left="0"/>
      <w:outlineLvl w:val="3"/>
    </w:pPr>
  </w:style>
  <w:style w:type="paragraph" w:customStyle="1" w:styleId="656">
    <w:name w:val="一级条标题"/>
    <w:basedOn w:val="657"/>
    <w:next w:val="1"/>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8"/>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33532</Words>
  <Characters>35465</Characters>
  <Lines>287</Lines>
  <Paragraphs>81</Paragraphs>
  <TotalTime>23</TotalTime>
  <ScaleCrop>false</ScaleCrop>
  <LinksUpToDate>false</LinksUpToDate>
  <CharactersWithSpaces>40769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浙江华耀建设</cp:lastModifiedBy>
  <cp:lastPrinted>2023-06-14T04:22:00Z</cp:lastPrinted>
  <dcterms:modified xsi:type="dcterms:W3CDTF">2024-06-12T07:49:44Z</dcterms:modified>
  <dc:title>杭州市市民卡扩大发卡工程</dc:title>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