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6DC68">
      <w:pPr>
        <w:adjustRightInd/>
        <w:spacing w:line="360" w:lineRule="auto"/>
        <w:jc w:val="center"/>
        <w:rPr>
          <w:rFonts w:ascii="仿宋_GB2312" w:hAnsi="仿宋" w:eastAsia="仿宋_GB2312" w:cs="仿宋_GB2312"/>
          <w:b/>
          <w:sz w:val="28"/>
          <w:szCs w:val="28"/>
        </w:rPr>
      </w:pPr>
    </w:p>
    <w:p w14:paraId="32352978">
      <w:pPr>
        <w:adjustRightInd/>
        <w:spacing w:line="360" w:lineRule="auto"/>
        <w:jc w:val="center"/>
        <w:rPr>
          <w:rFonts w:hint="eastAsia" w:ascii="仿宋" w:hAnsi="仿宋" w:eastAsia="仿宋" w:cs="仿宋_GB2312"/>
          <w:b/>
          <w:bCs/>
          <w:sz w:val="48"/>
          <w:szCs w:val="48"/>
          <w:highlight w:val="none"/>
          <w:lang w:eastAsia="zh-CN"/>
        </w:rPr>
      </w:pPr>
      <w:r>
        <w:rPr>
          <w:rFonts w:hint="eastAsia" w:ascii="仿宋" w:hAnsi="仿宋" w:eastAsia="仿宋" w:cs="仿宋_GB2312"/>
          <w:b/>
          <w:bCs/>
          <w:sz w:val="48"/>
          <w:szCs w:val="48"/>
          <w:highlight w:val="none"/>
          <w:lang w:eastAsia="zh-CN"/>
        </w:rPr>
        <w:t>杭州市临安区於潜镇综合保洁项目</w:t>
      </w:r>
    </w:p>
    <w:p w14:paraId="79439BA1">
      <w:pPr>
        <w:pStyle w:val="3"/>
        <w:rPr>
          <w:highlight w:val="none"/>
        </w:rPr>
      </w:pPr>
    </w:p>
    <w:p w14:paraId="736F9A95">
      <w:pPr>
        <w:adjustRightInd/>
        <w:spacing w:line="360" w:lineRule="auto"/>
        <w:jc w:val="center"/>
        <w:rPr>
          <w:rFonts w:ascii="仿宋" w:hAnsi="仿宋" w:eastAsia="仿宋" w:cs="仿宋_GB2312"/>
          <w:b/>
          <w:bCs/>
          <w:sz w:val="72"/>
          <w:szCs w:val="72"/>
          <w:highlight w:val="none"/>
        </w:rPr>
      </w:pPr>
      <w:r>
        <w:rPr>
          <w:rFonts w:hint="eastAsia" w:ascii="仿宋" w:hAnsi="仿宋" w:eastAsia="仿宋" w:cs="仿宋_GB2312"/>
          <w:b/>
          <w:bCs/>
          <w:sz w:val="72"/>
          <w:szCs w:val="72"/>
          <w:highlight w:val="none"/>
        </w:rPr>
        <w:t>招标文件</w:t>
      </w:r>
    </w:p>
    <w:p w14:paraId="44844E8C">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14:paraId="6F08A9F5">
      <w:pPr>
        <w:snapToGrid w:val="0"/>
        <w:spacing w:line="360" w:lineRule="auto"/>
        <w:jc w:val="center"/>
        <w:rPr>
          <w:rFonts w:ascii="仿宋" w:hAnsi="仿宋" w:eastAsia="仿宋" w:cs="仿宋_GB2312"/>
          <w:sz w:val="30"/>
          <w:szCs w:val="30"/>
          <w:highlight w:val="none"/>
        </w:rPr>
      </w:pPr>
      <w:r>
        <w:rPr>
          <w:rFonts w:hint="eastAsia" w:ascii="仿宋" w:hAnsi="仿宋" w:eastAsia="仿宋" w:cs="仿宋_GB2312"/>
          <w:sz w:val="30"/>
          <w:szCs w:val="30"/>
          <w:highlight w:val="none"/>
        </w:rPr>
        <w:t>编号：临[2024]2512号</w:t>
      </w:r>
    </w:p>
    <w:p w14:paraId="41E82E00">
      <w:pPr>
        <w:adjustRightInd/>
        <w:spacing w:line="360" w:lineRule="auto"/>
        <w:rPr>
          <w:rFonts w:ascii="仿宋" w:hAnsi="仿宋" w:eastAsia="仿宋" w:cs="仿宋_GB2312"/>
          <w:sz w:val="28"/>
          <w:szCs w:val="20"/>
          <w:highlight w:val="none"/>
        </w:rPr>
      </w:pPr>
    </w:p>
    <w:p w14:paraId="4FC8E44A">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14:paraId="6B0B5476">
      <w:pPr>
        <w:spacing w:line="360" w:lineRule="auto"/>
        <w:jc w:val="center"/>
        <w:rPr>
          <w:rFonts w:ascii="仿宋" w:hAnsi="仿宋" w:eastAsia="仿宋" w:cs="仿宋_GB2312"/>
          <w:b/>
          <w:sz w:val="44"/>
          <w:szCs w:val="44"/>
          <w:highlight w:val="none"/>
        </w:rPr>
      </w:pPr>
    </w:p>
    <w:p w14:paraId="52271DFF">
      <w:pPr>
        <w:spacing w:line="360" w:lineRule="auto"/>
        <w:jc w:val="center"/>
        <w:rPr>
          <w:rFonts w:ascii="仿宋" w:hAnsi="仿宋" w:eastAsia="仿宋" w:cs="仿宋_GB2312"/>
          <w:sz w:val="24"/>
          <w:highlight w:val="none"/>
        </w:rPr>
      </w:pPr>
    </w:p>
    <w:p w14:paraId="5BB03089">
      <w:pPr>
        <w:spacing w:line="360" w:lineRule="auto"/>
        <w:jc w:val="center"/>
        <w:rPr>
          <w:rFonts w:ascii="仿宋" w:hAnsi="仿宋" w:eastAsia="仿宋" w:cs="仿宋_GB2312"/>
          <w:sz w:val="24"/>
          <w:highlight w:val="none"/>
        </w:rPr>
      </w:pPr>
    </w:p>
    <w:p w14:paraId="18CD87F7">
      <w:pPr>
        <w:spacing w:line="360" w:lineRule="auto"/>
        <w:rPr>
          <w:rFonts w:ascii="仿宋" w:hAnsi="仿宋" w:eastAsia="仿宋" w:cs="仿宋_GB2312"/>
          <w:sz w:val="32"/>
          <w:szCs w:val="32"/>
          <w:highlight w:val="none"/>
        </w:rPr>
      </w:pPr>
    </w:p>
    <w:p w14:paraId="5B0543A1">
      <w:pPr>
        <w:pStyle w:val="3"/>
        <w:rPr>
          <w:rFonts w:ascii="仿宋" w:hAnsi="仿宋" w:eastAsia="仿宋" w:cs="仿宋_GB2312"/>
          <w:sz w:val="32"/>
          <w:szCs w:val="32"/>
          <w:highlight w:val="none"/>
        </w:rPr>
      </w:pPr>
    </w:p>
    <w:p w14:paraId="087BC262">
      <w:pPr>
        <w:rPr>
          <w:rFonts w:ascii="仿宋" w:hAnsi="仿宋" w:eastAsia="仿宋" w:cs="仿宋_GB2312"/>
          <w:sz w:val="32"/>
          <w:szCs w:val="32"/>
          <w:highlight w:val="none"/>
        </w:rPr>
      </w:pPr>
    </w:p>
    <w:p w14:paraId="5EE4D4F3">
      <w:pPr>
        <w:pStyle w:val="3"/>
        <w:rPr>
          <w:highlight w:val="none"/>
        </w:rPr>
      </w:pPr>
    </w:p>
    <w:p w14:paraId="303C1003">
      <w:pPr>
        <w:pageBreakBefore w:val="0"/>
        <w:widowControl w:val="0"/>
        <w:kinsoku/>
        <w:wordWrap/>
        <w:overflowPunct/>
        <w:topLinePunct w:val="0"/>
        <w:autoSpaceDE/>
        <w:autoSpaceDN/>
        <w:bidi w:val="0"/>
        <w:snapToGrid w:val="0"/>
        <w:spacing w:line="360" w:lineRule="auto"/>
        <w:ind w:left="0" w:leftChars="0" w:firstLine="1280" w:firstLineChars="400"/>
        <w:jc w:val="both"/>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bCs/>
          <w:color w:val="000000"/>
          <w:sz w:val="32"/>
          <w:szCs w:val="32"/>
          <w:highlight w:val="none"/>
        </w:rPr>
        <w:t>采购单位：</w:t>
      </w:r>
      <w:r>
        <w:rPr>
          <w:rFonts w:hint="eastAsia" w:ascii="仿宋" w:hAnsi="仿宋" w:eastAsia="仿宋" w:cs="仿宋_GB2312"/>
          <w:bCs/>
          <w:color w:val="000000"/>
          <w:sz w:val="32"/>
          <w:szCs w:val="32"/>
          <w:highlight w:val="none"/>
          <w:lang w:eastAsia="zh-CN"/>
        </w:rPr>
        <w:t>杭州市临安区於潜镇人民政府</w:t>
      </w:r>
    </w:p>
    <w:p w14:paraId="1DA61EF5">
      <w:pPr>
        <w:pageBreakBefore w:val="0"/>
        <w:widowControl w:val="0"/>
        <w:kinsoku/>
        <w:wordWrap/>
        <w:overflowPunct/>
        <w:topLinePunct w:val="0"/>
        <w:autoSpaceDE/>
        <w:autoSpaceDN/>
        <w:bidi w:val="0"/>
        <w:spacing w:line="360" w:lineRule="auto"/>
        <w:ind w:left="0" w:leftChars="0" w:firstLine="1280" w:firstLineChars="400"/>
        <w:jc w:val="both"/>
        <w:textAlignment w:val="auto"/>
        <w:rPr>
          <w:rFonts w:hint="eastAsia" w:ascii="仿宋" w:hAnsi="仿宋" w:eastAsia="仿宋" w:cs="仿宋_GB2312"/>
          <w:bCs/>
          <w:color w:val="000000"/>
          <w:sz w:val="32"/>
          <w:szCs w:val="32"/>
          <w:highlight w:val="none"/>
          <w:lang w:eastAsia="zh-CN"/>
        </w:rPr>
      </w:pPr>
      <w:r>
        <w:rPr>
          <w:rFonts w:hint="eastAsia" w:ascii="仿宋" w:hAnsi="仿宋" w:eastAsia="仿宋" w:cs="仿宋_GB2312"/>
          <w:bCs/>
          <w:color w:val="000000"/>
          <w:sz w:val="32"/>
          <w:szCs w:val="32"/>
          <w:highlight w:val="none"/>
        </w:rPr>
        <w:t>采购机构：</w:t>
      </w:r>
      <w:r>
        <w:rPr>
          <w:rFonts w:hint="eastAsia" w:ascii="仿宋" w:hAnsi="仿宋" w:eastAsia="仿宋" w:cs="仿宋_GB2312"/>
          <w:bCs/>
          <w:color w:val="000000"/>
          <w:sz w:val="32"/>
          <w:szCs w:val="32"/>
          <w:highlight w:val="none"/>
          <w:lang w:eastAsia="zh-CN"/>
        </w:rPr>
        <w:t>浙江华耀建设咨询有限公司</w:t>
      </w:r>
    </w:p>
    <w:p w14:paraId="5CF8129B">
      <w:pPr>
        <w:pStyle w:val="3"/>
        <w:pageBreakBefore w:val="0"/>
        <w:widowControl w:val="0"/>
        <w:kinsoku/>
        <w:wordWrap/>
        <w:overflowPunct/>
        <w:topLinePunct w:val="0"/>
        <w:autoSpaceDE/>
        <w:autoSpaceDN/>
        <w:bidi w:val="0"/>
        <w:ind w:left="0" w:leftChars="0" w:firstLine="1264" w:firstLineChars="395"/>
        <w:textAlignment w:val="auto"/>
        <w:rPr>
          <w:rFonts w:hint="eastAsia" w:ascii="仿宋" w:hAnsi="仿宋" w:eastAsia="仿宋" w:cs="仿宋_GB2312"/>
          <w:b w:val="0"/>
          <w:bCs/>
          <w:color w:val="000000"/>
          <w:kern w:val="2"/>
          <w:sz w:val="32"/>
          <w:szCs w:val="32"/>
          <w:highlight w:val="none"/>
          <w:lang w:val="en-US" w:eastAsia="zh-CN" w:bidi="ar-SA"/>
        </w:rPr>
      </w:pPr>
      <w:r>
        <w:rPr>
          <w:rFonts w:hint="eastAsia" w:ascii="仿宋" w:hAnsi="仿宋" w:eastAsia="仿宋" w:cs="仿宋_GB2312"/>
          <w:b w:val="0"/>
          <w:bCs/>
          <w:color w:val="000000"/>
          <w:kern w:val="2"/>
          <w:sz w:val="32"/>
          <w:szCs w:val="32"/>
          <w:highlight w:val="none"/>
          <w:lang w:val="en-US" w:eastAsia="zh-CN" w:bidi="ar-SA"/>
        </w:rPr>
        <w:t>备案单位：杭州市临安区政府采购办公室</w:t>
      </w:r>
    </w:p>
    <w:p w14:paraId="6A73A192">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eastAsia="zh-CN"/>
        </w:rPr>
        <w:t>四</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eastAsia="zh-CN"/>
        </w:rPr>
        <w:t>十</w:t>
      </w:r>
      <w:r>
        <w:rPr>
          <w:rFonts w:hint="eastAsia" w:ascii="仿宋_GB2312" w:hAnsi="仿宋_GB2312" w:eastAsia="仿宋_GB2312" w:cs="仿宋_GB2312"/>
          <w:bCs/>
          <w:sz w:val="32"/>
          <w:szCs w:val="32"/>
          <w:highlight w:val="none"/>
        </w:rPr>
        <w:t>月</w:t>
      </w:r>
    </w:p>
    <w:p w14:paraId="31FA20CE">
      <w:pPr>
        <w:spacing w:line="360" w:lineRule="auto"/>
        <w:jc w:val="center"/>
        <w:rPr>
          <w:rFonts w:ascii="仿宋" w:hAnsi="仿宋" w:eastAsia="仿宋" w:cs="仿宋_GB2312"/>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850" w:left="1418" w:header="851" w:footer="992" w:gutter="0"/>
          <w:pgNumType w:fmt="decimal"/>
          <w:cols w:space="720" w:num="1"/>
          <w:titlePg/>
          <w:docGrid w:linePitch="312" w:charSpace="0"/>
        </w:sectPr>
      </w:pPr>
    </w:p>
    <w:p w14:paraId="3568CF9B">
      <w:pPr>
        <w:pStyle w:val="3"/>
        <w:rPr>
          <w:highlight w:val="none"/>
        </w:rPr>
      </w:pPr>
    </w:p>
    <w:p w14:paraId="0544BE81">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w:t>
      </w:r>
      <w:r>
        <w:rPr>
          <w:rFonts w:ascii="仿宋" w:hAnsi="仿宋" w:eastAsia="仿宋" w:cs="仿宋_GB2312"/>
          <w:b/>
          <w:sz w:val="48"/>
          <w:szCs w:val="48"/>
          <w:highlight w:val="none"/>
        </w:rPr>
        <w:t xml:space="preserve">  </w:t>
      </w:r>
      <w:r>
        <w:rPr>
          <w:rFonts w:hint="eastAsia" w:ascii="仿宋" w:hAnsi="仿宋" w:eastAsia="仿宋" w:cs="仿宋_GB2312"/>
          <w:b/>
          <w:sz w:val="48"/>
          <w:szCs w:val="48"/>
          <w:highlight w:val="none"/>
        </w:rPr>
        <w:t>录</w:t>
      </w:r>
    </w:p>
    <w:p w14:paraId="60170A3E">
      <w:pPr>
        <w:spacing w:line="360" w:lineRule="auto"/>
        <w:rPr>
          <w:rFonts w:ascii="仿宋" w:hAnsi="仿宋" w:eastAsia="仿宋" w:cs="仿宋_GB2312"/>
          <w:sz w:val="32"/>
          <w:szCs w:val="32"/>
          <w:highlight w:val="none"/>
        </w:rPr>
      </w:pPr>
    </w:p>
    <w:p w14:paraId="5E3C86E6">
      <w:pPr>
        <w:spacing w:line="360" w:lineRule="auto"/>
        <w:rPr>
          <w:rFonts w:ascii="仿宋" w:hAnsi="仿宋" w:eastAsia="仿宋" w:cs="仿宋_GB2312"/>
          <w:sz w:val="32"/>
          <w:szCs w:val="32"/>
          <w:highlight w:val="none"/>
        </w:rPr>
      </w:pPr>
    </w:p>
    <w:p w14:paraId="3647FD6F">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招标公告</w:t>
      </w:r>
    </w:p>
    <w:p w14:paraId="2B69351F">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投标人须知</w:t>
      </w:r>
    </w:p>
    <w:p w14:paraId="27E4BDC7">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采购需求</w:t>
      </w:r>
    </w:p>
    <w:p w14:paraId="1A7DE0ED">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评标办法</w:t>
      </w:r>
    </w:p>
    <w:p w14:paraId="02E09D63">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拟签订的合同文本</w:t>
      </w:r>
    </w:p>
    <w:p w14:paraId="6F5E1BF1">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应提交的有关格式范例</w:t>
      </w:r>
    </w:p>
    <w:p w14:paraId="029FC684">
      <w:pPr>
        <w:spacing w:line="360" w:lineRule="auto"/>
        <w:ind w:firstLine="549" w:firstLineChars="229"/>
        <w:rPr>
          <w:rFonts w:ascii="仿宋" w:hAnsi="仿宋" w:eastAsia="仿宋" w:cs="仿宋_GB2312"/>
          <w:sz w:val="24"/>
          <w:highlight w:val="none"/>
        </w:rPr>
      </w:pPr>
      <w:bookmarkStart w:id="0" w:name="_Hlt91233176"/>
      <w:bookmarkEnd w:id="0"/>
      <w:bookmarkStart w:id="1" w:name="_Toc91899869"/>
    </w:p>
    <w:p w14:paraId="17A1FFFB">
      <w:pPr>
        <w:spacing w:line="360" w:lineRule="auto"/>
        <w:ind w:firstLine="549" w:firstLineChars="229"/>
        <w:rPr>
          <w:rFonts w:ascii="仿宋" w:hAnsi="仿宋" w:eastAsia="仿宋" w:cs="仿宋_GB2312"/>
          <w:sz w:val="24"/>
          <w:highlight w:val="none"/>
        </w:rPr>
      </w:pPr>
    </w:p>
    <w:p w14:paraId="268AA816">
      <w:pPr>
        <w:spacing w:line="360" w:lineRule="auto"/>
        <w:ind w:firstLine="549" w:firstLineChars="229"/>
        <w:rPr>
          <w:rFonts w:ascii="仿宋" w:hAnsi="仿宋" w:eastAsia="仿宋" w:cs="仿宋_GB2312"/>
          <w:sz w:val="24"/>
          <w:highlight w:val="none"/>
        </w:rPr>
      </w:pPr>
    </w:p>
    <w:p w14:paraId="3DF441E7">
      <w:pPr>
        <w:spacing w:line="360" w:lineRule="auto"/>
        <w:ind w:firstLine="549" w:firstLineChars="229"/>
        <w:rPr>
          <w:rFonts w:ascii="仿宋" w:hAnsi="仿宋" w:eastAsia="仿宋" w:cs="仿宋_GB2312"/>
          <w:sz w:val="24"/>
          <w:highlight w:val="none"/>
        </w:rPr>
      </w:pPr>
    </w:p>
    <w:p w14:paraId="15E10CED">
      <w:pPr>
        <w:spacing w:line="360" w:lineRule="auto"/>
        <w:ind w:firstLine="549" w:firstLineChars="229"/>
        <w:rPr>
          <w:rFonts w:ascii="仿宋" w:hAnsi="仿宋" w:eastAsia="仿宋" w:cs="仿宋_GB2312"/>
          <w:sz w:val="24"/>
          <w:highlight w:val="none"/>
        </w:rPr>
      </w:pPr>
    </w:p>
    <w:p w14:paraId="152DF242">
      <w:pPr>
        <w:spacing w:line="360" w:lineRule="auto"/>
        <w:ind w:firstLine="549" w:firstLineChars="229"/>
        <w:rPr>
          <w:rFonts w:ascii="仿宋" w:hAnsi="仿宋" w:eastAsia="仿宋" w:cs="仿宋_GB2312"/>
          <w:sz w:val="24"/>
          <w:highlight w:val="none"/>
        </w:rPr>
      </w:pPr>
    </w:p>
    <w:p w14:paraId="10DF0C6A">
      <w:pPr>
        <w:spacing w:line="360" w:lineRule="auto"/>
        <w:ind w:firstLine="549" w:firstLineChars="229"/>
        <w:rPr>
          <w:rFonts w:ascii="仿宋" w:hAnsi="仿宋" w:eastAsia="仿宋" w:cs="仿宋_GB2312"/>
          <w:sz w:val="24"/>
          <w:highlight w:val="none"/>
        </w:rPr>
      </w:pPr>
    </w:p>
    <w:p w14:paraId="70BDC4FD">
      <w:pPr>
        <w:spacing w:line="360" w:lineRule="auto"/>
        <w:ind w:firstLine="549" w:firstLineChars="229"/>
        <w:rPr>
          <w:rFonts w:ascii="仿宋" w:hAnsi="仿宋" w:eastAsia="仿宋" w:cs="仿宋_GB2312"/>
          <w:sz w:val="24"/>
          <w:highlight w:val="none"/>
        </w:rPr>
      </w:pPr>
    </w:p>
    <w:p w14:paraId="5EDE9355">
      <w:pPr>
        <w:spacing w:line="360" w:lineRule="auto"/>
        <w:ind w:firstLine="549" w:firstLineChars="229"/>
        <w:rPr>
          <w:rFonts w:ascii="仿宋" w:hAnsi="仿宋" w:eastAsia="仿宋" w:cs="仿宋_GB2312"/>
          <w:sz w:val="24"/>
          <w:highlight w:val="none"/>
        </w:rPr>
      </w:pPr>
    </w:p>
    <w:p w14:paraId="7F4AE484">
      <w:pPr>
        <w:spacing w:line="360" w:lineRule="auto"/>
        <w:ind w:firstLine="549" w:firstLineChars="229"/>
        <w:rPr>
          <w:rFonts w:ascii="仿宋" w:hAnsi="仿宋" w:eastAsia="仿宋" w:cs="仿宋_GB2312"/>
          <w:sz w:val="24"/>
          <w:highlight w:val="none"/>
        </w:rPr>
      </w:pPr>
    </w:p>
    <w:p w14:paraId="78BA1503">
      <w:pPr>
        <w:spacing w:line="360" w:lineRule="auto"/>
        <w:ind w:firstLine="549" w:firstLineChars="229"/>
        <w:rPr>
          <w:rFonts w:ascii="仿宋" w:hAnsi="仿宋" w:eastAsia="仿宋" w:cs="仿宋_GB2312"/>
          <w:sz w:val="24"/>
          <w:highlight w:val="none"/>
        </w:rPr>
      </w:pPr>
    </w:p>
    <w:p w14:paraId="6086994B">
      <w:pPr>
        <w:spacing w:line="360" w:lineRule="auto"/>
        <w:ind w:firstLine="549" w:firstLineChars="229"/>
        <w:rPr>
          <w:rFonts w:ascii="仿宋" w:hAnsi="仿宋" w:eastAsia="仿宋" w:cs="仿宋_GB2312"/>
          <w:sz w:val="24"/>
          <w:highlight w:val="none"/>
        </w:rPr>
      </w:pPr>
    </w:p>
    <w:p w14:paraId="2499AB82">
      <w:pPr>
        <w:spacing w:line="360" w:lineRule="auto"/>
        <w:ind w:firstLine="549" w:firstLineChars="229"/>
        <w:rPr>
          <w:rFonts w:ascii="仿宋" w:hAnsi="仿宋" w:eastAsia="仿宋" w:cs="仿宋_GB2312"/>
          <w:sz w:val="24"/>
          <w:highlight w:val="none"/>
        </w:rPr>
      </w:pPr>
    </w:p>
    <w:p w14:paraId="1220F65D">
      <w:pPr>
        <w:spacing w:line="360" w:lineRule="auto"/>
        <w:rPr>
          <w:rFonts w:ascii="仿宋" w:hAnsi="仿宋" w:eastAsia="仿宋" w:cs="仿宋_GB2312"/>
          <w:sz w:val="24"/>
          <w:highlight w:val="none"/>
        </w:rPr>
      </w:pPr>
    </w:p>
    <w:p w14:paraId="774AECA4">
      <w:pPr>
        <w:adjustRightInd/>
        <w:spacing w:line="360" w:lineRule="auto"/>
        <w:jc w:val="center"/>
        <w:outlineLvl w:val="0"/>
        <w:rPr>
          <w:rFonts w:ascii="仿宋_GB2312" w:hAnsi="仿宋" w:eastAsia="仿宋_GB2312" w:cs="仿宋_GB2312"/>
          <w:b/>
          <w:sz w:val="36"/>
          <w:szCs w:val="20"/>
          <w:highlight w:val="none"/>
        </w:rPr>
      </w:pPr>
      <w:bookmarkStart w:id="2" w:name="第一部分"/>
      <w:r>
        <w:rPr>
          <w:rFonts w:ascii="仿宋" w:hAnsi="仿宋" w:eastAsia="仿宋" w:cs="仿宋_GB2312"/>
          <w:b/>
          <w:sz w:val="36"/>
          <w:szCs w:val="36"/>
          <w:highlight w:val="none"/>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仿宋" w:hAnsi="仿宋" w:eastAsia="仿宋" w:cs="仿宋_GB2312"/>
          <w:b/>
          <w:sz w:val="36"/>
          <w:szCs w:val="20"/>
          <w:highlight w:val="none"/>
        </w:rPr>
        <w:t>第一部分</w:t>
      </w:r>
      <w:r>
        <w:rPr>
          <w:rFonts w:ascii="仿宋" w:hAnsi="仿宋" w:eastAsia="仿宋" w:cs="仿宋_GB2312"/>
          <w:b/>
          <w:sz w:val="36"/>
          <w:szCs w:val="20"/>
          <w:highlight w:val="none"/>
        </w:rPr>
        <w:t xml:space="preserve"> </w:t>
      </w:r>
      <w:r>
        <w:rPr>
          <w:rFonts w:hint="eastAsia" w:ascii="仿宋_GB2312" w:hAnsi="仿宋" w:eastAsia="仿宋_GB2312" w:cs="仿宋_GB2312"/>
          <w:b/>
          <w:sz w:val="36"/>
          <w:szCs w:val="20"/>
          <w:highlight w:val="none"/>
        </w:rPr>
        <w:t>招标公告</w:t>
      </w:r>
    </w:p>
    <w:p w14:paraId="179F09C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项目概况</w:t>
      </w:r>
    </w:p>
    <w:p w14:paraId="5C112E0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sz w:val="24"/>
          <w:highlight w:val="none"/>
          <w:u w:val="single"/>
        </w:rPr>
      </w:pPr>
      <w:r>
        <w:rPr>
          <w:rFonts w:hint="eastAsia" w:ascii="仿宋_GB2312" w:hAnsi="仿宋" w:eastAsia="仿宋_GB2312"/>
          <w:sz w:val="24"/>
          <w:highlight w:val="none"/>
          <w:lang w:eastAsia="zh-CN"/>
        </w:rPr>
        <w:t>杭州市临安区於潜镇综合保洁项目</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4</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14:paraId="40C6342A">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14:paraId="32B67544">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b w:val="0"/>
          <w:bCs/>
          <w:sz w:val="24"/>
          <w:highlight w:val="none"/>
        </w:rPr>
        <w:t>临[2024]2512</w:t>
      </w:r>
    </w:p>
    <w:p w14:paraId="3507351D">
      <w:pPr>
        <w:keepNext w:val="0"/>
        <w:keepLines w:val="0"/>
        <w:pageBreakBefore w:val="0"/>
        <w:kinsoku/>
        <w:wordWrap/>
        <w:overflowPunct/>
        <w:topLinePunct w:val="0"/>
        <w:autoSpaceDE/>
        <w:autoSpaceDN/>
        <w:bidi w:val="0"/>
        <w:adjustRightInd w:val="0"/>
        <w:spacing w:line="440" w:lineRule="exact"/>
        <w:textAlignment w:val="auto"/>
        <w:rPr>
          <w:rFonts w:hint="eastAsia" w:ascii="仿宋_GB2312" w:hAnsi="仿宋" w:eastAsia="仿宋_GB2312"/>
          <w:sz w:val="24"/>
          <w:highlight w:val="none"/>
          <w:lang w:eastAsia="zh-CN"/>
        </w:rPr>
      </w:pPr>
      <w:r>
        <w:rPr>
          <w:rFonts w:ascii="仿宋_GB2312" w:hAnsi="仿宋" w:eastAsia="仿宋_GB2312"/>
          <w:sz w:val="24"/>
          <w:highlight w:val="none"/>
        </w:rPr>
        <w:t xml:space="preserve">   </w:t>
      </w:r>
      <w:r>
        <w:rPr>
          <w:rFonts w:ascii="仿宋_GB2312" w:hAnsi="仿宋" w:eastAsia="仿宋_GB2312"/>
          <w:b/>
          <w:sz w:val="24"/>
          <w:highlight w:val="none"/>
        </w:rPr>
        <w:t xml:space="preserve"> 项目名称：</w:t>
      </w:r>
      <w:r>
        <w:rPr>
          <w:rFonts w:hint="eastAsia" w:ascii="仿宋_GB2312" w:hAnsi="仿宋" w:eastAsia="仿宋_GB2312"/>
          <w:b w:val="0"/>
          <w:bCs/>
          <w:sz w:val="24"/>
          <w:highlight w:val="none"/>
          <w:lang w:eastAsia="zh-CN"/>
        </w:rPr>
        <w:t>杭州市临安区於潜镇综合保洁项目</w:t>
      </w:r>
    </w:p>
    <w:p w14:paraId="06B7D5CD">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hint="eastAsia" w:ascii="仿宋_GB2312" w:hAnsi="仿宋" w:eastAsia="仿宋_GB2312"/>
          <w:b w:val="0"/>
          <w:bCs/>
          <w:sz w:val="24"/>
          <w:highlight w:val="none"/>
          <w:lang w:val="en-US" w:eastAsia="zh-CN"/>
        </w:rPr>
        <w:t>15500000元</w:t>
      </w:r>
      <w:r>
        <w:rPr>
          <w:rFonts w:ascii="仿宋_GB2312" w:hAnsi="仿宋" w:eastAsia="仿宋_GB2312"/>
          <w:b w:val="0"/>
          <w:bCs/>
          <w:sz w:val="24"/>
          <w:highlight w:val="none"/>
        </w:rPr>
        <w:t xml:space="preserve"> </w:t>
      </w:r>
      <w:r>
        <w:rPr>
          <w:rFonts w:hint="eastAsia" w:ascii="仿宋_GB2312" w:hAnsi="仿宋" w:eastAsia="仿宋_GB2312"/>
          <w:sz w:val="24"/>
          <w:highlight w:val="none"/>
        </w:rPr>
        <w:t xml:space="preserve"> </w:t>
      </w:r>
    </w:p>
    <w:p w14:paraId="742A9E73">
      <w:pPr>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sz w:val="24"/>
          <w:highlight w:val="none"/>
        </w:rPr>
      </w:pPr>
      <w:r>
        <w:rPr>
          <w:rFonts w:hint="eastAsia" w:ascii="仿宋_GB2312" w:hAnsi="仿宋" w:eastAsia="仿宋_GB2312"/>
          <w:b/>
          <w:sz w:val="24"/>
          <w:highlight w:val="none"/>
        </w:rPr>
        <w:t>最高限价（元）：</w:t>
      </w:r>
      <w:r>
        <w:rPr>
          <w:rFonts w:hint="eastAsia" w:ascii="仿宋_GB2312" w:hAnsi="仿宋" w:eastAsia="仿宋_GB2312"/>
          <w:b w:val="0"/>
          <w:bCs/>
          <w:sz w:val="24"/>
          <w:highlight w:val="none"/>
          <w:lang w:val="en-US" w:eastAsia="zh-CN"/>
        </w:rPr>
        <w:t>15500000</w:t>
      </w:r>
      <w:r>
        <w:rPr>
          <w:rFonts w:hint="eastAsia" w:ascii="仿宋_GB2312" w:hAnsi="仿宋" w:eastAsia="仿宋_GB2312"/>
          <w:b w:val="0"/>
          <w:bCs/>
          <w:sz w:val="24"/>
          <w:highlight w:val="none"/>
        </w:rPr>
        <w:t>元</w:t>
      </w:r>
      <w:r>
        <w:rPr>
          <w:rFonts w:ascii="仿宋_GB2312" w:hAnsi="仿宋" w:eastAsia="仿宋_GB2312"/>
          <w:b w:val="0"/>
          <w:bCs/>
          <w:sz w:val="24"/>
          <w:highlight w:val="none"/>
        </w:rPr>
        <w:t xml:space="preserve"> </w:t>
      </w:r>
      <w:r>
        <w:rPr>
          <w:rFonts w:hint="eastAsia" w:ascii="仿宋_GB2312" w:hAnsi="仿宋" w:eastAsia="仿宋_GB2312"/>
          <w:sz w:val="24"/>
          <w:highlight w:val="none"/>
        </w:rPr>
        <w:t xml:space="preserve"> </w:t>
      </w:r>
    </w:p>
    <w:p w14:paraId="1B96FEB2">
      <w:pPr>
        <w:pStyle w:val="5"/>
        <w:keepNext w:val="0"/>
        <w:keepLines w:val="0"/>
        <w:pageBreakBefore w:val="0"/>
        <w:widowControl/>
        <w:kinsoku/>
        <w:wordWrap/>
        <w:overflowPunct/>
        <w:topLinePunct w:val="0"/>
        <w:autoSpaceDE/>
        <w:autoSpaceDN/>
        <w:bidi w:val="0"/>
        <w:adjustRightInd w:val="0"/>
        <w:snapToGrid w:val="0"/>
        <w:spacing w:line="440" w:lineRule="exact"/>
        <w:ind w:firstLine="482"/>
        <w:textAlignment w:val="auto"/>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 w:val="0"/>
          <w:bCs/>
          <w:color w:val="auto"/>
          <w:sz w:val="24"/>
          <w:highlight w:val="none"/>
        </w:rPr>
        <w:t>本项目位于临安区於潜镇，服务范围为集镇道路保洁、集镇生活垃圾分类收集、公厕保洁、行政村生活垃圾清运</w:t>
      </w:r>
      <w:r>
        <w:rPr>
          <w:rFonts w:hint="eastAsia" w:ascii="仿宋_GB2312" w:hAnsi="仿宋" w:eastAsia="仿宋_GB2312"/>
          <w:b w:val="0"/>
          <w:bCs/>
          <w:color w:val="auto"/>
          <w:sz w:val="24"/>
          <w:highlight w:val="none"/>
          <w:lang w:eastAsia="zh-CN"/>
        </w:rPr>
        <w:t>、</w:t>
      </w:r>
      <w:r>
        <w:rPr>
          <w:rFonts w:hint="eastAsia" w:ascii="仿宋" w:hAnsi="仿宋" w:eastAsia="仿宋"/>
          <w:sz w:val="24"/>
          <w:highlight w:val="none"/>
        </w:rPr>
        <w:t>生活垃圾中转站管理</w:t>
      </w:r>
      <w:r>
        <w:rPr>
          <w:rFonts w:hint="eastAsia" w:ascii="仿宋" w:hAnsi="仿宋" w:eastAsia="仿宋"/>
          <w:sz w:val="24"/>
          <w:highlight w:val="none"/>
          <w:lang w:eastAsia="zh-CN"/>
        </w:rPr>
        <w:t>及清运</w:t>
      </w:r>
      <w:r>
        <w:rPr>
          <w:rFonts w:hint="eastAsia" w:ascii="仿宋_GB2312" w:hAnsi="仿宋" w:eastAsia="仿宋_GB2312"/>
          <w:b w:val="0"/>
          <w:bCs/>
          <w:color w:val="auto"/>
          <w:sz w:val="24"/>
          <w:highlight w:val="none"/>
        </w:rPr>
        <w:t>等工作</w:t>
      </w:r>
      <w:r>
        <w:rPr>
          <w:rFonts w:ascii="仿宋_GB2312" w:hAnsi="仿宋" w:eastAsia="仿宋_GB2312"/>
          <w:bCs/>
          <w:snapToGrid/>
          <w:color w:val="auto"/>
          <w:kern w:val="2"/>
          <w:sz w:val="24"/>
          <w:szCs w:val="24"/>
          <w:highlight w:val="none"/>
        </w:rPr>
        <w:t>。</w:t>
      </w:r>
      <w:r>
        <w:rPr>
          <w:rFonts w:hint="eastAsia" w:ascii="仿宋_GB2312" w:hAnsi="仿宋" w:eastAsia="仿宋_GB2312"/>
          <w:bCs/>
          <w:snapToGrid/>
          <w:color w:val="auto"/>
          <w:kern w:val="2"/>
          <w:sz w:val="24"/>
          <w:szCs w:val="24"/>
          <w:highlight w:val="none"/>
        </w:rPr>
        <w:t>详见招标文件第三部分采购需求。</w:t>
      </w:r>
    </w:p>
    <w:p w14:paraId="7EC4D60D">
      <w:pPr>
        <w:pStyle w:val="129"/>
        <w:keepNext w:val="0"/>
        <w:keepLines w:val="0"/>
        <w:pageBreakBefore w:val="0"/>
        <w:kinsoku/>
        <w:wordWrap/>
        <w:overflowPunct/>
        <w:topLinePunct w:val="0"/>
        <w:autoSpaceDE/>
        <w:autoSpaceDN/>
        <w:bidi w:val="0"/>
        <w:adjustRightInd w:val="0"/>
        <w:spacing w:before="0" w:line="440" w:lineRule="exact"/>
        <w:ind w:firstLine="482"/>
        <w:textAlignment w:val="auto"/>
        <w:outlineLvl w:val="2"/>
        <w:rPr>
          <w:rFonts w:hint="default" w:ascii="仿宋_GB2312" w:hAnsi="仿宋" w:eastAsia="仿宋_GB2312"/>
          <w:highlight w:val="none"/>
          <w:lang w:val="en-US" w:eastAsia="zh-CN"/>
        </w:rPr>
      </w:pPr>
      <w:r>
        <w:rPr>
          <w:rFonts w:hint="eastAsia" w:ascii="仿宋_GB2312" w:hAnsi="仿宋" w:eastAsia="仿宋_GB2312"/>
          <w:b/>
          <w:highlight w:val="none"/>
        </w:rPr>
        <w:t>合同履约期限：</w:t>
      </w:r>
      <w:r>
        <w:rPr>
          <w:rFonts w:hint="eastAsia" w:ascii="仿宋_GB2312" w:hAnsi="仿宋" w:eastAsia="仿宋_GB2312"/>
          <w:b w:val="0"/>
          <w:bCs/>
          <w:highlight w:val="none"/>
          <w:lang w:eastAsia="zh-CN"/>
        </w:rPr>
        <w:t>合同签订后</w:t>
      </w:r>
      <w:r>
        <w:rPr>
          <w:rFonts w:hint="eastAsia" w:ascii="仿宋_GB2312" w:hAnsi="仿宋" w:eastAsia="仿宋_GB2312"/>
          <w:b w:val="0"/>
          <w:bCs/>
          <w:highlight w:val="none"/>
          <w:lang w:val="en-US" w:eastAsia="zh-CN"/>
        </w:rPr>
        <w:t>两年</w:t>
      </w:r>
    </w:p>
    <w:p w14:paraId="331781B4">
      <w:pPr>
        <w:pStyle w:val="5"/>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b/>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snapToGrid w:val="0"/>
              <w:color w:val="auto"/>
              <w:kern w:val="0"/>
              <w:sz w:val="24"/>
              <w:szCs w:val="20"/>
              <w:highlight w:val="none"/>
              <w:lang w:val="en-US" w:eastAsia="zh-CN" w:bidi="ar-SA"/>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14:paraId="0C4ED014">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14:paraId="25C42D12">
      <w:pPr>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0C6E8F24">
      <w:pPr>
        <w:spacing w:line="360" w:lineRule="auto"/>
        <w:ind w:firstLine="480"/>
        <w:rPr>
          <w:rFonts w:hint="eastAsia" w:ascii="仿宋" w:hAnsi="仿宋" w:eastAsia="仿宋" w:cs="仿宋_GB2312"/>
          <w:snapToGrid w:val="0"/>
          <w:kern w:val="28"/>
          <w:sz w:val="24"/>
          <w:szCs w:val="20"/>
          <w:highlight w:val="none"/>
          <w:lang w:eastAsia="zh-CN"/>
        </w:rPr>
      </w:pPr>
      <w:r>
        <w:rPr>
          <w:rFonts w:ascii="仿宋" w:hAnsi="仿宋" w:eastAsia="仿宋" w:cs="仿宋_GB2312"/>
          <w:snapToGrid w:val="0"/>
          <w:kern w:val="28"/>
          <w:sz w:val="24"/>
          <w:szCs w:val="20"/>
          <w:highlight w:val="none"/>
        </w:rPr>
        <w:t>2.</w:t>
      </w:r>
      <w:r>
        <w:rPr>
          <w:rFonts w:hint="eastAsia" w:ascii="仿宋" w:hAnsi="仿宋" w:eastAsia="仿宋" w:cs="仿宋_GB2312"/>
          <w:snapToGrid w:val="0"/>
          <w:kern w:val="28"/>
          <w:sz w:val="24"/>
          <w:szCs w:val="20"/>
          <w:highlight w:val="none"/>
        </w:rPr>
        <w:t>落实政府采购政策需满足的资格要求：</w:t>
      </w:r>
    </w:p>
    <w:p w14:paraId="1CB535F4">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无（注：不得限制大中型企业与小微企业组成联合体参与响应）；</w:t>
      </w:r>
    </w:p>
    <w:p w14:paraId="525A04AB">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14:paraId="03DAC0D0">
      <w:pPr>
        <w:pageBreakBefore w:val="0"/>
        <w:kinsoku/>
        <w:wordWrap/>
        <w:overflowPunct/>
        <w:topLinePunct w:val="0"/>
        <w:autoSpaceDE/>
        <w:autoSpaceDN/>
        <w:bidi w:val="0"/>
        <w:spacing w:line="360" w:lineRule="auto"/>
        <w:ind w:firstLine="897" w:firstLineChars="374"/>
        <w:textAlignment w:val="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14:paraId="3FE6061D">
      <w:pPr>
        <w:pStyle w:val="79"/>
        <w:autoSpaceDE/>
        <w:autoSpaceDN/>
        <w:spacing w:line="360" w:lineRule="auto"/>
        <w:ind w:firstLine="850"/>
        <w:rPr>
          <w:rFonts w:hint="eastAsia"/>
          <w:lang w:eastAsia="zh-CN"/>
        </w:rPr>
      </w:pPr>
      <w:sdt>
        <w:sdtPr>
          <w:rPr>
            <w:rFonts w:hint="eastAsia" w:ascii="宋体" w:hAnsi="宋体" w:eastAsia="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服务全部由符合政策要求的小微企业承接，提供中小企业声明函；</w:t>
      </w:r>
    </w:p>
    <w:p w14:paraId="71FC346A">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3.本项目的特定资格要求：无</w:t>
      </w:r>
      <w:r>
        <w:rPr>
          <w:rFonts w:hint="eastAsia" w:ascii="仿宋_GB2312" w:hAnsi="仿宋" w:eastAsia="仿宋_GB2312"/>
          <w:sz w:val="24"/>
          <w:highlight w:val="none"/>
        </w:rPr>
        <w:t>；</w:t>
      </w:r>
    </w:p>
    <w:p w14:paraId="04384536">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4.</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14:paraId="339F723F">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14:paraId="3D3493CF">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4</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11</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21</w:t>
      </w:r>
      <w:bookmarkStart w:id="396" w:name="_GoBack"/>
      <w:bookmarkEnd w:id="396"/>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14:paraId="7AAAA381">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 w:hAnsi="仿宋" w:eastAsia="仿宋" w:cs="仿宋"/>
          <w:sz w:val="24"/>
          <w:highlight w:val="none"/>
        </w:rPr>
        <w:t>浙江政府采购网（http://zfcg.czt.zj.gov.cn）</w:t>
      </w:r>
      <w:r>
        <w:rPr>
          <w:rFonts w:ascii="仿宋_GB2312" w:hAnsi="仿宋" w:eastAsia="仿宋_GB2312"/>
          <w:sz w:val="24"/>
          <w:highlight w:val="none"/>
        </w:rPr>
        <w:t xml:space="preserve"> </w:t>
      </w:r>
    </w:p>
    <w:p w14:paraId="797C709E">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14:paraId="1D768B29">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hint="eastAsia" w:ascii="仿宋_GB2312" w:hAnsi="仿宋" w:eastAsia="仿宋_GB2312"/>
          <w:sz w:val="24"/>
          <w:highlight w:val="none"/>
          <w:lang w:eastAsia="zh-CN"/>
        </w:rPr>
        <w:t>免费</w:t>
      </w:r>
      <w:r>
        <w:rPr>
          <w:rFonts w:ascii="仿宋_GB2312" w:hAnsi="仿宋" w:eastAsia="仿宋_GB2312"/>
          <w:sz w:val="24"/>
          <w:highlight w:val="none"/>
        </w:rPr>
        <w:t xml:space="preserve"> </w:t>
      </w:r>
      <w:r>
        <w:rPr>
          <w:rFonts w:ascii="仿宋_GB2312" w:hAnsi="仿宋" w:eastAsia="仿宋_GB2312"/>
          <w:sz w:val="24"/>
          <w:highlight w:val="none"/>
        </w:rPr>
        <w:tab/>
      </w:r>
    </w:p>
    <w:p w14:paraId="5F440C3D">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14:paraId="5248156D">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4</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14:paraId="44B4DE7E">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14:paraId="448FB209">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4</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p>
    <w:p w14:paraId="2B2715CB">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14:paraId="00D901A6">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14:paraId="6500D614">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14:paraId="658B71A2">
      <w:pPr>
        <w:spacing w:line="360"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14:paraId="2D5AADCA">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highlight w:val="none"/>
        </w:rPr>
        <w:t>作出答复的，可以在答复期满后十五个工作日内向同级政府采购监督管理部门投诉。质疑函范本、投诉书范本请到浙江政府采购网下载专区下载。</w:t>
      </w:r>
    </w:p>
    <w:p w14:paraId="3E6BF1A9">
      <w:pPr>
        <w:spacing w:line="360" w:lineRule="auto"/>
        <w:ind w:firstLine="480" w:firstLineChars="200"/>
        <w:rPr>
          <w:rFonts w:ascii="仿宋" w:hAnsi="仿宋" w:eastAsia="仿宋" w:cs="仿宋_GB2312"/>
          <w:sz w:val="24"/>
          <w:highlight w:val="none"/>
        </w:rPr>
      </w:pPr>
      <w:r>
        <w:rPr>
          <w:rFonts w:hint="eastAsia" w:ascii="仿宋_GB2312" w:hAnsi="仿宋" w:eastAsia="仿宋_GB2312"/>
          <w:sz w:val="24"/>
          <w:highlight w:val="none"/>
        </w:rPr>
        <w:t>2.其他事项：（1）需要落实的政府采购政策：包括节约资源、保护环境、支持创新、促进中小企业发展等。详见招标文件的第二部分总则。（2）</w:t>
      </w:r>
      <w:r>
        <w:rPr>
          <w:rFonts w:ascii="仿宋_GB2312" w:hAnsi="仿宋" w:eastAsia="仿宋_GB2312"/>
          <w:sz w:val="24"/>
          <w:highlight w:val="none"/>
        </w:rPr>
        <w:t>电子招投标的说明：</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w:t>
      </w:r>
      <w:r>
        <w:rPr>
          <w:rFonts w:ascii="仿宋_GB2312" w:hAnsi="仿宋" w:eastAsia="仿宋_GB2312"/>
          <w:sz w:val="24"/>
          <w:highlight w:val="none"/>
        </w:rPr>
        <w:t xml:space="preserve"> </w:t>
      </w:r>
      <w:r>
        <w:rPr>
          <w:rFonts w:hint="eastAsia" w:ascii="仿宋_GB2312" w:hAnsi="仿宋" w:eastAsia="仿宋_GB2312"/>
          <w:sz w:val="24"/>
          <w:highlight w:val="none"/>
        </w:rPr>
        <w:t>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p>
    <w:p w14:paraId="7B60ED5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14:paraId="3EF20C2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_GB2312" w:hAnsi="仿宋" w:eastAsia="仿宋_GB2312"/>
          <w:sz w:val="24"/>
          <w:highlight w:val="none"/>
        </w:rPr>
      </w:pPr>
      <w:r>
        <w:rPr>
          <w:rFonts w:ascii="仿宋_GB2312" w:hAnsi="仿宋" w:eastAsia="仿宋_GB2312"/>
          <w:sz w:val="24"/>
          <w:highlight w:val="none"/>
        </w:rPr>
        <w:t xml:space="preserve">    1.采购人信息</w:t>
      </w:r>
    </w:p>
    <w:p w14:paraId="3F9D722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lang w:eastAsia="zh-CN"/>
        </w:rPr>
        <w:t>杭州市临安区於潜镇人民政府</w:t>
      </w:r>
      <w:r>
        <w:rPr>
          <w:rFonts w:ascii="仿宋_GB2312" w:hAnsi="仿宋" w:eastAsia="仿宋_GB2312"/>
          <w:sz w:val="24"/>
          <w:highlight w:val="none"/>
        </w:rPr>
        <w:t xml:space="preserve"> </w:t>
      </w:r>
    </w:p>
    <w:p w14:paraId="2EB7AF1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lang w:eastAsia="zh-CN"/>
        </w:rPr>
        <w:t xml:space="preserve"> 杭州市临安区人民街132号</w:t>
      </w:r>
      <w:r>
        <w:rPr>
          <w:rFonts w:hint="eastAsia" w:ascii="仿宋" w:hAnsi="仿宋" w:eastAsia="仿宋" w:cs="仿宋_GB2312"/>
          <w:sz w:val="24"/>
          <w:highlight w:val="none"/>
        </w:rPr>
        <w:t xml:space="preserve"> </w:t>
      </w:r>
      <w:r>
        <w:rPr>
          <w:rFonts w:ascii="仿宋_GB2312" w:hAnsi="仿宋" w:eastAsia="仿宋_GB2312"/>
          <w:sz w:val="24"/>
          <w:highlight w:val="none"/>
        </w:rPr>
        <w:t xml:space="preserve">      </w:t>
      </w:r>
    </w:p>
    <w:p w14:paraId="3608A571">
      <w:pPr>
        <w:keepNext w:val="0"/>
        <w:keepLines w:val="0"/>
        <w:pageBreakBefore w:val="0"/>
        <w:widowControl w:val="0"/>
        <w:kinsoku/>
        <w:wordWrap/>
        <w:overflowPunct/>
        <w:topLinePunct w:val="0"/>
        <w:autoSpaceDE/>
        <w:autoSpaceDN/>
        <w:bidi w:val="0"/>
        <w:adjustRightInd w:val="0"/>
        <w:snapToGrid/>
        <w:spacing w:line="420" w:lineRule="exact"/>
        <w:ind w:firstLine="480"/>
        <w:textAlignment w:val="auto"/>
        <w:rPr>
          <w:rFonts w:ascii="仿宋_GB2312" w:hAnsi="仿宋" w:eastAsia="仿宋"/>
          <w:sz w:val="24"/>
          <w:highlight w:val="none"/>
        </w:rPr>
      </w:pPr>
      <w:r>
        <w:rPr>
          <w:rFonts w:hint="eastAsia" w:ascii="仿宋_GB2312" w:hAnsi="仿宋" w:eastAsia="仿宋_GB2312"/>
          <w:sz w:val="24"/>
          <w:highlight w:val="none"/>
        </w:rPr>
        <w:t>项目联系人：</w:t>
      </w:r>
      <w:r>
        <w:rPr>
          <w:rFonts w:hint="eastAsia" w:ascii="仿宋_GB2312" w:hAnsi="仿宋" w:eastAsia="仿宋_GB2312"/>
          <w:sz w:val="24"/>
          <w:highlight w:val="none"/>
          <w:lang w:eastAsia="zh-CN"/>
        </w:rPr>
        <w:t>马厉明</w:t>
      </w:r>
      <w:r>
        <w:rPr>
          <w:rFonts w:hint="eastAsia" w:ascii="仿宋_GB2312" w:hAnsi="仿宋" w:eastAsia="仿宋_GB2312"/>
          <w:sz w:val="24"/>
          <w:highlight w:val="none"/>
          <w:lang w:val="en-US" w:eastAsia="zh-CN"/>
        </w:rPr>
        <w:t xml:space="preserve">  </w:t>
      </w:r>
      <w:r>
        <w:rPr>
          <w:rFonts w:ascii="仿宋_GB2312" w:hAnsi="仿宋" w:eastAsia="仿宋_GB2312"/>
          <w:sz w:val="24"/>
          <w:highlight w:val="none"/>
        </w:rPr>
        <w:t xml:space="preserve"> </w:t>
      </w:r>
      <w:r>
        <w:rPr>
          <w:rFonts w:hint="eastAsia" w:ascii="仿宋" w:hAnsi="仿宋" w:eastAsia="仿宋"/>
          <w:sz w:val="24"/>
          <w:highlight w:val="none"/>
        </w:rPr>
        <w:t xml:space="preserve"> </w:t>
      </w:r>
    </w:p>
    <w:p w14:paraId="5EDE4A3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default" w:ascii="仿宋_GB2312" w:hAnsi="仿宋" w:eastAsia="仿宋_GB2312"/>
          <w:sz w:val="24"/>
          <w:highlight w:val="none"/>
          <w:lang w:val="en-US"/>
        </w:rPr>
      </w:pPr>
      <w:r>
        <w:rPr>
          <w:rFonts w:ascii="仿宋_GB2312" w:hAnsi="仿宋" w:eastAsia="仿宋_GB2312"/>
          <w:sz w:val="24"/>
          <w:highlight w:val="none"/>
        </w:rPr>
        <w:t xml:space="preserve">    项目联系方式：</w:t>
      </w:r>
      <w:r>
        <w:rPr>
          <w:rFonts w:hint="eastAsia" w:ascii="仿宋_GB2312" w:hAnsi="仿宋" w:eastAsia="仿宋_GB2312"/>
          <w:sz w:val="24"/>
          <w:highlight w:val="none"/>
          <w:lang w:val="en-US" w:eastAsia="zh-CN"/>
        </w:rPr>
        <w:t xml:space="preserve">0571-63886909  </w:t>
      </w:r>
    </w:p>
    <w:p w14:paraId="2EC04C6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lang w:val="en-US" w:eastAsia="zh-CN"/>
        </w:rPr>
        <w:t xml:space="preserve">董雪峰  </w:t>
      </w:r>
      <w:r>
        <w:rPr>
          <w:rFonts w:hint="eastAsia" w:ascii="仿宋" w:hAnsi="仿宋" w:eastAsia="仿宋"/>
          <w:sz w:val="24"/>
          <w:highlight w:val="none"/>
        </w:rPr>
        <w:t xml:space="preserve"> </w:t>
      </w:r>
    </w:p>
    <w:p w14:paraId="6AA8E94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_GB2312" w:hAnsi="仿宋" w:eastAsia="仿宋_GB2312"/>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lang w:val="en-US" w:eastAsia="zh-CN"/>
        </w:rPr>
        <w:t xml:space="preserve">0571-0571-63867020   </w:t>
      </w:r>
      <w:r>
        <w:rPr>
          <w:rFonts w:hint="eastAsia" w:ascii="仿宋_GB2312" w:hAnsi="仿宋" w:eastAsia="仿宋_GB2312"/>
          <w:sz w:val="24"/>
          <w:highlight w:val="none"/>
        </w:rPr>
        <w:t xml:space="preserve"> </w:t>
      </w:r>
    </w:p>
    <w:p w14:paraId="4C87BE1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_GB2312" w:hAnsi="仿宋" w:eastAsia="仿宋_GB2312"/>
          <w:sz w:val="24"/>
          <w:highlight w:val="none"/>
        </w:rPr>
      </w:pPr>
      <w:r>
        <w:rPr>
          <w:rFonts w:ascii="仿宋_GB2312" w:hAnsi="仿宋" w:eastAsia="仿宋_GB2312"/>
          <w:sz w:val="24"/>
          <w:highlight w:val="none"/>
        </w:rPr>
        <w:t xml:space="preserve">    2.采购代理机构信息            </w:t>
      </w:r>
    </w:p>
    <w:p w14:paraId="72EB744F">
      <w:pPr>
        <w:keepNext w:val="0"/>
        <w:keepLines w:val="0"/>
        <w:pageBreakBefore w:val="0"/>
        <w:widowControl w:val="0"/>
        <w:kinsoku/>
        <w:wordWrap/>
        <w:overflowPunct/>
        <w:topLinePunct w:val="0"/>
        <w:autoSpaceDE/>
        <w:autoSpaceDN/>
        <w:bidi w:val="0"/>
        <w:adjustRightInd w:val="0"/>
        <w:snapToGrid/>
        <w:spacing w:line="420" w:lineRule="exact"/>
        <w:ind w:firstLine="480"/>
        <w:textAlignment w:val="auto"/>
        <w:rPr>
          <w:rFonts w:hint="eastAsia" w:ascii="仿宋_GB2312" w:hAnsi="仿宋" w:eastAsia="仿宋_GB2312"/>
          <w:sz w:val="24"/>
          <w:highlight w:val="none"/>
          <w:lang w:eastAsia="zh-CN"/>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w:t>
      </w:r>
      <w:r>
        <w:rPr>
          <w:rFonts w:hint="eastAsia" w:ascii="仿宋_GB2312" w:hAnsi="仿宋" w:eastAsia="仿宋_GB2312"/>
          <w:sz w:val="24"/>
          <w:highlight w:val="none"/>
          <w:lang w:eastAsia="zh-CN"/>
        </w:rPr>
        <w:t>浙江华耀建设咨询有限公司</w:t>
      </w:r>
    </w:p>
    <w:p w14:paraId="7E96C77B">
      <w:pPr>
        <w:keepNext w:val="0"/>
        <w:keepLines w:val="0"/>
        <w:pageBreakBefore w:val="0"/>
        <w:widowControl w:val="0"/>
        <w:kinsoku/>
        <w:wordWrap/>
        <w:overflowPunct/>
        <w:topLinePunct w:val="0"/>
        <w:autoSpaceDE/>
        <w:autoSpaceDN/>
        <w:bidi w:val="0"/>
        <w:adjustRightInd w:val="0"/>
        <w:snapToGrid/>
        <w:spacing w:line="420" w:lineRule="exact"/>
        <w:ind w:firstLine="480"/>
        <w:textAlignment w:val="auto"/>
        <w:rPr>
          <w:rFonts w:ascii="仿宋_GB2312" w:hAnsi="仿宋" w:eastAsia="仿宋_GB2312"/>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hint="eastAsia" w:ascii="仿宋_GB2312" w:hAnsi="仿宋" w:eastAsia="仿宋_GB2312"/>
          <w:sz w:val="24"/>
          <w:highlight w:val="none"/>
          <w:lang w:eastAsia="zh-CN"/>
        </w:rPr>
        <w:t>杭州市临安区锦城街道钱王街</w:t>
      </w:r>
      <w:r>
        <w:rPr>
          <w:rFonts w:hint="eastAsia" w:ascii="仿宋_GB2312" w:hAnsi="仿宋" w:eastAsia="仿宋_GB2312"/>
          <w:sz w:val="24"/>
          <w:highlight w:val="none"/>
          <w:lang w:val="en-US" w:eastAsia="zh-CN"/>
        </w:rPr>
        <w:t>465号1幢2楼</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14:paraId="5E73C58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_GB2312" w:hAnsi="仿宋" w:eastAsia="仿宋_GB2312"/>
          <w:sz w:val="24"/>
          <w:highlight w:val="none"/>
        </w:rPr>
      </w:pPr>
      <w:r>
        <w:rPr>
          <w:rFonts w:ascii="仿宋_GB2312" w:hAnsi="仿宋" w:eastAsia="仿宋_GB2312"/>
          <w:sz w:val="24"/>
          <w:highlight w:val="none"/>
        </w:rPr>
        <w:t xml:space="preserve">    项目联系人：</w:t>
      </w:r>
      <w:r>
        <w:rPr>
          <w:rFonts w:hint="eastAsia" w:ascii="仿宋_GB2312" w:hAnsi="仿宋" w:eastAsia="仿宋_GB2312"/>
          <w:sz w:val="24"/>
          <w:highlight w:val="none"/>
          <w:lang w:eastAsia="zh-CN"/>
        </w:rPr>
        <w:t>阮浦东</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14:paraId="30CDD31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_GB2312" w:hAnsi="仿宋" w:eastAsia="仿宋_GB2312"/>
          <w:sz w:val="24"/>
          <w:highlight w:val="none"/>
        </w:rPr>
      </w:pPr>
      <w:r>
        <w:rPr>
          <w:rFonts w:ascii="仿宋_GB2312" w:hAnsi="仿宋" w:eastAsia="仿宋_GB2312"/>
          <w:sz w:val="24"/>
          <w:highlight w:val="none"/>
        </w:rPr>
        <w:t xml:space="preserve">    项目联系方式：</w:t>
      </w:r>
      <w:r>
        <w:rPr>
          <w:rFonts w:hint="eastAsia" w:ascii="仿宋_GB2312" w:hAnsi="仿宋" w:eastAsia="仿宋_GB2312"/>
          <w:sz w:val="24"/>
          <w:highlight w:val="none"/>
        </w:rPr>
        <w:t xml:space="preserve">13083996937 </w:t>
      </w:r>
    </w:p>
    <w:p w14:paraId="1B8460D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lang w:eastAsia="zh-CN"/>
        </w:rPr>
        <w:t>王燕平</w:t>
      </w:r>
      <w:r>
        <w:rPr>
          <w:rFonts w:hint="eastAsia" w:ascii="仿宋_GB2312" w:hAnsi="仿宋" w:eastAsia="仿宋_GB2312"/>
          <w:sz w:val="24"/>
          <w:highlight w:val="none"/>
          <w:lang w:val="en-US" w:eastAsia="zh-CN"/>
        </w:rPr>
        <w:tab/>
      </w:r>
      <w:r>
        <w:rPr>
          <w:rFonts w:hint="eastAsia" w:ascii="仿宋" w:hAnsi="仿宋" w:eastAsia="仿宋"/>
          <w:sz w:val="24"/>
          <w:highlight w:val="none"/>
        </w:rPr>
        <w:t xml:space="preserve"> </w:t>
      </w:r>
      <w:r>
        <w:rPr>
          <w:rFonts w:ascii="仿宋_GB2312" w:hAnsi="仿宋" w:eastAsia="仿宋_GB2312"/>
          <w:sz w:val="24"/>
          <w:highlight w:val="none"/>
        </w:rPr>
        <w:t xml:space="preserve">            </w:t>
      </w:r>
    </w:p>
    <w:p w14:paraId="294B10C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lang w:val="en-US" w:eastAsia="zh-CN"/>
        </w:rPr>
        <w:t>15068834440</w:t>
      </w:r>
      <w:r>
        <w:rPr>
          <w:rFonts w:hint="eastAsia" w:ascii="仿宋" w:hAnsi="仿宋" w:eastAsia="仿宋"/>
          <w:sz w:val="24"/>
          <w:highlight w:val="none"/>
        </w:rPr>
        <w:t xml:space="preserve"> </w:t>
      </w:r>
    </w:p>
    <w:p w14:paraId="0241047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            </w:t>
      </w:r>
    </w:p>
    <w:p w14:paraId="63A1C3BD">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 w:hAnsi="仿宋" w:eastAsia="仿宋" w:cs="仿宋"/>
          <w:sz w:val="24"/>
          <w:highlight w:val="none"/>
        </w:rPr>
        <w:t>杭州市临安区财政局政府采购监督管理科</w:t>
      </w:r>
      <w:r>
        <w:rPr>
          <w:rFonts w:hint="eastAsia" w:ascii="仿宋_GB2312" w:hAnsi="仿宋" w:eastAsia="仿宋_GB2312"/>
          <w:sz w:val="24"/>
          <w:highlight w:val="none"/>
        </w:rPr>
        <w:t xml:space="preserve"> </w:t>
      </w:r>
    </w:p>
    <w:p w14:paraId="0BE04CAD">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 xml:space="preserve">杭州市临安区锦城街道临天路1950号财政大楼411室 </w:t>
      </w:r>
    </w:p>
    <w:p w14:paraId="1F6CDE3B">
      <w:pPr>
        <w:keepNext w:val="0"/>
        <w:keepLines w:val="0"/>
        <w:pageBreakBefore w:val="0"/>
        <w:widowControl w:val="0"/>
        <w:kinsoku/>
        <w:wordWrap/>
        <w:overflowPunct/>
        <w:topLinePunct w:val="0"/>
        <w:autoSpaceDE/>
        <w:autoSpaceDN/>
        <w:bidi w:val="0"/>
        <w:adjustRightInd w:val="0"/>
        <w:snapToGrid/>
        <w:spacing w:line="420" w:lineRule="exact"/>
        <w:ind w:firstLine="240" w:firstLineChars="100"/>
        <w:textAlignment w:val="auto"/>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 w:hAnsi="仿宋" w:eastAsia="仿宋" w:cs="仿宋"/>
          <w:sz w:val="24"/>
          <w:highlight w:val="none"/>
        </w:rPr>
        <w:t>0571-</w:t>
      </w:r>
      <w:r>
        <w:rPr>
          <w:rFonts w:hint="eastAsia" w:ascii="仿宋" w:hAnsi="仿宋" w:eastAsia="仿宋" w:cs="仿宋"/>
          <w:sz w:val="24"/>
          <w:highlight w:val="none"/>
          <w:lang w:val="en-US" w:eastAsia="zh-CN"/>
        </w:rPr>
        <w:t>89541600</w:t>
      </w:r>
      <w:r>
        <w:rPr>
          <w:rFonts w:hint="eastAsia" w:ascii="仿宋_GB2312" w:hAnsi="仿宋" w:eastAsia="仿宋_GB2312"/>
          <w:sz w:val="24"/>
          <w:highlight w:val="none"/>
        </w:rPr>
        <w:t xml:space="preserve"> </w:t>
      </w:r>
    </w:p>
    <w:p w14:paraId="41BDC17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_GB2312" w:hAnsi="仿宋" w:eastAsia="仿宋_GB2312"/>
          <w:sz w:val="24"/>
          <w:highlight w:val="none"/>
        </w:rPr>
      </w:pPr>
      <w:r>
        <w:rPr>
          <w:rFonts w:ascii="仿宋_GB2312" w:hAnsi="仿宋" w:eastAsia="仿宋_GB2312"/>
          <w:sz w:val="24"/>
          <w:highlight w:val="none"/>
        </w:rPr>
        <w:t xml:space="preserve">    联系人 ：</w:t>
      </w:r>
      <w:r>
        <w:rPr>
          <w:rFonts w:hint="eastAsia" w:ascii="仿宋" w:hAnsi="仿宋" w:eastAsia="仿宋" w:cs="仿宋"/>
          <w:sz w:val="24"/>
          <w:highlight w:val="none"/>
          <w:lang w:eastAsia="zh-CN"/>
        </w:rPr>
        <w:t>赵女士</w:t>
      </w:r>
      <w:r>
        <w:rPr>
          <w:rFonts w:hint="eastAsia" w:ascii="仿宋_GB2312" w:hAnsi="仿宋" w:eastAsia="仿宋_GB2312"/>
          <w:sz w:val="24"/>
          <w:highlight w:val="none"/>
        </w:rPr>
        <w:t xml:space="preserve"> </w:t>
      </w:r>
      <w:r>
        <w:rPr>
          <w:rFonts w:ascii="仿宋_GB2312" w:hAnsi="仿宋" w:eastAsia="仿宋_GB2312"/>
          <w:sz w:val="24"/>
          <w:highlight w:val="none"/>
        </w:rPr>
        <w:t xml:space="preserve">   </w:t>
      </w:r>
    </w:p>
    <w:p w14:paraId="157D66C7">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监督投诉电话：</w:t>
      </w:r>
      <w:r>
        <w:rPr>
          <w:rFonts w:hint="eastAsia" w:ascii="仿宋_GB2312" w:hAnsi="仿宋" w:eastAsia="仿宋_GB2312"/>
          <w:sz w:val="24"/>
          <w:highlight w:val="none"/>
        </w:rPr>
        <w:t xml:space="preserve">0571-89541692、0571-89541691、0571-89541697 </w:t>
      </w:r>
      <w:r>
        <w:rPr>
          <w:rFonts w:ascii="仿宋_GB2312" w:hAnsi="仿宋" w:eastAsia="仿宋_GB2312"/>
          <w:sz w:val="24"/>
          <w:highlight w:val="none"/>
        </w:rPr>
        <w:t xml:space="preserve">         </w:t>
      </w:r>
    </w:p>
    <w:p w14:paraId="75C942B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14:paraId="174BDF34">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r>
        <w:rPr>
          <w:rFonts w:ascii="仿宋" w:hAnsi="仿宋" w:eastAsia="仿宋" w:cs="仿宋_GB2312"/>
          <w:sz w:val="24"/>
          <w:highlight w:val="none"/>
        </w:rPr>
        <w:t xml:space="preserve">                  </w:t>
      </w:r>
    </w:p>
    <w:p w14:paraId="265CB80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2AB8437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4BDB04D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66AD5B8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2BA8E93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0A02C052">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78253943">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540B2573">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6A39123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4DFA0BB9">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4E0400A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0AF6969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2F203613">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641AAF0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4499412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3269426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358262B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5E103484">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133DA5E3">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034EE63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044EEEE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1B5A6703">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0928ECC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0E5C1D0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202C4D92">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27197344">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4D1CA6E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5B8ABAA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center"/>
        <w:textAlignment w:val="auto"/>
        <w:rPr>
          <w:rFonts w:ascii="仿宋" w:hAnsi="仿宋" w:eastAsia="仿宋" w:cs="仿宋_GB2312"/>
          <w:sz w:val="24"/>
          <w:highlight w:val="none"/>
        </w:rPr>
      </w:pPr>
    </w:p>
    <w:p w14:paraId="41ECBB5D">
      <w:pPr>
        <w:keepNext w:val="0"/>
        <w:keepLines w:val="0"/>
        <w:pageBreakBefore w:val="0"/>
        <w:widowControl w:val="0"/>
        <w:kinsoku/>
        <w:wordWrap/>
        <w:overflowPunct/>
        <w:topLinePunct w:val="0"/>
        <w:autoSpaceDE/>
        <w:autoSpaceDN/>
        <w:bidi w:val="0"/>
        <w:adjustRightInd w:val="0"/>
        <w:snapToGrid/>
        <w:spacing w:line="420" w:lineRule="exact"/>
        <w:ind w:firstLine="723" w:firstLineChars="200"/>
        <w:jc w:val="center"/>
        <w:textAlignment w:val="auto"/>
        <w:rPr>
          <w:rFonts w:ascii="仿宋" w:hAnsi="仿宋" w:eastAsia="仿宋" w:cs="仿宋_GB2312"/>
          <w:b/>
          <w:sz w:val="36"/>
          <w:szCs w:val="20"/>
          <w:highlight w:val="none"/>
        </w:rPr>
      </w:pPr>
      <w:r>
        <w:rPr>
          <w:rFonts w:hint="eastAsia" w:ascii="仿宋" w:hAnsi="仿宋" w:eastAsia="仿宋" w:cs="仿宋_GB2312"/>
          <w:b/>
          <w:sz w:val="36"/>
          <w:szCs w:val="20"/>
          <w:highlight w:val="none"/>
        </w:rPr>
        <w:t>第二部分</w:t>
      </w:r>
      <w:bookmarkEnd w:id="7"/>
      <w:r>
        <w:rPr>
          <w:rFonts w:ascii="仿宋" w:hAnsi="仿宋" w:eastAsia="仿宋" w:cs="仿宋_GB2312"/>
          <w:b/>
          <w:sz w:val="36"/>
          <w:szCs w:val="20"/>
          <w:highlight w:val="none"/>
        </w:rPr>
        <w:t xml:space="preserve"> 投标人须知</w:t>
      </w:r>
      <w:bookmarkEnd w:id="8"/>
    </w:p>
    <w:p w14:paraId="7B1DDED4">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2"/>
        <w:tblW w:w="90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09"/>
      </w:tblGrid>
      <w:tr w14:paraId="1326F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4877A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23E4AF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事项</w:t>
            </w:r>
          </w:p>
        </w:tc>
        <w:tc>
          <w:tcPr>
            <w:tcW w:w="6609" w:type="dxa"/>
            <w:tcBorders>
              <w:top w:val="single" w:color="000000" w:sz="8" w:space="0"/>
              <w:left w:val="single" w:color="000000" w:sz="2" w:space="0"/>
              <w:bottom w:val="single" w:color="000000" w:sz="8" w:space="0"/>
              <w:right w:val="single" w:color="000000" w:sz="8" w:space="0"/>
            </w:tcBorders>
            <w:vAlign w:val="center"/>
          </w:tcPr>
          <w:p w14:paraId="180DC33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本项目的特别规定</w:t>
            </w:r>
          </w:p>
        </w:tc>
      </w:tr>
      <w:tr w14:paraId="073FD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F90E5E">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80D6C14">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报价要求</w:t>
            </w:r>
          </w:p>
        </w:tc>
        <w:tc>
          <w:tcPr>
            <w:tcW w:w="6609" w:type="dxa"/>
            <w:tcBorders>
              <w:top w:val="single" w:color="000000" w:sz="8" w:space="0"/>
              <w:left w:val="single" w:color="000000" w:sz="2" w:space="0"/>
              <w:bottom w:val="single" w:color="000000" w:sz="8" w:space="0"/>
              <w:right w:val="single" w:color="000000" w:sz="8" w:space="0"/>
            </w:tcBorders>
            <w:vAlign w:val="center"/>
          </w:tcPr>
          <w:p w14:paraId="25FEFA98">
            <w:pPr>
              <w:snapToGrid w:val="0"/>
              <w:spacing w:line="360" w:lineRule="auto"/>
              <w:jc w:val="left"/>
              <w:rPr>
                <w:rFonts w:ascii="仿宋_GB2312" w:hAnsi="仿宋" w:eastAsia="仿宋_GB2312" w:cs="仿宋_GB2312"/>
                <w:b/>
                <w:kern w:val="0"/>
                <w:sz w:val="24"/>
                <w:highlight w:val="none"/>
                <w:lang w:val="zh-CN"/>
              </w:rPr>
            </w:pPr>
            <w:r>
              <w:rPr>
                <w:rFonts w:hint="eastAsia" w:ascii="仿宋_GB2312" w:hAnsi="仿宋" w:eastAsia="仿宋_GB2312"/>
                <w:kern w:val="0"/>
                <w:sz w:val="24"/>
                <w:highlight w:val="none"/>
                <w:lang w:val="zh-CN"/>
              </w:rPr>
              <w:t>关本项目所需的人工费、材料费、设备使用费、人员来往的交通、通信、食宿、企业管理费、利润、税金、售后服务费、招标代理费、技术服务费、技术培训费、政策性文件规定及合同包含的所有风险、责任、成果验收以及采购文件约定工作内容所包含的等一切费用均计入报价。</w:t>
            </w:r>
            <w:r>
              <w:rPr>
                <w:rFonts w:hint="eastAsia" w:ascii="仿宋_GB2312" w:hAnsi="仿宋" w:eastAsia="仿宋_GB2312" w:cs="仿宋_GB2312"/>
                <w:sz w:val="24"/>
                <w:highlight w:val="none"/>
              </w:rPr>
              <w:t>开标一览表（报价表）</w:t>
            </w:r>
            <w:r>
              <w:rPr>
                <w:rFonts w:hint="eastAsia" w:ascii="仿宋_GB2312" w:hAnsi="仿宋" w:eastAsia="仿宋_GB2312"/>
                <w:sz w:val="24"/>
                <w:highlight w:val="none"/>
              </w:rPr>
              <w:t>是报价的唯一载体</w:t>
            </w:r>
            <w:r>
              <w:rPr>
                <w:rFonts w:hint="eastAsia" w:ascii="仿宋_GB2312" w:hAnsi="仿宋" w:eastAsia="仿宋_GB2312" w:cs="仿宋_GB2312"/>
                <w:kern w:val="0"/>
                <w:sz w:val="24"/>
                <w:highlight w:val="none"/>
                <w:lang w:val="zh-CN"/>
              </w:rPr>
              <w:t>。投标文件中价格全部采用人民币报价。招标文件未列明，而投标人认为必需的费用也需列入报价。</w:t>
            </w:r>
          </w:p>
          <w:p w14:paraId="4240E2CB">
            <w:pPr>
              <w:snapToGrid w:val="0"/>
              <w:spacing w:line="360" w:lineRule="auto"/>
              <w:jc w:val="left"/>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投标报价出现下列情形的，投标无效：</w:t>
            </w:r>
          </w:p>
          <w:p w14:paraId="523BD338">
            <w:pPr>
              <w:snapToGrid w:val="0"/>
              <w:spacing w:line="360" w:lineRule="auto"/>
              <w:ind w:firstLine="241" w:firstLineChars="100"/>
              <w:jc w:val="left"/>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投标文件出现不是唯一的、有选择性投标报价的；</w:t>
            </w:r>
          </w:p>
          <w:p w14:paraId="4DC85E3D">
            <w:pPr>
              <w:snapToGrid w:val="0"/>
              <w:spacing w:line="360" w:lineRule="auto"/>
              <w:ind w:firstLine="241" w:firstLineChars="100"/>
              <w:jc w:val="left"/>
              <w:rPr>
                <w:rFonts w:ascii="仿宋_GB2312" w:hAnsi="仿宋" w:eastAsia="仿宋_GB2312"/>
                <w:kern w:val="0"/>
                <w:sz w:val="24"/>
                <w:highlight w:val="none"/>
                <w:lang w:val="zh-CN"/>
              </w:rPr>
            </w:pPr>
            <w:r>
              <w:rPr>
                <w:rFonts w:hint="eastAsia" w:ascii="仿宋_GB2312" w:hAnsi="仿宋" w:eastAsia="仿宋_GB2312" w:cs="仿宋_GB2312"/>
                <w:b/>
                <w:kern w:val="0"/>
                <w:sz w:val="24"/>
                <w:highlight w:val="none"/>
                <w:lang w:val="zh-CN"/>
              </w:rPr>
              <w:t>投标报价超过招标文件中规定的预算金额或者最高限价的</w:t>
            </w:r>
            <w:r>
              <w:rPr>
                <w:rFonts w:ascii="仿宋_GB2312" w:hAnsi="仿宋" w:eastAsia="仿宋_GB2312"/>
                <w:b/>
                <w:kern w:val="0"/>
                <w:sz w:val="24"/>
                <w:highlight w:val="none"/>
                <w:lang w:val="zh-CN"/>
              </w:rPr>
              <w:t>;</w:t>
            </w:r>
          </w:p>
          <w:p w14:paraId="16F954CF">
            <w:pPr>
              <w:spacing w:line="360" w:lineRule="auto"/>
              <w:ind w:firstLine="241" w:firstLineChars="100"/>
              <w:rPr>
                <w:rFonts w:ascii="仿宋_GB2312" w:hAnsi="仿宋" w:eastAsia="仿宋_GB2312" w:cs="仿宋_GB2312"/>
                <w:b/>
                <w:sz w:val="24"/>
                <w:szCs w:val="21"/>
                <w:highlight w:val="none"/>
              </w:rPr>
            </w:pPr>
            <w:r>
              <w:rPr>
                <w:rFonts w:hint="eastAsia" w:ascii="仿宋_GB2312" w:hAnsi="仿宋" w:eastAsia="仿宋_GB2312" w:cs="Arial"/>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highlight w:val="none"/>
              </w:rPr>
              <w:t>;</w:t>
            </w:r>
          </w:p>
          <w:p w14:paraId="466485E9">
            <w:pPr>
              <w:pStyle w:val="3"/>
              <w:keepNext/>
              <w:keepLines/>
              <w:pageBreakBefore w:val="0"/>
              <w:widowControl w:val="0"/>
              <w:kinsoku/>
              <w:wordWrap/>
              <w:overflowPunct/>
              <w:topLinePunct w:val="0"/>
              <w:autoSpaceDE/>
              <w:autoSpaceDN/>
              <w:bidi w:val="0"/>
              <w:adjustRightInd/>
              <w:snapToGrid/>
              <w:ind w:left="0" w:leftChars="0" w:firstLine="241" w:firstLineChars="100"/>
              <w:textAlignment w:val="auto"/>
              <w:rPr>
                <w:rFonts w:hint="eastAsia" w:ascii="仿宋_GB2312" w:hAnsi="仿宋" w:eastAsia="仿宋_GB2312" w:cs="Arial"/>
                <w:b/>
                <w:bCs w:val="0"/>
                <w:kern w:val="0"/>
                <w:sz w:val="24"/>
                <w:szCs w:val="24"/>
                <w:highlight w:val="none"/>
                <w:lang w:val="en-US" w:eastAsia="zh-CN" w:bidi="ar-SA"/>
              </w:rPr>
            </w:pPr>
            <w:r>
              <w:rPr>
                <w:rFonts w:hint="eastAsia" w:ascii="仿宋_GB2312" w:hAnsi="仿宋" w:eastAsia="仿宋_GB2312" w:cs="Arial"/>
                <w:b/>
                <w:bCs w:val="0"/>
                <w:kern w:val="0"/>
                <w:sz w:val="24"/>
                <w:szCs w:val="24"/>
                <w:highlight w:val="none"/>
                <w:lang w:val="en-US" w:eastAsia="zh-CN" w:bidi="ar-SA"/>
              </w:rPr>
              <w:t>《投标（开标）一览表》填写不完整或字迹不能辨认或有漏项的</w:t>
            </w:r>
            <w:r>
              <w:rPr>
                <w:rFonts w:hint="eastAsia" w:cs="Arial"/>
                <w:b/>
                <w:bCs w:val="0"/>
                <w:kern w:val="0"/>
                <w:sz w:val="24"/>
                <w:szCs w:val="24"/>
                <w:highlight w:val="none"/>
                <w:lang w:val="en-US" w:eastAsia="zh-CN" w:bidi="ar-SA"/>
              </w:rPr>
              <w:t>；</w:t>
            </w:r>
          </w:p>
          <w:p w14:paraId="6D12E45B">
            <w:pPr>
              <w:spacing w:line="360" w:lineRule="auto"/>
              <w:ind w:firstLine="241" w:firstLineChars="100"/>
              <w:rPr>
                <w:rFonts w:ascii="仿宋_GB2312" w:hAnsi="仿宋" w:eastAsia="仿宋_GB2312"/>
                <w:sz w:val="24"/>
                <w:highlight w:val="none"/>
              </w:rPr>
            </w:pPr>
            <w:r>
              <w:rPr>
                <w:rFonts w:hint="eastAsia" w:ascii="仿宋_GB2312" w:hAnsi="仿宋" w:eastAsia="仿宋_GB2312" w:cs="Arial"/>
                <w:b/>
                <w:kern w:val="0"/>
                <w:sz w:val="24"/>
                <w:highlight w:val="none"/>
              </w:rPr>
              <w:t>投标人对根据修正原则修正后的报价不确认的</w:t>
            </w:r>
            <w:r>
              <w:rPr>
                <w:rFonts w:hint="eastAsia" w:ascii="仿宋_GB2312" w:hAnsi="仿宋" w:eastAsia="仿宋_GB2312"/>
                <w:b/>
                <w:sz w:val="24"/>
                <w:highlight w:val="none"/>
              </w:rPr>
              <w:t>。</w:t>
            </w:r>
          </w:p>
        </w:tc>
      </w:tr>
      <w:tr w14:paraId="168FF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7A02DC">
            <w:pPr>
              <w:snapToGrid w:val="0"/>
              <w:spacing w:line="24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DF622D8">
            <w:pPr>
              <w:snapToGrid w:val="0"/>
              <w:spacing w:line="240" w:lineRule="auto"/>
              <w:ind w:firstLine="482" w:firstLineChars="200"/>
              <w:rPr>
                <w:rFonts w:ascii="仿宋_GB2312" w:hAnsi="仿宋" w:eastAsia="仿宋_GB2312" w:cs="仿宋_GB2312"/>
                <w:b/>
                <w:sz w:val="24"/>
                <w:highlight w:val="none"/>
              </w:rPr>
            </w:pPr>
            <w:r>
              <w:rPr>
                <w:rFonts w:hint="eastAsia" w:ascii="仿宋_GB2312" w:hAnsi="仿宋" w:eastAsia="仿宋_GB2312" w:cs="仿宋_GB2312"/>
                <w:b/>
                <w:sz w:val="24"/>
                <w:highlight w:val="none"/>
              </w:rPr>
              <w:t>分包</w:t>
            </w:r>
          </w:p>
        </w:tc>
        <w:tc>
          <w:tcPr>
            <w:tcW w:w="6609" w:type="dxa"/>
            <w:tcBorders>
              <w:top w:val="single" w:color="000000" w:sz="8" w:space="0"/>
              <w:left w:val="single" w:color="000000" w:sz="2" w:space="0"/>
              <w:bottom w:val="single" w:color="000000" w:sz="8" w:space="0"/>
              <w:right w:val="single" w:color="000000" w:sz="8" w:space="0"/>
            </w:tcBorders>
            <w:vAlign w:val="center"/>
          </w:tcPr>
          <w:p w14:paraId="36E7D403">
            <w:pPr>
              <w:spacing w:line="240" w:lineRule="auto"/>
              <w:rPr>
                <w:rFonts w:ascii="仿宋_GB2312" w:hAnsi="仿宋" w:eastAsia="仿宋_GB2312" w:cs="仿宋_GB2312"/>
                <w:sz w:val="24"/>
                <w:highlight w:val="none"/>
              </w:rPr>
            </w:pPr>
            <w:r>
              <w:rPr>
                <w:rFonts w:hint="eastAsia" w:ascii="仿宋_GB2312" w:hAnsi="仿宋" w:eastAsia="仿宋_GB2312"/>
                <w:sz w:val="24"/>
                <w:highlight w:val="none"/>
              </w:rPr>
              <w:t>不</w:t>
            </w:r>
            <w:r>
              <w:rPr>
                <w:rFonts w:hint="eastAsia" w:ascii="仿宋_GB2312" w:hAnsi="仿宋" w:eastAsia="仿宋_GB2312"/>
                <w:sz w:val="24"/>
                <w:highlight w:val="none"/>
                <w:lang w:eastAsia="zh-CN"/>
              </w:rPr>
              <w:t>允许</w:t>
            </w:r>
            <w:r>
              <w:rPr>
                <w:rFonts w:hint="eastAsia" w:ascii="仿宋_GB2312" w:hAnsi="仿宋" w:eastAsia="仿宋_GB2312"/>
                <w:sz w:val="24"/>
                <w:highlight w:val="none"/>
              </w:rPr>
              <w:t>分包。</w:t>
            </w:r>
          </w:p>
        </w:tc>
      </w:tr>
      <w:tr w14:paraId="6C182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2" w:hRule="atLeast"/>
          <w:tblHeader/>
        </w:trPr>
        <w:tc>
          <w:tcPr>
            <w:tcW w:w="629" w:type="dxa"/>
            <w:vMerge w:val="restart"/>
            <w:tcBorders>
              <w:top w:val="single" w:color="auto" w:sz="4" w:space="0"/>
              <w:left w:val="single" w:color="auto" w:sz="4" w:space="0"/>
              <w:right w:val="single" w:color="auto" w:sz="4" w:space="0"/>
            </w:tcBorders>
          </w:tcPr>
          <w:p w14:paraId="104D414D">
            <w:pPr>
              <w:snapToGrid w:val="0"/>
              <w:spacing w:line="360" w:lineRule="auto"/>
              <w:jc w:val="center"/>
              <w:rPr>
                <w:rFonts w:ascii="仿宋_GB2312" w:hAnsi="仿宋" w:eastAsia="仿宋_GB2312" w:cs="仿宋_GB2312"/>
                <w:sz w:val="24"/>
                <w:highlight w:val="none"/>
              </w:rPr>
            </w:pPr>
          </w:p>
          <w:p w14:paraId="36B5FA62">
            <w:pPr>
              <w:snapToGrid w:val="0"/>
              <w:spacing w:line="360" w:lineRule="auto"/>
              <w:jc w:val="center"/>
              <w:rPr>
                <w:rFonts w:ascii="仿宋_GB2312" w:hAnsi="仿宋" w:eastAsia="仿宋_GB2312" w:cs="仿宋_GB2312"/>
                <w:sz w:val="24"/>
                <w:highlight w:val="none"/>
              </w:rPr>
            </w:pPr>
          </w:p>
          <w:p w14:paraId="21557028">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1AC5440A">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投标人应当提供的资格、资信证明文件</w:t>
            </w:r>
          </w:p>
        </w:tc>
        <w:tc>
          <w:tcPr>
            <w:tcW w:w="6609" w:type="dxa"/>
            <w:tcBorders>
              <w:top w:val="single" w:color="000000" w:sz="8" w:space="0"/>
              <w:left w:val="single" w:color="000000" w:sz="2" w:space="0"/>
              <w:bottom w:val="single" w:color="auto" w:sz="4" w:space="0"/>
              <w:right w:val="single" w:color="000000" w:sz="8" w:space="0"/>
            </w:tcBorders>
            <w:vAlign w:val="center"/>
          </w:tcPr>
          <w:p w14:paraId="751DD5F1">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1）资格证明文件：见招标文件第二部分11.1。</w:t>
            </w:r>
          </w:p>
          <w:p w14:paraId="61018EA0">
            <w:pPr>
              <w:spacing w:line="360" w:lineRule="auto"/>
              <w:rPr>
                <w:rFonts w:ascii="Arial" w:hAnsi="Arial" w:eastAsia="黑体" w:cs="Arial"/>
                <w:snapToGrid w:val="0"/>
                <w:kern w:val="0"/>
                <w:szCs w:val="21"/>
                <w:highlight w:val="none"/>
              </w:rPr>
            </w:pPr>
            <w:r>
              <w:rPr>
                <w:rFonts w:hint="eastAsia" w:ascii="仿宋_GB2312" w:hAnsi="仿宋" w:eastAsia="仿宋_GB2312"/>
                <w:kern w:val="0"/>
                <w:sz w:val="24"/>
                <w:highlight w:val="none"/>
                <w:lang w:val="zh-CN"/>
              </w:rPr>
              <w:t>投标人未提供有效的资格证明文件的，视为投标人不具备招标文件中规定的资格要求，投标无效。</w:t>
            </w:r>
          </w:p>
        </w:tc>
      </w:tr>
      <w:tr w14:paraId="725BB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7" w:hRule="atLeast"/>
          <w:tblHeader/>
        </w:trPr>
        <w:tc>
          <w:tcPr>
            <w:tcW w:w="629" w:type="dxa"/>
            <w:vMerge w:val="continue"/>
            <w:tcBorders>
              <w:left w:val="single" w:color="auto" w:sz="4" w:space="0"/>
              <w:bottom w:val="single" w:color="auto" w:sz="4" w:space="0"/>
              <w:right w:val="single" w:color="auto" w:sz="4" w:space="0"/>
            </w:tcBorders>
          </w:tcPr>
          <w:p w14:paraId="43CB5978">
            <w:pPr>
              <w:snapToGrid w:val="0"/>
              <w:spacing w:line="360" w:lineRule="auto"/>
              <w:jc w:val="center"/>
              <w:rPr>
                <w:rFonts w:ascii="仿宋_GB2312" w:hAnsi="仿宋" w:eastAsia="仿宋_GB2312" w:cs="仿宋_GB2312"/>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9C94617">
            <w:pPr>
              <w:snapToGrid w:val="0"/>
              <w:spacing w:line="360" w:lineRule="auto"/>
              <w:jc w:val="center"/>
              <w:rPr>
                <w:rFonts w:ascii="仿宋_GB2312" w:hAnsi="仿宋" w:eastAsia="仿宋_GB2312" w:cs="仿宋_GB2312"/>
                <w:b/>
                <w:sz w:val="24"/>
                <w:highlight w:val="none"/>
              </w:rPr>
            </w:pPr>
          </w:p>
        </w:tc>
        <w:tc>
          <w:tcPr>
            <w:tcW w:w="6609" w:type="dxa"/>
            <w:tcBorders>
              <w:top w:val="single" w:color="auto" w:sz="4" w:space="0"/>
              <w:left w:val="single" w:color="000000" w:sz="2" w:space="0"/>
              <w:bottom w:val="single" w:color="000000" w:sz="8" w:space="0"/>
              <w:right w:val="single" w:color="000000" w:sz="8" w:space="0"/>
            </w:tcBorders>
            <w:vAlign w:val="center"/>
          </w:tcPr>
          <w:p w14:paraId="3A66C05E">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2）资信证明文件：根据招标文件第四部分评标标准提供。</w:t>
            </w:r>
          </w:p>
        </w:tc>
      </w:tr>
      <w:tr w14:paraId="4A243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83D9CF">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D65C354">
            <w:pPr>
              <w:snapToGrid w:val="0"/>
              <w:spacing w:line="24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开标前答疑会或现场考察</w:t>
            </w:r>
          </w:p>
        </w:tc>
        <w:tc>
          <w:tcPr>
            <w:tcW w:w="6609" w:type="dxa"/>
            <w:tcBorders>
              <w:top w:val="single" w:color="000000" w:sz="8" w:space="0"/>
              <w:left w:val="single" w:color="000000" w:sz="2" w:space="0"/>
              <w:bottom w:val="single" w:color="000000" w:sz="8" w:space="0"/>
              <w:right w:val="single" w:color="000000" w:sz="8" w:space="0"/>
            </w:tcBorders>
            <w:vAlign w:val="center"/>
          </w:tcPr>
          <w:p w14:paraId="76BC1683">
            <w:pPr>
              <w:spacing w:line="240" w:lineRule="auto"/>
              <w:rPr>
                <w:rFonts w:hint="eastAsia" w:ascii="仿宋_GB2312" w:hAnsi="仿宋" w:eastAsia="仿宋"/>
                <w:sz w:val="24"/>
                <w:szCs w:val="20"/>
                <w:highlight w:val="none"/>
                <w:lang w:eastAsia="zh-CN"/>
              </w:rPr>
            </w:pPr>
            <w:sdt>
              <w:sdtPr>
                <w:rPr>
                  <w:rFonts w:hint="eastAsia" w:ascii="仿宋_GB2312" w:hAnsi="仿宋" w:eastAsia="仿宋_GB2312" w:cs="Arial"/>
                  <w:kern w:val="0"/>
                  <w:sz w:val="24"/>
                  <w:highlight w:val="none"/>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r>
              <w:rPr>
                <w:rFonts w:hint="eastAsia" w:ascii="仿宋" w:hAnsi="仿宋" w:eastAsia="仿宋"/>
                <w:sz w:val="24"/>
                <w:highlight w:val="none"/>
              </w:rPr>
              <w:t>请各潜在投标人自行查看现场</w:t>
            </w:r>
            <w:r>
              <w:rPr>
                <w:rFonts w:hint="eastAsia" w:ascii="仿宋" w:hAnsi="仿宋" w:eastAsia="仿宋"/>
                <w:sz w:val="24"/>
                <w:highlight w:val="none"/>
                <w:lang w:eastAsia="zh-CN"/>
              </w:rPr>
              <w:t>。</w:t>
            </w:r>
          </w:p>
        </w:tc>
      </w:tr>
      <w:tr w14:paraId="121A2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372927EC">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B68BF32">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样品提供</w:t>
            </w:r>
          </w:p>
        </w:tc>
        <w:tc>
          <w:tcPr>
            <w:tcW w:w="6609" w:type="dxa"/>
            <w:tcBorders>
              <w:top w:val="single" w:color="000000" w:sz="8" w:space="0"/>
              <w:left w:val="single" w:color="000000" w:sz="2" w:space="0"/>
              <w:bottom w:val="single" w:color="000000" w:sz="8" w:space="0"/>
              <w:right w:val="single" w:color="000000" w:sz="8" w:space="0"/>
            </w:tcBorders>
            <w:vAlign w:val="center"/>
          </w:tcPr>
          <w:p w14:paraId="34608DD7">
            <w:pPr>
              <w:spacing w:line="360" w:lineRule="auto"/>
              <w:rPr>
                <w:rFonts w:ascii="仿宋_GB2312" w:hAnsi="仿宋" w:eastAsia="仿宋_GB2312"/>
                <w:b/>
                <w:sz w:val="24"/>
                <w:highlight w:val="none"/>
              </w:rPr>
            </w:pPr>
            <w:sdt>
              <w:sdtPr>
                <w:rPr>
                  <w:rFonts w:hint="eastAsia" w:ascii="仿宋_GB2312" w:hAnsi="仿宋" w:eastAsia="仿宋_GB2312" w:cs="Arial"/>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不要求提供。</w:t>
            </w:r>
          </w:p>
        </w:tc>
      </w:tr>
      <w:tr w14:paraId="0A7B6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073EBB59">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738812DC">
            <w:pPr>
              <w:snapToGrid w:val="0"/>
              <w:spacing w:line="360" w:lineRule="auto"/>
              <w:jc w:val="center"/>
              <w:rPr>
                <w:rFonts w:ascii="仿宋_GB2312" w:hAnsi="仿宋" w:eastAsia="仿宋_GB2312" w:cs="仿宋_GB2312"/>
                <w:bCs/>
                <w:sz w:val="24"/>
                <w:highlight w:val="none"/>
              </w:rPr>
            </w:pPr>
            <w:r>
              <w:rPr>
                <w:rFonts w:hint="eastAsia" w:ascii="仿宋_GB2312" w:hAnsi="仿宋" w:eastAsia="仿宋_GB2312" w:cs="仿宋_GB2312"/>
                <w:b/>
                <w:sz w:val="24"/>
                <w:highlight w:val="none"/>
              </w:rPr>
              <w:t>方案讲解演示</w:t>
            </w:r>
          </w:p>
        </w:tc>
        <w:tc>
          <w:tcPr>
            <w:tcW w:w="6609" w:type="dxa"/>
            <w:tcBorders>
              <w:top w:val="single" w:color="000000" w:sz="8" w:space="0"/>
              <w:left w:val="single" w:color="000000" w:sz="2" w:space="0"/>
              <w:bottom w:val="single" w:color="000000" w:sz="8" w:space="0"/>
              <w:right w:val="single" w:color="000000" w:sz="8" w:space="0"/>
            </w:tcBorders>
            <w:vAlign w:val="center"/>
          </w:tcPr>
          <w:p w14:paraId="469CD6D9">
            <w:pPr>
              <w:spacing w:line="360" w:lineRule="auto"/>
              <w:rPr>
                <w:rFonts w:ascii="仿宋_GB2312" w:hAnsi="仿宋" w:eastAsia="仿宋_GB2312" w:cs="仿宋_GB2312"/>
                <w:b/>
                <w:kern w:val="0"/>
                <w:sz w:val="24"/>
                <w:highlight w:val="none"/>
                <w:lang w:val="zh-CN"/>
              </w:rPr>
            </w:pPr>
            <w:sdt>
              <w:sdtPr>
                <w:rPr>
                  <w:rFonts w:hint="eastAsia" w:ascii="仿宋_GB2312" w:hAnsi="仿宋" w:eastAsia="仿宋_GB2312" w:cs="Arial"/>
                  <w:kern w:val="0"/>
                  <w:sz w:val="24"/>
                  <w:highlight w:val="none"/>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highlight w:val="none"/>
                  </w:rPr>
                  <w:t></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tc>
      </w:tr>
      <w:tr w14:paraId="07E32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 w:hRule="atLeast"/>
          <w:tblHeader/>
        </w:trPr>
        <w:tc>
          <w:tcPr>
            <w:tcW w:w="629" w:type="dxa"/>
            <w:tcBorders>
              <w:top w:val="single" w:color="auto" w:sz="4" w:space="0"/>
              <w:left w:val="single" w:color="000000" w:sz="8" w:space="0"/>
              <w:bottom w:val="single" w:color="auto" w:sz="4" w:space="0"/>
              <w:right w:val="single" w:color="000000" w:sz="2" w:space="0"/>
            </w:tcBorders>
          </w:tcPr>
          <w:p w14:paraId="0BA862D4">
            <w:pPr>
              <w:snapToGrid w:val="0"/>
              <w:spacing w:line="360" w:lineRule="auto"/>
              <w:jc w:val="center"/>
              <w:rPr>
                <w:rFonts w:hint="eastAsia" w:ascii="仿宋_GB2312" w:hAnsi="仿宋" w:eastAsia="仿宋_GB2312" w:cs="仿宋_GB2312"/>
                <w:sz w:val="24"/>
                <w:highlight w:val="none"/>
                <w:lang w:eastAsia="zh-CN"/>
              </w:rPr>
            </w:pPr>
            <w:r>
              <w:rPr>
                <w:rFonts w:hint="eastAsia" w:ascii="仿宋_GB2312" w:hAnsi="仿宋" w:eastAsia="仿宋_GB2312" w:cs="仿宋_GB2312"/>
                <w:sz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6D76FAE3">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项目属性</w:t>
            </w:r>
          </w:p>
        </w:tc>
        <w:tc>
          <w:tcPr>
            <w:tcW w:w="6609" w:type="dxa"/>
            <w:tcBorders>
              <w:top w:val="single" w:color="000000" w:sz="8" w:space="0"/>
              <w:left w:val="single" w:color="000000" w:sz="2" w:space="0"/>
              <w:bottom w:val="single" w:color="000000" w:sz="8" w:space="0"/>
              <w:right w:val="single" w:color="000000" w:sz="8" w:space="0"/>
            </w:tcBorders>
            <w:vAlign w:val="center"/>
          </w:tcPr>
          <w:p w14:paraId="6F42E4F4">
            <w:pPr>
              <w:spacing w:line="360" w:lineRule="auto"/>
              <w:rPr>
                <w:rFonts w:ascii="仿宋_GB2312" w:hAnsi="仿宋" w:eastAsia="仿宋_GB2312"/>
                <w:sz w:val="24"/>
                <w:highlight w:val="none"/>
              </w:rPr>
            </w:pPr>
            <w:sdt>
              <w:sdtPr>
                <w:rPr>
                  <w:rFonts w:hint="eastAsia" w:ascii="仿宋_GB2312" w:hAnsi="仿宋" w:eastAsia="仿宋_GB2312" w:cs="Arial"/>
                  <w:kern w:val="0"/>
                  <w:sz w:val="24"/>
                  <w:highlight w:val="none"/>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szCs w:val="24"/>
                    <w:highlight w:val="none"/>
                    <w:lang w:val="en-US" w:eastAsia="zh-CN" w:bidi="ar-SA"/>
                  </w:rPr>
                  <w:t>þ</w:t>
                </w:r>
              </w:sdtContent>
            </w:sdt>
            <w:r>
              <w:rPr>
                <w:rFonts w:ascii="仿宋_GB2312" w:hAnsi="仿宋" w:eastAsia="仿宋_GB2312" w:cs="Arial"/>
                <w:kern w:val="0"/>
                <w:sz w:val="24"/>
                <w:highlight w:val="none"/>
              </w:rPr>
              <w:t>B</w:t>
            </w:r>
            <w:r>
              <w:rPr>
                <w:rFonts w:hint="eastAsia" w:ascii="仿宋_GB2312" w:hAnsi="仿宋" w:eastAsia="仿宋_GB2312"/>
                <w:sz w:val="24"/>
                <w:highlight w:val="none"/>
              </w:rPr>
              <w:t>服务类。</w:t>
            </w:r>
          </w:p>
        </w:tc>
      </w:tr>
      <w:tr w14:paraId="50380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3FD20D">
            <w:pPr>
              <w:snapToGrid w:val="0"/>
              <w:spacing w:line="360" w:lineRule="auto"/>
              <w:jc w:val="center"/>
              <w:rPr>
                <w:rFonts w:hint="eastAsia" w:ascii="仿宋_GB2312" w:hAnsi="仿宋" w:eastAsia="仿宋_GB2312" w:cs="仿宋_GB2312"/>
                <w:sz w:val="24"/>
                <w:highlight w:val="none"/>
                <w:lang w:eastAsia="zh-CN"/>
              </w:rPr>
            </w:pPr>
            <w:r>
              <w:rPr>
                <w:rFonts w:hint="eastAsia" w:ascii="仿宋_GB2312" w:hAnsi="仿宋" w:eastAsia="仿宋_GB2312" w:cs="仿宋_GB2312"/>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3BF67AD0">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采购标的对应的中小企业划分标准所属行业</w:t>
            </w:r>
          </w:p>
        </w:tc>
        <w:tc>
          <w:tcPr>
            <w:tcW w:w="6609" w:type="dxa"/>
            <w:tcBorders>
              <w:top w:val="single" w:color="000000" w:sz="8" w:space="0"/>
              <w:left w:val="single" w:color="000000" w:sz="2" w:space="0"/>
              <w:bottom w:val="single" w:color="000000" w:sz="8" w:space="0"/>
              <w:right w:val="single" w:color="000000" w:sz="8" w:space="0"/>
            </w:tcBorders>
            <w:vAlign w:val="center"/>
          </w:tcPr>
          <w:p w14:paraId="0811AD87">
            <w:pPr>
              <w:snapToGrid w:val="0"/>
              <w:rPr>
                <w:highlight w:val="none"/>
                <w:lang w:val="en-US"/>
              </w:rPr>
            </w:pPr>
            <w:r>
              <w:rPr>
                <w:rFonts w:hint="eastAsia" w:ascii="仿宋" w:hAnsi="仿宋" w:eastAsia="仿宋" w:cs="仿宋"/>
                <w:sz w:val="24"/>
                <w:highlight w:val="none"/>
              </w:rPr>
              <w:t>采购标的：</w:t>
            </w:r>
            <w:r>
              <w:rPr>
                <w:rFonts w:hint="eastAsia" w:ascii="仿宋" w:hAnsi="仿宋" w:eastAsia="仿宋" w:cs="仿宋"/>
                <w:sz w:val="24"/>
                <w:highlight w:val="none"/>
                <w:u w:val="single"/>
                <w:lang w:eastAsia="zh-CN"/>
              </w:rPr>
              <w:t>综合</w:t>
            </w:r>
            <w:r>
              <w:rPr>
                <w:rFonts w:hint="eastAsia" w:ascii="仿宋" w:hAnsi="仿宋" w:eastAsia="仿宋" w:cs="仿宋"/>
                <w:sz w:val="24"/>
                <w:highlight w:val="none"/>
                <w:u w:val="single"/>
              </w:rPr>
              <w:t>保洁服务</w:t>
            </w:r>
            <w:r>
              <w:rPr>
                <w:rFonts w:hint="eastAsia" w:ascii="仿宋" w:hAnsi="仿宋" w:eastAsia="仿宋" w:cs="仿宋"/>
                <w:sz w:val="24"/>
                <w:highlight w:val="none"/>
              </w:rPr>
              <w:t>；所属行业：</w:t>
            </w:r>
            <w:r>
              <w:rPr>
                <w:rFonts w:hint="eastAsia" w:ascii="仿宋" w:hAnsi="仿宋" w:eastAsia="仿宋" w:cs="仿宋"/>
                <w:b w:val="0"/>
                <w:bCs w:val="0"/>
                <w:color w:val="auto"/>
                <w:kern w:val="0"/>
                <w:sz w:val="24"/>
                <w:u w:val="single"/>
                <w:lang w:val="en-US" w:eastAsia="zh-CN"/>
              </w:rPr>
              <w:t>其他未列明行业</w:t>
            </w:r>
            <w:r>
              <w:rPr>
                <w:rFonts w:hint="eastAsia" w:ascii="仿宋" w:hAnsi="仿宋" w:eastAsia="仿宋" w:cs="仿宋"/>
                <w:sz w:val="24"/>
                <w:highlight w:val="none"/>
                <w:u w:val="single"/>
              </w:rPr>
              <w:t>。</w:t>
            </w:r>
          </w:p>
        </w:tc>
      </w:tr>
      <w:tr w14:paraId="39A24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558D6EC9">
            <w:pPr>
              <w:snapToGrid w:val="0"/>
              <w:spacing w:line="360" w:lineRule="auto"/>
              <w:jc w:val="center"/>
              <w:rPr>
                <w:rFonts w:ascii="仿宋_GB2312" w:hAnsi="仿宋" w:eastAsia="仿宋_GB2312" w:cs="仿宋_GB2312"/>
                <w:sz w:val="24"/>
                <w:highlight w:val="none"/>
              </w:rPr>
            </w:pPr>
          </w:p>
          <w:p w14:paraId="2BD4EFEA">
            <w:pPr>
              <w:snapToGrid w:val="0"/>
              <w:spacing w:line="360" w:lineRule="auto"/>
              <w:jc w:val="center"/>
              <w:rPr>
                <w:rFonts w:hint="eastAsia" w:ascii="仿宋_GB2312" w:hAnsi="仿宋" w:eastAsia="仿宋_GB2312" w:cs="仿宋_GB2312"/>
                <w:sz w:val="24"/>
                <w:highlight w:val="none"/>
                <w:lang w:eastAsia="zh-CN"/>
              </w:rPr>
            </w:pPr>
            <w:r>
              <w:rPr>
                <w:rFonts w:hint="eastAsia" w:ascii="仿宋_GB2312" w:hAnsi="仿宋" w:eastAsia="仿宋_GB2312" w:cs="仿宋_GB2312"/>
                <w:sz w:val="24"/>
                <w:highlight w:val="none"/>
                <w:lang w:val="en-US" w:eastAsia="zh-CN"/>
              </w:rPr>
              <w:t>9</w:t>
            </w:r>
          </w:p>
        </w:tc>
        <w:tc>
          <w:tcPr>
            <w:tcW w:w="1843" w:type="dxa"/>
            <w:tcBorders>
              <w:top w:val="single" w:color="000000" w:sz="8" w:space="0"/>
              <w:left w:val="single" w:color="000000" w:sz="2" w:space="0"/>
              <w:right w:val="single" w:color="000000" w:sz="8" w:space="0"/>
            </w:tcBorders>
            <w:vAlign w:val="center"/>
          </w:tcPr>
          <w:p w14:paraId="4932B63A">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中小企业信用融资</w:t>
            </w:r>
          </w:p>
        </w:tc>
        <w:tc>
          <w:tcPr>
            <w:tcW w:w="6609" w:type="dxa"/>
            <w:tcBorders>
              <w:top w:val="single" w:color="000000" w:sz="8" w:space="0"/>
              <w:left w:val="single" w:color="000000" w:sz="2" w:space="0"/>
              <w:bottom w:val="single" w:color="000000" w:sz="8" w:space="0"/>
              <w:right w:val="single" w:color="000000" w:sz="8" w:space="0"/>
            </w:tcBorders>
            <w:vAlign w:val="center"/>
          </w:tcPr>
          <w:p w14:paraId="11326AFD">
            <w:pPr>
              <w:spacing w:line="360" w:lineRule="auto"/>
              <w:ind w:firstLine="480" w:firstLineChars="200"/>
              <w:rPr>
                <w:rFonts w:hint="eastAsia" w:ascii="仿宋_GB2312" w:hAnsi="仿宋" w:eastAsia="仿宋"/>
                <w:sz w:val="24"/>
                <w:highlight w:val="none"/>
                <w:lang w:eastAsia="zh-CN"/>
              </w:rPr>
            </w:pPr>
            <w:r>
              <w:rPr>
                <w:rFonts w:hint="eastAsia" w:ascii="仿宋" w:hAnsi="仿宋" w:eastAsia="仿宋" w:cs="仿宋"/>
                <w:snapToGrid w:val="0"/>
                <w:color w:val="000000"/>
                <w:sz w:val="24"/>
                <w:szCs w:val="21"/>
                <w:highlight w:val="none"/>
              </w:rPr>
              <w:t>凡已在浙江政府采购网网上注册入库，并取得临安区政府采购合同的中小企业供应商，均可申请政府采购信用融资，联系方式见附表</w:t>
            </w:r>
            <w:r>
              <w:rPr>
                <w:rFonts w:hint="eastAsia" w:ascii="仿宋" w:hAnsi="仿宋" w:eastAsia="仿宋" w:cs="仿宋"/>
                <w:snapToGrid w:val="0"/>
                <w:color w:val="000000"/>
                <w:sz w:val="24"/>
                <w:szCs w:val="21"/>
                <w:highlight w:val="none"/>
                <w:lang w:eastAsia="zh-CN"/>
              </w:rPr>
              <w:t>：</w:t>
            </w:r>
          </w:p>
          <w:tbl>
            <w:tblPr>
              <w:tblStyle w:val="62"/>
              <w:tblW w:w="63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0"/>
              <w:gridCol w:w="1079"/>
              <w:gridCol w:w="1596"/>
              <w:gridCol w:w="1818"/>
            </w:tblGrid>
            <w:tr w14:paraId="1C5C1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820" w:type="dxa"/>
                  <w:vAlign w:val="center"/>
                </w:tcPr>
                <w:p w14:paraId="004D37E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金融机构各称</w:t>
                  </w:r>
                </w:p>
              </w:tc>
              <w:tc>
                <w:tcPr>
                  <w:tcW w:w="1079" w:type="dxa"/>
                  <w:vAlign w:val="center"/>
                </w:tcPr>
                <w:p w14:paraId="29C4A67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tc>
              <w:tc>
                <w:tcPr>
                  <w:tcW w:w="1596" w:type="dxa"/>
                  <w:vAlign w:val="center"/>
                </w:tcPr>
                <w:p w14:paraId="18F3F46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1818" w:type="dxa"/>
                  <w:vAlign w:val="center"/>
                </w:tcPr>
                <w:p w14:paraId="4FEB2CE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联系地址</w:t>
                  </w:r>
                </w:p>
              </w:tc>
            </w:tr>
            <w:tr w14:paraId="10611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820" w:type="dxa"/>
                  <w:tcBorders>
                    <w:bottom w:val="single" w:color="auto" w:sz="4" w:space="0"/>
                  </w:tcBorders>
                  <w:vAlign w:val="center"/>
                </w:tcPr>
                <w:p w14:paraId="2CCF6B5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南</w:t>
                  </w:r>
                  <w:r>
                    <w:rPr>
                      <w:rFonts w:hint="eastAsia" w:ascii="仿宋" w:hAnsi="仿宋" w:eastAsia="仿宋" w:cs="仿宋"/>
                      <w:color w:val="030303"/>
                      <w:sz w:val="24"/>
                      <w:szCs w:val="24"/>
                      <w:highlight w:val="none"/>
                      <w:shd w:val="clear" w:color="auto" w:fill="FFFFFF"/>
                    </w:rPr>
                    <w:t>浔银行</w:t>
                  </w:r>
                </w:p>
              </w:tc>
              <w:tc>
                <w:tcPr>
                  <w:tcW w:w="1079" w:type="dxa"/>
                  <w:tcBorders>
                    <w:bottom w:val="single" w:color="auto" w:sz="4" w:space="0"/>
                  </w:tcBorders>
                  <w:vAlign w:val="center"/>
                </w:tcPr>
                <w:p w14:paraId="3C8D7FFF">
                  <w:pPr>
                    <w:jc w:val="center"/>
                    <w:rPr>
                      <w:rFonts w:hint="eastAsia" w:ascii="仿宋" w:hAnsi="仿宋" w:eastAsia="仿宋" w:cs="仿宋"/>
                      <w:sz w:val="24"/>
                      <w:szCs w:val="24"/>
                      <w:highlight w:val="none"/>
                    </w:rPr>
                  </w:pPr>
                  <w:r>
                    <w:rPr>
                      <w:rFonts w:hint="eastAsia" w:ascii="仿宋" w:hAnsi="仿宋" w:eastAsia="仿宋" w:cs="仿宋"/>
                      <w:color w:val="030303"/>
                      <w:sz w:val="24"/>
                      <w:szCs w:val="24"/>
                      <w:highlight w:val="none"/>
                      <w:shd w:val="clear" w:color="auto" w:fill="FFFFFF"/>
                    </w:rPr>
                    <w:t>方薇</w:t>
                  </w:r>
                </w:p>
              </w:tc>
              <w:tc>
                <w:tcPr>
                  <w:tcW w:w="1596" w:type="dxa"/>
                  <w:tcBorders>
                    <w:bottom w:val="single" w:color="auto" w:sz="4" w:space="0"/>
                  </w:tcBorders>
                  <w:vAlign w:val="center"/>
                </w:tcPr>
                <w:p w14:paraId="5A747E70">
                  <w:pPr>
                    <w:jc w:val="center"/>
                    <w:rPr>
                      <w:rFonts w:hint="eastAsia" w:ascii="仿宋" w:hAnsi="仿宋" w:eastAsia="仿宋" w:cs="仿宋"/>
                      <w:color w:val="030303"/>
                      <w:sz w:val="24"/>
                      <w:szCs w:val="24"/>
                      <w:highlight w:val="none"/>
                      <w:shd w:val="clear" w:color="auto" w:fill="FFFFFF"/>
                    </w:rPr>
                  </w:pPr>
                  <w:r>
                    <w:rPr>
                      <w:rFonts w:hint="eastAsia" w:ascii="仿宋" w:hAnsi="仿宋" w:eastAsia="仿宋" w:cs="仿宋"/>
                      <w:color w:val="030303"/>
                      <w:sz w:val="24"/>
                      <w:szCs w:val="24"/>
                      <w:highlight w:val="none"/>
                      <w:shd w:val="clear" w:color="auto" w:fill="FFFFFF"/>
                    </w:rPr>
                    <w:t>13868003773</w:t>
                  </w:r>
                </w:p>
              </w:tc>
              <w:tc>
                <w:tcPr>
                  <w:tcW w:w="1818" w:type="dxa"/>
                  <w:tcBorders>
                    <w:bottom w:val="single" w:color="auto" w:sz="4" w:space="0"/>
                  </w:tcBorders>
                  <w:vAlign w:val="center"/>
                </w:tcPr>
                <w:p w14:paraId="367D2260">
                  <w:pPr>
                    <w:pStyle w:val="5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城中街638号</w:t>
                  </w:r>
                </w:p>
              </w:tc>
            </w:tr>
            <w:tr w14:paraId="5BB0D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820" w:type="dxa"/>
                  <w:tcBorders>
                    <w:top w:val="single" w:color="auto" w:sz="4" w:space="0"/>
                    <w:bottom w:val="single" w:color="auto" w:sz="4" w:space="0"/>
                  </w:tcBorders>
                  <w:vAlign w:val="center"/>
                </w:tcPr>
                <w:p w14:paraId="1017B29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浦发银行临安分行</w:t>
                  </w:r>
                </w:p>
              </w:tc>
              <w:tc>
                <w:tcPr>
                  <w:tcW w:w="1079" w:type="dxa"/>
                  <w:tcBorders>
                    <w:top w:val="single" w:color="auto" w:sz="4" w:space="0"/>
                    <w:bottom w:val="single" w:color="auto" w:sz="4" w:space="0"/>
                  </w:tcBorders>
                  <w:vAlign w:val="center"/>
                </w:tcPr>
                <w:p w14:paraId="67E88F7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沈</w:t>
                  </w:r>
                  <w:r>
                    <w:rPr>
                      <w:rFonts w:hint="eastAsia" w:ascii="仿宋" w:hAnsi="仿宋" w:eastAsia="仿宋" w:cs="仿宋"/>
                      <w:color w:val="030303"/>
                      <w:sz w:val="24"/>
                      <w:szCs w:val="24"/>
                      <w:highlight w:val="none"/>
                      <w:shd w:val="clear" w:color="auto" w:fill="FFFFFF"/>
                    </w:rPr>
                    <w:t>丹丹</w:t>
                  </w:r>
                </w:p>
              </w:tc>
              <w:tc>
                <w:tcPr>
                  <w:tcW w:w="1596" w:type="dxa"/>
                  <w:tcBorders>
                    <w:top w:val="single" w:color="auto" w:sz="4" w:space="0"/>
                    <w:bottom w:val="single" w:color="auto" w:sz="4" w:space="0"/>
                  </w:tcBorders>
                  <w:vAlign w:val="center"/>
                </w:tcPr>
                <w:p w14:paraId="51F7CC1C">
                  <w:pPr>
                    <w:jc w:val="center"/>
                    <w:rPr>
                      <w:rFonts w:hint="eastAsia" w:ascii="仿宋" w:hAnsi="仿宋" w:eastAsia="仿宋" w:cs="仿宋"/>
                      <w:color w:val="030303"/>
                      <w:sz w:val="24"/>
                      <w:szCs w:val="24"/>
                      <w:highlight w:val="none"/>
                      <w:shd w:val="clear" w:color="auto" w:fill="FFFFFF"/>
                    </w:rPr>
                  </w:pPr>
                  <w:r>
                    <w:rPr>
                      <w:rFonts w:hint="eastAsia" w:ascii="仿宋" w:hAnsi="仿宋" w:eastAsia="仿宋" w:cs="仿宋"/>
                      <w:color w:val="030303"/>
                      <w:sz w:val="24"/>
                      <w:szCs w:val="24"/>
                      <w:highlight w:val="none"/>
                      <w:shd w:val="clear" w:color="auto" w:fill="FFFFFF"/>
                    </w:rPr>
                    <w:t>61092936</w:t>
                  </w:r>
                </w:p>
                <w:p w14:paraId="44EE8CAA">
                  <w:pPr>
                    <w:jc w:val="center"/>
                    <w:rPr>
                      <w:rFonts w:hint="eastAsia" w:ascii="仿宋" w:hAnsi="仿宋" w:eastAsia="仿宋" w:cs="仿宋"/>
                      <w:color w:val="030303"/>
                      <w:sz w:val="24"/>
                      <w:szCs w:val="24"/>
                      <w:highlight w:val="none"/>
                      <w:shd w:val="clear" w:color="auto" w:fill="FFFFFF"/>
                    </w:rPr>
                  </w:pPr>
                  <w:r>
                    <w:rPr>
                      <w:rFonts w:hint="eastAsia" w:ascii="仿宋" w:hAnsi="仿宋" w:eastAsia="仿宋" w:cs="仿宋"/>
                      <w:color w:val="030303"/>
                      <w:sz w:val="24"/>
                      <w:szCs w:val="24"/>
                      <w:highlight w:val="none"/>
                      <w:shd w:val="clear" w:color="auto" w:fill="FFFFFF"/>
                    </w:rPr>
                    <w:t>13777851690</w:t>
                  </w:r>
                </w:p>
              </w:tc>
              <w:tc>
                <w:tcPr>
                  <w:tcW w:w="1818" w:type="dxa"/>
                  <w:tcBorders>
                    <w:top w:val="single" w:color="auto" w:sz="4" w:space="0"/>
                    <w:bottom w:val="single" w:color="auto" w:sz="4" w:space="0"/>
                  </w:tcBorders>
                  <w:vAlign w:val="center"/>
                </w:tcPr>
                <w:p w14:paraId="53A37A7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钱王大街417号</w:t>
                  </w:r>
                </w:p>
              </w:tc>
            </w:tr>
            <w:tr w14:paraId="2AD7F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1820" w:type="dxa"/>
                  <w:tcBorders>
                    <w:top w:val="single" w:color="auto" w:sz="4" w:space="0"/>
                    <w:bottom w:val="single" w:color="auto" w:sz="4" w:space="0"/>
                  </w:tcBorders>
                  <w:vAlign w:val="center"/>
                </w:tcPr>
                <w:p w14:paraId="7EFEC26C">
                  <w:pPr>
                    <w:jc w:val="center"/>
                    <w:rPr>
                      <w:rFonts w:hint="eastAsia" w:ascii="仿宋" w:hAnsi="仿宋" w:eastAsia="仿宋" w:cs="仿宋"/>
                      <w:sz w:val="24"/>
                      <w:szCs w:val="24"/>
                      <w:highlight w:val="none"/>
                    </w:rPr>
                  </w:pPr>
                  <w:r>
                    <w:rPr>
                      <w:rFonts w:hint="eastAsia" w:ascii="仿宋" w:hAnsi="仿宋" w:eastAsia="仿宋" w:cs="仿宋"/>
                      <w:color w:val="030303"/>
                      <w:sz w:val="24"/>
                      <w:szCs w:val="24"/>
                      <w:highlight w:val="none"/>
                      <w:shd w:val="clear" w:color="auto" w:fill="FFFFFF"/>
                    </w:rPr>
                    <w:t>杭州银行临安支行</w:t>
                  </w:r>
                </w:p>
              </w:tc>
              <w:tc>
                <w:tcPr>
                  <w:tcW w:w="1079" w:type="dxa"/>
                  <w:tcBorders>
                    <w:top w:val="single" w:color="auto" w:sz="4" w:space="0"/>
                    <w:bottom w:val="single" w:color="auto" w:sz="4" w:space="0"/>
                  </w:tcBorders>
                  <w:vAlign w:val="center"/>
                </w:tcPr>
                <w:p w14:paraId="04BB2E4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金林妹</w:t>
                  </w:r>
                </w:p>
              </w:tc>
              <w:tc>
                <w:tcPr>
                  <w:tcW w:w="1596" w:type="dxa"/>
                  <w:tcBorders>
                    <w:top w:val="single" w:color="auto" w:sz="4" w:space="0"/>
                    <w:bottom w:val="single" w:color="auto" w:sz="4" w:space="0"/>
                  </w:tcBorders>
                  <w:vAlign w:val="center"/>
                </w:tcPr>
                <w:p w14:paraId="7FBA9B2C">
                  <w:pPr>
                    <w:jc w:val="center"/>
                    <w:rPr>
                      <w:rFonts w:hint="eastAsia" w:ascii="仿宋" w:hAnsi="仿宋" w:eastAsia="仿宋" w:cs="仿宋"/>
                      <w:color w:val="030303"/>
                      <w:sz w:val="24"/>
                      <w:szCs w:val="24"/>
                      <w:highlight w:val="none"/>
                      <w:shd w:val="clear" w:color="auto" w:fill="FFFFFF"/>
                    </w:rPr>
                  </w:pPr>
                  <w:r>
                    <w:rPr>
                      <w:rFonts w:hint="eastAsia" w:ascii="仿宋" w:hAnsi="仿宋" w:eastAsia="仿宋" w:cs="仿宋"/>
                      <w:color w:val="030303"/>
                      <w:sz w:val="24"/>
                      <w:szCs w:val="24"/>
                      <w:highlight w:val="none"/>
                      <w:shd w:val="clear" w:color="auto" w:fill="FFFFFF"/>
                    </w:rPr>
                    <w:t>13666638571</w:t>
                  </w:r>
                </w:p>
              </w:tc>
              <w:tc>
                <w:tcPr>
                  <w:tcW w:w="1818" w:type="dxa"/>
                  <w:tcBorders>
                    <w:top w:val="single" w:color="auto" w:sz="4" w:space="0"/>
                    <w:bottom w:val="single" w:color="auto" w:sz="4" w:space="0"/>
                  </w:tcBorders>
                  <w:vAlign w:val="center"/>
                </w:tcPr>
                <w:p w14:paraId="6C309B9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万马路255号</w:t>
                  </w:r>
                </w:p>
              </w:tc>
            </w:tr>
            <w:tr w14:paraId="5A67B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820" w:type="dxa"/>
                  <w:tcBorders>
                    <w:top w:val="single" w:color="auto" w:sz="4" w:space="0"/>
                    <w:bottom w:val="single" w:color="auto" w:sz="4" w:space="0"/>
                  </w:tcBorders>
                  <w:vAlign w:val="center"/>
                </w:tcPr>
                <w:p w14:paraId="0E6773C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临安中信村镇银行</w:t>
                  </w:r>
                </w:p>
              </w:tc>
              <w:tc>
                <w:tcPr>
                  <w:tcW w:w="1079" w:type="dxa"/>
                  <w:tcBorders>
                    <w:top w:val="single" w:color="auto" w:sz="4" w:space="0"/>
                    <w:bottom w:val="single" w:color="auto" w:sz="4" w:space="0"/>
                  </w:tcBorders>
                  <w:vAlign w:val="center"/>
                </w:tcPr>
                <w:p w14:paraId="0BB51EC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吕祎</w:t>
                  </w:r>
                </w:p>
              </w:tc>
              <w:tc>
                <w:tcPr>
                  <w:tcW w:w="1596" w:type="dxa"/>
                  <w:tcBorders>
                    <w:top w:val="single" w:color="auto" w:sz="4" w:space="0"/>
                    <w:bottom w:val="single" w:color="auto" w:sz="4" w:space="0"/>
                  </w:tcBorders>
                  <w:vAlign w:val="center"/>
                </w:tcPr>
                <w:p w14:paraId="130EAB65">
                  <w:pPr>
                    <w:jc w:val="center"/>
                    <w:rPr>
                      <w:rFonts w:hint="eastAsia" w:ascii="仿宋" w:hAnsi="仿宋" w:eastAsia="仿宋" w:cs="仿宋"/>
                      <w:color w:val="030303"/>
                      <w:sz w:val="24"/>
                      <w:szCs w:val="24"/>
                      <w:highlight w:val="none"/>
                      <w:shd w:val="clear" w:color="auto" w:fill="FFFFFF"/>
                    </w:rPr>
                  </w:pPr>
                  <w:r>
                    <w:rPr>
                      <w:rFonts w:hint="eastAsia" w:ascii="仿宋" w:hAnsi="仿宋" w:eastAsia="仿宋" w:cs="仿宋"/>
                      <w:color w:val="030303"/>
                      <w:sz w:val="24"/>
                      <w:szCs w:val="24"/>
                      <w:highlight w:val="none"/>
                      <w:shd w:val="clear" w:color="auto" w:fill="FFFFFF"/>
                    </w:rPr>
                    <w:t>13787100002 61109033</w:t>
                  </w:r>
                </w:p>
              </w:tc>
              <w:tc>
                <w:tcPr>
                  <w:tcW w:w="1818" w:type="dxa"/>
                  <w:tcBorders>
                    <w:top w:val="single" w:color="auto" w:sz="4" w:space="0"/>
                    <w:bottom w:val="single" w:color="auto" w:sz="4" w:space="0"/>
                  </w:tcBorders>
                  <w:vAlign w:val="center"/>
                </w:tcPr>
                <w:p w14:paraId="1D50D16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石镜街777号</w:t>
                  </w:r>
                </w:p>
              </w:tc>
            </w:tr>
          </w:tbl>
          <w:p w14:paraId="1779A853">
            <w:pPr>
              <w:spacing w:line="360" w:lineRule="auto"/>
              <w:ind w:firstLine="480" w:firstLineChars="200"/>
              <w:rPr>
                <w:rFonts w:ascii="仿宋_GB2312" w:hAnsi="仿宋" w:eastAsia="仿宋_GB2312"/>
                <w:sz w:val="24"/>
                <w:highlight w:val="none"/>
              </w:rPr>
            </w:pPr>
          </w:p>
        </w:tc>
      </w:tr>
      <w:tr w14:paraId="6B6F0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010095">
            <w:pPr>
              <w:snapToGrid w:val="0"/>
              <w:spacing w:line="360" w:lineRule="auto"/>
              <w:jc w:val="center"/>
              <w:rPr>
                <w:rFonts w:hint="default"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D7B69AC">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备份投标文件送达地点和签收人员</w:t>
            </w:r>
            <w:r>
              <w:rPr>
                <w:rFonts w:ascii="仿宋_GB2312" w:hAnsi="仿宋" w:eastAsia="仿宋_GB2312" w:cs="仿宋_GB2312"/>
                <w:b/>
                <w:sz w:val="24"/>
                <w:highlight w:val="none"/>
              </w:rPr>
              <w:t xml:space="preserve"> </w:t>
            </w:r>
          </w:p>
        </w:tc>
        <w:tc>
          <w:tcPr>
            <w:tcW w:w="6609" w:type="dxa"/>
            <w:tcBorders>
              <w:top w:val="single" w:color="000000" w:sz="8" w:space="0"/>
              <w:left w:val="single" w:color="000000" w:sz="2" w:space="0"/>
              <w:bottom w:val="single" w:color="000000" w:sz="8" w:space="0"/>
              <w:right w:val="single" w:color="000000" w:sz="8" w:space="0"/>
            </w:tcBorders>
            <w:vAlign w:val="center"/>
          </w:tcPr>
          <w:p w14:paraId="11A0EBCC">
            <w:pPr>
              <w:pStyle w:val="34"/>
              <w:spacing w:line="360" w:lineRule="auto"/>
              <w:rPr>
                <w:rFonts w:ascii="仿宋_GB2312" w:hAnsi="仿宋" w:eastAsia="仿宋_GB2312"/>
                <w:kern w:val="28"/>
                <w:sz w:val="24"/>
                <w:highlight w:val="none"/>
              </w:rPr>
            </w:pPr>
            <w:r>
              <w:rPr>
                <w:rFonts w:hint="eastAsia" w:ascii="仿宋_GB2312" w:hAnsi="仿宋" w:eastAsia="仿宋_GB2312" w:cs="Times New Roman"/>
                <w:kern w:val="28"/>
                <w:sz w:val="24"/>
                <w:szCs w:val="24"/>
                <w:highlight w:val="none"/>
              </w:rPr>
              <w:t>备份投标文件送达地点：</w:t>
            </w:r>
            <w:r>
              <w:rPr>
                <w:rFonts w:hint="eastAsia" w:ascii="仿宋_GB2312" w:hAnsi="仿宋" w:eastAsia="仿宋_GB2312"/>
                <w:sz w:val="24"/>
                <w:highlight w:val="none"/>
                <w:u w:val="single"/>
              </w:rPr>
              <w:t xml:space="preserve"> 杭州市临安区锦城街道钱王街465号1幢2楼</w:t>
            </w:r>
            <w:r>
              <w:rPr>
                <w:rFonts w:hint="eastAsia" w:ascii="仿宋_GB2312" w:hAnsi="仿宋" w:eastAsia="仿宋_GB2312" w:cs="Times New Roman"/>
                <w:kern w:val="28"/>
                <w:sz w:val="24"/>
                <w:szCs w:val="24"/>
                <w:highlight w:val="none"/>
              </w:rPr>
              <w:t>；备份投标文件签收人员联系电话：</w:t>
            </w:r>
            <w:r>
              <w:rPr>
                <w:rFonts w:hint="eastAsia" w:ascii="仿宋_GB2312" w:hAnsi="仿宋" w:eastAsia="仿宋_GB2312"/>
                <w:sz w:val="24"/>
                <w:highlight w:val="none"/>
                <w:u w:val="single"/>
                <w:lang w:eastAsia="zh-CN"/>
              </w:rPr>
              <w:t>王燕平</w:t>
            </w:r>
            <w:r>
              <w:rPr>
                <w:rFonts w:hint="eastAsia" w:ascii="仿宋_GB2312" w:hAnsi="仿宋" w:eastAsia="仿宋_GB2312"/>
                <w:sz w:val="24"/>
                <w:highlight w:val="none"/>
                <w:u w:val="single"/>
                <w:lang w:val="en-US" w:eastAsia="zh-CN"/>
              </w:rPr>
              <w:t>15068834440</w:t>
            </w:r>
            <w:r>
              <w:rPr>
                <w:rFonts w:hint="eastAsia" w:ascii="仿宋_GB2312" w:hAnsi="仿宋" w:eastAsia="仿宋_GB2312"/>
                <w:sz w:val="24"/>
                <w:highlight w:val="none"/>
                <w:u w:val="single"/>
              </w:rPr>
              <w:t xml:space="preserve"> </w:t>
            </w:r>
            <w:r>
              <w:rPr>
                <w:rFonts w:hint="eastAsia" w:ascii="仿宋_GB2312" w:hAnsi="仿宋" w:eastAsia="仿宋_GB2312" w:cs="仿宋_GB2312"/>
                <w:sz w:val="24"/>
                <w:szCs w:val="24"/>
                <w:highlight w:val="none"/>
              </w:rPr>
              <w:t>。</w:t>
            </w:r>
            <w:r>
              <w:rPr>
                <w:rFonts w:hint="eastAsia" w:ascii="仿宋_GB2312" w:hAnsi="仿宋" w:eastAsia="仿宋_GB2312" w:cs="仿宋_GB2312"/>
                <w:b/>
                <w:sz w:val="24"/>
                <w:szCs w:val="24"/>
                <w:highlight w:val="none"/>
              </w:rPr>
              <w:t>采购人、采购机构不强制或变相强制投标人提交备份投标文件。</w:t>
            </w:r>
          </w:p>
        </w:tc>
      </w:tr>
      <w:tr w14:paraId="3D3F3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vMerge w:val="restart"/>
            <w:tcBorders>
              <w:top w:val="single" w:color="auto" w:sz="4" w:space="0"/>
              <w:left w:val="single" w:color="000000" w:sz="8" w:space="0"/>
              <w:right w:val="single" w:color="000000" w:sz="2" w:space="0"/>
            </w:tcBorders>
            <w:vAlign w:val="center"/>
          </w:tcPr>
          <w:p w14:paraId="5C23A651">
            <w:pPr>
              <w:snapToGrid w:val="0"/>
              <w:spacing w:line="360" w:lineRule="auto"/>
              <w:jc w:val="center"/>
              <w:rPr>
                <w:rFonts w:hint="eastAsia" w:ascii="仿宋_GB2312" w:hAnsi="仿宋" w:eastAsia="仿宋_GB2312" w:cs="仿宋_GB2312"/>
                <w:sz w:val="24"/>
                <w:highlight w:val="none"/>
                <w:lang w:eastAsia="zh-CN"/>
              </w:rPr>
            </w:pPr>
            <w:r>
              <w:rPr>
                <w:rFonts w:ascii="仿宋_GB2312" w:hAnsi="仿宋" w:eastAsia="仿宋_GB2312" w:cs="仿宋_GB2312"/>
                <w:sz w:val="24"/>
                <w:highlight w:val="none"/>
              </w:rPr>
              <w:t>1</w:t>
            </w:r>
            <w:r>
              <w:rPr>
                <w:rFonts w:hint="eastAsia" w:ascii="仿宋_GB2312" w:hAnsi="仿宋" w:eastAsia="仿宋_GB2312" w:cs="仿宋_GB2312"/>
                <w:sz w:val="24"/>
                <w:highlight w:val="none"/>
                <w:lang w:val="en-US" w:eastAsia="zh-CN"/>
              </w:rPr>
              <w:t>1</w:t>
            </w:r>
          </w:p>
        </w:tc>
        <w:tc>
          <w:tcPr>
            <w:tcW w:w="1843" w:type="dxa"/>
            <w:vMerge w:val="restart"/>
            <w:tcBorders>
              <w:top w:val="single" w:color="000000" w:sz="8" w:space="0"/>
              <w:left w:val="single" w:color="000000" w:sz="2" w:space="0"/>
              <w:right w:val="single" w:color="000000" w:sz="8" w:space="0"/>
            </w:tcBorders>
            <w:vAlign w:val="center"/>
          </w:tcPr>
          <w:p w14:paraId="6D4ADF0D">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特别说明</w:t>
            </w:r>
          </w:p>
        </w:tc>
        <w:tc>
          <w:tcPr>
            <w:tcW w:w="6609" w:type="dxa"/>
            <w:tcBorders>
              <w:top w:val="single" w:color="000000" w:sz="8" w:space="0"/>
              <w:left w:val="single" w:color="000000" w:sz="2" w:space="0"/>
              <w:bottom w:val="single" w:color="000000" w:sz="8" w:space="0"/>
              <w:right w:val="single" w:color="000000" w:sz="8" w:space="0"/>
            </w:tcBorders>
            <w:vAlign w:val="center"/>
          </w:tcPr>
          <w:p w14:paraId="076796AB">
            <w:pPr>
              <w:spacing w:line="360" w:lineRule="auto"/>
              <w:rPr>
                <w:rFonts w:hint="eastAsia" w:ascii="仿宋_GB2312" w:hAnsi="仿宋" w:eastAsia="仿宋_GB2312"/>
                <w:snapToGrid w:val="0"/>
                <w:kern w:val="28"/>
                <w:sz w:val="24"/>
                <w:highlight w:val="none"/>
                <w:lang w:eastAsia="zh-CN"/>
              </w:rPr>
            </w:pPr>
            <w:r>
              <w:rPr>
                <w:rFonts w:hint="eastAsia" w:ascii="仿宋_GB2312" w:hAnsi="仿宋" w:eastAsia="仿宋_GB2312"/>
                <w:snapToGrid w:val="0"/>
                <w:kern w:val="28"/>
                <w:sz w:val="24"/>
                <w:highlight w:val="none"/>
              </w:rPr>
              <w:t>采购代理服务费按发改价格（2011）534号文件标准的</w:t>
            </w:r>
            <w:r>
              <w:rPr>
                <w:rFonts w:hint="default" w:ascii="仿宋_GB2312" w:hAnsi="仿宋" w:eastAsia="仿宋_GB2312"/>
                <w:snapToGrid w:val="0"/>
                <w:kern w:val="28"/>
                <w:sz w:val="24"/>
                <w:highlight w:val="none"/>
                <w:lang w:val="en-US"/>
              </w:rPr>
              <w:t>7</w:t>
            </w:r>
            <w:r>
              <w:rPr>
                <w:rFonts w:hint="eastAsia" w:ascii="仿宋_GB2312" w:hAnsi="仿宋" w:eastAsia="仿宋_GB2312"/>
                <w:snapToGrid w:val="0"/>
                <w:kern w:val="28"/>
                <w:sz w:val="24"/>
                <w:highlight w:val="none"/>
              </w:rPr>
              <w:t>0%计取，由中标人支付，费用在发出中标通知书前一次性付清</w:t>
            </w:r>
            <w:r>
              <w:rPr>
                <w:rFonts w:hint="eastAsia" w:ascii="仿宋_GB2312" w:hAnsi="仿宋" w:eastAsia="仿宋_GB2312"/>
                <w:snapToGrid w:val="0"/>
                <w:kern w:val="28"/>
                <w:sz w:val="24"/>
                <w:highlight w:val="none"/>
                <w:lang w:eastAsia="zh-CN"/>
              </w:rPr>
              <w:t>。</w:t>
            </w:r>
          </w:p>
        </w:tc>
      </w:tr>
      <w:tr w14:paraId="08D2D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vMerge w:val="continue"/>
            <w:tcBorders>
              <w:left w:val="single" w:color="000000" w:sz="8" w:space="0"/>
              <w:right w:val="single" w:color="000000" w:sz="2" w:space="0"/>
            </w:tcBorders>
          </w:tcPr>
          <w:p w14:paraId="54575954">
            <w:pPr>
              <w:snapToGrid w:val="0"/>
              <w:spacing w:line="360" w:lineRule="auto"/>
              <w:jc w:val="center"/>
              <w:rPr>
                <w:rFonts w:ascii="仿宋_GB2312" w:hAnsi="仿宋" w:eastAsia="仿宋_GB2312" w:cs="仿宋_GB2312"/>
                <w:sz w:val="24"/>
                <w:highlight w:val="none"/>
              </w:rPr>
            </w:pPr>
          </w:p>
        </w:tc>
        <w:tc>
          <w:tcPr>
            <w:tcW w:w="1843" w:type="dxa"/>
            <w:vMerge w:val="continue"/>
            <w:tcBorders>
              <w:left w:val="single" w:color="000000" w:sz="2" w:space="0"/>
              <w:right w:val="single" w:color="000000" w:sz="8" w:space="0"/>
            </w:tcBorders>
            <w:vAlign w:val="center"/>
          </w:tcPr>
          <w:p w14:paraId="5C98F3C1">
            <w:pPr>
              <w:snapToGrid w:val="0"/>
              <w:spacing w:line="360" w:lineRule="auto"/>
              <w:jc w:val="center"/>
              <w:rPr>
                <w:rFonts w:hint="eastAsia" w:ascii="仿宋_GB2312" w:hAnsi="仿宋" w:eastAsia="仿宋_GB2312" w:cs="仿宋_GB2312"/>
                <w:b/>
                <w:sz w:val="24"/>
                <w:highlight w:val="none"/>
              </w:rPr>
            </w:pPr>
          </w:p>
        </w:tc>
        <w:tc>
          <w:tcPr>
            <w:tcW w:w="6609" w:type="dxa"/>
            <w:tcBorders>
              <w:top w:val="single" w:color="000000" w:sz="8" w:space="0"/>
              <w:left w:val="single" w:color="000000" w:sz="2" w:space="0"/>
              <w:bottom w:val="single" w:color="000000" w:sz="8" w:space="0"/>
              <w:right w:val="single" w:color="000000" w:sz="8" w:space="0"/>
            </w:tcBorders>
            <w:vAlign w:val="center"/>
          </w:tcPr>
          <w:p w14:paraId="3B314B09">
            <w:pPr>
              <w:spacing w:line="360" w:lineRule="auto"/>
              <w:rPr>
                <w:rFonts w:hint="eastAsia"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本项目评审报告推荐的中标候选人数量：</w:t>
            </w:r>
            <w:r>
              <w:rPr>
                <w:rFonts w:hint="eastAsia" w:ascii="仿宋_GB2312" w:hAnsi="仿宋" w:eastAsia="仿宋_GB2312"/>
                <w:snapToGrid w:val="0"/>
                <w:kern w:val="28"/>
                <w:sz w:val="24"/>
                <w:highlight w:val="none"/>
                <w:u w:val="single"/>
                <w:lang w:val="en-US" w:eastAsia="zh-CN"/>
              </w:rPr>
              <w:t xml:space="preserve"> </w:t>
            </w:r>
            <w:r>
              <w:rPr>
                <w:rFonts w:hint="eastAsia" w:ascii="仿宋_GB2312" w:hAnsi="仿宋" w:eastAsia="仿宋_GB2312"/>
                <w:snapToGrid w:val="0"/>
                <w:kern w:val="28"/>
                <w:sz w:val="24"/>
                <w:highlight w:val="none"/>
                <w:u w:val="single"/>
              </w:rPr>
              <w:t xml:space="preserve">1 </w:t>
            </w:r>
            <w:r>
              <w:rPr>
                <w:rFonts w:hint="eastAsia" w:ascii="仿宋_GB2312" w:hAnsi="仿宋" w:eastAsia="仿宋_GB2312"/>
                <w:snapToGrid w:val="0"/>
                <w:kern w:val="28"/>
                <w:sz w:val="24"/>
                <w:highlight w:val="none"/>
              </w:rPr>
              <w:t>。</w:t>
            </w:r>
          </w:p>
        </w:tc>
      </w:tr>
      <w:tr w14:paraId="12D47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vMerge w:val="continue"/>
            <w:tcBorders>
              <w:left w:val="single" w:color="000000" w:sz="8" w:space="0"/>
              <w:bottom w:val="single" w:color="auto" w:sz="4" w:space="0"/>
              <w:right w:val="single" w:color="000000" w:sz="2" w:space="0"/>
            </w:tcBorders>
          </w:tcPr>
          <w:p w14:paraId="5A202E76">
            <w:pPr>
              <w:snapToGrid w:val="0"/>
              <w:spacing w:line="360" w:lineRule="auto"/>
              <w:jc w:val="center"/>
              <w:rPr>
                <w:rFonts w:ascii="仿宋_GB2312" w:hAnsi="仿宋" w:eastAsia="仿宋_GB2312" w:cs="仿宋_GB2312"/>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140AFCA">
            <w:pPr>
              <w:snapToGrid w:val="0"/>
              <w:spacing w:line="360" w:lineRule="auto"/>
              <w:jc w:val="center"/>
              <w:rPr>
                <w:rFonts w:hint="eastAsia" w:ascii="仿宋_GB2312" w:hAnsi="仿宋" w:eastAsia="仿宋_GB2312" w:cs="仿宋_GB2312"/>
                <w:b/>
                <w:sz w:val="24"/>
                <w:highlight w:val="none"/>
              </w:rPr>
            </w:pPr>
          </w:p>
        </w:tc>
        <w:tc>
          <w:tcPr>
            <w:tcW w:w="6609" w:type="dxa"/>
            <w:tcBorders>
              <w:top w:val="single" w:color="000000" w:sz="8" w:space="0"/>
              <w:left w:val="single" w:color="000000" w:sz="2" w:space="0"/>
              <w:bottom w:val="single" w:color="000000" w:sz="8" w:space="0"/>
              <w:right w:val="single" w:color="000000" w:sz="8" w:space="0"/>
            </w:tcBorders>
            <w:vAlign w:val="center"/>
          </w:tcPr>
          <w:p w14:paraId="4EF436D7">
            <w:pPr>
              <w:spacing w:line="360" w:lineRule="auto"/>
              <w:rPr>
                <w:rFonts w:hint="eastAsia" w:ascii="仿宋_GB2312" w:hAnsi="仿宋" w:eastAsia="仿宋_GB2312"/>
                <w:snapToGrid w:val="0"/>
                <w:kern w:val="28"/>
                <w:sz w:val="24"/>
                <w:highlight w:val="none"/>
              </w:rPr>
            </w:pPr>
            <w:r>
              <w:rPr>
                <w:rFonts w:hint="eastAsia" w:ascii="仿宋" w:hAnsi="仿宋" w:eastAsia="仿宋" w:cs="仿宋"/>
                <w:snapToGrid w:val="0"/>
                <w:kern w:val="28"/>
                <w:sz w:val="24"/>
              </w:rPr>
              <w:t>解释：本采购文件的解释权属于采购</w:t>
            </w:r>
            <w:r>
              <w:rPr>
                <w:rFonts w:hint="eastAsia" w:ascii="仿宋" w:hAnsi="仿宋" w:eastAsia="仿宋" w:cs="仿宋"/>
                <w:snapToGrid w:val="0"/>
                <w:kern w:val="28"/>
                <w:sz w:val="24"/>
                <w:lang w:eastAsia="zh-CN"/>
              </w:rPr>
              <w:t>人</w:t>
            </w:r>
            <w:r>
              <w:rPr>
                <w:rFonts w:hint="eastAsia" w:ascii="仿宋" w:hAnsi="仿宋" w:eastAsia="仿宋" w:cs="仿宋"/>
                <w:snapToGrid w:val="0"/>
                <w:kern w:val="28"/>
                <w:sz w:val="24"/>
              </w:rPr>
              <w:t>和采购机构。</w:t>
            </w:r>
          </w:p>
        </w:tc>
      </w:tr>
    </w:tbl>
    <w:p w14:paraId="434F008D">
      <w:pPr>
        <w:snapToGrid w:val="0"/>
        <w:spacing w:line="360" w:lineRule="auto"/>
        <w:jc w:val="center"/>
        <w:rPr>
          <w:rFonts w:ascii="仿宋" w:hAnsi="仿宋" w:eastAsia="仿宋" w:cs="仿宋_GB2312"/>
          <w:b/>
          <w:sz w:val="32"/>
          <w:szCs w:val="20"/>
          <w:highlight w:val="none"/>
        </w:rPr>
      </w:pPr>
    </w:p>
    <w:p w14:paraId="176E60E7">
      <w:pPr>
        <w:pStyle w:val="79"/>
        <w:rPr>
          <w:rFonts w:ascii="仿宋" w:hAnsi="仿宋" w:eastAsia="仿宋" w:cs="仿宋_GB2312"/>
          <w:b/>
          <w:sz w:val="32"/>
          <w:szCs w:val="20"/>
          <w:highlight w:val="none"/>
        </w:rPr>
      </w:pPr>
    </w:p>
    <w:p w14:paraId="05EF2C99">
      <w:pPr>
        <w:pStyle w:val="79"/>
        <w:rPr>
          <w:rFonts w:ascii="仿宋" w:hAnsi="仿宋" w:eastAsia="仿宋" w:cs="仿宋_GB2312"/>
          <w:b/>
          <w:sz w:val="32"/>
          <w:szCs w:val="20"/>
          <w:highlight w:val="none"/>
        </w:rPr>
      </w:pPr>
    </w:p>
    <w:p w14:paraId="0511E29F">
      <w:pPr>
        <w:pStyle w:val="79"/>
        <w:rPr>
          <w:rFonts w:ascii="仿宋" w:hAnsi="仿宋" w:eastAsia="仿宋" w:cs="仿宋_GB2312"/>
          <w:b/>
          <w:sz w:val="32"/>
          <w:szCs w:val="20"/>
          <w:highlight w:val="none"/>
        </w:rPr>
      </w:pPr>
    </w:p>
    <w:p w14:paraId="21E90A5F">
      <w:pPr>
        <w:pStyle w:val="79"/>
        <w:rPr>
          <w:rFonts w:ascii="仿宋" w:hAnsi="仿宋" w:eastAsia="仿宋" w:cs="仿宋_GB2312"/>
          <w:b/>
          <w:sz w:val="32"/>
          <w:szCs w:val="20"/>
          <w:highlight w:val="none"/>
        </w:rPr>
      </w:pPr>
    </w:p>
    <w:p w14:paraId="3B3CA846">
      <w:pPr>
        <w:pStyle w:val="79"/>
        <w:rPr>
          <w:rFonts w:ascii="仿宋" w:hAnsi="仿宋" w:eastAsia="仿宋" w:cs="仿宋_GB2312"/>
          <w:b/>
          <w:sz w:val="32"/>
          <w:szCs w:val="20"/>
          <w:highlight w:val="none"/>
        </w:rPr>
      </w:pPr>
    </w:p>
    <w:p w14:paraId="476D4AED">
      <w:pPr>
        <w:pStyle w:val="79"/>
        <w:rPr>
          <w:rFonts w:ascii="仿宋" w:hAnsi="仿宋" w:eastAsia="仿宋" w:cs="仿宋_GB2312"/>
          <w:b/>
          <w:sz w:val="32"/>
          <w:szCs w:val="20"/>
          <w:highlight w:val="none"/>
        </w:rPr>
      </w:pPr>
    </w:p>
    <w:p w14:paraId="1C62C912">
      <w:pPr>
        <w:pStyle w:val="79"/>
        <w:rPr>
          <w:rFonts w:ascii="仿宋" w:hAnsi="仿宋" w:eastAsia="仿宋" w:cs="仿宋_GB2312"/>
          <w:b/>
          <w:sz w:val="32"/>
          <w:szCs w:val="20"/>
          <w:highlight w:val="none"/>
        </w:rPr>
      </w:pPr>
    </w:p>
    <w:p w14:paraId="456425F7">
      <w:pPr>
        <w:pStyle w:val="79"/>
        <w:rPr>
          <w:rFonts w:ascii="仿宋" w:hAnsi="仿宋" w:eastAsia="仿宋" w:cs="仿宋_GB2312"/>
          <w:b/>
          <w:sz w:val="32"/>
          <w:szCs w:val="20"/>
          <w:highlight w:val="none"/>
        </w:rPr>
      </w:pPr>
    </w:p>
    <w:p w14:paraId="1C622EEE">
      <w:pPr>
        <w:pStyle w:val="79"/>
        <w:rPr>
          <w:rFonts w:ascii="仿宋" w:hAnsi="仿宋" w:eastAsia="仿宋" w:cs="仿宋_GB2312"/>
          <w:b/>
          <w:sz w:val="32"/>
          <w:szCs w:val="20"/>
          <w:highlight w:val="none"/>
        </w:rPr>
      </w:pPr>
    </w:p>
    <w:bookmarkEnd w:id="9"/>
    <w:p w14:paraId="7AE7111A">
      <w:pPr>
        <w:adjustRightInd/>
        <w:spacing w:line="360" w:lineRule="auto"/>
        <w:ind w:firstLine="3845" w:firstLineChars="1197"/>
        <w:outlineLvl w:val="0"/>
        <w:rPr>
          <w:rFonts w:ascii="仿宋_GB2312" w:hAnsi="仿宋" w:eastAsia="仿宋_GB2312" w:cs="仿宋_GB2312"/>
          <w:b/>
          <w:sz w:val="32"/>
          <w:szCs w:val="20"/>
          <w:highlight w:val="none"/>
        </w:rPr>
      </w:pPr>
      <w:bookmarkStart w:id="10" w:name="第三部分"/>
      <w:bookmarkStart w:id="11" w:name="_Toc164416483"/>
      <w:r>
        <w:rPr>
          <w:rFonts w:hint="eastAsia" w:ascii="仿宋_GB2312" w:hAnsi="仿宋" w:eastAsia="仿宋_GB2312" w:cs="仿宋_GB2312"/>
          <w:b/>
          <w:sz w:val="32"/>
          <w:szCs w:val="20"/>
          <w:highlight w:val="none"/>
        </w:rPr>
        <w:t>一、总则</w:t>
      </w:r>
    </w:p>
    <w:p w14:paraId="16DFB93A">
      <w:pPr>
        <w:snapToGrid w:val="0"/>
        <w:spacing w:line="360" w:lineRule="auto"/>
        <w:ind w:firstLine="361" w:firstLineChars="150"/>
        <w:jc w:val="left"/>
        <w:outlineLvl w:val="1"/>
        <w:rPr>
          <w:rFonts w:ascii="仿宋_GB2312" w:hAnsi="仿宋" w:eastAsia="仿宋_GB2312"/>
          <w:b/>
          <w:sz w:val="24"/>
          <w:highlight w:val="none"/>
        </w:rPr>
      </w:pPr>
      <w:r>
        <w:rPr>
          <w:rFonts w:ascii="仿宋_GB2312" w:hAnsi="仿宋" w:eastAsia="仿宋_GB2312"/>
          <w:b/>
          <w:sz w:val="24"/>
          <w:highlight w:val="none"/>
        </w:rPr>
        <w:t xml:space="preserve">1. </w:t>
      </w:r>
      <w:r>
        <w:rPr>
          <w:rFonts w:hint="eastAsia" w:ascii="仿宋_GB2312" w:hAnsi="仿宋" w:eastAsia="仿宋_GB2312"/>
          <w:b/>
          <w:sz w:val="24"/>
          <w:highlight w:val="none"/>
        </w:rPr>
        <w:t>适用范围</w:t>
      </w:r>
    </w:p>
    <w:p w14:paraId="5C3E9362">
      <w:pPr>
        <w:snapToGrid w:val="0"/>
        <w:spacing w:line="360" w:lineRule="auto"/>
        <w:ind w:firstLine="480" w:firstLineChars="200"/>
        <w:jc w:val="left"/>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14:paraId="5F34995D">
      <w:pPr>
        <w:adjustRightInd/>
        <w:spacing w:line="360" w:lineRule="auto"/>
        <w:outlineLvl w:val="0"/>
        <w:rPr>
          <w:rFonts w:ascii="仿宋_GB2312" w:hAnsi="仿宋" w:eastAsia="仿宋_GB2312" w:cs="仿宋_GB2312"/>
          <w:b/>
          <w:sz w:val="24"/>
          <w:highlight w:val="none"/>
        </w:rPr>
      </w:pPr>
      <w:r>
        <w:rPr>
          <w:rFonts w:ascii="仿宋_GB2312" w:hAnsi="仿宋" w:eastAsia="仿宋_GB2312" w:cs="仿宋_GB2312"/>
          <w:b/>
          <w:sz w:val="24"/>
          <w:highlight w:val="none"/>
        </w:rPr>
        <w:t xml:space="preserve">   2.定义</w:t>
      </w:r>
    </w:p>
    <w:p w14:paraId="713B4D92">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14:paraId="1523A38D">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“采购机构”系指招标公告中载明的本项目的采购机构。</w:t>
      </w:r>
    </w:p>
    <w:p w14:paraId="19ECFC5A">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14:paraId="502B0FA0">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14:paraId="7EC8E7A8">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14:paraId="6B2B300F">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2.6“电子交易平台”是指本项目政府采购活动所依托的政府采购云平台（https://www.zcygov.cn/）。</w:t>
      </w:r>
    </w:p>
    <w:p w14:paraId="5A9B78A0">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系指实质性要求条款，“★”系产品采购项目中单一产品或核心产品，“</w:t>
      </w:r>
      <w:sdt>
        <w:sdtPr>
          <w:rPr>
            <w:rFonts w:hint="eastAsia" w:ascii="仿宋_GB2312" w:hAnsi="仿宋" w:eastAsia="仿宋_GB2312" w:cs="Arial"/>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highlight w:val="none"/>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系指适用本项目的要求，“</w:t>
      </w:r>
      <w:sdt>
        <w:sdtPr>
          <w:rPr>
            <w:rFonts w:hint="eastAsia" w:ascii="仿宋_GB2312" w:hAnsi="仿宋" w:eastAsia="仿宋_GB2312" w:cs="Arial"/>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系指不适用本项目的要求。</w:t>
      </w:r>
    </w:p>
    <w:p w14:paraId="28AD63DF">
      <w:pPr>
        <w:spacing w:line="360" w:lineRule="auto"/>
        <w:ind w:firstLine="241" w:firstLineChars="100"/>
        <w:rPr>
          <w:rFonts w:ascii="仿宋_GB2312" w:hAnsi="仿宋" w:eastAsia="仿宋_GB2312"/>
          <w:b/>
          <w:sz w:val="24"/>
          <w:highlight w:val="none"/>
        </w:rPr>
      </w:pPr>
      <w:r>
        <w:rPr>
          <w:rFonts w:ascii="仿宋_GB2312" w:hAnsi="仿宋" w:eastAsia="仿宋_GB2312"/>
          <w:b/>
          <w:sz w:val="24"/>
          <w:highlight w:val="none"/>
        </w:rPr>
        <w:t>3.</w:t>
      </w:r>
      <w:r>
        <w:rPr>
          <w:rFonts w:ascii="仿宋_GB2312" w:hAnsi="仿宋" w:eastAsia="仿宋_GB2312"/>
          <w:highlight w:val="none"/>
        </w:rPr>
        <w:t xml:space="preserve"> </w:t>
      </w:r>
      <w:r>
        <w:rPr>
          <w:rFonts w:hint="eastAsia" w:ascii="仿宋_GB2312" w:hAnsi="仿宋" w:eastAsia="仿宋_GB2312"/>
          <w:b/>
          <w:sz w:val="24"/>
          <w:highlight w:val="none"/>
        </w:rPr>
        <w:t>采购项目需要落实的政府采购政策</w:t>
      </w:r>
    </w:p>
    <w:p w14:paraId="27680515">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25D5E6C">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14:paraId="5157F400">
      <w:pPr>
        <w:spacing w:line="360" w:lineRule="auto"/>
        <w:ind w:firstLine="480" w:firstLineChars="200"/>
        <w:rPr>
          <w:rFonts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06073DBF">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14:paraId="5DD80ACD">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B19BE4C">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3.3支持中小企业发展</w:t>
      </w:r>
    </w:p>
    <w:p w14:paraId="162F9F51">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3419C1">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14:paraId="3C860762">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14:paraId="3C936BDA">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14:paraId="538CBC1C">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14:paraId="1F79A28E">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14:paraId="56F1B4A3">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14:paraId="4EE3A328">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14:paraId="6AE1DC04">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3.3.3</w:t>
      </w:r>
      <w:r>
        <w:rPr>
          <w:rFonts w:hint="eastAsia" w:ascii="仿宋_GB2312" w:hAnsi="仿宋" w:eastAsia="仿宋_GB2312"/>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highlight w:val="none"/>
          <w:lang w:val="en-US" w:eastAsia="zh-CN"/>
        </w:rPr>
        <w:t>2</w:t>
      </w:r>
      <w:r>
        <w:rPr>
          <w:rFonts w:ascii="仿宋_GB2312" w:hAnsi="仿宋" w:eastAsia="仿宋_GB2312"/>
          <w:sz w:val="24"/>
          <w:highlight w:val="none"/>
        </w:rPr>
        <w:t>0%的扣除，用扣除后的价格参与评审。接受大中型企业与小微企业组成联合体或者允许大中型企业向一家或者多家小微企业分包的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lang w:val="en-US" w:eastAsia="zh-CN"/>
        </w:rPr>
        <w:t>6</w:t>
      </w:r>
      <w:r>
        <w:rPr>
          <w:rFonts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14:paraId="565AD80E">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14:paraId="5A35FA48">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FFDED6A">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1C87EA">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14:paraId="1540FE45">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14:paraId="06C33CEF">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14:paraId="7DBE5AD6">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14:paraId="56FDB499">
      <w:pPr>
        <w:spacing w:line="360" w:lineRule="auto"/>
        <w:rPr>
          <w:rFonts w:ascii="仿宋_GB2312" w:hAnsi="仿宋" w:eastAsia="仿宋_GB2312"/>
          <w:b/>
          <w:sz w:val="24"/>
          <w:highlight w:val="none"/>
        </w:rPr>
      </w:pPr>
      <w:r>
        <w:rPr>
          <w:rFonts w:ascii="仿宋_GB2312" w:hAnsi="仿宋" w:eastAsia="仿宋_GB2312"/>
          <w:sz w:val="24"/>
          <w:highlight w:val="none"/>
        </w:rPr>
        <w:t>3.5中小企业信用融资：</w:t>
      </w:r>
      <w:r>
        <w:rPr>
          <w:rFonts w:hint="eastAsia" w:ascii="仿宋" w:hAnsi="仿宋" w:eastAsia="仿宋" w:cs="仿宋"/>
          <w:snapToGrid w:val="0"/>
          <w:color w:val="000000"/>
          <w:sz w:val="24"/>
          <w:szCs w:val="21"/>
          <w:highlight w:val="none"/>
        </w:rPr>
        <w:t>凡已在浙江政府采购网网上注册入库，并取得临安区政府采购合同的中小企业供应商，均可申请政府采购信用融资</w:t>
      </w:r>
      <w:r>
        <w:rPr>
          <w:rFonts w:ascii="仿宋_GB2312" w:hAnsi="仿宋" w:eastAsia="仿宋_GB2312"/>
          <w:sz w:val="24"/>
          <w:highlight w:val="none"/>
        </w:rPr>
        <w:t>。</w:t>
      </w:r>
      <w:r>
        <w:rPr>
          <w:rFonts w:ascii="仿宋_GB2312" w:hAnsi="仿宋" w:eastAsia="仿宋_GB2312"/>
          <w:sz w:val="24"/>
          <w:highlight w:val="none"/>
        </w:rPr>
        <w:cr/>
      </w:r>
      <w:r>
        <w:rPr>
          <w:rFonts w:ascii="仿宋_GB2312" w:hAnsi="仿宋" w:eastAsia="仿宋_GB2312"/>
          <w:b/>
          <w:sz w:val="24"/>
          <w:highlight w:val="none"/>
        </w:rPr>
        <w:t xml:space="preserve">4. </w:t>
      </w:r>
      <w:r>
        <w:rPr>
          <w:rFonts w:hint="eastAsia" w:ascii="仿宋_GB2312" w:hAnsi="仿宋" w:eastAsia="仿宋_GB2312"/>
          <w:b/>
          <w:sz w:val="24"/>
          <w:highlight w:val="none"/>
        </w:rPr>
        <w:t>询问、质疑、投诉</w:t>
      </w:r>
    </w:p>
    <w:p w14:paraId="542E4D65">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14:paraId="32ADA9F6">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hint="eastAsia" w:ascii="仿宋_GB2312" w:hAnsi="仿宋" w:eastAsia="仿宋_GB2312" w:cs="微软雅黑"/>
          <w:kern w:val="0"/>
          <w:sz w:val="24"/>
          <w:highlight w:val="none"/>
          <w:lang w:val="en-US" w:eastAsia="zh-CN"/>
        </w:rPr>
        <w:t>3</w:t>
      </w:r>
      <w:r>
        <w:rPr>
          <w:rFonts w:ascii="仿宋_GB2312" w:hAnsi="仿宋" w:eastAsia="仿宋_GB2312" w:cs="微软雅黑"/>
          <w:kern w:val="0"/>
          <w:sz w:val="24"/>
          <w:highlight w:val="none"/>
          <w:lang w:val="zh-CN"/>
        </w:rPr>
        <w:t>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4E78570E">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14:paraId="37C9FBBA">
      <w:pPr>
        <w:pStyle w:val="34"/>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14:paraId="14A1EFD2">
      <w:pPr>
        <w:pStyle w:val="34"/>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F401CBD">
      <w:pPr>
        <w:pStyle w:val="5"/>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14:paraId="4A9EC89F">
      <w:pPr>
        <w:pStyle w:val="34"/>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14:paraId="7B719641">
      <w:pPr>
        <w:pStyle w:val="34"/>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14:paraId="7141F66C">
      <w:pPr>
        <w:pStyle w:val="34"/>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14:paraId="737B7F2C">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14:paraId="1212032A">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14:paraId="0A1570F3">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14:paraId="7B28AC1E">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14:paraId="2E49AB53">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14:paraId="0A017FE2">
      <w:pPr>
        <w:pStyle w:val="34"/>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14:paraId="533D7E81">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供应商提交的质疑函需一式三份。供应商为自然人的，应当由本人签字；供应商为法人或者其他组织的，应当由法定代表人、主要负责人，或者其授权代表签字或者盖章，并加盖公章。</w:t>
      </w:r>
    </w:p>
    <w:p w14:paraId="5DFF0096">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质疑函范本及制作说明详见附件</w:t>
      </w:r>
      <w:r>
        <w:rPr>
          <w:rFonts w:ascii="仿宋_GB2312" w:hAnsi="仿宋" w:eastAsia="仿宋_GB2312"/>
          <w:highlight w:val="none"/>
        </w:rPr>
        <w:t>2。</w:t>
      </w:r>
    </w:p>
    <w:p w14:paraId="3068327A">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.4</w:t>
      </w:r>
      <w:r>
        <w:rPr>
          <w:rFonts w:hint="eastAsia" w:ascii="仿宋_GB2312" w:hAnsi="仿宋" w:eastAsia="仿宋_GB2312"/>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highlight w:val="none"/>
        </w:rPr>
        <w:t>2021〕17号）,</w:t>
      </w:r>
      <w:r>
        <w:rPr>
          <w:rFonts w:hint="eastAsia" w:ascii="仿宋_GB2312" w:hAnsi="仿宋" w:eastAsia="仿宋_GB2312"/>
          <w:highlight w:val="none"/>
        </w:rPr>
        <w:t>采购人或者采购机构在质疑回复后</w:t>
      </w:r>
      <w:r>
        <w:rPr>
          <w:rFonts w:ascii="仿宋_GB2312" w:hAnsi="仿宋" w:eastAsia="仿宋_GB2312"/>
          <w:highlight w:val="none"/>
        </w:rPr>
        <w:t>5个工作日内，在浙江政府采购网的“其他公告”栏目公开质疑答复，答复内容应当完整。质疑</w:t>
      </w:r>
      <w:r>
        <w:rPr>
          <w:rFonts w:hint="eastAsia" w:ascii="仿宋_GB2312" w:hAnsi="仿宋" w:eastAsia="仿宋_GB2312"/>
          <w:highlight w:val="none"/>
        </w:rPr>
        <w:t>函作为附件上传。</w:t>
      </w:r>
    </w:p>
    <w:p w14:paraId="6D4C1657">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.5询问或者质疑事项可能影响采购结果的，采购人应当暂停签订合同，已经签订合同的，应当中止履行合同。</w:t>
      </w:r>
    </w:p>
    <w:p w14:paraId="5D9A1C16">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highlight w:val="none"/>
          <w:lang w:val="zh-CN"/>
        </w:rPr>
      </w:pPr>
      <w:r>
        <w:rPr>
          <w:rFonts w:ascii="仿宋_GB2312" w:hAnsi="仿宋" w:eastAsia="仿宋_GB2312" w:cs="微软雅黑"/>
          <w:highlight w:val="none"/>
          <w:lang w:val="zh-CN"/>
        </w:rPr>
        <w:t>4.3供应商投诉</w:t>
      </w:r>
    </w:p>
    <w:p w14:paraId="20476722">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4.3.1质疑供应商对采购人、采购机构的答复不满意或者采购人、采购机构未在规定的时间内</w:t>
      </w:r>
      <w:r>
        <w:rPr>
          <w:rFonts w:hint="eastAsia" w:ascii="仿宋_GB2312" w:hAnsi="仿宋" w:eastAsia="仿宋_GB2312"/>
          <w:highlight w:val="none"/>
        </w:rPr>
        <w:t>作出答复的，可以在答复期满后十五个工作日内向同级政府采购监督管理部门提出投诉。</w:t>
      </w:r>
    </w:p>
    <w:p w14:paraId="3E6BB1CE">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w:t>
      </w:r>
      <w:r>
        <w:rPr>
          <w:rFonts w:ascii="仿宋_GB2312" w:hAnsi="仿宋" w:eastAsia="仿宋_GB2312" w:cs="微软雅黑"/>
          <w:highlight w:val="none"/>
          <w:lang w:val="zh-CN"/>
        </w:rPr>
        <w:t>2</w:t>
      </w:r>
      <w:r>
        <w:rPr>
          <w:rFonts w:hint="eastAsia" w:ascii="仿宋_GB2312" w:hAnsi="仿宋" w:eastAsia="仿宋_GB2312"/>
          <w:highlight w:val="none"/>
        </w:rPr>
        <w:t>供应商投诉的事项不得超出已质疑事项的范围，基于质疑答复内容提出的投诉事项除外。</w:t>
      </w:r>
    </w:p>
    <w:p w14:paraId="4D0F9B46">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4.3.3供应</w:t>
      </w:r>
      <w:r>
        <w:rPr>
          <w:rFonts w:hint="eastAsia" w:ascii="仿宋_GB2312" w:hAnsi="仿宋" w:eastAsia="仿宋_GB2312"/>
          <w:highlight w:val="none"/>
        </w:rPr>
        <w:t>商投诉应当有明确的请求和必要的证明材料。</w:t>
      </w:r>
    </w:p>
    <w:p w14:paraId="4A1763E6">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 xml:space="preserve">4.3.5 </w:t>
      </w:r>
      <w:r>
        <w:rPr>
          <w:rFonts w:hint="eastAsia" w:ascii="仿宋_GB2312" w:hAnsi="仿宋" w:eastAsia="仿宋_GB2312"/>
          <w:highlight w:val="none"/>
        </w:rPr>
        <w:t>以联合体形式参加政府采购活动的，其投诉应当由组成联合体的所有供应商共同提出。</w:t>
      </w:r>
    </w:p>
    <w:p w14:paraId="7BD6DB04">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投诉书范本及制作说明详见附件</w:t>
      </w:r>
      <w:r>
        <w:rPr>
          <w:rFonts w:ascii="仿宋_GB2312" w:hAnsi="仿宋" w:eastAsia="仿宋_GB2312"/>
          <w:highlight w:val="none"/>
        </w:rPr>
        <w:t>3。</w:t>
      </w:r>
    </w:p>
    <w:p w14:paraId="09F00800">
      <w:pPr>
        <w:adjustRightInd/>
        <w:spacing w:line="360" w:lineRule="auto"/>
        <w:jc w:val="center"/>
        <w:outlineLvl w:val="0"/>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 xml:space="preserve">      二、招标文件的构成、澄清、修改</w:t>
      </w:r>
    </w:p>
    <w:p w14:paraId="33A69AD1">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5．招标文件的构成</w:t>
      </w:r>
    </w:p>
    <w:p w14:paraId="49832578">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14:paraId="364FA31A">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14:paraId="759C26E6">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14:paraId="1BFA0EA1">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14:paraId="3767A4AE">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14:paraId="6F61BB3C">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14:paraId="26DDF6E1">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14:paraId="66F708AE">
      <w:pPr>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14:paraId="671BCC01">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6. </w:t>
      </w:r>
      <w:r>
        <w:rPr>
          <w:rFonts w:hint="eastAsia" w:ascii="仿宋_GB2312" w:hAnsi="仿宋" w:eastAsia="仿宋_GB2312" w:cs="仿宋_GB2312"/>
          <w:b/>
          <w:sz w:val="24"/>
          <w:szCs w:val="24"/>
          <w:highlight w:val="none"/>
        </w:rPr>
        <w:t>招标文件的澄清、修改</w:t>
      </w:r>
    </w:p>
    <w:p w14:paraId="6EDCEF06">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14:paraId="095F5BCD">
      <w:pPr>
        <w:pStyle w:val="129"/>
        <w:snapToGrid w:val="0"/>
        <w:spacing w:before="0"/>
        <w:ind w:firstLine="480"/>
        <w:rPr>
          <w:rFonts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F83B61">
      <w:pPr>
        <w:pStyle w:val="23"/>
        <w:rPr>
          <w:rFonts w:hint="eastAsia" w:ascii="仿宋_GB2312" w:hAnsi="仿宋" w:eastAsia="仿宋" w:cs="仿宋_GB2312"/>
          <w:sz w:val="18"/>
          <w:szCs w:val="18"/>
          <w:highlight w:val="none"/>
          <w:lang w:val="en-US" w:eastAsia="zh-CN"/>
        </w:rPr>
      </w:pPr>
      <w:r>
        <w:rPr>
          <w:rFonts w:ascii="仿宋_GB2312" w:hAnsi="仿宋" w:eastAsia="仿宋_GB2312" w:cs="仿宋_GB2312"/>
          <w:szCs w:val="24"/>
          <w:highlight w:val="none"/>
          <w:lang w:val="en-US"/>
        </w:rPr>
        <w:t xml:space="preserve">    </w:t>
      </w:r>
      <w:r>
        <w:rPr>
          <w:rFonts w:hint="eastAsia" w:ascii="仿宋" w:hAnsi="仿宋" w:eastAsia="仿宋"/>
          <w:b/>
          <w:sz w:val="24"/>
          <w:highlight w:val="none"/>
        </w:rPr>
        <w:t>▲</w:t>
      </w:r>
      <w:r>
        <w:rPr>
          <w:rFonts w:hint="eastAsia" w:ascii="仿宋" w:hAnsi="仿宋" w:eastAsia="仿宋" w:cs="仿宋_GB2312"/>
          <w:b/>
          <w:sz w:val="24"/>
          <w:szCs w:val="21"/>
          <w:highlight w:val="none"/>
        </w:rPr>
        <w:t>投标文件未按招标文件的澄清、修改的内容编制，又不符合实质性要求的，投标无效</w:t>
      </w:r>
      <w:r>
        <w:rPr>
          <w:rFonts w:hint="eastAsia" w:ascii="仿宋" w:hAnsi="仿宋" w:eastAsia="仿宋" w:cs="仿宋_GB2312"/>
          <w:b/>
          <w:sz w:val="24"/>
          <w:szCs w:val="21"/>
          <w:highlight w:val="none"/>
          <w:lang w:eastAsia="zh-CN"/>
        </w:rPr>
        <w:t>。</w:t>
      </w:r>
    </w:p>
    <w:p w14:paraId="1D2B7491">
      <w:pPr>
        <w:adjustRightInd/>
        <w:spacing w:line="360" w:lineRule="auto"/>
        <w:jc w:val="center"/>
        <w:outlineLvl w:val="0"/>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14:paraId="3C3BDD0D">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7. </w:t>
      </w:r>
      <w:r>
        <w:rPr>
          <w:rFonts w:hint="eastAsia" w:ascii="仿宋_GB2312" w:hAnsi="仿宋" w:eastAsia="仿宋_GB2312" w:cs="仿宋_GB2312"/>
          <w:b/>
          <w:sz w:val="24"/>
          <w:szCs w:val="24"/>
          <w:highlight w:val="none"/>
        </w:rPr>
        <w:t>招标文件的获取</w:t>
      </w:r>
    </w:p>
    <w:p w14:paraId="07733E7B">
      <w:pPr>
        <w:spacing w:line="360" w:lineRule="auto"/>
        <w:ind w:firstLine="480" w:firstLineChars="200"/>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14:paraId="533DFC4F">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8.开标前答疑会或现场考察</w:t>
      </w:r>
    </w:p>
    <w:p w14:paraId="0280F1D8">
      <w:pPr>
        <w:pStyle w:val="34"/>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14:paraId="0C148C8D">
      <w:pPr>
        <w:pStyle w:val="34"/>
        <w:spacing w:line="360" w:lineRule="auto"/>
        <w:rPr>
          <w:rFonts w:ascii="仿宋_GB2312" w:hAnsi="仿宋" w:eastAsia="仿宋_GB2312" w:cs="仿宋_GB2312"/>
          <w:b/>
          <w:szCs w:val="24"/>
          <w:highlight w:val="none"/>
        </w:rPr>
      </w:pPr>
      <w:r>
        <w:rPr>
          <w:rFonts w:ascii="仿宋_GB2312" w:hAnsi="仿宋" w:eastAsia="仿宋_GB2312"/>
          <w:b/>
          <w:kern w:val="28"/>
          <w:sz w:val="24"/>
          <w:szCs w:val="24"/>
          <w:highlight w:val="none"/>
        </w:rPr>
        <w:t>9.投标保证金</w:t>
      </w:r>
    </w:p>
    <w:p w14:paraId="2E288E94">
      <w:pPr>
        <w:pStyle w:val="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1179E291">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10. </w:t>
      </w:r>
      <w:r>
        <w:rPr>
          <w:rFonts w:hint="eastAsia" w:ascii="仿宋_GB2312" w:hAnsi="仿宋" w:eastAsia="仿宋_GB2312" w:cs="仿宋_GB2312"/>
          <w:b/>
          <w:sz w:val="24"/>
          <w:szCs w:val="24"/>
          <w:highlight w:val="none"/>
        </w:rPr>
        <w:t>投标文件的语言</w:t>
      </w:r>
    </w:p>
    <w:p w14:paraId="2E756913">
      <w:pPr>
        <w:autoSpaceDE w:val="0"/>
        <w:autoSpaceDN w:val="0"/>
        <w:spacing w:line="360" w:lineRule="auto"/>
        <w:ind w:firstLine="480" w:firstLineChars="200"/>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14:paraId="264E6120">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11. </w:t>
      </w:r>
      <w:r>
        <w:rPr>
          <w:rFonts w:hint="eastAsia" w:ascii="仿宋_GB2312" w:hAnsi="仿宋" w:eastAsia="仿宋_GB2312" w:cs="仿宋_GB2312"/>
          <w:b/>
          <w:sz w:val="24"/>
          <w:szCs w:val="24"/>
          <w:highlight w:val="none"/>
        </w:rPr>
        <w:t>投标文件的组成</w:t>
      </w:r>
    </w:p>
    <w:p w14:paraId="38E43AF5">
      <w:pPr>
        <w:snapToGrid w:val="0"/>
        <w:spacing w:line="360" w:lineRule="auto"/>
        <w:ind w:firstLine="482" w:firstLineChars="200"/>
        <w:rPr>
          <w:rFonts w:ascii="仿宋_GB2312" w:hAnsi="仿宋" w:eastAsia="仿宋_GB2312" w:cs="仿宋_GB2312"/>
          <w:b/>
          <w:bCs/>
          <w:sz w:val="24"/>
          <w:highlight w:val="none"/>
        </w:rPr>
      </w:pPr>
      <w:r>
        <w:rPr>
          <w:rFonts w:ascii="仿宋_GB2312" w:hAnsi="仿宋" w:eastAsia="仿宋_GB2312" w:cs="仿宋_GB2312"/>
          <w:b/>
          <w:bCs/>
          <w:sz w:val="24"/>
          <w:highlight w:val="none"/>
        </w:rPr>
        <w:t>11.1</w:t>
      </w:r>
      <w:r>
        <w:rPr>
          <w:rFonts w:hint="eastAsia" w:ascii="仿宋_GB2312" w:hAnsi="仿宋" w:eastAsia="仿宋_GB2312" w:cs="仿宋_GB2312"/>
          <w:b/>
          <w:bCs/>
          <w:sz w:val="24"/>
          <w:highlight w:val="none"/>
        </w:rPr>
        <w:t>资格文件：</w:t>
      </w:r>
    </w:p>
    <w:p w14:paraId="2FE7DEBF">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w:t>
      </w:r>
      <w:r>
        <w:rPr>
          <w:rFonts w:hint="eastAsia" w:ascii="仿宋_GB2312" w:hAnsi="仿宋" w:eastAsia="仿宋_GB2312" w:cs="仿宋_GB2312"/>
          <w:sz w:val="24"/>
          <w:highlight w:val="none"/>
        </w:rPr>
        <w:t>符合参加政府采购活动应当具备的一般条件的承诺函</w:t>
      </w:r>
      <w:r>
        <w:rPr>
          <w:rFonts w:ascii="仿宋_GB2312" w:hAnsi="仿宋" w:eastAsia="仿宋_GB2312" w:cs="仿宋_GB2312"/>
          <w:sz w:val="24"/>
          <w:highlight w:val="none"/>
        </w:rPr>
        <w:t>；</w:t>
      </w:r>
    </w:p>
    <w:p w14:paraId="13B0C7C8">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r>
        <w:rPr>
          <w:rFonts w:hint="eastAsia" w:ascii="仿宋_GB2312" w:hAnsi="仿宋" w:eastAsia="仿宋_GB2312" w:cs="仿宋_GB2312"/>
          <w:sz w:val="24"/>
          <w:highlight w:val="none"/>
          <w:lang w:eastAsia="zh-CN"/>
        </w:rPr>
        <w:t>：</w:t>
      </w:r>
      <w:r>
        <w:rPr>
          <w:rFonts w:hint="eastAsia" w:ascii="仿宋" w:hAnsi="仿宋" w:eastAsia="仿宋" w:cs="仿宋"/>
          <w:snapToGrid w:val="0"/>
          <w:kern w:val="28"/>
          <w:sz w:val="24"/>
          <w:szCs w:val="20"/>
          <w:lang w:eastAsia="zh-CN"/>
        </w:rPr>
        <w:t>提供中小企业声明函（附件</w:t>
      </w:r>
      <w:r>
        <w:rPr>
          <w:rFonts w:hint="eastAsia" w:ascii="仿宋" w:hAnsi="仿宋" w:eastAsia="仿宋" w:cs="仿宋"/>
          <w:snapToGrid w:val="0"/>
          <w:kern w:val="28"/>
          <w:sz w:val="24"/>
          <w:szCs w:val="20"/>
          <w:lang w:val="en-US" w:eastAsia="zh-CN"/>
        </w:rPr>
        <w:t>5</w:t>
      </w:r>
      <w:r>
        <w:rPr>
          <w:rFonts w:hint="eastAsia" w:ascii="仿宋" w:hAnsi="仿宋" w:eastAsia="仿宋" w:cs="仿宋"/>
          <w:snapToGrid w:val="0"/>
          <w:kern w:val="28"/>
          <w:sz w:val="24"/>
          <w:szCs w:val="20"/>
          <w:lang w:eastAsia="zh-CN"/>
        </w:rPr>
        <w:t>）</w:t>
      </w:r>
      <w:r>
        <w:rPr>
          <w:rFonts w:ascii="仿宋_GB2312" w:hAnsi="仿宋" w:eastAsia="仿宋_GB2312" w:cs="仿宋_GB2312"/>
          <w:sz w:val="24"/>
          <w:highlight w:val="none"/>
        </w:rPr>
        <w:t>；</w:t>
      </w:r>
    </w:p>
    <w:p w14:paraId="30071AE2">
      <w:pPr>
        <w:snapToGrid w:val="0"/>
        <w:spacing w:line="360" w:lineRule="auto"/>
        <w:ind w:firstLine="960" w:firstLineChars="400"/>
        <w:rPr>
          <w:rFonts w:hint="eastAsia" w:ascii="宋体" w:hAnsi="宋体" w:eastAsia="仿宋_GB2312" w:cs="宋体"/>
          <w:color w:val="auto"/>
          <w:sz w:val="24"/>
          <w:szCs w:val="21"/>
          <w:highlight w:val="none"/>
          <w:lang w:val="en-US" w:eastAsia="zh-CN"/>
        </w:rPr>
      </w:pPr>
      <w:r>
        <w:rPr>
          <w:rFonts w:ascii="仿宋_GB2312" w:hAnsi="仿宋" w:eastAsia="仿宋_GB2312" w:cs="仿宋_GB2312"/>
          <w:sz w:val="24"/>
          <w:highlight w:val="none"/>
        </w:rPr>
        <w:t>11.1.3</w:t>
      </w:r>
      <w:r>
        <w:rPr>
          <w:rFonts w:hint="eastAsia" w:ascii="仿宋_GB2312" w:hAnsi="仿宋" w:eastAsia="仿宋_GB2312" w:cs="仿宋_GB2312"/>
          <w:sz w:val="24"/>
          <w:highlight w:val="none"/>
        </w:rPr>
        <w:t>本项目的特定资格要求（如果有)</w:t>
      </w:r>
      <w:r>
        <w:rPr>
          <w:rFonts w:hint="eastAsia" w:ascii="仿宋_GB2312" w:hAnsi="仿宋" w:eastAsia="仿宋_GB2312" w:cs="仿宋_GB2312"/>
          <w:sz w:val="24"/>
          <w:highlight w:val="none"/>
          <w:lang w:eastAsia="zh-CN"/>
        </w:rPr>
        <w:t>。</w:t>
      </w:r>
    </w:p>
    <w:p w14:paraId="672CA9BD">
      <w:pPr>
        <w:snapToGrid w:val="0"/>
        <w:spacing w:line="360" w:lineRule="auto"/>
        <w:ind w:firstLine="482" w:firstLineChars="200"/>
        <w:rPr>
          <w:rFonts w:ascii="仿宋_GB2312" w:hAnsi="仿宋" w:eastAsia="仿宋_GB2312" w:cs="仿宋_GB2312"/>
          <w:b/>
          <w:bCs/>
          <w:sz w:val="24"/>
          <w:highlight w:val="none"/>
          <w:lang w:val="zh-CN"/>
        </w:rPr>
      </w:pPr>
      <w:r>
        <w:rPr>
          <w:rFonts w:ascii="仿宋_GB2312" w:hAnsi="仿宋" w:eastAsia="仿宋_GB2312" w:cs="仿宋_GB2312"/>
          <w:b/>
          <w:bCs/>
          <w:sz w:val="24"/>
          <w:highlight w:val="none"/>
          <w:lang w:val="zh-CN"/>
        </w:rPr>
        <w:t>11.</w:t>
      </w:r>
      <w:r>
        <w:rPr>
          <w:rFonts w:ascii="仿宋_GB2312" w:hAnsi="仿宋" w:eastAsia="仿宋_GB2312" w:cs="仿宋_GB2312"/>
          <w:b/>
          <w:bCs/>
          <w:sz w:val="24"/>
          <w:highlight w:val="none"/>
        </w:rPr>
        <w:t>2</w:t>
      </w:r>
      <w:r>
        <w:rPr>
          <w:rFonts w:ascii="仿宋_GB2312" w:hAnsi="仿宋" w:eastAsia="仿宋_GB2312" w:cs="仿宋_GB2312"/>
          <w:b/>
          <w:bCs/>
          <w:sz w:val="24"/>
          <w:highlight w:val="none"/>
          <w:lang w:val="zh-CN"/>
        </w:rPr>
        <w:t xml:space="preserve">  </w:t>
      </w:r>
      <w:r>
        <w:rPr>
          <w:rFonts w:hint="eastAsia" w:ascii="仿宋_GB2312" w:hAnsi="仿宋" w:eastAsia="仿宋_GB2312" w:cs="仿宋_GB2312"/>
          <w:b/>
          <w:bCs/>
          <w:sz w:val="24"/>
          <w:highlight w:val="none"/>
        </w:rPr>
        <w:t>商务技术</w:t>
      </w:r>
      <w:r>
        <w:rPr>
          <w:rFonts w:hint="eastAsia" w:ascii="仿宋_GB2312" w:hAnsi="仿宋" w:eastAsia="仿宋_GB2312" w:cs="仿宋_GB2312"/>
          <w:b/>
          <w:bCs/>
          <w:sz w:val="24"/>
          <w:highlight w:val="none"/>
          <w:lang w:val="zh-CN"/>
        </w:rPr>
        <w:t>文件：</w:t>
      </w:r>
    </w:p>
    <w:p w14:paraId="304FE657">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14:paraId="20B809DF">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11.2.2授权委托书或法定代表人（单位负责人）身份证明；</w:t>
      </w:r>
    </w:p>
    <w:p w14:paraId="12008182">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r>
        <w:rPr>
          <w:rFonts w:hint="eastAsia" w:ascii="仿宋_GB2312" w:hAnsi="仿宋" w:eastAsia="仿宋_GB2312" w:cs="仿宋_GB2312"/>
          <w:sz w:val="24"/>
          <w:highlight w:val="none"/>
        </w:rPr>
        <w:t>（如果有）</w:t>
      </w:r>
      <w:r>
        <w:rPr>
          <w:rFonts w:ascii="仿宋_GB2312" w:hAnsi="仿宋" w:eastAsia="仿宋_GB2312" w:cs="仿宋_GB2312"/>
          <w:sz w:val="24"/>
          <w:highlight w:val="none"/>
        </w:rPr>
        <w:t>；</w:t>
      </w:r>
    </w:p>
    <w:p w14:paraId="26698B78">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r>
        <w:rPr>
          <w:rFonts w:hint="eastAsia" w:ascii="仿宋_GB2312" w:hAnsi="仿宋" w:eastAsia="仿宋_GB2312" w:cs="仿宋_GB2312"/>
          <w:sz w:val="24"/>
          <w:highlight w:val="none"/>
        </w:rPr>
        <w:t>（如果有）</w:t>
      </w:r>
      <w:r>
        <w:rPr>
          <w:rFonts w:ascii="仿宋_GB2312" w:hAnsi="仿宋" w:eastAsia="仿宋_GB2312" w:cs="仿宋_GB2312"/>
          <w:sz w:val="24"/>
          <w:highlight w:val="none"/>
        </w:rPr>
        <w:t>；</w:t>
      </w:r>
    </w:p>
    <w:p w14:paraId="58B3D20C">
      <w:pPr>
        <w:snapToGrid w:val="0"/>
        <w:spacing w:line="360" w:lineRule="auto"/>
        <w:ind w:firstLine="960" w:firstLineChars="400"/>
        <w:rPr>
          <w:rFonts w:hint="default"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11.2.5符合性审查资料；</w:t>
      </w:r>
    </w:p>
    <w:p w14:paraId="0D9A716C">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lang w:val="en-US" w:eastAsia="zh-CN"/>
        </w:rPr>
        <w:t>6</w:t>
      </w:r>
      <w:r>
        <w:rPr>
          <w:rFonts w:ascii="仿宋_GB2312" w:hAnsi="仿宋" w:eastAsia="仿宋_GB2312" w:cs="仿宋_GB2312"/>
          <w:sz w:val="24"/>
          <w:highlight w:val="none"/>
        </w:rPr>
        <w:t>评标标准相应的商务技术资料；</w:t>
      </w:r>
    </w:p>
    <w:p w14:paraId="2D62EAC6">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lang w:val="en-US" w:eastAsia="zh-CN"/>
        </w:rPr>
        <w:t>7</w:t>
      </w:r>
      <w:r>
        <w:rPr>
          <w:rFonts w:ascii="仿宋_GB2312" w:hAnsi="仿宋" w:eastAsia="仿宋_GB2312" w:cs="仿宋_GB2312"/>
          <w:sz w:val="24"/>
          <w:highlight w:val="none"/>
        </w:rPr>
        <w:t>商务技术偏离表；</w:t>
      </w:r>
    </w:p>
    <w:p w14:paraId="713B9AC4">
      <w:pPr>
        <w:snapToGrid w:val="0"/>
        <w:spacing w:line="360" w:lineRule="auto"/>
        <w:ind w:firstLine="960" w:firstLineChars="400"/>
        <w:rPr>
          <w:rFonts w:hint="eastAsia"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8</w:t>
      </w:r>
      <w:r>
        <w:rPr>
          <w:rFonts w:hint="eastAsia" w:ascii="仿宋_GB2312" w:hAnsi="仿宋" w:eastAsia="仿宋_GB2312" w:cs="仿宋_GB2312"/>
          <w:sz w:val="24"/>
          <w:highlight w:val="none"/>
          <w:lang w:val="zh-CN"/>
        </w:rPr>
        <w:t>政府采购供应商廉洁自律承诺书；</w:t>
      </w:r>
    </w:p>
    <w:p w14:paraId="0086B32A">
      <w:pPr>
        <w:snapToGrid w:val="0"/>
        <w:spacing w:line="360" w:lineRule="auto"/>
        <w:ind w:firstLine="482" w:firstLineChars="200"/>
        <w:rPr>
          <w:rFonts w:ascii="仿宋_GB2312" w:hAnsi="仿宋" w:eastAsia="仿宋_GB2312" w:cs="仿宋_GB2312"/>
          <w:b/>
          <w:bCs/>
          <w:sz w:val="24"/>
          <w:highlight w:val="none"/>
          <w:u w:val="single"/>
          <w:lang w:val="zh-CN"/>
        </w:rPr>
      </w:pPr>
      <w:r>
        <w:rPr>
          <w:rFonts w:ascii="仿宋_GB2312" w:hAnsi="仿宋" w:eastAsia="仿宋_GB2312" w:cs="仿宋_GB2312"/>
          <w:b/>
          <w:bCs/>
          <w:kern w:val="0"/>
          <w:sz w:val="24"/>
          <w:highlight w:val="none"/>
          <w:lang w:val="zh-CN"/>
        </w:rPr>
        <w:t>11.</w:t>
      </w:r>
      <w:r>
        <w:rPr>
          <w:rFonts w:ascii="仿宋_GB2312" w:hAnsi="仿宋" w:eastAsia="仿宋_GB2312" w:cs="仿宋_GB2312"/>
          <w:b/>
          <w:bCs/>
          <w:kern w:val="0"/>
          <w:sz w:val="24"/>
          <w:highlight w:val="none"/>
        </w:rPr>
        <w:t>3</w:t>
      </w:r>
      <w:r>
        <w:rPr>
          <w:rFonts w:hint="eastAsia" w:ascii="仿宋_GB2312" w:hAnsi="仿宋" w:eastAsia="仿宋_GB2312" w:cs="仿宋_GB2312"/>
          <w:b/>
          <w:bCs/>
          <w:sz w:val="24"/>
          <w:highlight w:val="none"/>
        </w:rPr>
        <w:t>报价文件：</w:t>
      </w:r>
      <w:r>
        <w:rPr>
          <w:rFonts w:ascii="仿宋_GB2312" w:hAnsi="仿宋" w:eastAsia="仿宋_GB2312" w:cs="仿宋_GB2312"/>
          <w:b/>
          <w:bCs/>
          <w:sz w:val="24"/>
          <w:highlight w:val="none"/>
        </w:rPr>
        <w:t xml:space="preserve"> </w:t>
      </w:r>
    </w:p>
    <w:p w14:paraId="5057F2D4">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14:paraId="2A2634BD">
      <w:pPr>
        <w:spacing w:line="360" w:lineRule="auto"/>
        <w:ind w:firstLine="723" w:firstLineChars="30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14:paraId="5DF3F976">
      <w:pPr>
        <w:spacing w:line="360" w:lineRule="auto"/>
        <w:ind w:firstLine="723" w:firstLineChars="300"/>
        <w:rPr>
          <w:rFonts w:ascii="仿宋_GB2312" w:hAnsi="仿宋" w:eastAsia="仿宋_GB2312" w:cs="仿宋_GB2312"/>
          <w:b/>
          <w:sz w:val="24"/>
          <w:szCs w:val="21"/>
          <w:highlight w:val="none"/>
        </w:rPr>
      </w:pPr>
      <w:r>
        <w:rPr>
          <w:rFonts w:hint="eastAsia" w:ascii="仿宋_GB2312" w:hAnsi="仿宋" w:eastAsia="仿宋_GB2312"/>
          <w:b/>
          <w:sz w:val="24"/>
          <w:highlight w:val="none"/>
        </w:rPr>
        <w:t>投标人提供虚假材料投标的，投标无效。</w:t>
      </w:r>
    </w:p>
    <w:p w14:paraId="13B24513">
      <w:pPr>
        <w:pStyle w:val="129"/>
        <w:snapToGrid w:val="0"/>
        <w:spacing w:before="0"/>
        <w:ind w:firstLine="0" w:firstLineChars="0"/>
        <w:outlineLvl w:val="0"/>
        <w:rPr>
          <w:rFonts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 xml:space="preserve">. </w:t>
      </w:r>
      <w:r>
        <w:rPr>
          <w:rFonts w:hint="eastAsia" w:ascii="仿宋_GB2312" w:hAnsi="仿宋" w:eastAsia="仿宋_GB2312" w:cs="仿宋_GB2312"/>
          <w:b/>
          <w:szCs w:val="24"/>
          <w:highlight w:val="none"/>
        </w:rPr>
        <w:t>投标文件的编制</w:t>
      </w:r>
    </w:p>
    <w:p w14:paraId="3FE7278F">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14:paraId="3180E562">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14:paraId="42DF99F7">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CA数字证书，申领流程请自行前往“浙江政府采购网-下载专区-电子交易客户端-CA驱动和申领流程”进行查阅。</w:t>
      </w:r>
    </w:p>
    <w:p w14:paraId="4A4D9551">
      <w:pPr>
        <w:snapToGrid w:val="0"/>
        <w:spacing w:line="360" w:lineRule="auto"/>
        <w:rPr>
          <w:rFonts w:ascii="仿宋_GB2312" w:hAnsi="仿宋" w:eastAsia="仿宋_GB2312"/>
          <w:b/>
          <w:sz w:val="24"/>
          <w:highlight w:val="none"/>
        </w:rPr>
      </w:pPr>
      <w:r>
        <w:rPr>
          <w:rFonts w:ascii="仿宋_GB2312" w:hAnsi="仿宋" w:eastAsia="仿宋_GB2312"/>
          <w:b/>
          <w:sz w:val="24"/>
          <w:highlight w:val="none"/>
        </w:rPr>
        <w:t>13.投标文件的签署、盖章</w:t>
      </w:r>
    </w:p>
    <w:p w14:paraId="08694625">
      <w:pPr>
        <w:pStyle w:val="129"/>
        <w:snapToGrid w:val="0"/>
        <w:spacing w:before="0"/>
        <w:ind w:firstLine="480"/>
        <w:rPr>
          <w:rFonts w:ascii="仿宋_GB2312" w:hAnsi="仿宋" w:eastAsia="仿宋_GB2312" w:cs="仿宋_GB2312"/>
          <w:b/>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14:paraId="719827EC">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14:paraId="695BDB97">
      <w:pPr>
        <w:pStyle w:val="129"/>
        <w:snapToGrid w:val="0"/>
        <w:spacing w:before="0"/>
        <w:ind w:firstLine="480"/>
        <w:rPr>
          <w:rFonts w:ascii="仿宋_GB2312" w:hAnsi="仿宋" w:eastAsia="仿宋_GB2312" w:cs="仿宋_GB2312"/>
          <w:szCs w:val="24"/>
          <w:highlight w:val="none"/>
        </w:rPr>
      </w:pPr>
      <w:r>
        <w:rPr>
          <w:rFonts w:ascii="仿宋_GB2312" w:hAnsi="仿宋" w:eastAsia="仿宋_GB2312" w:cs="仿宋_GB2312"/>
          <w:highlight w:val="none"/>
        </w:rPr>
        <w:t>13.3招标文件对投标文件签署、盖章的要求适用于电子签名。</w:t>
      </w:r>
    </w:p>
    <w:p w14:paraId="13699C00">
      <w:pPr>
        <w:pStyle w:val="129"/>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14. </w:t>
      </w:r>
      <w:r>
        <w:rPr>
          <w:rFonts w:hint="eastAsia" w:ascii="仿宋_GB2312" w:hAnsi="仿宋" w:eastAsia="仿宋_GB2312" w:cs="仿宋_GB2312"/>
          <w:b/>
          <w:szCs w:val="24"/>
          <w:highlight w:val="none"/>
        </w:rPr>
        <w:t>投标文件的提交、补充、修改、撤回</w:t>
      </w:r>
    </w:p>
    <w:p w14:paraId="38703FA8">
      <w:pPr>
        <w:pStyle w:val="129"/>
        <w:ind w:firstLine="480"/>
        <w:rPr>
          <w:rFonts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E522797">
      <w:pPr>
        <w:pStyle w:val="129"/>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C288839">
      <w:pPr>
        <w:pStyle w:val="129"/>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F5DFFD8">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15.备份投标文件</w:t>
      </w:r>
    </w:p>
    <w:p w14:paraId="791DDBAC">
      <w:pPr>
        <w:pStyle w:val="34"/>
        <w:spacing w:line="360" w:lineRule="auto"/>
        <w:ind w:firstLine="360" w:firstLineChars="15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highlight w:val="none"/>
        </w:rPr>
        <w:t>但采购人、采购机构不强制或变相强制投标人提交备份投标文件。</w:t>
      </w:r>
    </w:p>
    <w:p w14:paraId="0E0FBC84">
      <w:pPr>
        <w:pStyle w:val="34"/>
        <w:spacing w:line="360" w:lineRule="auto"/>
        <w:ind w:firstLine="480" w:firstLineChars="20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15.2备份投标文件须在“政</w:t>
      </w:r>
      <w:r>
        <w:rPr>
          <w:rFonts w:hint="eastAsia" w:ascii="仿宋_GB2312" w:hAnsi="仿宋" w:eastAsia="仿宋_GB2312" w:cs="仿宋_GB2312"/>
          <w:sz w:val="24"/>
          <w:szCs w:val="24"/>
          <w:highlight w:val="none"/>
        </w:rPr>
        <w:t>采云投标客户端”制作生成，并储存在</w:t>
      </w:r>
      <w:r>
        <w:rPr>
          <w:rFonts w:ascii="仿宋_GB2312" w:hAnsi="仿宋" w:eastAsia="仿宋_GB2312"/>
          <w:sz w:val="24"/>
          <w:highlight w:val="none"/>
        </w:rPr>
        <w:t>DVD光盘</w:t>
      </w:r>
      <w:r>
        <w:rPr>
          <w:rFonts w:hint="eastAsia" w:ascii="仿宋_GB2312" w:hAnsi="仿宋" w:eastAsia="仿宋_GB2312" w:cs="仿宋_GB2312"/>
          <w:sz w:val="24"/>
          <w:szCs w:val="24"/>
          <w:highlight w:val="none"/>
        </w:rPr>
        <w:t>中。备份投标文件应当密封包装并在包装上加盖公章并注明投标项目名称，投标人名称</w:t>
      </w:r>
      <w:r>
        <w:rPr>
          <w:rFonts w:ascii="仿宋_GB2312" w:hAnsi="仿宋" w:eastAsia="仿宋_GB2312" w:cs="仿宋_GB2312"/>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sz w:val="24"/>
          <w:highlight w:val="none"/>
        </w:rPr>
        <w:t>不符合上述制作、</w:t>
      </w:r>
      <w:r>
        <w:rPr>
          <w:rFonts w:hint="eastAsia" w:ascii="仿宋_GB2312" w:hAnsi="仿宋" w:eastAsia="仿宋_GB2312" w:cs="仿宋_GB2312"/>
          <w:b/>
          <w:sz w:val="24"/>
          <w:szCs w:val="24"/>
          <w:highlight w:val="none"/>
        </w:rPr>
        <w:t>存储、密封规定的备份投标文件将被视为无效或者被拒绝接收。</w:t>
      </w:r>
    </w:p>
    <w:p w14:paraId="3E1E9D21">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00CCBC4">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highlight w:val="none"/>
        </w:rPr>
        <w:t>招标文件第二部分投标人须知前附表规定的备份投标文件送达地点；</w:t>
      </w:r>
      <w:r>
        <w:rPr>
          <w:rFonts w:hint="eastAsia" w:ascii="仿宋_GB2312" w:hAnsi="仿宋" w:eastAsia="仿宋_GB2312" w:cs="仿宋_GB2312"/>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45C2268A">
      <w:pPr>
        <w:pStyle w:val="34"/>
        <w:spacing w:line="360" w:lineRule="auto"/>
        <w:ind w:firstLine="479" w:firstLineChars="199"/>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15.5投标人仅提交备份投标文件，没有在电子交易平台传输递交投标文件的，投标无效。</w:t>
      </w:r>
    </w:p>
    <w:p w14:paraId="1390E495">
      <w:pPr>
        <w:pStyle w:val="129"/>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16.投标文件的无效处理</w:t>
      </w:r>
    </w:p>
    <w:p w14:paraId="44475045">
      <w:pPr>
        <w:pStyle w:val="26"/>
        <w:spacing w:line="360" w:lineRule="auto"/>
        <w:ind w:firstLine="360" w:firstLineChars="150"/>
        <w:rPr>
          <w:rFonts w:ascii="仿宋_GB2312" w:hAnsi="仿宋" w:eastAsia="仿宋_GB2312" w:cs="仿宋_GB2312"/>
          <w:szCs w:val="21"/>
          <w:highlight w:val="none"/>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w:t>
      </w:r>
      <w:r>
        <w:rPr>
          <w:rFonts w:hint="eastAsia" w:ascii="仿宋_GB2312" w:hAnsi="仿宋" w:eastAsia="仿宋_GB2312"/>
          <w:highlight w:val="none"/>
          <w:lang w:val="en-US" w:eastAsia="zh-CN"/>
        </w:rPr>
        <w:t>4.2</w:t>
      </w:r>
      <w:r>
        <w:rPr>
          <w:rFonts w:ascii="仿宋_GB2312" w:hAnsi="仿宋" w:eastAsia="仿宋_GB2312"/>
          <w:highlight w:val="none"/>
        </w:rPr>
        <w:t>项规定</w:t>
      </w:r>
      <w:r>
        <w:rPr>
          <w:rFonts w:hint="eastAsia" w:ascii="仿宋_GB2312" w:hAnsi="仿宋" w:eastAsia="仿宋_GB2312" w:cs="仿宋_GB2312"/>
          <w:szCs w:val="21"/>
          <w:highlight w:val="none"/>
        </w:rPr>
        <w:t>的情形之一的，投标无效：</w:t>
      </w:r>
    </w:p>
    <w:p w14:paraId="31C2994C">
      <w:pPr>
        <w:pStyle w:val="129"/>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17.投标有效期</w:t>
      </w:r>
    </w:p>
    <w:p w14:paraId="70B1A329">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17.1投标有效期为从提交投标文件的截止之日起90天。▲</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14:paraId="13E8D274">
      <w:pPr>
        <w:pStyle w:val="129"/>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14:paraId="005E7E48">
      <w:pPr>
        <w:pStyle w:val="129"/>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029787F">
      <w:pPr>
        <w:pStyle w:val="129"/>
        <w:spacing w:before="0"/>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14:paraId="77854D35">
      <w:pPr>
        <w:pStyle w:val="554"/>
        <w:spacing w:before="0" w:line="360" w:lineRule="auto"/>
        <w:ind w:left="0" w:firstLine="241" w:firstLineChars="100"/>
        <w:contextualSpacing/>
        <w:rPr>
          <w:rFonts w:ascii="仿宋_GB2312" w:eastAsia="仿宋_GB2312"/>
          <w:sz w:val="24"/>
          <w:highlight w:val="none"/>
        </w:rPr>
      </w:pPr>
      <w:r>
        <w:rPr>
          <w:rFonts w:ascii="仿宋_GB2312" w:hAnsi="仿宋" w:eastAsia="仿宋_GB2312" w:cs="仿宋_GB2312"/>
          <w:b/>
          <w:sz w:val="24"/>
          <w:szCs w:val="24"/>
          <w:highlight w:val="none"/>
        </w:rPr>
        <w:t>18.开标</w:t>
      </w:r>
      <w:r>
        <w:rPr>
          <w:rFonts w:ascii="仿宋_GB2312" w:eastAsia="仿宋_GB2312"/>
          <w:sz w:val="24"/>
          <w:highlight w:val="none"/>
        </w:rPr>
        <w:t xml:space="preserve"> </w:t>
      </w:r>
    </w:p>
    <w:p w14:paraId="02A9A170">
      <w:pPr>
        <w:pStyle w:val="554"/>
        <w:spacing w:before="0" w:line="360" w:lineRule="auto"/>
        <w:ind w:left="0" w:firstLine="480" w:firstLineChars="20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14:paraId="51D9443A">
      <w:pPr>
        <w:pStyle w:val="554"/>
        <w:spacing w:before="0" w:line="360" w:lineRule="auto"/>
        <w:ind w:left="0" w:firstLine="240" w:firstLineChars="10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14:paraId="5C9CCC2C">
      <w:pPr>
        <w:pStyle w:val="554"/>
        <w:spacing w:before="0" w:line="360" w:lineRule="auto"/>
        <w:ind w:left="0" w:firstLine="240" w:firstLineChars="100"/>
        <w:contextualSpacing/>
        <w:rPr>
          <w:rFonts w:hint="eastAsia" w:ascii="仿宋_GB2312" w:hAnsi="仿宋" w:eastAsia="仿宋_GB2312" w:cs="仿宋_GB2312"/>
          <w:b/>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18.3</w:t>
      </w:r>
      <w:r>
        <w:rPr>
          <w:rFonts w:hint="eastAsia" w:ascii="仿宋_GB2312" w:hAnsi="仿宋" w:eastAsia="仿宋_GB2312" w:cs="仿宋_GB2312"/>
          <w:b/>
          <w:sz w:val="24"/>
          <w:highlight w:val="none"/>
        </w:rPr>
        <w:t>投标文件未按时解密，投标人提供了备份投标文件的，以备份投标文件作为依据，否则视为投标文件撤回。投标文件已按时解密的，备份投标文件自动失效。</w:t>
      </w:r>
    </w:p>
    <w:p w14:paraId="64C621D1">
      <w:pPr>
        <w:keepNext w:val="0"/>
        <w:keepLines w:val="0"/>
        <w:pageBreakBefore w:val="0"/>
        <w:widowControl/>
        <w:kinsoku/>
        <w:wordWrap/>
        <w:overflowPunct/>
        <w:topLinePunct w:val="0"/>
        <w:autoSpaceDE/>
        <w:autoSpaceDN/>
        <w:bidi w:val="0"/>
        <w:adjustRightInd w:val="0"/>
        <w:snapToGrid/>
        <w:spacing w:beforeAutospacing="0" w:after="240" w:line="240" w:lineRule="auto"/>
        <w:jc w:val="left"/>
        <w:textAlignment w:val="auto"/>
        <w:rPr>
          <w:rFonts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　</w:t>
      </w:r>
      <w:r>
        <w:rPr>
          <w:rFonts w:ascii="仿宋_GB2312" w:hAnsi="仿宋" w:eastAsia="仿宋_GB2312" w:cs="仿宋_GB2312"/>
          <w:b/>
          <w:sz w:val="24"/>
          <w:szCs w:val="20"/>
          <w:highlight w:val="none"/>
        </w:rPr>
        <w:t>19、资格审查</w:t>
      </w:r>
    </w:p>
    <w:p w14:paraId="686D3328">
      <w:pPr>
        <w:pStyle w:val="129"/>
        <w:spacing w:before="0"/>
        <w:ind w:firstLine="480"/>
        <w:rPr>
          <w:rFonts w:ascii="仿宋_GB2312" w:hAnsi="仿宋" w:eastAsia="仿宋_GB2312" w:cs="Arial"/>
          <w:kern w:val="0"/>
          <w:szCs w:val="24"/>
          <w:highlight w:val="none"/>
        </w:rPr>
      </w:pPr>
      <w:r>
        <w:rPr>
          <w:rFonts w:ascii="仿宋_GB2312" w:hAnsi="仿宋" w:eastAsia="仿宋_GB2312" w:cs="Arial"/>
          <w:kern w:val="0"/>
          <w:szCs w:val="24"/>
          <w:highlight w:val="none"/>
        </w:rPr>
        <w:t>19.1开标后，采购人或采购机构将依法对投标人的资格进行审查。</w:t>
      </w:r>
    </w:p>
    <w:p w14:paraId="2119D61C">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rPr>
        <w:t>采购人或采购机构依据法律法规和招标文件的规定，对投标人的基本资格条件、特定资格条件进行审查。</w:t>
      </w:r>
    </w:p>
    <w:p w14:paraId="6160E901">
      <w:pPr>
        <w:pStyle w:val="129"/>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14:paraId="44242512">
      <w:pPr>
        <w:pStyle w:val="129"/>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4对未通过资格审查的投标人，采购人或采购机构告知其未通过的原因。</w:t>
      </w:r>
    </w:p>
    <w:p w14:paraId="7EE9B592">
      <w:pPr>
        <w:pStyle w:val="129"/>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5合格投标人不足3家的，不再评标。</w:t>
      </w:r>
    </w:p>
    <w:p w14:paraId="23DDB2C4">
      <w:pPr>
        <w:pStyle w:val="129"/>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20、信用信息查询</w:t>
      </w:r>
    </w:p>
    <w:p w14:paraId="1DF2446A">
      <w:pPr>
        <w:pStyle w:val="129"/>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20.1信用信息查询渠道及截止时间：采购机构将通过“信用中国”网站(www.creditchina.gov.cn)、中国政府采购网(www.ccgp.gov.cn)渠道查询投标人投标截止时间当天的信用记录。</w:t>
      </w:r>
    </w:p>
    <w:p w14:paraId="6127B334">
      <w:pPr>
        <w:pStyle w:val="129"/>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14:paraId="1595CBAB">
      <w:pPr>
        <w:pStyle w:val="129"/>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14:paraId="48E09B7A">
      <w:pPr>
        <w:pStyle w:val="129"/>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14:paraId="6CCA565C">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14:paraId="3697F663">
      <w:pPr>
        <w:spacing w:line="360" w:lineRule="auto"/>
        <w:rPr>
          <w:rFonts w:ascii="仿宋_GB2312" w:hAnsi="仿宋" w:eastAsia="仿宋_GB2312" w:cs="仿宋_GB2312"/>
          <w:b/>
          <w:sz w:val="24"/>
          <w:highlight w:val="none"/>
        </w:rPr>
      </w:pPr>
      <w:bookmarkStart w:id="12" w:name="_Toc91899903"/>
      <w:r>
        <w:rPr>
          <w:rFonts w:ascii="仿宋_GB2312" w:hAnsi="仿宋" w:eastAsia="仿宋_GB2312" w:cs="仿宋_GB2312"/>
          <w:b/>
          <w:sz w:val="24"/>
          <w:highlight w:val="none"/>
        </w:rPr>
        <w:t>21.</w:t>
      </w:r>
      <w:r>
        <w:rPr>
          <w:rFonts w:ascii="仿宋_GB2312" w:eastAsia="仿宋_GB2312"/>
          <w:highlight w:val="none"/>
        </w:rPr>
        <w:t xml:space="preserve"> </w:t>
      </w: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14:paraId="570FAA43">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标</w:t>
      </w:r>
    </w:p>
    <w:p w14:paraId="3D0C7ECA">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22. </w:t>
      </w:r>
      <w:r>
        <w:rPr>
          <w:rFonts w:hint="eastAsia" w:ascii="仿宋_GB2312" w:hAnsi="仿宋" w:eastAsia="仿宋_GB2312" w:cs="仿宋_GB2312"/>
          <w:b/>
          <w:highlight w:val="none"/>
        </w:rPr>
        <w:t>确定中标供应商</w:t>
      </w:r>
    </w:p>
    <w:p w14:paraId="7F6B96D2">
      <w:pPr>
        <w:pStyle w:val="129"/>
        <w:snapToGrid w:val="0"/>
        <w:spacing w:before="0"/>
        <w:ind w:firstLine="480"/>
        <w:rPr>
          <w:rFonts w:ascii="仿宋_GB2312" w:hAnsi="仿宋" w:eastAsia="仿宋_GB2312" w:cs="仿宋_GB2312"/>
          <w:b/>
          <w:szCs w:val="24"/>
          <w:highlight w:val="none"/>
        </w:rPr>
      </w:pPr>
      <w:r>
        <w:rPr>
          <w:rFonts w:hint="eastAsia" w:ascii="仿宋_GB2312" w:hAnsi="仿宋" w:eastAsia="仿宋_GB2312" w:cs="仿宋_GB2312"/>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r>
        <w:rPr>
          <w:rFonts w:ascii="仿宋_GB2312" w:hAnsi="仿宋" w:eastAsia="仿宋_GB2312" w:cs="仿宋_GB2312"/>
          <w:szCs w:val="24"/>
          <w:highlight w:val="none"/>
        </w:rPr>
        <w:t>。</w:t>
      </w:r>
    </w:p>
    <w:p w14:paraId="02BC3594">
      <w:pPr>
        <w:pStyle w:val="129"/>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14:paraId="6B2B1316">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14:paraId="6C813B12">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的名称、规格型号、数量、单价、服务要求，开标记录、未中标情况说明、中标公告期限以及评审专家名单、评分汇总及明细。</w:t>
      </w:r>
    </w:p>
    <w:p w14:paraId="7F103077">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14:paraId="1130EF34">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14:paraId="1EBF1D16">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24. </w:t>
      </w:r>
      <w:r>
        <w:rPr>
          <w:rFonts w:hint="eastAsia" w:ascii="仿宋_GB2312" w:hAnsi="仿宋" w:eastAsia="仿宋_GB2312" w:cs="仿宋_GB2312"/>
          <w:highlight w:val="none"/>
        </w:rPr>
        <w:t>合同主要条款详见第五部分拟签订的合同文本。</w:t>
      </w:r>
    </w:p>
    <w:p w14:paraId="55A88194">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25. </w:t>
      </w:r>
      <w:r>
        <w:rPr>
          <w:rFonts w:hint="eastAsia" w:ascii="仿宋_GB2312" w:hAnsi="仿宋" w:eastAsia="仿宋_GB2312" w:cs="仿宋_GB2312"/>
          <w:b/>
          <w:highlight w:val="none"/>
        </w:rPr>
        <w:t>合同的签订</w:t>
      </w:r>
    </w:p>
    <w:p w14:paraId="7F9E397E">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r>
        <w:rPr>
          <w:rFonts w:ascii="仿宋_GB2312" w:hAnsi="仿宋" w:eastAsia="仿宋_GB2312" w:cs="Arial"/>
          <w:kern w:val="0"/>
          <w:sz w:val="24"/>
          <w:highlight w:val="none"/>
        </w:rPr>
        <w:t>。</w:t>
      </w:r>
    </w:p>
    <w:p w14:paraId="32CB9A4C">
      <w:pPr>
        <w:pStyle w:val="129"/>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2E3CDA3C">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14:paraId="29B15928">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14:paraId="46020F84">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26. </w:t>
      </w:r>
      <w:r>
        <w:rPr>
          <w:rFonts w:hint="eastAsia" w:ascii="仿宋_GB2312" w:hAnsi="仿宋" w:eastAsia="仿宋_GB2312" w:cs="仿宋_GB2312"/>
          <w:b/>
          <w:highlight w:val="none"/>
        </w:rPr>
        <w:t>履约保证金</w:t>
      </w:r>
    </w:p>
    <w:p w14:paraId="46CDCF26">
      <w:pPr>
        <w:tabs>
          <w:tab w:val="left" w:pos="0"/>
        </w:tabs>
        <w:spacing w:line="360" w:lineRule="auto"/>
        <w:ind w:firstLine="482"/>
        <w:rPr>
          <w:rFonts w:hint="eastAsia" w:ascii="仿宋_GB2312" w:hAnsi="仿宋" w:eastAsia="仿宋_GB2312" w:cs="Helvetica"/>
          <w:kern w:val="0"/>
          <w:sz w:val="24"/>
          <w:highlight w:val="none"/>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165FFFC4">
      <w:pPr>
        <w:tabs>
          <w:tab w:val="left" w:pos="0"/>
        </w:tabs>
        <w:spacing w:line="360" w:lineRule="auto"/>
        <w:ind w:firstLine="482"/>
        <w:rPr>
          <w:rFonts w:hint="eastAsia" w:ascii="仿宋_GB2312" w:hAnsi="仿宋" w:eastAsia="仿宋_GB2312"/>
          <w:b/>
          <w:sz w:val="24"/>
          <w:highlight w:val="none"/>
        </w:rPr>
      </w:pPr>
      <w:r>
        <w:rPr>
          <w:rFonts w:hint="eastAsia" w:ascii="仿宋_GB2312" w:hAnsi="仿宋" w:eastAsia="仿宋_GB2312" w:cs="Helvetica"/>
          <w:kern w:val="0"/>
          <w:sz w:val="24"/>
          <w:highlight w:val="none"/>
        </w:rPr>
        <w:t>政府采购货物和服务项目中，采购单位可根据杭州市政府采购网公布的供应商履约评价情况减免履约保证金。供应商履约验收评价总分为100分的，采购单位应当免收履约保证金</w:t>
      </w:r>
      <w:r>
        <w:rPr>
          <w:rFonts w:hint="eastAsia" w:ascii="仿宋_GB2312" w:hAnsi="仿宋" w:eastAsia="仿宋_GB2312"/>
          <w:b/>
          <w:sz w:val="24"/>
          <w:highlight w:val="none"/>
        </w:rPr>
        <w:t>。</w:t>
      </w:r>
    </w:p>
    <w:p w14:paraId="5C15E0EE">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14:paraId="66915FF6">
      <w:pPr>
        <w:pStyle w:val="129"/>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14:paraId="1470A578">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14:paraId="52143AAE">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14:paraId="1A2B2CC8">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14:paraId="7A5D7082">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14:paraId="5046CDB9">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14:paraId="442BFFB3">
      <w:pPr>
        <w:pStyle w:val="129"/>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1909253">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九、验收</w:t>
      </w:r>
    </w:p>
    <w:p w14:paraId="44FDA8E4">
      <w:pPr>
        <w:pStyle w:val="26"/>
        <w:spacing w:line="360" w:lineRule="auto"/>
        <w:ind w:firstLine="0" w:firstLineChars="0"/>
        <w:rPr>
          <w:rFonts w:ascii="仿宋_GB2312" w:hAnsi="仿宋" w:eastAsia="仿宋_GB2312" w:cs="仿宋_GB2312"/>
          <w:b/>
          <w:highlight w:val="none"/>
        </w:rPr>
      </w:pPr>
      <w:r>
        <w:rPr>
          <w:rFonts w:ascii="仿宋_GB2312" w:hAnsi="仿宋" w:eastAsia="仿宋_GB2312" w:cs="仿宋_GB2312"/>
          <w:b/>
          <w:highlight w:val="none"/>
        </w:rPr>
        <w:t>29.验收</w:t>
      </w:r>
    </w:p>
    <w:p w14:paraId="53319674">
      <w:pPr>
        <w:keepNext w:val="0"/>
        <w:keepLines w:val="0"/>
        <w:pageBreakBefore w:val="0"/>
        <w:widowControl w:val="0"/>
        <w:tabs>
          <w:tab w:val="left" w:pos="0"/>
        </w:tabs>
        <w:kinsoku/>
        <w:wordWrap/>
        <w:overflowPunct/>
        <w:topLinePunct w:val="0"/>
        <w:autoSpaceDE/>
        <w:autoSpaceDN/>
        <w:bidi w:val="0"/>
        <w:adjustRightInd w:val="0"/>
        <w:snapToGrid/>
        <w:spacing w:line="440" w:lineRule="exact"/>
        <w:ind w:firstLine="482"/>
        <w:textAlignment w:val="auto"/>
        <w:rPr>
          <w:rFonts w:ascii="仿宋_GB2312" w:hAnsi="仿宋" w:eastAsia="仿宋_GB2312" w:cs="Helvetica"/>
          <w:kern w:val="0"/>
          <w:sz w:val="24"/>
          <w:highlight w:val="none"/>
        </w:rPr>
      </w:pPr>
      <w:r>
        <w:rPr>
          <w:rFonts w:ascii="仿宋_GB2312" w:hAnsi="仿宋" w:eastAsia="仿宋_GB2312" w:cs="Helvetica"/>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6E2D42">
      <w:pPr>
        <w:keepNext w:val="0"/>
        <w:keepLines w:val="0"/>
        <w:pageBreakBefore w:val="0"/>
        <w:widowControl w:val="0"/>
        <w:tabs>
          <w:tab w:val="left" w:pos="0"/>
        </w:tabs>
        <w:kinsoku/>
        <w:wordWrap/>
        <w:overflowPunct/>
        <w:topLinePunct w:val="0"/>
        <w:autoSpaceDE/>
        <w:autoSpaceDN/>
        <w:bidi w:val="0"/>
        <w:adjustRightInd w:val="0"/>
        <w:snapToGrid/>
        <w:spacing w:line="440" w:lineRule="exact"/>
        <w:ind w:firstLine="482"/>
        <w:textAlignment w:val="auto"/>
        <w:rPr>
          <w:rFonts w:ascii="仿宋_GB2312" w:hAnsi="仿宋" w:eastAsia="仿宋_GB2312" w:cs="Helvetica"/>
          <w:kern w:val="0"/>
          <w:sz w:val="24"/>
          <w:highlight w:val="none"/>
        </w:rPr>
      </w:pPr>
      <w:r>
        <w:rPr>
          <w:rFonts w:ascii="仿宋_GB2312" w:hAnsi="仿宋" w:eastAsia="仿宋_GB2312" w:cs="Helvetica"/>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highlight w:val="none"/>
        </w:rPr>
        <w:t>验收书的参考资料一并存档。</w:t>
      </w:r>
    </w:p>
    <w:p w14:paraId="48BC1558">
      <w:pPr>
        <w:keepNext w:val="0"/>
        <w:keepLines w:val="0"/>
        <w:pageBreakBefore w:val="0"/>
        <w:widowControl w:val="0"/>
        <w:tabs>
          <w:tab w:val="left" w:pos="0"/>
        </w:tabs>
        <w:kinsoku/>
        <w:wordWrap/>
        <w:overflowPunct/>
        <w:topLinePunct w:val="0"/>
        <w:autoSpaceDE/>
        <w:autoSpaceDN/>
        <w:bidi w:val="0"/>
        <w:adjustRightInd w:val="0"/>
        <w:snapToGrid/>
        <w:spacing w:line="440" w:lineRule="exact"/>
        <w:ind w:firstLine="482"/>
        <w:textAlignment w:val="auto"/>
        <w:rPr>
          <w:rFonts w:ascii="仿宋_GB2312" w:hAnsi="仿宋" w:eastAsia="仿宋_GB2312" w:cs="Helvetica"/>
          <w:kern w:val="0"/>
          <w:sz w:val="24"/>
          <w:highlight w:val="none"/>
        </w:rPr>
      </w:pPr>
      <w:r>
        <w:rPr>
          <w:rFonts w:ascii="仿宋_GB2312" w:hAnsi="仿宋" w:eastAsia="仿宋_GB2312" w:cs="Helvetica"/>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097DEC">
      <w:pPr>
        <w:keepNext w:val="0"/>
        <w:keepLines w:val="0"/>
        <w:pageBreakBefore w:val="0"/>
        <w:widowControl w:val="0"/>
        <w:tabs>
          <w:tab w:val="left" w:pos="0"/>
        </w:tabs>
        <w:kinsoku/>
        <w:wordWrap/>
        <w:overflowPunct/>
        <w:topLinePunct w:val="0"/>
        <w:autoSpaceDE/>
        <w:autoSpaceDN/>
        <w:bidi w:val="0"/>
        <w:adjustRightInd w:val="0"/>
        <w:snapToGrid/>
        <w:spacing w:line="440" w:lineRule="exact"/>
        <w:ind w:firstLine="482"/>
        <w:textAlignment w:val="auto"/>
        <w:rPr>
          <w:rFonts w:ascii="仿宋_GB2312" w:hAnsi="仿宋" w:eastAsia="仿宋_GB2312" w:cs="仿宋_GB2312"/>
          <w:sz w:val="18"/>
          <w:szCs w:val="18"/>
          <w:highlight w:val="none"/>
        </w:rPr>
      </w:pPr>
      <w:r>
        <w:rPr>
          <w:rFonts w:ascii="仿宋_GB2312" w:hAnsi="仿宋" w:eastAsia="仿宋_GB2312" w:cs="Helvetica"/>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44C1F3C5">
      <w:pPr>
        <w:tabs>
          <w:tab w:val="left" w:pos="0"/>
        </w:tabs>
        <w:spacing w:line="360" w:lineRule="auto"/>
        <w:ind w:firstLine="480"/>
        <w:rPr>
          <w:rFonts w:ascii="仿宋_GB2312" w:hAnsi="仿宋" w:eastAsia="仿宋_GB2312" w:cs="Helvetica"/>
          <w:kern w:val="0"/>
          <w:sz w:val="24"/>
          <w:highlight w:val="none"/>
        </w:rPr>
        <w:sectPr>
          <w:footerReference r:id="rId9" w:type="first"/>
          <w:footerReference r:id="rId8" w:type="default"/>
          <w:pgSz w:w="11906" w:h="16838"/>
          <w:pgMar w:top="1417" w:right="1418" w:bottom="850" w:left="1418" w:header="851" w:footer="992" w:gutter="0"/>
          <w:pgNumType w:fmt="decimal" w:start="2"/>
          <w:cols w:space="720" w:num="1"/>
          <w:docGrid w:linePitch="312" w:charSpace="0"/>
        </w:sectPr>
      </w:pPr>
      <w:bookmarkStart w:id="13" w:name="_Hlt68057669"/>
      <w:bookmarkEnd w:id="13"/>
      <w:bookmarkStart w:id="14" w:name="_Hlt68073093"/>
      <w:bookmarkEnd w:id="14"/>
      <w:bookmarkStart w:id="15" w:name="_Hlt75236101"/>
      <w:bookmarkEnd w:id="15"/>
      <w:bookmarkStart w:id="16" w:name="_Hlt68072990"/>
      <w:bookmarkEnd w:id="16"/>
      <w:bookmarkStart w:id="17" w:name="_Hlt74707468"/>
      <w:bookmarkEnd w:id="17"/>
      <w:bookmarkStart w:id="18" w:name="_Hlt68403820"/>
      <w:bookmarkEnd w:id="18"/>
      <w:bookmarkStart w:id="19" w:name="_Hlt68072998"/>
      <w:bookmarkEnd w:id="19"/>
      <w:bookmarkStart w:id="20" w:name="_Hlt74714665"/>
      <w:bookmarkEnd w:id="20"/>
      <w:bookmarkStart w:id="21" w:name="_Hlt75236011"/>
      <w:bookmarkEnd w:id="21"/>
      <w:bookmarkStart w:id="22" w:name="_Hlt75236290"/>
      <w:bookmarkEnd w:id="22"/>
      <w:bookmarkStart w:id="23" w:name="_Hlt74730295"/>
      <w:bookmarkEnd w:id="23"/>
      <w:bookmarkStart w:id="24" w:name="_Hlt74729768"/>
      <w:bookmarkEnd w:id="24"/>
    </w:p>
    <w:bookmarkEnd w:id="10"/>
    <w:bookmarkEnd w:id="11"/>
    <w:p w14:paraId="4810F208">
      <w:pPr>
        <w:spacing w:line="360" w:lineRule="auto"/>
        <w:jc w:val="center"/>
        <w:outlineLvl w:val="0"/>
        <w:rPr>
          <w:rFonts w:ascii="仿宋" w:hAnsi="仿宋" w:eastAsia="仿宋" w:cs="仿宋_GB2312"/>
          <w:b/>
          <w:sz w:val="36"/>
          <w:szCs w:val="36"/>
          <w:highlight w:val="none"/>
        </w:rPr>
      </w:pPr>
      <w:bookmarkStart w:id="25" w:name="第四部分"/>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p>
    <w:tbl>
      <w:tblPr>
        <w:tblStyle w:val="62"/>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867"/>
        <w:gridCol w:w="1188"/>
        <w:gridCol w:w="1092"/>
        <w:gridCol w:w="1704"/>
        <w:gridCol w:w="1704"/>
      </w:tblGrid>
      <w:tr w14:paraId="2F5C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56" w:type="dxa"/>
            <w:noWrap w:val="0"/>
            <w:vAlign w:val="center"/>
          </w:tcPr>
          <w:p w14:paraId="1153CE8C">
            <w:pPr>
              <w:spacing w:line="3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2867" w:type="dxa"/>
            <w:noWrap w:val="0"/>
            <w:vAlign w:val="center"/>
          </w:tcPr>
          <w:p w14:paraId="57FEBBEA">
            <w:pPr>
              <w:spacing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采购内容</w:t>
            </w:r>
          </w:p>
        </w:tc>
        <w:tc>
          <w:tcPr>
            <w:tcW w:w="1188" w:type="dxa"/>
            <w:noWrap w:val="0"/>
            <w:vAlign w:val="center"/>
          </w:tcPr>
          <w:p w14:paraId="49B940EC">
            <w:pPr>
              <w:spacing w:line="3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单位</w:t>
            </w:r>
          </w:p>
        </w:tc>
        <w:tc>
          <w:tcPr>
            <w:tcW w:w="1092" w:type="dxa"/>
            <w:noWrap w:val="0"/>
            <w:vAlign w:val="center"/>
          </w:tcPr>
          <w:p w14:paraId="22EA41F4">
            <w:pPr>
              <w:spacing w:line="3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数量</w:t>
            </w:r>
          </w:p>
        </w:tc>
        <w:tc>
          <w:tcPr>
            <w:tcW w:w="1704" w:type="dxa"/>
            <w:noWrap w:val="0"/>
            <w:vAlign w:val="center"/>
          </w:tcPr>
          <w:p w14:paraId="30E1DBAC">
            <w:pPr>
              <w:spacing w:line="3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单价</w:t>
            </w:r>
          </w:p>
        </w:tc>
        <w:tc>
          <w:tcPr>
            <w:tcW w:w="1704" w:type="dxa"/>
            <w:noWrap w:val="0"/>
            <w:vAlign w:val="center"/>
          </w:tcPr>
          <w:p w14:paraId="32A1F65C">
            <w:pPr>
              <w:spacing w:line="3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上限价</w:t>
            </w:r>
          </w:p>
        </w:tc>
      </w:tr>
      <w:tr w14:paraId="3614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56" w:type="dxa"/>
            <w:noWrap w:val="0"/>
            <w:vAlign w:val="center"/>
          </w:tcPr>
          <w:p w14:paraId="74D73DA4">
            <w:pPr>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2867" w:type="dxa"/>
            <w:noWrap w:val="0"/>
            <w:vAlign w:val="center"/>
          </w:tcPr>
          <w:p w14:paraId="7201DC98">
            <w:pPr>
              <w:spacing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综合保洁</w:t>
            </w:r>
          </w:p>
        </w:tc>
        <w:tc>
          <w:tcPr>
            <w:tcW w:w="1188" w:type="dxa"/>
            <w:noWrap w:val="0"/>
            <w:vAlign w:val="center"/>
          </w:tcPr>
          <w:p w14:paraId="1073706C">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1092" w:type="dxa"/>
            <w:noWrap w:val="0"/>
            <w:vAlign w:val="center"/>
          </w:tcPr>
          <w:p w14:paraId="497B19EE">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704" w:type="dxa"/>
            <w:noWrap w:val="0"/>
            <w:vAlign w:val="center"/>
          </w:tcPr>
          <w:p w14:paraId="676FA119">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1394万元</w:t>
            </w:r>
          </w:p>
        </w:tc>
        <w:tc>
          <w:tcPr>
            <w:tcW w:w="1704" w:type="dxa"/>
            <w:noWrap w:val="0"/>
            <w:vAlign w:val="center"/>
          </w:tcPr>
          <w:p w14:paraId="3715EDE4">
            <w:pPr>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1394万元</w:t>
            </w:r>
          </w:p>
        </w:tc>
      </w:tr>
      <w:tr w14:paraId="2C79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56" w:type="dxa"/>
            <w:noWrap w:val="0"/>
            <w:vAlign w:val="center"/>
          </w:tcPr>
          <w:p w14:paraId="30FEB617">
            <w:pPr>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2867" w:type="dxa"/>
            <w:noWrap w:val="0"/>
            <w:vAlign w:val="center"/>
          </w:tcPr>
          <w:p w14:paraId="1D78085A">
            <w:pPr>
              <w:spacing w:line="36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中转站生活垃圾清运服务</w:t>
            </w:r>
          </w:p>
        </w:tc>
        <w:tc>
          <w:tcPr>
            <w:tcW w:w="1188" w:type="dxa"/>
            <w:noWrap w:val="0"/>
            <w:vAlign w:val="center"/>
          </w:tcPr>
          <w:p w14:paraId="65A694A9">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吨</w:t>
            </w:r>
          </w:p>
        </w:tc>
        <w:tc>
          <w:tcPr>
            <w:tcW w:w="1092" w:type="dxa"/>
            <w:noWrap w:val="0"/>
            <w:vAlign w:val="center"/>
          </w:tcPr>
          <w:p w14:paraId="0CC24524">
            <w:pPr>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22995</w:t>
            </w:r>
          </w:p>
        </w:tc>
        <w:tc>
          <w:tcPr>
            <w:tcW w:w="1704" w:type="dxa"/>
            <w:noWrap w:val="0"/>
            <w:vAlign w:val="center"/>
          </w:tcPr>
          <w:p w14:paraId="4161D9E8">
            <w:pPr>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67.84元</w:t>
            </w:r>
          </w:p>
        </w:tc>
        <w:tc>
          <w:tcPr>
            <w:tcW w:w="1704" w:type="dxa"/>
            <w:noWrap w:val="0"/>
            <w:vAlign w:val="center"/>
          </w:tcPr>
          <w:p w14:paraId="54443391">
            <w:pPr>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156万元</w:t>
            </w:r>
          </w:p>
        </w:tc>
      </w:tr>
    </w:tbl>
    <w:p w14:paraId="3E727843">
      <w:pPr>
        <w:pStyle w:val="23"/>
        <w:rPr>
          <w:rFonts w:hint="eastAsia" w:ascii="仿宋" w:hAnsi="仿宋" w:eastAsia="仿宋" w:cs="Times New Roman"/>
          <w:b/>
          <w:bCs/>
          <w:sz w:val="24"/>
          <w:szCs w:val="24"/>
          <w:highlight w:val="none"/>
          <w:lang w:eastAsia="zh-CN"/>
        </w:rPr>
      </w:pPr>
    </w:p>
    <w:p w14:paraId="3E3E5174">
      <w:pPr>
        <w:pStyle w:val="23"/>
        <w:rPr>
          <w:rFonts w:hint="eastAsia"/>
          <w:b/>
          <w:bCs/>
          <w:sz w:val="28"/>
          <w:szCs w:val="28"/>
          <w:highlight w:val="none"/>
          <w:lang w:eastAsia="zh-CN"/>
        </w:rPr>
      </w:pPr>
      <w:r>
        <w:rPr>
          <w:rFonts w:hint="eastAsia" w:ascii="仿宋" w:hAnsi="仿宋" w:eastAsia="仿宋" w:cs="Times New Roman"/>
          <w:b/>
          <w:bCs/>
          <w:sz w:val="28"/>
          <w:szCs w:val="28"/>
          <w:highlight w:val="none"/>
          <w:lang w:eastAsia="zh-CN"/>
        </w:rPr>
        <w:t>一、招标范围</w:t>
      </w:r>
    </w:p>
    <w:p w14:paraId="78125FE6">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1、集镇道路保洁为西至</w:t>
      </w:r>
      <w:r>
        <w:rPr>
          <w:rFonts w:hint="eastAsia" w:ascii="仿宋" w:hAnsi="仿宋" w:eastAsia="仿宋"/>
          <w:sz w:val="24"/>
          <w:highlight w:val="none"/>
          <w:lang w:eastAsia="zh-CN"/>
        </w:rPr>
        <w:t>高速</w:t>
      </w:r>
      <w:r>
        <w:rPr>
          <w:rFonts w:hint="eastAsia" w:ascii="仿宋" w:hAnsi="仿宋" w:eastAsia="仿宋"/>
          <w:sz w:val="24"/>
          <w:highlight w:val="none"/>
        </w:rPr>
        <w:t>路口，东至102省道高速桥洞，北至208省道后渚村叉口红绿，南至208省道祈祥村村口（集镇主干道路及区域内里弄小巷、人行道、树穴、</w:t>
      </w:r>
      <w:r>
        <w:rPr>
          <w:rFonts w:hint="eastAsia" w:ascii="仿宋" w:hAnsi="仿宋" w:eastAsia="仿宋"/>
          <w:sz w:val="24"/>
          <w:highlight w:val="none"/>
          <w:lang w:eastAsia="zh-CN"/>
        </w:rPr>
        <w:t>公共</w:t>
      </w:r>
      <w:r>
        <w:rPr>
          <w:rFonts w:hint="eastAsia" w:ascii="仿宋" w:hAnsi="仿宋" w:eastAsia="仿宋"/>
          <w:sz w:val="24"/>
          <w:highlight w:val="none"/>
        </w:rPr>
        <w:t>绿化带、水沟、广场、公园、公益性宣传牌、候车亭、果壳箱、交通护栏、</w:t>
      </w:r>
      <w:r>
        <w:rPr>
          <w:rFonts w:hint="eastAsia" w:ascii="仿宋" w:hAnsi="仿宋" w:eastAsia="仿宋"/>
          <w:sz w:val="24"/>
          <w:highlight w:val="none"/>
          <w:lang w:eastAsia="zh-CN"/>
        </w:rPr>
        <w:t>天目溪城区段沿线绿道、</w:t>
      </w:r>
      <w:r>
        <w:rPr>
          <w:rFonts w:hint="eastAsia" w:ascii="仿宋" w:hAnsi="仿宋" w:eastAsia="仿宋"/>
          <w:sz w:val="24"/>
          <w:highlight w:val="none"/>
        </w:rPr>
        <w:t>绿化护栏等保洁以及保洁所产生的垃圾运送至垃圾清运点）</w:t>
      </w:r>
      <w:r>
        <w:rPr>
          <w:rFonts w:hint="eastAsia" w:ascii="仿宋" w:hAnsi="仿宋" w:eastAsia="仿宋"/>
          <w:sz w:val="24"/>
          <w:highlight w:val="none"/>
          <w:lang w:eastAsia="zh-CN"/>
        </w:rPr>
        <w:t>及逸逸工业园区道路保洁、垃圾清运等</w:t>
      </w:r>
      <w:r>
        <w:rPr>
          <w:rFonts w:hint="eastAsia" w:ascii="仿宋" w:hAnsi="仿宋" w:eastAsia="仿宋"/>
          <w:sz w:val="24"/>
          <w:highlight w:val="none"/>
        </w:rPr>
        <w:t>；</w:t>
      </w:r>
    </w:p>
    <w:p w14:paraId="0222204E">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2、集镇生活垃圾定时定点分类收集；</w:t>
      </w:r>
    </w:p>
    <w:p w14:paraId="10FE5FE9">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3、公厕保洁为集镇</w:t>
      </w:r>
      <w:r>
        <w:rPr>
          <w:rFonts w:hint="eastAsia" w:ascii="仿宋" w:hAnsi="仿宋" w:eastAsia="仿宋"/>
          <w:sz w:val="24"/>
          <w:highlight w:val="none"/>
          <w:lang w:val="en-US" w:eastAsia="zh-CN"/>
        </w:rPr>
        <w:t>10</w:t>
      </w:r>
      <w:r>
        <w:rPr>
          <w:rFonts w:hint="eastAsia" w:ascii="仿宋" w:hAnsi="仿宋" w:eastAsia="仿宋"/>
          <w:sz w:val="24"/>
          <w:highlight w:val="none"/>
        </w:rPr>
        <w:t>座公厕的日常保洁、除臭设备维护及定期清理化粪池；</w:t>
      </w:r>
    </w:p>
    <w:p w14:paraId="0DEDFE95">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4、行政村垃圾收集为全镇30个行政村的生活垃圾分类收集清运至镇垃圾中转；</w:t>
      </w:r>
    </w:p>
    <w:p w14:paraId="4F8BC2D8">
      <w:pPr>
        <w:spacing w:line="360" w:lineRule="auto"/>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rPr>
        <w:t>5、於潜镇生活垃圾中转站管理及中转站到临安区绿能环保发电有限公司或其他焚烧厂的生活垃圾清运服务</w:t>
      </w:r>
      <w:r>
        <w:rPr>
          <w:rFonts w:hint="eastAsia" w:ascii="仿宋" w:hAnsi="仿宋" w:eastAsia="仿宋"/>
          <w:sz w:val="24"/>
          <w:highlight w:val="none"/>
          <w:lang w:val="en-US" w:eastAsia="zh-CN"/>
        </w:rPr>
        <w:t>;</w:t>
      </w:r>
    </w:p>
    <w:p w14:paraId="582ECAB5">
      <w:pPr>
        <w:pStyle w:val="7"/>
        <w:keepNext/>
        <w:keepLines/>
        <w:pageBreakBefore w:val="0"/>
        <w:widowControl w:val="0"/>
        <w:kinsoku/>
        <w:wordWrap/>
        <w:overflowPunct/>
        <w:topLinePunct w:val="0"/>
        <w:autoSpaceDE/>
        <w:autoSpaceDN/>
        <w:bidi w:val="0"/>
        <w:adjustRightInd w:val="0"/>
        <w:snapToGrid/>
        <w:spacing w:before="0" w:after="0" w:line="377" w:lineRule="auto"/>
        <w:ind w:left="1009" w:hanging="1009"/>
        <w:textAlignment w:val="auto"/>
        <w:rPr>
          <w:rFonts w:hint="eastAsia" w:ascii="仿宋" w:hAnsi="仿宋" w:eastAsia="仿宋" w:cs="Times New Roman"/>
          <w:b w:val="0"/>
          <w:bCs w:val="0"/>
          <w:kern w:val="2"/>
          <w:sz w:val="24"/>
          <w:szCs w:val="24"/>
          <w:highlight w:val="none"/>
          <w:lang w:val="en-US" w:eastAsia="zh-CN" w:bidi="ar-SA"/>
        </w:rPr>
      </w:pPr>
      <w:r>
        <w:rPr>
          <w:rFonts w:hint="eastAsia" w:ascii="仿宋" w:hAnsi="仿宋" w:eastAsia="仿宋" w:cs="Times New Roman"/>
          <w:b w:val="0"/>
          <w:bCs w:val="0"/>
          <w:kern w:val="2"/>
          <w:sz w:val="24"/>
          <w:szCs w:val="24"/>
          <w:highlight w:val="none"/>
          <w:lang w:val="en-US" w:eastAsia="zh-CN" w:bidi="ar-SA"/>
        </w:rPr>
        <w:t xml:space="preserve">    6、於潜镇生活垃圾中转站污水清理及消纳处理；</w:t>
      </w:r>
    </w:p>
    <w:p w14:paraId="64C11300">
      <w:pPr>
        <w:spacing w:line="360" w:lineRule="auto"/>
        <w:ind w:firstLine="480" w:firstLineChars="200"/>
        <w:rPr>
          <w:rFonts w:hint="eastAsia" w:ascii="仿宋" w:hAnsi="仿宋" w:eastAsia="仿宋" w:cs="Times New Roman"/>
          <w:b w:val="0"/>
          <w:bCs w:val="0"/>
          <w:kern w:val="2"/>
          <w:sz w:val="24"/>
          <w:szCs w:val="24"/>
          <w:highlight w:val="none"/>
          <w:lang w:val="en-US" w:eastAsia="zh-CN" w:bidi="ar-SA"/>
        </w:rPr>
      </w:pPr>
      <w:r>
        <w:rPr>
          <w:rFonts w:hint="eastAsia" w:ascii="仿宋" w:hAnsi="仿宋" w:eastAsia="仿宋" w:cs="Times New Roman"/>
          <w:b w:val="0"/>
          <w:bCs w:val="0"/>
          <w:kern w:val="2"/>
          <w:sz w:val="24"/>
          <w:szCs w:val="24"/>
          <w:highlight w:val="none"/>
          <w:lang w:val="en-US" w:eastAsia="zh-CN" w:bidi="ar-SA"/>
        </w:rPr>
        <w:t>7、保洁范围内大件垃圾清运，垃圾桶、果壳箱更新；</w:t>
      </w:r>
    </w:p>
    <w:p w14:paraId="77EACB45">
      <w:pPr>
        <w:spacing w:line="360" w:lineRule="auto"/>
        <w:ind w:firstLine="480" w:firstLineChars="200"/>
        <w:rPr>
          <w:rFonts w:hint="default" w:ascii="仿宋" w:hAnsi="仿宋" w:eastAsia="仿宋" w:cs="Times New Roman"/>
          <w:b w:val="0"/>
          <w:bCs w:val="0"/>
          <w:kern w:val="2"/>
          <w:sz w:val="24"/>
          <w:szCs w:val="24"/>
          <w:highlight w:val="none"/>
          <w:lang w:val="en-US" w:eastAsia="zh-CN" w:bidi="ar-SA"/>
        </w:rPr>
      </w:pPr>
      <w:r>
        <w:rPr>
          <w:rFonts w:hint="eastAsia" w:ascii="仿宋" w:hAnsi="仿宋" w:eastAsia="仿宋" w:cs="Times New Roman"/>
          <w:b w:val="0"/>
          <w:bCs w:val="0"/>
          <w:kern w:val="2"/>
          <w:sz w:val="24"/>
          <w:szCs w:val="24"/>
          <w:highlight w:val="none"/>
          <w:lang w:val="en-US" w:eastAsia="zh-CN" w:bidi="ar-SA"/>
        </w:rPr>
        <w:t>8、集镇范围内住宅小区垃圾集置点的生活垃圾运至垃圾中转站。</w:t>
      </w:r>
    </w:p>
    <w:p w14:paraId="7293A5E9">
      <w:pPr>
        <w:spacing w:line="360" w:lineRule="auto"/>
        <w:rPr>
          <w:rFonts w:hint="eastAsia" w:ascii="仿宋" w:hAnsi="仿宋" w:eastAsia="仿宋" w:cs="Times New Roman"/>
          <w:b/>
          <w:bCs/>
          <w:snapToGrid w:val="0"/>
          <w:kern w:val="2"/>
          <w:sz w:val="28"/>
          <w:szCs w:val="28"/>
          <w:highlight w:val="none"/>
          <w:lang w:val="zh-CN" w:eastAsia="zh-CN" w:bidi="ar-SA"/>
        </w:rPr>
      </w:pPr>
      <w:r>
        <w:rPr>
          <w:rFonts w:hint="eastAsia" w:ascii="仿宋" w:hAnsi="仿宋" w:eastAsia="仿宋" w:cs="Times New Roman"/>
          <w:b/>
          <w:bCs/>
          <w:snapToGrid w:val="0"/>
          <w:kern w:val="2"/>
          <w:sz w:val="28"/>
          <w:szCs w:val="28"/>
          <w:highlight w:val="none"/>
          <w:lang w:val="zh-CN" w:eastAsia="zh-CN" w:bidi="ar-SA"/>
        </w:rPr>
        <w:t>二、期限</w:t>
      </w:r>
    </w:p>
    <w:p w14:paraId="3734AF5A">
      <w:pPr>
        <w:spacing w:line="360" w:lineRule="auto"/>
        <w:ind w:firstLine="480" w:firstLineChars="200"/>
        <w:rPr>
          <w:rFonts w:hint="eastAsia" w:ascii="仿宋" w:hAnsi="仿宋" w:eastAsia="仿宋" w:cs="Times New Roman"/>
          <w:sz w:val="24"/>
          <w:highlight w:val="none"/>
          <w:lang w:val="zh-CN" w:eastAsia="zh-CN"/>
        </w:rPr>
      </w:pPr>
      <w:r>
        <w:rPr>
          <w:rFonts w:hint="eastAsia" w:ascii="仿宋" w:hAnsi="仿宋" w:eastAsia="仿宋" w:cs="Times New Roman"/>
          <w:sz w:val="24"/>
          <w:highlight w:val="none"/>
          <w:lang w:val="zh-CN" w:eastAsia="zh-CN"/>
        </w:rPr>
        <w:t>期限为合同签订之日起贰年</w:t>
      </w:r>
      <w:r>
        <w:rPr>
          <w:rFonts w:hint="eastAsia" w:ascii="仿宋" w:hAnsi="仿宋" w:eastAsia="仿宋" w:cs="Times New Roman"/>
          <w:sz w:val="24"/>
          <w:highlight w:val="none"/>
          <w:lang w:val="en-US" w:eastAsia="zh-CN"/>
        </w:rPr>
        <w:t>(其中中转站生活垃圾清运服务为2025年2月1日起至本项目服务期限止)</w:t>
      </w:r>
      <w:r>
        <w:rPr>
          <w:rFonts w:hint="eastAsia" w:ascii="仿宋" w:hAnsi="仿宋" w:eastAsia="仿宋" w:cs="Times New Roman"/>
          <w:sz w:val="24"/>
          <w:highlight w:val="none"/>
          <w:lang w:val="zh-CN" w:eastAsia="zh-CN"/>
        </w:rPr>
        <w:t>。</w:t>
      </w:r>
    </w:p>
    <w:p w14:paraId="6076534C">
      <w:pPr>
        <w:spacing w:line="360" w:lineRule="auto"/>
        <w:rPr>
          <w:rFonts w:hint="eastAsia" w:ascii="仿宋" w:hAnsi="仿宋" w:eastAsia="仿宋"/>
          <w:sz w:val="24"/>
          <w:highlight w:val="none"/>
        </w:rPr>
      </w:pPr>
      <w:r>
        <w:rPr>
          <w:rFonts w:hint="eastAsia" w:ascii="仿宋" w:hAnsi="仿宋" w:eastAsia="仿宋" w:cs="Times New Roman"/>
          <w:b/>
          <w:bCs/>
          <w:snapToGrid w:val="0"/>
          <w:kern w:val="2"/>
          <w:sz w:val="28"/>
          <w:szCs w:val="28"/>
          <w:highlight w:val="none"/>
          <w:lang w:val="zh-CN" w:eastAsia="zh-CN" w:bidi="ar-SA"/>
        </w:rPr>
        <w:t>三、工作要求</w:t>
      </w:r>
    </w:p>
    <w:p w14:paraId="2BC84016">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1、保洁服务主要工作内容</w:t>
      </w:r>
    </w:p>
    <w:p w14:paraId="72D7A7C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（1）集镇主次道路、里弄小巷、硬化空地、开放式公园广场（视线范围内）等清扫；</w:t>
      </w:r>
    </w:p>
    <w:p w14:paraId="37B70D81">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（2）道路绿化隔离带、道路两侧绿化带（视线范围内）、开放式绿地（视线范围内）、里弄小巷等范围内绿化带保洁；</w:t>
      </w:r>
    </w:p>
    <w:p w14:paraId="7C7EDEDE">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（3）沿街果壳箱垃圾收集清理、定期清洗保洁；沿街店面垃圾摇铃收集、清运；</w:t>
      </w:r>
    </w:p>
    <w:p w14:paraId="566989CB">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（4）交通隔离栏、人行道、立交桥、地下通道、2.2米以下路灯杆、交通信号灯杆等公共设施、城市家具清洗；</w:t>
      </w:r>
    </w:p>
    <w:p w14:paraId="38200EE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（5）落实责任保洁区域边界管理，保洁时应向保洁边界以外延伸5米，不留保洁盲区空白点。</w:t>
      </w:r>
    </w:p>
    <w:p w14:paraId="4D25EE4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（6）及时清扫、清洗因突发情况（各类投诉、110联动、城管96310、区长公开电话等）污染的道路；抗台防台、抗雪防冰冻等各类工作的应急保障；</w:t>
      </w:r>
    </w:p>
    <w:p w14:paraId="5E4BB7DB">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（7）做好法定节假日、政府举办的重大活动期间的保洁工作；</w:t>
      </w:r>
    </w:p>
    <w:p w14:paraId="1F005CBE">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（8）应业主方要求，无条件响应完成重大检查评比、庆典活动期间的市容环境卫生保障任务；</w:t>
      </w:r>
    </w:p>
    <w:p w14:paraId="118B5E59">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（9）对辖区范围内各类无主垃圾进行清理、分类清运，包括杂物垃圾、大件垃圾、建筑装潢垃圾清理；</w:t>
      </w:r>
    </w:p>
    <w:p w14:paraId="348B770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（10）对辖区区域内牛皮癣进行清理清除，对乱贴、乱画、乱投小广告的行为人进行劝阻与制止。</w:t>
      </w:r>
    </w:p>
    <w:p w14:paraId="07C6D54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（11）做好其他涉及环境卫生的各项工作。</w:t>
      </w:r>
    </w:p>
    <w:p w14:paraId="70867B89">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2、作业标准</w:t>
      </w:r>
    </w:p>
    <w:p w14:paraId="478FC17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普扫是对城市道路、街巷进行的全面清扫，包括机械化和人工清扫，普扫作业质量应做到“五无五净”，路面见本色。“五无”：无垃圾杂物，无积水积泥，无痰迹烟蒂，无果皮纸屑，无土石杂草；“五净”：路面干净，绿地、绿化带和树圈干净，边角侧石干净，雨水井盖沟眼畅通干净，果皮箱等环卫设施干净。路面见本色。</w:t>
      </w:r>
    </w:p>
    <w:p w14:paraId="35201A6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每日普扫前，应先对车行道路面进行洒水，一般第一次普扫采用人机结合方式对道路街巷进行全面的清扫。第二次普扫，根据车流量情况，一般采用机械化方式对快车道进行清扫清理。人工方式对慢车道、人行道等位置进行清扫捡拾。</w:t>
      </w:r>
    </w:p>
    <w:p w14:paraId="4FD8812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在“五无五净”的基础上，保持交通隔离栏、2.2米以下灯杆、交通信号灯杆等城市家具清洁。巡回保洁期间，以捡拾漂浮垃圾为主，不允许单人无维护措施情况下上快车道作业。遇特殊情况，非机动车道可进行小范围清扫，车行道内在做好维护及安全措施的前提下集体进入清扫清理。</w:t>
      </w:r>
    </w:p>
    <w:p w14:paraId="39ACBF69">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3、清扫保洁时间规定</w:t>
      </w:r>
    </w:p>
    <w:p w14:paraId="747619A7">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普扫作业时间应符合下列要求：普扫作业每日不少于2次；普扫完成时间：每日首次普扫，夏秋季节在上午6:30之前完成，春冬季在上午7:00之前完成；每日二次普扫在14：00之前完成，在遇特殊天气或路面落叶较多季节，可视实际情况适当延长；夜间普扫在19:00之前完成。</w:t>
      </w:r>
    </w:p>
    <w:p w14:paraId="1AC0E6D0">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（2）每日清扫保洁时间规定：主干道</w:t>
      </w:r>
      <w:r>
        <w:rPr>
          <w:rFonts w:hint="eastAsia" w:ascii="仿宋" w:hAnsi="仿宋" w:eastAsia="仿宋"/>
          <w:bCs/>
          <w:sz w:val="24"/>
          <w:highlight w:val="none"/>
          <w:lang w:val="en-US" w:eastAsia="zh-CN"/>
        </w:rPr>
        <w:t>18小时，</w:t>
      </w:r>
      <w:r>
        <w:rPr>
          <w:rFonts w:hint="eastAsia" w:ascii="仿宋" w:hAnsi="仿宋" w:eastAsia="仿宋"/>
          <w:bCs/>
          <w:sz w:val="24"/>
          <w:highlight w:val="none"/>
          <w:lang w:eastAsia="zh-CN"/>
        </w:rPr>
        <w:t>全年度（4：30—22：30）；次干道、支路、园区道路</w:t>
      </w:r>
      <w:r>
        <w:rPr>
          <w:rFonts w:hint="eastAsia" w:ascii="仿宋" w:hAnsi="仿宋" w:eastAsia="仿宋"/>
          <w:bCs/>
          <w:sz w:val="24"/>
          <w:highlight w:val="none"/>
          <w:lang w:val="en-US" w:eastAsia="zh-CN"/>
        </w:rPr>
        <w:t>14小时，全年度（5:30—19:30）；里弄小巷、绿道等12小时，全年度（5:30—19:30）</w:t>
      </w:r>
    </w:p>
    <w:p w14:paraId="112838C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（3）机械化作业路段洒水、冲洗、机扫、三位一体洗扫等轮班作业</w:t>
      </w:r>
    </w:p>
    <w:p w14:paraId="2E18DF8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作业时间：5:30-19:00，避早晚高峰（7:00-8:30,16:30-18:00），冬季2度以下禁止涉水作业。</w:t>
      </w:r>
    </w:p>
    <w:p w14:paraId="25D51206">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4、人工清扫保洁作业规范</w:t>
      </w:r>
    </w:p>
    <w:p w14:paraId="5AADA156">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（1）普扫时，应按人行道路面、树圈及周边、车行道路面、窨井口的顺序进行全面清扫。</w:t>
      </w:r>
    </w:p>
    <w:p w14:paraId="7BBCC7D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（2）清扫归拢的垃圾靠边成堆，应及时清运，确保无漏少漏收。清扫道路时不得将垃圾扫入窨井、喇叭口、绿地等，并及时疏通窨井口。</w:t>
      </w:r>
    </w:p>
    <w:p w14:paraId="59EA3ABB">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（3）清扫道路路面时应仔细清扫，不得漏扫、甩扫，尽量避免扬尘，妨碍周边行人。</w:t>
      </w:r>
    </w:p>
    <w:p w14:paraId="79B66279">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（4）保洁作业时，应做到对道路路面巡查保洁，及时用工具清理路面垃圾。</w:t>
      </w:r>
    </w:p>
    <w:p w14:paraId="16AE3C4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（5）发现有人随地乱扔垃圾或破环果壳箱等行为时，应及时劝阻，发现路面被严重污染时，应马上向上级监管部门汇报，并立即组织人员或车辆等设备进行清理。</w:t>
      </w:r>
    </w:p>
    <w:p w14:paraId="742AD05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（6）道路清扫归拢的垃圾应及时清运至就近生活垃圾中转站。</w:t>
      </w:r>
    </w:p>
    <w:p w14:paraId="5B18C965">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（7）绿化带（含车道绿化隔离带、人行道绿地及道路两侧保洁区域绿地）保洁应与道路保洁同步，做到绿化带内无杂物、无垃圾。</w:t>
      </w:r>
    </w:p>
    <w:p w14:paraId="1C86A7A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（8）道路设置的果壳箱等城市家具，每天擦洗不少于1次，每周冲洗不少于1次。果壳箱内垃圾即满即清，不得发生满溢现象。</w:t>
      </w:r>
    </w:p>
    <w:p w14:paraId="7E642EB0">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5、洒水车（高压清洗车）作业规范</w:t>
      </w:r>
    </w:p>
    <w:p w14:paraId="049FEF5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路面作业。洒水时，洒水车车速不得超过25Km/h；清洗时，高压清洗车车速不得超过10Km/h。道路洒水频次根据季节变化调整，夏季5月1日-10月31日洒水频次不少于6次，首次洒水必须在6:30前完成；日常季节11月1日-4月30日洒水频次不少于4次，首次洒水必须在7:00前完成。上述洒水作业在遇特殊天气时除外。寒冷季节，气温2度及以下时暂停洒水清洗作业。清洗作业，每条道路每周清洗不少于1次，对个别易受污染的道路或遇突发事件引发道路污染的，应及时组织车辆与人员进行清洗。</w:t>
      </w:r>
    </w:p>
    <w:p w14:paraId="499DF69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（2）洒水作业时不得漏洒，注意调整高度和水压，避让行人，作业结束后，要做到路面、侧石、交通隔离带以及道路相关公共设施周围无泥沙和积水。</w:t>
      </w:r>
    </w:p>
    <w:p w14:paraId="5D9EF3A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高压清洗必须高压清洗车采用主喷作业模式或采用洒水车冲洗与人工清扫模式，作业时水压调整适当，避让行人，应积极与人工作业相配合，以消除路面的积泥、沙石、污迹。对被泥沙等严重污染的路面应组织洒水车、高压清洗车和人员进行反复冲洗，直至路面见本色。</w:t>
      </w:r>
    </w:p>
    <w:p w14:paraId="372DD121">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（4）洒水作业时不得倒车洒水。洒水、高压清洗作业，月末应制定作业计划并上报采购人（按一般为每月25日前上报），全面推行定车、定人、定责、定路线制度。</w:t>
      </w:r>
    </w:p>
    <w:p w14:paraId="685173F9">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（5）清扫作业前应检查车辆车况，加足水，并根据路面实际及时调整好机扫车侧刷和吸口。</w:t>
      </w:r>
    </w:p>
    <w:p w14:paraId="6E670365">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（6）清扫作业时应避免“干扫”，做到喷雾清扫作业，做到不扬尘，不漏土（沙）。禁止侧刷，吸口不落地空跑。</w:t>
      </w:r>
    </w:p>
    <w:p w14:paraId="338BD087">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（7）清扫时注意观察路面清扫质量和路面障碍情况，对机扫车不能清除的大件垃圾和硬物，应及时进行清除，确保清扫质量和设备不受损坏。</w:t>
      </w:r>
    </w:p>
    <w:p w14:paraId="0DC32A1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（8）清扫完毕，应检查车辆内垃圾是否卸尽，并做好车辆保洁和维护，保持车容整洁、性能良好。</w:t>
      </w:r>
    </w:p>
    <w:p w14:paraId="18BA877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（9）机扫车清扫作业时速为：≦10㎞/h，道路机扫频次不少于3次，首次机扫必须在7时前完成，夏季6:30前完成。</w:t>
      </w:r>
    </w:p>
    <w:p w14:paraId="6030C7DB">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（10）机扫作业，月末应制定作业计划并上报监管部门（按一般为每月25日前上报），全面推行定车、定人、定责、定路线制度。</w:t>
      </w:r>
    </w:p>
    <w:p w14:paraId="315BC126">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（11）机械化清扫车作业垃圾自行分类组织处理，不得乱倒、偷倒。</w:t>
      </w:r>
    </w:p>
    <w:p w14:paraId="188E5920">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（12）机械化清扫车规范处理作业污水，严禁乱倒乱排。</w:t>
      </w:r>
    </w:p>
    <w:p w14:paraId="6DF10110">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注：各类机械化作业车辆，应根据实际适时调整提示音音量，指示灯模式等，以减少对市民朋友的影响。7时前关闭提示音乐开启警示灯作业，7时后关闭警示灯开启提示音乐作业。</w:t>
      </w:r>
    </w:p>
    <w:p w14:paraId="1AF9D343">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6、里弄小巷保洁作业规范</w:t>
      </w:r>
    </w:p>
    <w:p w14:paraId="4D8922BE">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普扫作业时间应符合下列要求：空地、街巷普扫作业每日不少于2次。空地、街巷普扫完成时间：每日首次普扫，夏秋季节在上午7:00之前完成，春冬季在上午7:30之前完成；二次普扫在14:00之前完成，在遇特殊恶劣天气或路面落叶较多季节，可视实际情况适当延长。</w:t>
      </w:r>
    </w:p>
    <w:p w14:paraId="72344AF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（2）空地、街巷里弄普扫每日清扫保洁时间规定：</w:t>
      </w:r>
      <w:r>
        <w:rPr>
          <w:rFonts w:hint="eastAsia" w:ascii="仿宋" w:hAnsi="仿宋" w:eastAsia="仿宋"/>
          <w:bCs/>
          <w:sz w:val="24"/>
          <w:highlight w:val="none"/>
          <w:lang w:val="en-US" w:eastAsia="zh-CN"/>
        </w:rPr>
        <w:t>全年度（5:30—19:30）</w:t>
      </w:r>
    </w:p>
    <w:p w14:paraId="7F4EB62B">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（3）对开放式小区空地、街巷的清扫与保洁，应做好巡回式清扫保洁。</w:t>
      </w:r>
    </w:p>
    <w:p w14:paraId="59089238">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普扫时，应进行全面清扫，不得遗漏。清扫道路路面时应文明作业、注意安全，清扫时尽量避免扬尘或妨碍周边行人；清扫归拢的垃圾靠边成堆，应及时清运，确保无漏收。清扫道路时不得将垃圾扫（倒）入窨井、喇叭口、绿地等，并及时疏通窨井口。</w:t>
      </w:r>
    </w:p>
    <w:p w14:paraId="1207361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（5）发现有人随地乱扔垃圾或破坏垃圾桶等行为时，应及时劝阻，发现路面被严重污染时，应马上向上级汇报，并立即组织人员或车辆等设备进行清理。</w:t>
      </w:r>
    </w:p>
    <w:p w14:paraId="7C68427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（6）道路清扫归拢的垃圾应及时清运至周边垃圾投放点。</w:t>
      </w:r>
    </w:p>
    <w:p w14:paraId="0F2EA1C3">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对房前屋后开放式绿地的保洁，做好日常巡回捡拾保洁，及时清理绿地内枯叶、树枝、吊挂垃圾等其他垃圾，配合好绿化养护单位做好养护作业时的地面及周边环境的保洁工作。发现有损坏的绿化等现象，应及时做好信息上报工作。</w:t>
      </w:r>
    </w:p>
    <w:p w14:paraId="56586231">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（8）按照垃圾分类的要求分类清运，不得混装混运。垃圾清运过后，垃圾桶需及时清洗</w:t>
      </w:r>
      <w:r>
        <w:rPr>
          <w:rFonts w:hint="eastAsia" w:ascii="仿宋" w:hAnsi="仿宋" w:eastAsia="仿宋"/>
          <w:bCs/>
          <w:sz w:val="24"/>
          <w:highlight w:val="none"/>
          <w:lang w:val="en-US" w:eastAsia="zh-CN"/>
        </w:rPr>
        <w:t>,垃圾桶及果壳箱更新费用由中标单位承担</w:t>
      </w:r>
      <w:r>
        <w:rPr>
          <w:rFonts w:hint="eastAsia" w:ascii="仿宋" w:hAnsi="仿宋" w:eastAsia="仿宋"/>
          <w:bCs/>
          <w:sz w:val="24"/>
          <w:highlight w:val="none"/>
          <w:lang w:eastAsia="zh-CN"/>
        </w:rPr>
        <w:t>。垃圾桶、收运点及垃圾房周边需保持清洁，无暴露垃圾、无污水满溢等问题存在。</w:t>
      </w:r>
    </w:p>
    <w:p w14:paraId="469A8778">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7、交通隔离护栏、果壳箱等保洁作业规范</w:t>
      </w:r>
    </w:p>
    <w:p w14:paraId="3ACAAA7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（1）隔离护栏清洗作业应做到每周一次周期性循环清洗，日常保洁应做到护栏无明显积尘。遇大风、暴雨、暴雪等恶劣天气时，上报业主方处经批准，可停止清洗作业。</w:t>
      </w:r>
    </w:p>
    <w:p w14:paraId="3E6BCFA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（2）由于在清洗作业中会使用清洗剂或洗衣粉，作业当中易产生白色泡沫或积水遗留路面，造成二次污染，因此必需对产生的白色泡沫和路面积水进行清理。</w:t>
      </w:r>
    </w:p>
    <w:p w14:paraId="6FFFAFA5">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（3）由于清洗作业处于交通干道内，为确保安全生产，在清洗作业时在来车方向适当位置放置警示锥或桩等能起到有效警示作业的物品。</w:t>
      </w:r>
    </w:p>
    <w:p w14:paraId="3E239761">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（4）果壳箱擦洗每天不少于1次，清洗每周不少于1次。果壳箱无积尘、无油污、无垃圾满溢。果壳箱内不得存在垃圾满溢现象。</w:t>
      </w:r>
    </w:p>
    <w:p w14:paraId="5F360F6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（5）如遇果壳箱存在破损等情况时，应及时告知监管部门，以便于及时维修或更换。</w:t>
      </w:r>
    </w:p>
    <w:p w14:paraId="2CC436B8">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8、沿街店面生活垃圾摇铃收集、居民社区上门收集作业规范</w:t>
      </w:r>
    </w:p>
    <w:p w14:paraId="087A7B5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（1）应结合本项目特点制定商业街、社区居民生活垃圾收集时间、频次、人员、责任等规定，全面推行上门收集清运模式。</w:t>
      </w:r>
    </w:p>
    <w:p w14:paraId="6C021A9B">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（2）应配置专用车辆，全面推行垃圾分类投放、分类收集、分类清运。</w:t>
      </w:r>
    </w:p>
    <w:p w14:paraId="5323C0EB">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（3）收集车辆运输垃圾必须密闭，无抛洒、吊挂和污水滴漏。车容整洁，车体外部无污物、灰垢，标识应清晰。运输车辆作业后及时清洗干净，并按指定地点停放。</w:t>
      </w:r>
    </w:p>
    <w:p w14:paraId="1F22FA03">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（4）商业街摇铃收集作业每天不少于3次。收集清运时应分类投放，不得混装。如店家不配合，可拒绝收集清运，并第一时间向监管部门或城管执法中队反馈。</w:t>
      </w:r>
    </w:p>
    <w:p w14:paraId="5CC33F07">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（5）小区、城中村居民生活垃圾集中点收集每天不少于1次，对居民垃圾分类进行指导，对拒绝分类的居民加以劝导和指导，如居民特别恶劣不配合的，第一时间向街道社区或城管执法中队反馈。</w:t>
      </w:r>
    </w:p>
    <w:p w14:paraId="3153DF56">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（6）制定宣传方案，定期做好上门收集、入户宣传指导和对接。</w:t>
      </w:r>
    </w:p>
    <w:p w14:paraId="02596A46">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（7）根据清运要求，将保洁范围内的生活垃圾清运至中转站。</w:t>
      </w:r>
    </w:p>
    <w:p w14:paraId="20B33300">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9、牛皮癣（非法涂写）作业规范</w:t>
      </w:r>
    </w:p>
    <w:p w14:paraId="64DF262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（1）建立除癣队伍，自备作业工具和作业用品，每日全天候对辖区主要道路、居民社区、里弄小巷牛皮癣（非法涂写）情况进行巡查。</w:t>
      </w:r>
    </w:p>
    <w:p w14:paraId="437DBE48">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（2）对张贴式城市牛皮癣要及时清理干净，不得遗留明显的张贴痕迹，作业时不损坏建筑物、树木、管线、灯杆、护栏及其他各类市政公共设施，确有损坏的，要及时采取相应补救措施，恢复原状。</w:t>
      </w:r>
    </w:p>
    <w:p w14:paraId="272D408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（3）对涂写式牛皮癣要确保覆盖彻底，不出现清理后涂写文字仍能呈现的情况。</w:t>
      </w:r>
    </w:p>
    <w:p w14:paraId="2C1C25C8">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（4）注意与底色协调、涂刷规范，按照“色差一致、形状统一、干净整洁、协调美观”的要求进行整改，恢复，要避免出现癣上癣。</w:t>
      </w:r>
    </w:p>
    <w:p w14:paraId="3AFF686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（5）除癣作业后，要及时做好周边地面保洁，保持周边地面干净。</w:t>
      </w:r>
    </w:p>
    <w:p w14:paraId="5499E42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（6）接到辖区范围内，检查发现、投诉反映、新闻或各类媒介报道的牛皮癣（非法涂写），必须在12小时内完成整改处理并反馈整改信息。</w:t>
      </w:r>
    </w:p>
    <w:p w14:paraId="0BF3F54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（7）发现大规模低俗、反社会等小广告时，必须组织人员在1小时内进行清除。</w:t>
      </w:r>
    </w:p>
    <w:p w14:paraId="15DF17A3">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10、无主垃圾作业规范</w:t>
      </w:r>
    </w:p>
    <w:p w14:paraId="1125D996">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（1）装卸垃圾不得随意乱倒，必须运至指定场所处理。装卸应符合作业要求，文明作业，垃圾进入处理场站时应服从管理，不得乱倒、乱卸、乱抛垃圾。</w:t>
      </w:r>
    </w:p>
    <w:p w14:paraId="2B933DD9">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（2）每日不少于1次对辖区主要道路、居民社区、里弄小巷无主垃圾堆放情况进行巡查。</w:t>
      </w:r>
    </w:p>
    <w:p w14:paraId="11D5BD10">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辖区内堆放的无主大件杂物垃圾、无主建筑装潢垃圾应做到集中收拢清运堆放至社区所指定场所处置后清运或直接清运至由采购人核准的合法得消纳场地，严禁将生活垃圾与建筑装潢垃圾混合投（堆）放，其由此产生的处置费用由业主方进行支付。</w:t>
      </w:r>
    </w:p>
    <w:p w14:paraId="17E2F675">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（4）无主垃圾清理后，要及时清扫周围地面，周边环境恢复卫生面貌。</w:t>
      </w:r>
    </w:p>
    <w:p w14:paraId="644D6689">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（5）对发现乱扔乱倒垃圾的行为，要及时规范劝导，引导居民群众正确妥善处置垃圾。</w:t>
      </w:r>
    </w:p>
    <w:p w14:paraId="1FC42AA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（6）发现大量偷倒垃圾情况，保持维护好现场证据，并第一时间向街道或城管部门反馈查处。</w:t>
      </w:r>
    </w:p>
    <w:p w14:paraId="55AC8EA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（7）垃圾装运量应以车辆的额定荷载和有效容积为限，不得超重、超高运输。</w:t>
      </w:r>
    </w:p>
    <w:p w14:paraId="15CBC950">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（8）有主装修垃圾、大件垃圾、混合垃圾，产生单位应自行联系处置，也可在支付相关费用后，由保洁公司负责清运，保洁公司不承担有主垃圾的清运工作。</w:t>
      </w:r>
    </w:p>
    <w:p w14:paraId="433D3E3D">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11、公厕保洁作业规范</w:t>
      </w:r>
    </w:p>
    <w:p w14:paraId="3175B3D3">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(1）、正门及外围</w:t>
      </w:r>
    </w:p>
    <w:p w14:paraId="02A1A935">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1.1绿化带和花草盆无垃圾、无脏杂物、无明显积尘，花草盆侧面及槽边无污迹、无积尘、无积水和异物；</w:t>
      </w:r>
    </w:p>
    <w:p w14:paraId="327208AB">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1.2阶梯：无污迹、无水泥迹、无口香糖胶迹、无积水、无堆放杂物；</w:t>
      </w:r>
    </w:p>
    <w:p w14:paraId="14D4384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1.3扶手：无污迹、无水迹；</w:t>
      </w:r>
    </w:p>
    <w:p w14:paraId="557FD559">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1.4墙面：无污迹、无乱张贴物；</w:t>
      </w:r>
    </w:p>
    <w:p w14:paraId="4F98CB4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1.5门户：无污迹、无积尘、无乱张贴物；</w:t>
      </w:r>
    </w:p>
    <w:p w14:paraId="59A9CD7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1.6指示牌：无污迹、无积尘；</w:t>
      </w:r>
    </w:p>
    <w:p w14:paraId="6863CD65">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1.7消防栓：无污迹、无积尘；</w:t>
      </w:r>
    </w:p>
    <w:p w14:paraId="21E2D37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1.8出入口栏杆：无污迹、无堵塞。</w:t>
      </w:r>
    </w:p>
    <w:p w14:paraId="462210AB">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(2)、洗手间内</w:t>
      </w:r>
    </w:p>
    <w:p w14:paraId="1E0A4EE9">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2.1地面：无污迹、无水泥迹、无口香糖胶迹、无积水、无堆放杂物；</w:t>
      </w:r>
    </w:p>
    <w:p w14:paraId="7EC2D30E">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2.2墙面：无污迹、无乱张贴物；</w:t>
      </w:r>
    </w:p>
    <w:p w14:paraId="5424399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2.3天花：无污迹、无积尘、无蜘蛛网、无霉迹；</w:t>
      </w:r>
    </w:p>
    <w:p w14:paraId="1630D07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2.4光管罩：无污迹、无积尘、无乱张贴物；</w:t>
      </w:r>
    </w:p>
    <w:p w14:paraId="1BE41255">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2.5窗户：无污迹、无积尘、无乱张贴物；</w:t>
      </w:r>
    </w:p>
    <w:p w14:paraId="5387B21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2.6镜台：无污迹、无积尘、无乱张贴物；</w:t>
      </w:r>
    </w:p>
    <w:p w14:paraId="37A6EE26">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2.7洗手盆：表面光洁、无污迹；</w:t>
      </w:r>
    </w:p>
    <w:p w14:paraId="1C75B46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2.8镜面：无污迹、无积尘、无乱张贴物；</w:t>
      </w:r>
    </w:p>
    <w:p w14:paraId="5FE79A8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2.9排水口：无污迹、无蜘蛛网、无霉迹；</w:t>
      </w:r>
    </w:p>
    <w:p w14:paraId="5356BDDE">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2.10尿槽：表面光洁、无尿迹、无污迹、无水透迹、无烟头、无杂物、无异物；</w:t>
      </w:r>
    </w:p>
    <w:p w14:paraId="18CFCAA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2.11厕座：厕盖及厕体风外表光洁、其内无尿迹、无污迹、无水透迹、无阻塞；</w:t>
      </w:r>
    </w:p>
    <w:p w14:paraId="437C163E">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2.12厕纸箱：无污迹、无积尘、无蜘蛛网、无霉迹；</w:t>
      </w:r>
    </w:p>
    <w:p w14:paraId="54F8C283">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2.13手纸箱：无污迹、无积尘、无蜘蛛网、无霉迹；</w:t>
      </w:r>
    </w:p>
    <w:p w14:paraId="7C823F45">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2.14门户：无污迹、无积尘、无乱张贴物；</w:t>
      </w:r>
    </w:p>
    <w:p w14:paraId="5C3334D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2.15地漏及水沟：无污物积聚、无堵塞。</w:t>
      </w:r>
    </w:p>
    <w:p w14:paraId="4723479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(3)、门厅和走廊</w:t>
      </w:r>
    </w:p>
    <w:p w14:paraId="506E0419">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3.1地面：无脚印、无污迹、无水泥迹、无口香糖胶迹、无积水、无堆放杂物、无垃圾；</w:t>
      </w:r>
    </w:p>
    <w:p w14:paraId="59A99A16">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3.2天花：无污迹、无积尘、无蜘蛛网、无霉迹；</w:t>
      </w:r>
    </w:p>
    <w:p w14:paraId="46D77F1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3.3光管罩：无污迹、无积尘、无蜘蛛网、无霉迹；</w:t>
      </w:r>
    </w:p>
    <w:p w14:paraId="47D215A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3.4墙面及玻璃：无污迹、无乱张贴物；</w:t>
      </w:r>
    </w:p>
    <w:p w14:paraId="358F32F8">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3.5铜牌：无污迹、无积尘、无铜油迹；</w:t>
      </w:r>
    </w:p>
    <w:p w14:paraId="74F1CFB5">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3.6水牌及指示牌：无污迹、无积尘、无乱张贴物；</w:t>
      </w:r>
    </w:p>
    <w:p w14:paraId="10045E9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3.7门户（管井门、隔烟门、厕所门）：无污迹、无积尘、无乱张贴物；</w:t>
      </w:r>
    </w:p>
    <w:p w14:paraId="59BB6A3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3.8垃圾桶：桶体光洁无污迹、无痰迹；烟灰缸盖上无烟头、杂物，桶内垃圾不得超过桶口；</w:t>
      </w:r>
    </w:p>
    <w:p w14:paraId="33949101">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3.9消防栓：户：无污迹、无积尘、无乱张贴物；</w:t>
      </w:r>
    </w:p>
    <w:p w14:paraId="22C8EB9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（4）、垃圾放置点</w:t>
      </w:r>
    </w:p>
    <w:p w14:paraId="3782785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4.1做到无堆积垃圾；</w:t>
      </w:r>
    </w:p>
    <w:p w14:paraId="5F8D20B9">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4.2垃圾日产日清；</w:t>
      </w:r>
    </w:p>
    <w:p w14:paraId="4EFA572E">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4.3做好垃圾袋装化，将所有垃圾集中堆放在堆放点，做到合理、卫生、四周无散放垃圾；</w:t>
      </w:r>
    </w:p>
    <w:p w14:paraId="42FE1C98">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4.4可做废品回收的垃圾，要另行放置；</w:t>
      </w:r>
    </w:p>
    <w:p w14:paraId="5FE3C21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4.5垃圾间保持清洁、无异味，经常喷洒药水，防止发生虫害；</w:t>
      </w:r>
    </w:p>
    <w:p w14:paraId="532C096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4.6消杀、无蝇、少蚊、少虫；</w:t>
      </w:r>
    </w:p>
    <w:p w14:paraId="5FE92B8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4.7灭鼠、灭蟑螂。</w:t>
      </w:r>
    </w:p>
    <w:p w14:paraId="0611518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（5）、化粪池清理</w:t>
      </w:r>
    </w:p>
    <w:p w14:paraId="42C62FA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5.1清掏化粪池每年清理化粪池不少于2次（6月和12月各一次）。</w:t>
      </w:r>
    </w:p>
    <w:p w14:paraId="7361A0A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5.2清掏时不得泄漏、遗撒；</w:t>
      </w:r>
    </w:p>
    <w:p w14:paraId="391B8BC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5.3清掏的废物应按照规定运往粪便无害化处理部门进行无害化处理，并向甲方出示有关无害化处理单据证明，不得乱排乱倒。</w:t>
      </w:r>
    </w:p>
    <w:p w14:paraId="72EB3FA0">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12、行政村垃圾收集作业规范</w:t>
      </w:r>
    </w:p>
    <w:p w14:paraId="29377DC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作业时遵守交通管理法规，确保车辆整洁，设施完好，密闭运输，如有破损及时修复，并建立车容车貌检查档案。所属的垃圾运输车辆（含机动车、非机动车）应印有编号、监督电话、责任单位等信息。发生各种意外事故由中标方自行解决。</w:t>
      </w:r>
    </w:p>
    <w:p w14:paraId="6FAD90E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其他垃圾和易腐垃圾清运做到分类运输、日产日清，垃圾清运后，垃圾房、桶、箱周围2米内清扫干净，关好门，做到车走地洁；垃圾收集点做到科学有序收集，收集过程中，不漏收、跳收甚至拒收，不任意撤点。</w:t>
      </w:r>
    </w:p>
    <w:p w14:paraId="4253451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（3）车辆行驶中严禁垃圾沿途散落、吊挂，压缩车后栏板关好，下班后污水箱里污水放净。</w:t>
      </w:r>
    </w:p>
    <w:p w14:paraId="36A783F9">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（4）车辆不得私自出车，如造成事故和发生不可预见事情，一切损失由当事人承担。作业期间发生交通事故由交通部门处理，并将处理结果按照公司相关制度执行。</w:t>
      </w:r>
    </w:p>
    <w:p w14:paraId="7FD2D02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（5）驾驶员必须做好车辆出车前和下班后的日常保养工作及安全自查工作，做到文明出行，严禁酒后开车、疲劳开车和无证驾驶。</w:t>
      </w:r>
    </w:p>
    <w:p w14:paraId="1112F049">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13、镇属垃圾中转站运营管理（生活垃圾压缩及外运除外）</w:t>
      </w:r>
    </w:p>
    <w:p w14:paraId="049F4BCE">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（1）每天及时进行易腐垃圾的二次分拣、处理、成肥作业，防止污水和臭气溢出，结束后对设备进行清洗和保养。（如设备需要维修时，中标方做好必要的沟通、协调和监督，维修所产生的费用由业主方承担）</w:t>
      </w:r>
    </w:p>
    <w:p w14:paraId="4D3770D5">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（2）站内日常卫生保洁，熟练掌握设备操作和用电安全，并做好相关台账。</w:t>
      </w:r>
    </w:p>
    <w:p w14:paraId="65E178E5">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（3）每日对各工作间定时进行巡查，防止一切事故发生。</w:t>
      </w:r>
    </w:p>
    <w:p w14:paraId="5C9E8B7B">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（4）处理站运营产生的水电等能耗费用由承包方承担。</w:t>
      </w:r>
    </w:p>
    <w:p w14:paraId="47AC7E40">
      <w:pPr>
        <w:pStyle w:val="79"/>
        <w:ind w:firstLine="480" w:firstLineChars="200"/>
        <w:rPr>
          <w:rFonts w:hint="eastAsia"/>
          <w:highlight w:val="none"/>
          <w:lang w:eastAsia="zh-CN"/>
        </w:rPr>
      </w:pPr>
      <w:r>
        <w:rPr>
          <w:rFonts w:hint="eastAsia" w:ascii="仿宋" w:hAnsi="仿宋" w:eastAsia="仿宋"/>
          <w:bCs/>
          <w:sz w:val="24"/>
          <w:highlight w:val="none"/>
          <w:lang w:eastAsia="zh-CN"/>
        </w:rPr>
        <w:t>（</w:t>
      </w:r>
      <w:r>
        <w:rPr>
          <w:rFonts w:hint="eastAsia" w:ascii="仿宋" w:hAnsi="仿宋" w:eastAsia="仿宋"/>
          <w:bCs/>
          <w:sz w:val="24"/>
          <w:highlight w:val="none"/>
          <w:lang w:val="en-US" w:eastAsia="zh-CN"/>
        </w:rPr>
        <w:t>5</w:t>
      </w:r>
      <w:r>
        <w:rPr>
          <w:rFonts w:hint="eastAsia" w:ascii="仿宋" w:hAnsi="仿宋" w:eastAsia="仿宋"/>
          <w:bCs/>
          <w:sz w:val="24"/>
          <w:highlight w:val="none"/>
          <w:lang w:eastAsia="zh-CN"/>
        </w:rPr>
        <w:t>）垃圾中转站渗滤液预处理及达标排放管理工作。</w:t>
      </w:r>
    </w:p>
    <w:p w14:paraId="44B0668B">
      <w:pPr>
        <w:widowControl/>
        <w:spacing w:line="360" w:lineRule="auto"/>
        <w:ind w:firstLine="482" w:firstLineChars="200"/>
        <w:jc w:val="left"/>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14、人员设备配置及其他</w:t>
      </w:r>
    </w:p>
    <w:p w14:paraId="1ADD8427">
      <w:pPr>
        <w:widowControl/>
        <w:spacing w:line="360" w:lineRule="auto"/>
        <w:ind w:left="-170" w:firstLine="48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凡列入投标文件内的管理人员，投标人必须承诺是服务于本项目，不得服务于其他项目或与其他项目兼用，中标后如需更换或调整的，必须经采购人同意方可，如中标后投标人未能落实该要求的可视作单方面违约，招标人将根据未落实情况，以成本测算为依据，采取加倍扣款的方式，所产生的违约责任由投标人承担。</w:t>
      </w:r>
    </w:p>
    <w:p w14:paraId="00D41085">
      <w:pPr>
        <w:widowControl/>
        <w:spacing w:line="360" w:lineRule="auto"/>
        <w:ind w:left="-170"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、本项目内机械化作业车辆发生故障时，应向采购人进行报备，并上报应对措施。</w:t>
      </w:r>
    </w:p>
    <w:p w14:paraId="3619115B">
      <w:pPr>
        <w:widowControl/>
        <w:spacing w:line="360" w:lineRule="auto"/>
        <w:ind w:left="-170"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、需配置的</w:t>
      </w:r>
      <w:r>
        <w:rPr>
          <w:rFonts w:hint="eastAsia" w:ascii="仿宋" w:hAnsi="仿宋" w:eastAsia="仿宋" w:cs="仿宋"/>
          <w:sz w:val="24"/>
          <w:szCs w:val="24"/>
          <w:highlight w:val="none"/>
          <w:lang w:eastAsia="zh-CN"/>
        </w:rPr>
        <w:t>人员、</w:t>
      </w:r>
      <w:r>
        <w:rPr>
          <w:rFonts w:hint="eastAsia" w:ascii="仿宋" w:hAnsi="仿宋" w:eastAsia="仿宋" w:cs="仿宋"/>
          <w:sz w:val="24"/>
          <w:szCs w:val="24"/>
          <w:highlight w:val="none"/>
        </w:rPr>
        <w:t>设备类型及数量要求，具体见下表：</w:t>
      </w:r>
    </w:p>
    <w:tbl>
      <w:tblPr>
        <w:tblStyle w:val="62"/>
        <w:tblW w:w="8472" w:type="dxa"/>
        <w:jc w:val="center"/>
        <w:tblLayout w:type="fixed"/>
        <w:tblCellMar>
          <w:top w:w="0" w:type="dxa"/>
          <w:left w:w="108" w:type="dxa"/>
          <w:bottom w:w="0" w:type="dxa"/>
          <w:right w:w="108" w:type="dxa"/>
        </w:tblCellMar>
      </w:tblPr>
      <w:tblGrid>
        <w:gridCol w:w="713"/>
        <w:gridCol w:w="4760"/>
        <w:gridCol w:w="2999"/>
      </w:tblGrid>
      <w:tr w14:paraId="2E8D6E71">
        <w:tblPrEx>
          <w:tblCellMar>
            <w:top w:w="0" w:type="dxa"/>
            <w:left w:w="108" w:type="dxa"/>
            <w:bottom w:w="0" w:type="dxa"/>
            <w:right w:w="108" w:type="dxa"/>
          </w:tblCellMar>
        </w:tblPrEx>
        <w:trPr>
          <w:trHeight w:val="312" w:hRule="atLeast"/>
          <w:jc w:val="center"/>
        </w:trPr>
        <w:tc>
          <w:tcPr>
            <w:tcW w:w="8472" w:type="dxa"/>
            <w:gridSpan w:val="3"/>
            <w:tcBorders>
              <w:top w:val="single" w:color="000000" w:sz="4" w:space="0"/>
              <w:left w:val="single" w:color="000000" w:sz="4" w:space="0"/>
              <w:bottom w:val="single" w:color="000000" w:sz="4" w:space="0"/>
              <w:right w:val="single" w:color="000000" w:sz="4" w:space="0"/>
            </w:tcBorders>
            <w:noWrap/>
            <w:vAlign w:val="center"/>
          </w:tcPr>
          <w:p w14:paraId="2A2DC768">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设备配置</w:t>
            </w:r>
          </w:p>
        </w:tc>
      </w:tr>
      <w:tr w14:paraId="5B663E5D">
        <w:tblPrEx>
          <w:tblCellMar>
            <w:top w:w="0" w:type="dxa"/>
            <w:left w:w="108" w:type="dxa"/>
            <w:bottom w:w="0" w:type="dxa"/>
            <w:right w:w="108" w:type="dxa"/>
          </w:tblCellMar>
        </w:tblPrEx>
        <w:trPr>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9413C27">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035812FD">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配置设备类型</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3FE0F7E9">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设备配置数量</w:t>
            </w:r>
            <w:r>
              <w:rPr>
                <w:rFonts w:hint="eastAsia" w:ascii="仿宋" w:hAnsi="仿宋" w:eastAsia="仿宋" w:cs="仿宋"/>
                <w:b/>
                <w:bCs/>
                <w:sz w:val="24"/>
                <w:szCs w:val="24"/>
                <w:highlight w:val="none"/>
                <w:lang w:eastAsia="zh-CN"/>
              </w:rPr>
              <w:t>（辆）</w:t>
            </w:r>
          </w:p>
        </w:tc>
      </w:tr>
      <w:tr w14:paraId="53C3555A">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0C777E4">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0C5C681E">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8吨压缩垃圾车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6E036EFC">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p>
        </w:tc>
      </w:tr>
      <w:tr w14:paraId="3E28FD3E">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AE2DE90">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06D7E04A">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总质量3吨及以上易腐垃圾收集车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7F7774C3">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r>
      <w:tr w14:paraId="60751287">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62A52C38">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443F0C6B">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总质量18吨及以上三位一体洗扫车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65614883">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r>
      <w:tr w14:paraId="2118562F">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7570978">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32E2D793">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3吨机扫车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14F55B20">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r>
      <w:tr w14:paraId="334E1F58">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5C5593E2">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4E6A4C13">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储水8吨及以上洒水车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03E60788">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p>
        </w:tc>
      </w:tr>
      <w:tr w14:paraId="4B0CA07B">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9FD5626">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08ADBFA6">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雾炮车（罐体容积8m3以上）</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0FDB96A9">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14:paraId="18C8B009">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0C971534">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72D373C3">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小型冲洗车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7491618A">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p>
        </w:tc>
      </w:tr>
      <w:tr w14:paraId="5D0A8332">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6378DEE1">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594EAB39">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吸污车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726DF2A4">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r>
      <w:tr w14:paraId="072FBAAB">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04EEA98">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4E2CB9C7">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快速保洁车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4886E5CF">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36</w:t>
            </w:r>
          </w:p>
        </w:tc>
      </w:tr>
      <w:tr w14:paraId="78E62304">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DC3A990">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3BEC54ED">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3吨压缩车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17F8F762">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r>
      <w:tr w14:paraId="768E2465">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888521F">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7954ACB1">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自卸货车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74BC110E">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r>
      <w:tr w14:paraId="1D8BBDDE">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0ED51FB5">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7D9F99C1">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小铲车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07F3FEBB">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r>
      <w:tr w14:paraId="5812FD8B">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AAEA90D">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2746835C">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电动收集车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63F31C61">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p>
        </w:tc>
      </w:tr>
      <w:tr w14:paraId="32C71D9F">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auto" w:sz="4" w:space="0"/>
            </w:tcBorders>
            <w:noWrap/>
            <w:vAlign w:val="center"/>
          </w:tcPr>
          <w:p w14:paraId="7BB4A1D6">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7759" w:type="dxa"/>
            <w:gridSpan w:val="2"/>
            <w:tcBorders>
              <w:top w:val="single" w:color="000000" w:sz="4" w:space="0"/>
              <w:left w:val="single" w:color="auto" w:sz="4" w:space="0"/>
              <w:bottom w:val="single" w:color="000000" w:sz="4" w:space="0"/>
              <w:right w:val="single" w:color="000000" w:sz="4" w:space="0"/>
            </w:tcBorders>
            <w:noWrap/>
            <w:vAlign w:val="center"/>
          </w:tcPr>
          <w:p w14:paraId="4417E805">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鼓励投入其他适用该项目的保洁机械设备，新能源设备</w:t>
            </w:r>
          </w:p>
        </w:tc>
      </w:tr>
      <w:tr w14:paraId="616E6659">
        <w:tblPrEx>
          <w:tblCellMar>
            <w:top w:w="0" w:type="dxa"/>
            <w:left w:w="108" w:type="dxa"/>
            <w:bottom w:w="0" w:type="dxa"/>
            <w:right w:w="108" w:type="dxa"/>
          </w:tblCellMar>
        </w:tblPrEx>
        <w:trPr>
          <w:trHeight w:val="340" w:hRule="atLeast"/>
          <w:jc w:val="center"/>
        </w:trPr>
        <w:tc>
          <w:tcPr>
            <w:tcW w:w="5473" w:type="dxa"/>
            <w:gridSpan w:val="2"/>
            <w:tcBorders>
              <w:top w:val="single" w:color="000000" w:sz="4" w:space="0"/>
              <w:left w:val="single" w:color="000000" w:sz="4" w:space="0"/>
              <w:bottom w:val="single" w:color="000000" w:sz="4" w:space="0"/>
              <w:right w:val="single" w:color="000000" w:sz="4" w:space="0"/>
            </w:tcBorders>
            <w:noWrap/>
            <w:vAlign w:val="center"/>
          </w:tcPr>
          <w:p w14:paraId="15A76FC4">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合计</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1966B4EC">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56</w:t>
            </w:r>
          </w:p>
        </w:tc>
      </w:tr>
      <w:tr w14:paraId="7802BF6D">
        <w:tblPrEx>
          <w:tblCellMar>
            <w:top w:w="0" w:type="dxa"/>
            <w:left w:w="108" w:type="dxa"/>
            <w:bottom w:w="0" w:type="dxa"/>
            <w:right w:w="108" w:type="dxa"/>
          </w:tblCellMar>
        </w:tblPrEx>
        <w:trPr>
          <w:trHeight w:val="340" w:hRule="atLeast"/>
          <w:jc w:val="center"/>
        </w:trPr>
        <w:tc>
          <w:tcPr>
            <w:tcW w:w="8472" w:type="dxa"/>
            <w:gridSpan w:val="3"/>
            <w:tcBorders>
              <w:top w:val="single" w:color="000000" w:sz="4" w:space="0"/>
              <w:left w:val="single" w:color="000000" w:sz="4" w:space="0"/>
              <w:bottom w:val="single" w:color="000000" w:sz="4" w:space="0"/>
              <w:right w:val="single" w:color="000000" w:sz="4" w:space="0"/>
            </w:tcBorders>
            <w:noWrap/>
            <w:vAlign w:val="center"/>
          </w:tcPr>
          <w:p w14:paraId="41DC6A9F">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人员配备</w:t>
            </w:r>
          </w:p>
        </w:tc>
      </w:tr>
      <w:tr w14:paraId="5A3FD58C">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98324EF">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7F20EB6F">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岗位</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5A79ADB2">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数量</w:t>
            </w:r>
            <w:r>
              <w:rPr>
                <w:rFonts w:hint="eastAsia" w:ascii="仿宋" w:hAnsi="仿宋" w:eastAsia="仿宋" w:cs="仿宋"/>
                <w:b/>
                <w:bCs/>
                <w:sz w:val="24"/>
                <w:szCs w:val="24"/>
                <w:highlight w:val="none"/>
                <w:lang w:eastAsia="zh-CN"/>
              </w:rPr>
              <w:t>（人）</w:t>
            </w:r>
          </w:p>
        </w:tc>
      </w:tr>
      <w:tr w14:paraId="4AF7C855">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0B11A38">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3A1FF6E1">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8吨压缩车驾驶员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6B604028">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r>
      <w:tr w14:paraId="1C745684">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6FC729DA">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7C460CDF">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总质量3吨及以上易腐垃圾收集车驾驶员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0156C7E9">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14:paraId="0492511D">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6EA0F296">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53F02602">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总质量18吨及以上三位一体洗扫车驾驶员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7EE8AD05">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14:paraId="7D2B7800">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3F6A2A5">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753CCAD7">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3吨机扫车驾驶员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5C09935F">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14:paraId="3A84ECFF">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B4A77C9">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63E0F4AD">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储水8吨及以上洒水车驾驶员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2FA46A25">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14:paraId="5CBB75CB">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56791339">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21721081">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雾炮车（罐体容积8m3以上）驾驶员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4B03C55E">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14:paraId="156DA61B">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6E17559C">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7</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08933F29">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小型冲洗车驾驶员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734B1651">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r>
      <w:tr w14:paraId="2DEA03DF">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D182689">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8</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125D9668">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3吨压缩车驾驶员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712E0397">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14:paraId="41A79FC4">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778444C">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9</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26F36CF2">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自卸货车驾驶员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24167627">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14:paraId="0284D06E">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9815427">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10</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0EB05705">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吸污车驾驶员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10E2F6FA">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14:paraId="32A9CE7D">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F4DEF1E">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11</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57C752E8">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电动车收集员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549C9E83">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r>
      <w:tr w14:paraId="205C9DC5">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6BEB1527">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12</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27696A55">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减量站操作员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192AA56C">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14:paraId="3ECE5B8F">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6A9F0676">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13</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19648CFE">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装卸员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520909E1">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01DBEA36">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6BF869A">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14</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0A5BFD12">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冲洗工</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52FA5EC8">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r>
      <w:tr w14:paraId="0F9B0747">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C457619">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66CAE59C">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公厕保洁员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02300953">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r>
      <w:tr w14:paraId="0E96730D">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E9CA48B">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6C8218A8">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道路保洁员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70E407E1">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53</w:t>
            </w:r>
          </w:p>
        </w:tc>
      </w:tr>
      <w:tr w14:paraId="3B01F395">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2D6AF54">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合计</w:t>
            </w:r>
          </w:p>
        </w:tc>
        <w:tc>
          <w:tcPr>
            <w:tcW w:w="4760" w:type="dxa"/>
            <w:tcBorders>
              <w:top w:val="single" w:color="000000" w:sz="4" w:space="0"/>
              <w:left w:val="single" w:color="000000" w:sz="4" w:space="0"/>
              <w:bottom w:val="single" w:color="000000" w:sz="4" w:space="0"/>
              <w:right w:val="single" w:color="000000" w:sz="4" w:space="0"/>
            </w:tcBorders>
            <w:noWrap/>
            <w:vAlign w:val="center"/>
          </w:tcPr>
          <w:p w14:paraId="57DA79A2">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val="en-US" w:eastAsia="zh-CN"/>
              </w:rPr>
            </w:pP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02432D62">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82</w:t>
            </w:r>
          </w:p>
        </w:tc>
      </w:tr>
    </w:tbl>
    <w:p w14:paraId="1B6C142A">
      <w:pPr>
        <w:widowControl/>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备注说明：</w:t>
      </w:r>
    </w:p>
    <w:p w14:paraId="38642275">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投标人根据</w:t>
      </w:r>
      <w:r>
        <w:rPr>
          <w:rFonts w:hint="eastAsia" w:ascii="仿宋" w:hAnsi="仿宋" w:eastAsia="仿宋" w:cs="仿宋"/>
          <w:sz w:val="24"/>
          <w:szCs w:val="24"/>
          <w:highlight w:val="none"/>
          <w:lang w:eastAsia="zh-CN"/>
        </w:rPr>
        <w:t>项目</w:t>
      </w:r>
      <w:r>
        <w:rPr>
          <w:rFonts w:hint="eastAsia" w:ascii="仿宋" w:hAnsi="仿宋" w:eastAsia="仿宋" w:cs="仿宋"/>
          <w:sz w:val="24"/>
          <w:szCs w:val="24"/>
          <w:highlight w:val="none"/>
        </w:rPr>
        <w:t>要求设置工作岗位，明确岗位类型和岗位人员数，所设岗位人员为适龄人员，一线保洁人员配置智能定位系统，在合同签订一个月内接入监管部门监管系统（包含但不限于手环），费用由中标人承担。</w:t>
      </w:r>
    </w:p>
    <w:p w14:paraId="7830A996">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服务本项目环卫作业车辆必须按采购人的要求安装作业车辆视频监控系统，一个月内</w:t>
      </w:r>
      <w:r>
        <w:rPr>
          <w:rFonts w:hint="eastAsia" w:ascii="仿宋" w:hAnsi="仿宋" w:eastAsia="仿宋" w:cs="仿宋"/>
          <w:sz w:val="24"/>
          <w:szCs w:val="24"/>
          <w:highlight w:val="none"/>
          <w:lang w:eastAsia="zh-CN"/>
        </w:rPr>
        <w:t>接入於潜镇环卫所APP平台、</w:t>
      </w:r>
      <w:r>
        <w:rPr>
          <w:rFonts w:hint="eastAsia" w:ascii="仿宋" w:hAnsi="仿宋" w:eastAsia="仿宋" w:cs="仿宋"/>
          <w:sz w:val="24"/>
          <w:szCs w:val="24"/>
          <w:highlight w:val="none"/>
        </w:rPr>
        <w:t>监管部门监管系统（作业车辆视频监控系统及相关费用由中标人承担，含GPS轨迹等功能），费用由中标人负责承担。</w:t>
      </w:r>
    </w:p>
    <w:p w14:paraId="45AAAD85">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若中标人配置其他的先进机械设备，经采购人核实允许后可适当调整。</w:t>
      </w:r>
    </w:p>
    <w:p w14:paraId="47572FEF">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4、中标人在中标后，需根据招标人标文件中的相关承诺及要求，落实人员、设备等过渡措施，保障在过渡时间内的保洁要求，并在合同签订后一个月内按规定落实人员、设备，并将清单上交给招标人备案。</w:t>
      </w:r>
    </w:p>
    <w:p w14:paraId="5C69A052">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5、中标人在本服务区块内的作业车辆及设备应保持完好作业状态，购置时间要求在20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年1月1日以后（如是原保洁区域过户车辆，不受采购时间限制），中标人在中标一个月内提供车辆清单。</w:t>
      </w:r>
    </w:p>
    <w:p w14:paraId="41B3F08B">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6、中标人应在中标后一个月内安排办公场地及作业车辆专门停放场地，并保证所有作业车辆停放及清洗要求，并向招标人提供不少于100平方米堆放环卫设施的场地。中标人需合法有效处置在服务期内由于作业、处置、清洗车辆产生的环保问题，招标人不承担由此产生的责任与费用。</w:t>
      </w:r>
    </w:p>
    <w:p w14:paraId="2FB7DF3E">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7、中标人在本项目设置项目部，项目工作岗位不可兼职，相关管理团队要求配置如下：</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873"/>
        <w:gridCol w:w="1837"/>
        <w:gridCol w:w="3832"/>
      </w:tblGrid>
      <w:tr w14:paraId="0733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Align w:val="center"/>
          </w:tcPr>
          <w:p w14:paraId="7703A5A7">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873" w:type="dxa"/>
            <w:vAlign w:val="center"/>
          </w:tcPr>
          <w:p w14:paraId="2B3A0996">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岗位</w:t>
            </w:r>
          </w:p>
        </w:tc>
        <w:tc>
          <w:tcPr>
            <w:tcW w:w="1837" w:type="dxa"/>
            <w:vAlign w:val="center"/>
          </w:tcPr>
          <w:p w14:paraId="3E0BCC61">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人数</w:t>
            </w:r>
          </w:p>
        </w:tc>
        <w:tc>
          <w:tcPr>
            <w:tcW w:w="3832" w:type="dxa"/>
            <w:vAlign w:val="center"/>
          </w:tcPr>
          <w:p w14:paraId="735E10BF">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要求</w:t>
            </w:r>
          </w:p>
        </w:tc>
      </w:tr>
      <w:tr w14:paraId="1240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Align w:val="center"/>
          </w:tcPr>
          <w:p w14:paraId="529B5568">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873" w:type="dxa"/>
            <w:vAlign w:val="center"/>
          </w:tcPr>
          <w:p w14:paraId="23701992">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项目经理</w:t>
            </w:r>
          </w:p>
        </w:tc>
        <w:tc>
          <w:tcPr>
            <w:tcW w:w="1837" w:type="dxa"/>
            <w:vAlign w:val="center"/>
          </w:tcPr>
          <w:p w14:paraId="1BAC77A6">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1人</w:t>
            </w:r>
          </w:p>
        </w:tc>
        <w:tc>
          <w:tcPr>
            <w:tcW w:w="3832" w:type="dxa"/>
            <w:vAlign w:val="center"/>
          </w:tcPr>
          <w:p w14:paraId="4E7E895A">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45周岁以内，3年以上道路保洁工作经验</w:t>
            </w:r>
          </w:p>
        </w:tc>
      </w:tr>
      <w:tr w14:paraId="568C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Align w:val="center"/>
          </w:tcPr>
          <w:p w14:paraId="63F24E80">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873" w:type="dxa"/>
            <w:vAlign w:val="center"/>
          </w:tcPr>
          <w:p w14:paraId="5DA3E2E2">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内勤</w:t>
            </w:r>
          </w:p>
        </w:tc>
        <w:tc>
          <w:tcPr>
            <w:tcW w:w="1837" w:type="dxa"/>
            <w:vAlign w:val="center"/>
          </w:tcPr>
          <w:p w14:paraId="5A032C34">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1人</w:t>
            </w:r>
          </w:p>
        </w:tc>
        <w:tc>
          <w:tcPr>
            <w:tcW w:w="3832" w:type="dxa"/>
            <w:vAlign w:val="center"/>
          </w:tcPr>
          <w:p w14:paraId="720C1491">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45周岁以内，大专学历以上，办公软件熟练</w:t>
            </w:r>
          </w:p>
        </w:tc>
      </w:tr>
      <w:tr w14:paraId="2976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Align w:val="center"/>
          </w:tcPr>
          <w:p w14:paraId="68B16AC0">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873" w:type="dxa"/>
            <w:vAlign w:val="center"/>
          </w:tcPr>
          <w:p w14:paraId="7026FE88">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项目副经理</w:t>
            </w:r>
          </w:p>
        </w:tc>
        <w:tc>
          <w:tcPr>
            <w:tcW w:w="1837" w:type="dxa"/>
            <w:vAlign w:val="center"/>
          </w:tcPr>
          <w:p w14:paraId="36E39CEB">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人</w:t>
            </w:r>
          </w:p>
        </w:tc>
        <w:tc>
          <w:tcPr>
            <w:tcW w:w="3832" w:type="dxa"/>
            <w:vAlign w:val="center"/>
          </w:tcPr>
          <w:p w14:paraId="720211A1">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2年以上道路保洁工作经验</w:t>
            </w:r>
          </w:p>
        </w:tc>
      </w:tr>
      <w:tr w14:paraId="7CB4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Align w:val="center"/>
          </w:tcPr>
          <w:p w14:paraId="7E3FAAE3">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873" w:type="dxa"/>
            <w:vAlign w:val="center"/>
          </w:tcPr>
          <w:p w14:paraId="22D0C06E">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巡查人员</w:t>
            </w:r>
          </w:p>
        </w:tc>
        <w:tc>
          <w:tcPr>
            <w:tcW w:w="1837" w:type="dxa"/>
            <w:vAlign w:val="center"/>
          </w:tcPr>
          <w:p w14:paraId="5F08DDA6">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人</w:t>
            </w:r>
          </w:p>
        </w:tc>
        <w:tc>
          <w:tcPr>
            <w:tcW w:w="3832" w:type="dxa"/>
            <w:vAlign w:val="center"/>
          </w:tcPr>
          <w:p w14:paraId="12902777">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p>
        </w:tc>
      </w:tr>
    </w:tbl>
    <w:p w14:paraId="6A2C3B09">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8、投标人承诺本项目优先使用新能源或国Ⅵ液化天然气等清洁能源车辆，新增环卫作业车辆新能源或清洁能源汽车使用比例达到85%以上，其后续车辆采购要求根据杭州行业主管部门要求执行，鼓励新能源车辆采购，其由此产生的费用由投标人自行负责。</w:t>
      </w:r>
    </w:p>
    <w:p w14:paraId="5F00B6E2">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、投标人需承诺在中标后一个月内，在临安设立子公司，负责该项目具体实施，并作为结算单位开具服务发票。</w:t>
      </w:r>
    </w:p>
    <w:p w14:paraId="6EBA8E7E">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、投标人需自行规范处置在合同执行过程中产生的如污水、尘土、噪音、取水等问题，招标人不承担由此产生的费用和责任。</w:t>
      </w:r>
    </w:p>
    <w:p w14:paraId="1B0522D1">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、如投标人保洁质量不符合招标人要求，投标人应采取包括在原合同基础上增加人员设备等方式保证保洁水平，招标人不承担由此产生的费用。</w:t>
      </w:r>
    </w:p>
    <w:p w14:paraId="202EAB83">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四</w:t>
      </w:r>
      <w:r>
        <w:rPr>
          <w:rFonts w:hint="eastAsia" w:ascii="仿宋" w:hAnsi="仿宋" w:eastAsia="仿宋" w:cs="仿宋"/>
          <w:b/>
          <w:bCs/>
          <w:sz w:val="24"/>
          <w:szCs w:val="24"/>
          <w:highlight w:val="none"/>
        </w:rPr>
        <w:t>、其他事项</w:t>
      </w:r>
    </w:p>
    <w:p w14:paraId="223B9B12">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1、遭遇突发性污染事件、110联动，必须组织人员及车辆等在20分钟内到达事发现场，以最快的有效时间内清除地面污染。</w:t>
      </w:r>
    </w:p>
    <w:p w14:paraId="7E43621D">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2、在重大节假日、活动保障及防汛抗台、防冻抗雪期间，准备相应应急物资，及时报送物资清单，根据实际无条件服从要求，及时调整与转换作业模式。</w:t>
      </w:r>
    </w:p>
    <w:p w14:paraId="1B1C9EA7">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3、对清扫保洁区域周边部位的卫生保洁有“举手之劳”的义务。</w:t>
      </w:r>
    </w:p>
    <w:p w14:paraId="44FEEC87">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4、保洁公司应积极协助并配合</w:t>
      </w:r>
      <w:r>
        <w:rPr>
          <w:rFonts w:hint="eastAsia" w:ascii="仿宋" w:hAnsi="仿宋" w:eastAsia="仿宋" w:cs="仿宋"/>
          <w:sz w:val="24"/>
          <w:szCs w:val="24"/>
          <w:highlight w:val="none"/>
          <w:lang w:eastAsia="zh-CN"/>
        </w:rPr>
        <w:t>业主</w:t>
      </w:r>
      <w:r>
        <w:rPr>
          <w:rFonts w:hint="eastAsia" w:ascii="仿宋" w:hAnsi="仿宋" w:eastAsia="仿宋" w:cs="仿宋"/>
          <w:sz w:val="24"/>
          <w:szCs w:val="24"/>
          <w:highlight w:val="none"/>
        </w:rPr>
        <w:t>完成其他各类卫生清理整治工作。</w:t>
      </w:r>
    </w:p>
    <w:p w14:paraId="218FB6C0">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5、接到区（市）长公开电话、96310交办单、数字城管，或者各类媒体报道、市民来电（访）或投诉的各类问题，及在各级检查中发现并通报的问题，应做到及时整改与上报。</w:t>
      </w:r>
    </w:p>
    <w:p w14:paraId="641E1ED1">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、所有作业车辆必须严格遵守交通规则、安全文明作业，按照交警部门规定避开早晚高峰。</w:t>
      </w:r>
    </w:p>
    <w:p w14:paraId="54C8BAF7">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、保洁公司每年不少于两次向采购方提供优质服务质量跟踪卡，满意率达到90%以上。</w:t>
      </w:r>
    </w:p>
    <w:p w14:paraId="062885BB">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五</w:t>
      </w:r>
      <w:r>
        <w:rPr>
          <w:rFonts w:hint="eastAsia" w:ascii="仿宋" w:hAnsi="仿宋" w:eastAsia="仿宋" w:cs="仿宋"/>
          <w:b/>
          <w:bCs/>
          <w:sz w:val="24"/>
          <w:szCs w:val="24"/>
          <w:highlight w:val="none"/>
        </w:rPr>
        <w:t>、管理要求</w:t>
      </w:r>
    </w:p>
    <w:p w14:paraId="4CF00E06">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1、按《临安区市政公用和市容环境卫生监管中心环卫作业考核实施办法》中明确的相关要求执行。符合《环卫服务市场化企业退出机制》要求的，将按相关制度与程序办理。</w:t>
      </w:r>
    </w:p>
    <w:p w14:paraId="7DEFCFAC">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2、中标人应加强作业质量管理，做好作业质量自查记录，作业交接班必须在作业现场进行。</w:t>
      </w:r>
    </w:p>
    <w:p w14:paraId="0ABAD20F">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3、规范管理，文明作业，自觉接受合同采购人及上级各部门领导的检查和社会监督，对出现的问题要及时整改。</w:t>
      </w:r>
    </w:p>
    <w:p w14:paraId="0090D89E">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4、作业时应严格遵守劳动纪律，遵守安全操作规程，确保安全，发生各种意外事故由中标人自行依照法律法规妥善处理。</w:t>
      </w:r>
    </w:p>
    <w:p w14:paraId="0E313832">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5、中标人不得</w:t>
      </w:r>
      <w:r>
        <w:rPr>
          <w:rFonts w:hint="eastAsia" w:ascii="仿宋" w:hAnsi="仿宋" w:eastAsia="仿宋" w:cs="仿宋"/>
          <w:sz w:val="24"/>
          <w:szCs w:val="24"/>
          <w:highlight w:val="none"/>
          <w:lang w:eastAsia="zh-CN"/>
        </w:rPr>
        <w:t>违规</w:t>
      </w:r>
      <w:r>
        <w:rPr>
          <w:rFonts w:hint="eastAsia" w:ascii="仿宋" w:hAnsi="仿宋" w:eastAsia="仿宋" w:cs="仿宋"/>
          <w:sz w:val="24"/>
          <w:szCs w:val="24"/>
          <w:highlight w:val="none"/>
        </w:rPr>
        <w:t>向沿街单位、商户和个</w:t>
      </w:r>
      <w:r>
        <w:rPr>
          <w:rFonts w:hint="eastAsia" w:ascii="仿宋" w:hAnsi="仿宋" w:eastAsia="仿宋" w:cs="仿宋"/>
          <w:color w:val="auto"/>
          <w:sz w:val="24"/>
          <w:szCs w:val="24"/>
          <w:highlight w:val="none"/>
        </w:rPr>
        <w:t>人收取任何费用（除单位或个人自行委托清运的有主建筑垃圾）。中标人在一个月里完成自来水过户手续。</w:t>
      </w:r>
    </w:p>
    <w:p w14:paraId="157F66AE">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6、保持果壳箱的整洁完好，合同期间由于</w:t>
      </w:r>
      <w:r>
        <w:rPr>
          <w:rFonts w:hint="eastAsia" w:ascii="仿宋" w:hAnsi="仿宋" w:eastAsia="仿宋" w:cs="仿宋"/>
          <w:sz w:val="24"/>
          <w:szCs w:val="24"/>
          <w:highlight w:val="none"/>
        </w:rPr>
        <w:t>作业操作不善，造成破损的，由中标人负责赔偿；因其它原因破损需要调（更）换的及时报告。</w:t>
      </w:r>
    </w:p>
    <w:p w14:paraId="34F74D45">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7、中标人作业车辆应停放适当地点，不影响行人和交通，收工后存放在合适的停车场所进行集中管理。</w:t>
      </w:r>
    </w:p>
    <w:p w14:paraId="46F7E3E2">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8、遇到乱丢、乱扔、渣土抛洒污染路面等不文明行为及时进行劝阻，并进行市容环卫法规的宣传教育，做到说话文明，以理服人，对不听劝阻造成不良影响的，应及时向采购人或有关部门报告。</w:t>
      </w:r>
    </w:p>
    <w:p w14:paraId="3C117B4A">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9、月度内中标人应根据作业标准和考核细则加强自身管理与检查，并结合区块实际认真科学的制定保洁计划，向采购人提供优质服务。</w:t>
      </w:r>
    </w:p>
    <w:p w14:paraId="11419891">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bCs/>
          <w:kern w:val="0"/>
          <w:sz w:val="24"/>
          <w:szCs w:val="24"/>
          <w:highlight w:val="none"/>
        </w:rPr>
      </w:pPr>
      <w:r>
        <w:rPr>
          <w:rFonts w:hint="eastAsia" w:ascii="仿宋" w:hAnsi="仿宋" w:eastAsia="仿宋" w:cs="仿宋"/>
          <w:kern w:val="0"/>
          <w:sz w:val="24"/>
          <w:szCs w:val="24"/>
          <w:highlight w:val="none"/>
        </w:rPr>
        <w:t>10、</w:t>
      </w:r>
      <w:r>
        <w:rPr>
          <w:rFonts w:hint="eastAsia" w:ascii="仿宋" w:hAnsi="仿宋" w:eastAsia="仿宋" w:cs="仿宋"/>
          <w:bCs/>
          <w:kern w:val="0"/>
          <w:sz w:val="24"/>
          <w:szCs w:val="24"/>
          <w:highlight w:val="none"/>
        </w:rPr>
        <w:t>本项目原则上要求保洁人员为适龄人员。应严格遵守有关劳动法规，保障职工合法权益，参照《浙江省关于进一步改善环卫工人工作生活条件促进环卫事业持续健康发展的若干意见》（浙政办发〔2009〕190号）文件精神，结合临安实际。足额发放相关福利及支付加班工资。另外，在落实好职工劳保福利待遇的同时，还必须按临安区标准为适龄职工缴纳社会保险费（养老保险、医疗保险、失业保险、工伤保险和生育保险）；必须强制缴纳人身意外险，人身意外死亡险赔付不低于100万元；如因中标人违规造成上访或群体性事件的，由中标人负责处理。</w:t>
      </w:r>
    </w:p>
    <w:p w14:paraId="34E64390">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注：本项目</w:t>
      </w:r>
      <w:r>
        <w:rPr>
          <w:rFonts w:hint="eastAsia" w:ascii="仿宋" w:hAnsi="仿宋" w:eastAsia="仿宋" w:cs="仿宋"/>
          <w:b/>
          <w:color w:val="auto"/>
          <w:kern w:val="0"/>
          <w:sz w:val="24"/>
          <w:szCs w:val="24"/>
          <w:highlight w:val="none"/>
        </w:rPr>
        <w:t>中标价为招标需求工作量的价格，在合同履行期间，如临安区最低工资标准调整的，保洁公司承诺应按时进行调整，合同保洁经费不再另行追加。如增加作业面积或额外增加工作量的，经双方</w:t>
      </w:r>
      <w:r>
        <w:rPr>
          <w:rFonts w:hint="eastAsia" w:ascii="仿宋" w:hAnsi="仿宋" w:eastAsia="仿宋" w:cs="仿宋"/>
          <w:b/>
          <w:kern w:val="0"/>
          <w:sz w:val="24"/>
          <w:szCs w:val="24"/>
          <w:highlight w:val="none"/>
        </w:rPr>
        <w:t>协商同意后，另行增加经费。</w:t>
      </w:r>
    </w:p>
    <w:p w14:paraId="35577162">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在合同履行期间，因自然等灾害或政府需求等因素，导致合同无法正常履行时，采购人可根据实际情况，终止合同。另外，采购人根据管理需要，单方面对各类考核细则、管理要求等相关内容进行修改时，经双方协商同意后，按新的考核细则、管理要求等相关内容进行考核。</w:t>
      </w:r>
    </w:p>
    <w:p w14:paraId="0A8B7DC4">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六</w:t>
      </w:r>
      <w:r>
        <w:rPr>
          <w:rFonts w:hint="eastAsia" w:ascii="仿宋" w:hAnsi="仿宋" w:eastAsia="仿宋" w:cs="仿宋"/>
          <w:b/>
          <w:bCs/>
          <w:kern w:val="0"/>
          <w:sz w:val="24"/>
          <w:szCs w:val="24"/>
          <w:highlight w:val="none"/>
        </w:rPr>
        <w:t>、督查考核种类和方法</w:t>
      </w:r>
    </w:p>
    <w:p w14:paraId="01DE3CB6">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1、考核种类：日常巡查、月度考核</w:t>
      </w:r>
      <w:r>
        <w:rPr>
          <w:rFonts w:hint="eastAsia" w:ascii="仿宋" w:hAnsi="仿宋" w:eastAsia="仿宋" w:cs="仿宋"/>
          <w:kern w:val="0"/>
          <w:sz w:val="24"/>
          <w:szCs w:val="24"/>
          <w:highlight w:val="none"/>
          <w:lang w:eastAsia="zh-CN"/>
        </w:rPr>
        <w:t>、年度综合考核</w:t>
      </w:r>
    </w:p>
    <w:p w14:paraId="334212EE">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2、考核</w:t>
      </w:r>
      <w:r>
        <w:rPr>
          <w:rFonts w:hint="eastAsia" w:ascii="仿宋" w:hAnsi="仿宋" w:eastAsia="仿宋" w:cs="仿宋"/>
          <w:kern w:val="0"/>
          <w:sz w:val="24"/>
          <w:szCs w:val="24"/>
          <w:highlight w:val="none"/>
          <w:lang w:eastAsia="zh-CN"/>
        </w:rPr>
        <w:t>办法执行</w:t>
      </w:r>
      <w:r>
        <w:rPr>
          <w:rFonts w:hint="eastAsia" w:ascii="仿宋" w:hAnsi="仿宋" w:eastAsia="仿宋" w:cs="仿宋"/>
          <w:kern w:val="0"/>
          <w:sz w:val="24"/>
          <w:szCs w:val="24"/>
          <w:highlight w:val="none"/>
        </w:rPr>
        <w:t>：</w:t>
      </w:r>
    </w:p>
    <w:p w14:paraId="1088F278">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eastAsia="zh-CN"/>
        </w:rPr>
        <w:t>本级月度考核：</w:t>
      </w:r>
      <w:r>
        <w:rPr>
          <w:rFonts w:hint="eastAsia" w:ascii="仿宋" w:hAnsi="仿宋" w:eastAsia="仿宋" w:cs="仿宋"/>
          <w:kern w:val="0"/>
          <w:sz w:val="24"/>
          <w:szCs w:val="24"/>
          <w:highlight w:val="none"/>
        </w:rPr>
        <w:t>日常巡查由采购人组织和实施，巡查时间与道路清扫保洁作业时间段相同，巡</w:t>
      </w:r>
      <w:r>
        <w:rPr>
          <w:rFonts w:hint="eastAsia" w:ascii="仿宋" w:hAnsi="仿宋" w:eastAsia="仿宋" w:cs="仿宋"/>
          <w:kern w:val="0"/>
          <w:sz w:val="24"/>
          <w:szCs w:val="24"/>
          <w:highlight w:val="none"/>
          <w:lang w:eastAsia="zh-CN"/>
        </w:rPr>
        <w:t>查</w:t>
      </w:r>
      <w:r>
        <w:rPr>
          <w:rFonts w:hint="eastAsia" w:ascii="仿宋" w:hAnsi="仿宋" w:eastAsia="仿宋" w:cs="仿宋"/>
          <w:kern w:val="0"/>
          <w:sz w:val="24"/>
          <w:szCs w:val="24"/>
          <w:highlight w:val="none"/>
        </w:rPr>
        <w:t>中发现的问题</w:t>
      </w:r>
      <w:r>
        <w:rPr>
          <w:rFonts w:hint="eastAsia" w:ascii="仿宋" w:hAnsi="仿宋" w:eastAsia="仿宋" w:cs="仿宋"/>
          <w:kern w:val="0"/>
          <w:sz w:val="24"/>
          <w:szCs w:val="24"/>
          <w:highlight w:val="none"/>
          <w:lang w:eastAsia="zh-CN"/>
        </w:rPr>
        <w:t>按</w:t>
      </w:r>
      <w:r>
        <w:rPr>
          <w:rFonts w:hint="eastAsia" w:ascii="仿宋" w:hAnsi="仿宋" w:eastAsia="仿宋" w:cs="仿宋"/>
          <w:kern w:val="0"/>
          <w:sz w:val="24"/>
          <w:szCs w:val="24"/>
          <w:highlight w:val="none"/>
        </w:rPr>
        <w:t>《杭州市临安区道路保洁作业标准、细则》</w:t>
      </w:r>
      <w:r>
        <w:rPr>
          <w:rFonts w:hint="eastAsia" w:ascii="仿宋" w:hAnsi="仿宋" w:eastAsia="仿宋" w:cs="仿宋"/>
          <w:kern w:val="0"/>
          <w:sz w:val="24"/>
          <w:szCs w:val="24"/>
          <w:highlight w:val="none"/>
          <w:lang w:eastAsia="zh-CN"/>
        </w:rPr>
        <w:t>扣除相应分值，并督促中标单位在规定时间内整改，逾期未整改的加倍扣分，相关结果纳入每月考核总得分</w:t>
      </w:r>
      <w:r>
        <w:rPr>
          <w:rFonts w:hint="eastAsia" w:ascii="仿宋" w:hAnsi="仿宋" w:eastAsia="仿宋" w:cs="仿宋"/>
          <w:kern w:val="0"/>
          <w:sz w:val="24"/>
          <w:szCs w:val="24"/>
          <w:highlight w:val="none"/>
        </w:rPr>
        <w:t>。</w:t>
      </w:r>
    </w:p>
    <w:p w14:paraId="6D502128">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eastAsia="zh-CN"/>
        </w:rPr>
        <w:t>上级月度考核：美丽杭州创建由区城管局、</w:t>
      </w:r>
      <w:r>
        <w:rPr>
          <w:rFonts w:hint="eastAsia" w:ascii="仿宋" w:hAnsi="仿宋" w:eastAsia="仿宋" w:cs="仿宋"/>
          <w:kern w:val="0"/>
          <w:sz w:val="24"/>
          <w:szCs w:val="24"/>
          <w:highlight w:val="none"/>
        </w:rPr>
        <w:t>区保障中心等日常考核</w:t>
      </w:r>
      <w:r>
        <w:rPr>
          <w:rFonts w:hint="eastAsia" w:ascii="仿宋" w:hAnsi="仿宋" w:eastAsia="仿宋" w:cs="仿宋"/>
          <w:kern w:val="0"/>
          <w:sz w:val="24"/>
          <w:szCs w:val="24"/>
          <w:highlight w:val="none"/>
          <w:lang w:eastAsia="zh-CN"/>
        </w:rPr>
        <w:t>检查评比</w:t>
      </w:r>
      <w:r>
        <w:rPr>
          <w:rFonts w:hint="eastAsia" w:ascii="仿宋" w:hAnsi="仿宋" w:eastAsia="仿宋" w:cs="仿宋"/>
          <w:kern w:val="0"/>
          <w:sz w:val="24"/>
          <w:szCs w:val="24"/>
          <w:highlight w:val="none"/>
        </w:rPr>
        <w:t>，另外结合重大活动保障及行业管理要求，增加重大活动保障、安全生产、宣传等专项考核，</w:t>
      </w:r>
      <w:r>
        <w:rPr>
          <w:rFonts w:hint="eastAsia" w:ascii="仿宋" w:hAnsi="仿宋" w:eastAsia="仿宋" w:cs="仿宋"/>
          <w:kern w:val="0"/>
          <w:sz w:val="24"/>
          <w:szCs w:val="24"/>
          <w:highlight w:val="none"/>
          <w:lang w:eastAsia="zh-CN"/>
        </w:rPr>
        <w:t>涉及当月上级检查中存在扣分情况的，扣除分值加倍计入每月考核总得分</w:t>
      </w:r>
      <w:r>
        <w:rPr>
          <w:rFonts w:hint="eastAsia" w:ascii="仿宋" w:hAnsi="仿宋" w:eastAsia="仿宋" w:cs="仿宋"/>
          <w:kern w:val="0"/>
          <w:sz w:val="24"/>
          <w:szCs w:val="24"/>
          <w:highlight w:val="none"/>
        </w:rPr>
        <w:t>。</w:t>
      </w:r>
    </w:p>
    <w:p w14:paraId="65E45574">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（3）根据每月考核情况实施扣罚措施，具体为：</w:t>
      </w:r>
    </w:p>
    <w:p w14:paraId="3351EA66">
      <w:pPr>
        <w:pStyle w:val="79"/>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本级考核：</w:t>
      </w:r>
    </w:p>
    <w:p w14:paraId="1ABB2D46">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1 \* GB3</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t>①</w: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每月考核扣分达到200分及以下的，每分扣罚100元。</w:t>
      </w:r>
    </w:p>
    <w:p w14:paraId="25580A16">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2 \* GB3</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t>②</w: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每月考核扣分达到250分及以下的，200分以上部分每分扣300元。</w:t>
      </w:r>
    </w:p>
    <w:p w14:paraId="71948798">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3 \* GB3</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t>③</w: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每月考核扣分达到300分及以下的，250分以上部分每分扣500元。</w:t>
      </w:r>
    </w:p>
    <w:p w14:paraId="6617C668">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4 \* GB3</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t>④</w: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每月考核扣分超过300分（不含）的，300分以上部分每分扣1000元。</w:t>
      </w:r>
    </w:p>
    <w:p w14:paraId="7FD05B01">
      <w:pPr>
        <w:pStyle w:val="79"/>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上级考核附加条款：</w:t>
      </w:r>
    </w:p>
    <w:p w14:paraId="208D6E42">
      <w:pPr>
        <w:pStyle w:val="79"/>
        <w:keepNext w:val="0"/>
        <w:keepLines w:val="0"/>
        <w:pageBreakBefore w:val="0"/>
        <w:widowControl w:val="0"/>
        <w:kinsoku/>
        <w:wordWrap/>
        <w:overflowPunct/>
        <w:topLinePunct w:val="0"/>
        <w:autoSpaceDE w:val="0"/>
        <w:autoSpaceDN w:val="0"/>
        <w:bidi w:val="0"/>
        <w:adjustRightInd w:val="0"/>
        <w:snapToGrid/>
        <w:spacing w:line="360" w:lineRule="auto"/>
        <w:ind w:left="-170" w:leftChars="-81"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fldChar w:fldCharType="begin"/>
      </w:r>
      <w:r>
        <w:rPr>
          <w:rFonts w:hint="eastAsia" w:ascii="仿宋" w:hAnsi="仿宋" w:eastAsia="仿宋" w:cs="仿宋"/>
          <w:color w:val="auto"/>
          <w:kern w:val="0"/>
          <w:sz w:val="24"/>
          <w:szCs w:val="24"/>
          <w:highlight w:val="none"/>
          <w:lang w:val="en-US" w:eastAsia="zh-CN" w:bidi="ar-SA"/>
        </w:rPr>
        <w:instrText xml:space="preserve">= 1 \* GB3</w:instrText>
      </w:r>
      <w:r>
        <w:rPr>
          <w:rFonts w:hint="eastAsia" w:ascii="仿宋" w:hAnsi="仿宋" w:eastAsia="仿宋" w:cs="仿宋"/>
          <w:color w:val="auto"/>
          <w:kern w:val="0"/>
          <w:sz w:val="24"/>
          <w:szCs w:val="24"/>
          <w:highlight w:val="none"/>
          <w:lang w:val="en-US" w:eastAsia="zh-CN" w:bidi="ar-SA"/>
        </w:rPr>
        <w:fldChar w:fldCharType="separate"/>
      </w:r>
      <w:r>
        <w:rPr>
          <w:rFonts w:hint="eastAsia" w:ascii="仿宋" w:hAnsi="仿宋" w:eastAsia="仿宋" w:cs="仿宋"/>
          <w:color w:val="auto"/>
          <w:kern w:val="0"/>
          <w:sz w:val="24"/>
          <w:szCs w:val="24"/>
          <w:highlight w:val="none"/>
          <w:lang w:val="en-US" w:eastAsia="zh-CN" w:bidi="ar-SA"/>
        </w:rPr>
        <w:t>①</w:t>
      </w:r>
      <w:r>
        <w:rPr>
          <w:rFonts w:hint="eastAsia" w:ascii="仿宋" w:hAnsi="仿宋" w:eastAsia="仿宋" w:cs="仿宋"/>
          <w:color w:val="auto"/>
          <w:kern w:val="0"/>
          <w:sz w:val="24"/>
          <w:szCs w:val="24"/>
          <w:highlight w:val="none"/>
          <w:lang w:val="en-US" w:eastAsia="zh-CN" w:bidi="ar-SA"/>
        </w:rPr>
        <w:fldChar w:fldCharType="end"/>
      </w:r>
      <w:r>
        <w:rPr>
          <w:rFonts w:hint="eastAsia" w:ascii="仿宋" w:hAnsi="仿宋" w:eastAsia="仿宋" w:cs="仿宋"/>
          <w:color w:val="auto"/>
          <w:kern w:val="0"/>
          <w:sz w:val="24"/>
          <w:szCs w:val="24"/>
          <w:highlight w:val="none"/>
          <w:lang w:val="en-US" w:eastAsia="zh-CN" w:bidi="ar-SA"/>
        </w:rPr>
        <w:t xml:space="preserve">上级检查中每发生一次有责媒体通报、领导批评或问题投诉扣2000元； </w:t>
      </w:r>
    </w:p>
    <w:p w14:paraId="229B277A">
      <w:pPr>
        <w:pStyle w:val="79"/>
        <w:keepNext w:val="0"/>
        <w:keepLines w:val="0"/>
        <w:pageBreakBefore w:val="0"/>
        <w:widowControl w:val="0"/>
        <w:kinsoku/>
        <w:wordWrap/>
        <w:overflowPunct/>
        <w:topLinePunct w:val="0"/>
        <w:autoSpaceDE w:val="0"/>
        <w:autoSpaceDN w:val="0"/>
        <w:bidi w:val="0"/>
        <w:adjustRightInd w:val="0"/>
        <w:snapToGrid/>
        <w:spacing w:line="360" w:lineRule="auto"/>
        <w:ind w:left="-170" w:leftChars="-81"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2 \* GB3</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t>②</w:t>
      </w:r>
      <w:r>
        <w:rPr>
          <w:rFonts w:hint="eastAsia" w:ascii="仿宋" w:hAnsi="仿宋" w:eastAsia="仿宋" w:cs="仿宋"/>
          <w:kern w:val="0"/>
          <w:sz w:val="24"/>
          <w:szCs w:val="24"/>
          <w:highlight w:val="none"/>
        </w:rPr>
        <w:fldChar w:fldCharType="end"/>
      </w:r>
      <w:r>
        <w:rPr>
          <w:rFonts w:hint="eastAsia" w:ascii="仿宋" w:hAnsi="仿宋" w:eastAsia="仿宋" w:cs="仿宋"/>
          <w:color w:val="auto"/>
          <w:kern w:val="0"/>
          <w:sz w:val="24"/>
          <w:szCs w:val="24"/>
          <w:highlight w:val="none"/>
          <w:lang w:val="en-US" w:eastAsia="zh-CN" w:bidi="ar-SA"/>
        </w:rPr>
        <w:t>上级有关部门发出整改通知书且不整改或整改不力的，一次扣1000元，累计达到三次的，</w:t>
      </w:r>
      <w:r>
        <w:rPr>
          <w:rFonts w:hint="eastAsia" w:ascii="仿宋" w:hAnsi="仿宋" w:eastAsia="仿宋" w:cs="仿宋"/>
          <w:kern w:val="0"/>
          <w:sz w:val="24"/>
          <w:szCs w:val="24"/>
          <w:highlight w:val="none"/>
        </w:rPr>
        <w:t>采购人可单方面可终止合同</w:t>
      </w:r>
      <w:r>
        <w:rPr>
          <w:rFonts w:hint="eastAsia" w:ascii="仿宋" w:hAnsi="仿宋" w:eastAsia="仿宋" w:cs="仿宋"/>
          <w:color w:val="auto"/>
          <w:kern w:val="0"/>
          <w:sz w:val="24"/>
          <w:szCs w:val="24"/>
          <w:highlight w:val="none"/>
          <w:lang w:val="en-US" w:eastAsia="zh-CN" w:bidi="ar-SA"/>
        </w:rPr>
        <w:t>。</w:t>
      </w:r>
    </w:p>
    <w:p w14:paraId="2E0201E4">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lang w:eastAsia="zh-CN"/>
        </w:rPr>
        <w:t>）年度综合考核：履约期限结束后，采购单位对承包单位进行年度综合考核，如考核优秀的，双方协商同意后，可续签1年，如考核非优秀的，采购单位根据实际情况扣除相应的保洁经费。</w:t>
      </w:r>
    </w:p>
    <w:p w14:paraId="6F4F4596">
      <w:pPr>
        <w:widowControl/>
        <w:spacing w:line="360" w:lineRule="auto"/>
        <w:ind w:left="-170"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3、对于考核的具体情况，采购人有义务将考核情况通知中标人。</w:t>
      </w:r>
    </w:p>
    <w:p w14:paraId="58324943">
      <w:pPr>
        <w:widowControl/>
        <w:spacing w:line="360" w:lineRule="auto"/>
        <w:ind w:left="-170"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r>
        <w:rPr>
          <w:rFonts w:hint="eastAsia" w:ascii="仿宋" w:hAnsi="仿宋" w:eastAsia="仿宋" w:cs="仿宋"/>
          <w:kern w:val="0"/>
          <w:sz w:val="24"/>
          <w:szCs w:val="24"/>
          <w:highlight w:val="none"/>
          <w:lang w:eastAsia="zh-CN"/>
        </w:rPr>
        <w:t>本级</w:t>
      </w:r>
      <w:r>
        <w:rPr>
          <w:rFonts w:hint="eastAsia" w:ascii="仿宋" w:hAnsi="仿宋" w:eastAsia="仿宋" w:cs="仿宋"/>
          <w:kern w:val="0"/>
          <w:sz w:val="24"/>
          <w:szCs w:val="24"/>
          <w:highlight w:val="none"/>
        </w:rPr>
        <w:t>考核细则及扣分办法参照杭州每年考核细则并结合我</w:t>
      </w:r>
      <w:r>
        <w:rPr>
          <w:rFonts w:hint="eastAsia" w:ascii="仿宋" w:hAnsi="仿宋" w:eastAsia="仿宋" w:cs="仿宋"/>
          <w:kern w:val="0"/>
          <w:sz w:val="24"/>
          <w:szCs w:val="24"/>
          <w:highlight w:val="none"/>
          <w:lang w:eastAsia="zh-CN"/>
        </w:rPr>
        <w:t>镇</w:t>
      </w:r>
      <w:r>
        <w:rPr>
          <w:rFonts w:hint="eastAsia" w:ascii="仿宋" w:hAnsi="仿宋" w:eastAsia="仿宋" w:cs="仿宋"/>
          <w:kern w:val="0"/>
          <w:sz w:val="24"/>
          <w:szCs w:val="24"/>
          <w:highlight w:val="none"/>
        </w:rPr>
        <w:t>实际情况制定具体考核实施方案。附件：《杭州市临安区道路保洁作业标准、细则》（该方案仅供参考，具体考核办法以杭州最新考核办法及临安实际情况具体制定）</w:t>
      </w:r>
    </w:p>
    <w:p w14:paraId="10869DA4">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七</w:t>
      </w:r>
      <w:r>
        <w:rPr>
          <w:rFonts w:hint="eastAsia" w:ascii="仿宋" w:hAnsi="仿宋" w:eastAsia="仿宋" w:cs="仿宋"/>
          <w:b/>
          <w:bCs/>
          <w:kern w:val="0"/>
          <w:sz w:val="24"/>
          <w:szCs w:val="24"/>
          <w:highlight w:val="none"/>
        </w:rPr>
        <w:t>、考核事项说明</w:t>
      </w:r>
    </w:p>
    <w:p w14:paraId="0BA0F8C6">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1、采购人应认真、详实的记录督查考核情况。</w:t>
      </w:r>
    </w:p>
    <w:p w14:paraId="168398DD">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采购人在各类考核中，应做好相关证据的收集与记录工作，严格依据考核标准作出相应的处理结果，及时通知中标人对存在的问题进行整改，如中标人对考核结果有疑意的，采购人应向中标人以口头或书面的形式做出答复。</w:t>
      </w:r>
    </w:p>
    <w:p w14:paraId="3074E82A">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3、采购人在各类考核中，针对中标人存在的问题，依据合同条款或考核标准作出如实的处罚，如中标人拒绝签字确认，或拒不承认的，不影响采购人处罚决定的执行力。</w:t>
      </w:r>
    </w:p>
    <w:p w14:paraId="7F043371">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4、当月的扣罚在月度保洁经费中直接扣除，如有其也原因未扣除的，采购人可通知中标人依据扣罚凭证向采购人缴纳扣罚款，另外，采购人也可在下月度的保洁经费中一并扣除。</w:t>
      </w:r>
    </w:p>
    <w:p w14:paraId="128757F8">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eastAsia="zh-CN"/>
        </w:rPr>
        <w:t>八</w:t>
      </w:r>
      <w:r>
        <w:rPr>
          <w:rFonts w:hint="eastAsia" w:ascii="仿宋" w:hAnsi="仿宋" w:eastAsia="仿宋" w:cs="仿宋"/>
          <w:b/>
          <w:kern w:val="0"/>
          <w:sz w:val="24"/>
          <w:szCs w:val="24"/>
          <w:highlight w:val="none"/>
        </w:rPr>
        <w:t>、其他</w:t>
      </w:r>
    </w:p>
    <w:p w14:paraId="2AD8E70B">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、严格按照合同要求配置人员，每月保洁经费根据监管部门统计的各保洁区域实际作业人数统计结果进行拨付，并扣除当月各保洁区域内的作业质量考核结果对应的金额。</w:t>
      </w:r>
    </w:p>
    <w:p w14:paraId="75CE45F4">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、监管部门采取各种形式对配置人员、车辆设备进行查实，承包方以任何方式瞒报、虚报、规避作业等情况的，发现人员车辆设备不符合招标需求的，每次扣3000元，</w:t>
      </w:r>
      <w:r>
        <w:rPr>
          <w:rFonts w:hint="eastAsia" w:ascii="仿宋" w:hAnsi="仿宋" w:eastAsia="仿宋" w:cs="仿宋"/>
          <w:kern w:val="0"/>
          <w:sz w:val="24"/>
          <w:szCs w:val="24"/>
          <w:highlight w:val="none"/>
          <w:lang w:eastAsia="zh-CN"/>
        </w:rPr>
        <w:t>并对缺少的人员数量以</w:t>
      </w:r>
      <w:r>
        <w:rPr>
          <w:rFonts w:hint="eastAsia" w:ascii="仿宋" w:hAnsi="仿宋" w:eastAsia="仿宋" w:cs="仿宋"/>
          <w:kern w:val="0"/>
          <w:sz w:val="24"/>
          <w:szCs w:val="24"/>
          <w:highlight w:val="none"/>
          <w:lang w:val="en-US" w:eastAsia="zh-CN"/>
        </w:rPr>
        <w:t>3000元/人/月扣除，且</w:t>
      </w:r>
      <w:r>
        <w:rPr>
          <w:rFonts w:hint="eastAsia" w:ascii="仿宋" w:hAnsi="仿宋" w:eastAsia="仿宋" w:cs="仿宋"/>
          <w:kern w:val="0"/>
          <w:sz w:val="24"/>
          <w:szCs w:val="24"/>
          <w:highlight w:val="none"/>
        </w:rPr>
        <w:t>纳入考核。</w:t>
      </w:r>
    </w:p>
    <w:p w14:paraId="168999F1">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遇到突发事件、自然灾害或天气影响，必须服从上级部门、监管部门指挥调度，遇到抗雪防冻、抗台防汛、路面交通事故等，承包单位须在第一时间内迅速组织人员、机具将道路清理干净。如发现接到指令后，未采取措施或者按规定完成任务的，每次扣1万元至3万元。</w:t>
      </w:r>
    </w:p>
    <w:p w14:paraId="1A111BD2">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eastAsia="zh-CN"/>
        </w:rPr>
        <w:t>九</w:t>
      </w:r>
      <w:r>
        <w:rPr>
          <w:rFonts w:hint="eastAsia" w:ascii="仿宋" w:hAnsi="仿宋" w:eastAsia="仿宋" w:cs="仿宋"/>
          <w:b/>
          <w:kern w:val="0"/>
          <w:sz w:val="24"/>
          <w:szCs w:val="24"/>
          <w:highlight w:val="none"/>
        </w:rPr>
        <w:t>、付款方式</w:t>
      </w:r>
    </w:p>
    <w:p w14:paraId="79162479">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保洁经费采用先作业后拨付的方式，每月按合同期月平均经费</w:t>
      </w:r>
      <w:r>
        <w:rPr>
          <w:rFonts w:hint="eastAsia" w:ascii="仿宋" w:hAnsi="仿宋" w:eastAsia="仿宋" w:cs="仿宋"/>
          <w:kern w:val="0"/>
          <w:sz w:val="24"/>
          <w:szCs w:val="24"/>
          <w:highlight w:val="none"/>
          <w:lang w:eastAsia="zh-CN"/>
        </w:rPr>
        <w:t>的</w:t>
      </w:r>
      <w:r>
        <w:rPr>
          <w:rFonts w:hint="eastAsia" w:ascii="仿宋" w:hAnsi="仿宋" w:eastAsia="仿宋" w:cs="仿宋"/>
          <w:kern w:val="0"/>
          <w:sz w:val="24"/>
          <w:szCs w:val="24"/>
          <w:highlight w:val="none"/>
          <w:lang w:val="en-US" w:eastAsia="zh-CN"/>
        </w:rPr>
        <w:t>85%及扣除当月考核处罚金额后</w:t>
      </w:r>
      <w:r>
        <w:rPr>
          <w:rFonts w:hint="eastAsia" w:ascii="仿宋" w:hAnsi="仿宋" w:eastAsia="仿宋" w:cs="仿宋"/>
          <w:kern w:val="0"/>
          <w:sz w:val="24"/>
          <w:szCs w:val="24"/>
          <w:highlight w:val="none"/>
        </w:rPr>
        <w:t>拨付，</w:t>
      </w:r>
      <w:r>
        <w:rPr>
          <w:rFonts w:hint="eastAsia" w:ascii="仿宋" w:hAnsi="仿宋" w:eastAsia="仿宋" w:cs="仿宋"/>
          <w:kern w:val="0"/>
          <w:sz w:val="24"/>
          <w:szCs w:val="24"/>
          <w:highlight w:val="none"/>
          <w:lang w:eastAsia="zh-CN"/>
        </w:rPr>
        <w:t>余款</w:t>
      </w:r>
      <w:r>
        <w:rPr>
          <w:rFonts w:hint="eastAsia" w:ascii="仿宋" w:hAnsi="仿宋" w:eastAsia="仿宋" w:cs="仿宋"/>
          <w:kern w:val="0"/>
          <w:sz w:val="24"/>
          <w:szCs w:val="24"/>
          <w:highlight w:val="none"/>
          <w:lang w:val="en-US" w:eastAsia="zh-CN"/>
        </w:rPr>
        <w:t>15%</w:t>
      </w:r>
      <w:r>
        <w:rPr>
          <w:rFonts w:hint="eastAsia" w:ascii="仿宋" w:hAnsi="仿宋" w:eastAsia="仿宋" w:cs="仿宋"/>
          <w:kern w:val="0"/>
          <w:sz w:val="24"/>
          <w:szCs w:val="24"/>
          <w:highlight w:val="none"/>
          <w:lang w:eastAsia="zh-CN"/>
        </w:rPr>
        <w:t>待</w:t>
      </w:r>
      <w:r>
        <w:rPr>
          <w:rFonts w:hint="eastAsia" w:ascii="仿宋" w:hAnsi="仿宋" w:eastAsia="仿宋" w:cs="仿宋"/>
          <w:kern w:val="0"/>
          <w:sz w:val="24"/>
          <w:szCs w:val="24"/>
          <w:highlight w:val="none"/>
        </w:rPr>
        <w:t>合同期满</w:t>
      </w:r>
      <w:r>
        <w:rPr>
          <w:rFonts w:hint="eastAsia" w:ascii="仿宋" w:hAnsi="仿宋" w:eastAsia="仿宋" w:cs="仿宋"/>
          <w:kern w:val="0"/>
          <w:sz w:val="24"/>
          <w:szCs w:val="24"/>
          <w:highlight w:val="none"/>
          <w:lang w:eastAsia="zh-CN"/>
        </w:rPr>
        <w:t>后三十</w:t>
      </w:r>
      <w:r>
        <w:rPr>
          <w:rFonts w:hint="eastAsia" w:ascii="仿宋" w:hAnsi="仿宋" w:eastAsia="仿宋" w:cs="仿宋"/>
          <w:kern w:val="0"/>
          <w:sz w:val="24"/>
          <w:szCs w:val="24"/>
          <w:highlight w:val="none"/>
        </w:rPr>
        <w:t>天内根据</w:t>
      </w:r>
      <w:r>
        <w:rPr>
          <w:rFonts w:hint="eastAsia" w:ascii="仿宋" w:hAnsi="仿宋" w:eastAsia="仿宋" w:cs="仿宋"/>
          <w:kern w:val="0"/>
          <w:sz w:val="24"/>
          <w:szCs w:val="24"/>
          <w:highlight w:val="none"/>
          <w:lang w:eastAsia="zh-CN"/>
        </w:rPr>
        <w:t>年度综合</w:t>
      </w:r>
      <w:r>
        <w:rPr>
          <w:rFonts w:hint="eastAsia" w:ascii="仿宋" w:hAnsi="仿宋" w:eastAsia="仿宋" w:cs="仿宋"/>
          <w:kern w:val="0"/>
          <w:sz w:val="24"/>
          <w:szCs w:val="24"/>
          <w:highlight w:val="none"/>
        </w:rPr>
        <w:t>考核结果，扣除相应的保洁经费</w:t>
      </w:r>
      <w:r>
        <w:rPr>
          <w:rFonts w:hint="eastAsia" w:ascii="仿宋" w:hAnsi="仿宋" w:eastAsia="仿宋" w:cs="仿宋"/>
          <w:kern w:val="0"/>
          <w:sz w:val="24"/>
          <w:szCs w:val="24"/>
          <w:highlight w:val="none"/>
          <w:lang w:eastAsia="zh-CN"/>
        </w:rPr>
        <w:t>后</w:t>
      </w:r>
      <w:r>
        <w:rPr>
          <w:rFonts w:hint="eastAsia" w:ascii="仿宋" w:hAnsi="仿宋" w:eastAsia="仿宋" w:cs="仿宋"/>
          <w:kern w:val="0"/>
          <w:sz w:val="24"/>
          <w:szCs w:val="24"/>
          <w:highlight w:val="none"/>
        </w:rPr>
        <w:t>一次</w:t>
      </w:r>
      <w:r>
        <w:rPr>
          <w:rFonts w:hint="eastAsia" w:ascii="仿宋" w:hAnsi="仿宋" w:eastAsia="仿宋" w:cs="仿宋"/>
          <w:kern w:val="0"/>
          <w:sz w:val="24"/>
          <w:szCs w:val="24"/>
          <w:highlight w:val="none"/>
          <w:lang w:eastAsia="zh-CN"/>
        </w:rPr>
        <w:t>性付清</w:t>
      </w:r>
      <w:r>
        <w:rPr>
          <w:rFonts w:hint="eastAsia" w:ascii="仿宋" w:hAnsi="仿宋" w:eastAsia="仿宋" w:cs="仿宋"/>
          <w:kern w:val="0"/>
          <w:sz w:val="24"/>
          <w:szCs w:val="24"/>
          <w:highlight w:val="none"/>
        </w:rPr>
        <w:t>。</w:t>
      </w:r>
      <w:r>
        <w:rPr>
          <w:rFonts w:hint="eastAsia" w:ascii="仿宋" w:hAnsi="仿宋" w:eastAsia="仿宋" w:cs="仿宋"/>
          <w:bCs/>
          <w:color w:val="000000"/>
          <w:sz w:val="24"/>
          <w:szCs w:val="24"/>
        </w:rPr>
        <w:t>合同履行完毕后，在未找到接替公司前，中标人在服务期内考核达标的，可以延续服务至下一次招标前，费用按原合同签订的标准支付</w:t>
      </w:r>
      <w:r>
        <w:rPr>
          <w:rFonts w:hint="eastAsia" w:ascii="仿宋" w:hAnsi="仿宋" w:eastAsia="仿宋" w:cs="仿宋"/>
          <w:bCs/>
          <w:color w:val="000000"/>
          <w:sz w:val="24"/>
          <w:szCs w:val="24"/>
          <w:lang w:eastAsia="zh-CN"/>
        </w:rPr>
        <w:t>。</w:t>
      </w:r>
    </w:p>
    <w:p w14:paraId="2985AB32">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kern w:val="0"/>
          <w:sz w:val="24"/>
          <w:szCs w:val="24"/>
          <w:highlight w:val="none"/>
        </w:rPr>
        <w:t>补充事项说明</w:t>
      </w:r>
    </w:p>
    <w:p w14:paraId="3E9016E6">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1、为提升作业队伍形象，作业人员服装（含帽子）必须按照采购人所指定款式、面料进行采购，费用由各中标单位列支。如未落实此项要求的，采购人将按项目类预算标准，从划拔的保洁费中扣除。</w:t>
      </w:r>
    </w:p>
    <w:p w14:paraId="2EC38690">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2、中标人不得以任何形式对本项目进行分包或转包，否则视为违约，并将中标人不良情况通报行业主管部门。</w:t>
      </w:r>
    </w:p>
    <w:p w14:paraId="6C8115A0">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3、中标人必须接收录用原有保洁人员，且在3个月内不得无故辞退，但除下列情况例外：违反劳动纪律，工作质量差，体弱多病不适合从事岗位工作，不服从工作安排等原因，否则视为违约。</w:t>
      </w:r>
    </w:p>
    <w:p w14:paraId="2A7D0FAE">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根据本项目保洁工作移交时间节点，中标人必须按投标文件中所明确的车辆等机械设备为采购人提供服务，由采购人进行现场验收与审核，中标人如不能在约定的时间节点提供投标文件中相符的车辆等机械设备及各类凭证（提供车辆行驶证，购置发票复印件）的视为违约。</w:t>
      </w:r>
    </w:p>
    <w:p w14:paraId="64D27F08">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5、在合同履行期间，因中标人保洁服务质量不到位，管理不善等其他原因而引发问题，造成严重的负面影响，给采购人的正常工作与形象等造成不良后果的，采购人可单方面可终止合同。</w:t>
      </w:r>
    </w:p>
    <w:p w14:paraId="26CE541D">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6、中标人在合同履行期间，在各类检查、考核、各类迎检、重要活动保障等工作中，存在保洁</w:t>
      </w:r>
      <w:r>
        <w:rPr>
          <w:rFonts w:hint="eastAsia" w:ascii="仿宋" w:hAnsi="仿宋" w:eastAsia="仿宋" w:cs="仿宋"/>
          <w:b/>
          <w:bCs/>
          <w:color w:val="auto"/>
          <w:kern w:val="0"/>
          <w:sz w:val="24"/>
          <w:szCs w:val="24"/>
          <w:highlight w:val="none"/>
        </w:rPr>
        <w:t>服务质量不符合相应的标准，对整改措施落实不到位，成绩较差（连续三个月，排名倒数第一，且月扣分达到或超过700分的），经采购人综合测评认为中标人已不能履行合同约定的内容，采购人可单方面终止合同。</w:t>
      </w:r>
    </w:p>
    <w:p w14:paraId="3BBF3D2A">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中标人在合同履行期间，存在未能按投标书明确的要求，有效落实人员与车辆等服务承诺的，采购人要求期限期整改而不落实、不到位的，或者对采购人的检查与考核进行推诿不配合的，采购人视情节，可对中标人进行抄告、约谈、扣罚，情节严重的可终止合同。</w:t>
      </w:r>
    </w:p>
    <w:p w14:paraId="69CA592A">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8、在其他方面，因中标人单方原因，造成不良后果，采购人认为已不适合继续履行合同的，可单方面终止合同。</w:t>
      </w:r>
    </w:p>
    <w:p w14:paraId="5F3E26D4">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9、中标单位根据自身需求和实际情况，可租赁或购买原保洁单位的各类环卫车辆。</w:t>
      </w:r>
    </w:p>
    <w:p w14:paraId="44BE6C6E">
      <w:pPr>
        <w:spacing w:line="500" w:lineRule="atLeast"/>
        <w:ind w:firstLine="643" w:firstLineChars="200"/>
        <w:jc w:val="center"/>
        <w:rPr>
          <w:rFonts w:hint="eastAsia" w:ascii="仿宋" w:hAnsi="仿宋" w:eastAsia="仿宋" w:cs="仿宋"/>
          <w:b/>
          <w:bCs w:val="0"/>
          <w:sz w:val="32"/>
          <w:szCs w:val="32"/>
        </w:rPr>
      </w:pPr>
    </w:p>
    <w:p w14:paraId="4ABD89AE">
      <w:pPr>
        <w:spacing w:line="500" w:lineRule="atLeast"/>
        <w:ind w:firstLine="643" w:firstLineChars="200"/>
        <w:jc w:val="center"/>
        <w:rPr>
          <w:rFonts w:hint="eastAsia" w:ascii="仿宋" w:hAnsi="仿宋" w:eastAsia="仿宋" w:cs="仿宋"/>
          <w:b/>
          <w:bCs w:val="0"/>
          <w:sz w:val="32"/>
          <w:szCs w:val="32"/>
        </w:rPr>
      </w:pPr>
      <w:r>
        <w:rPr>
          <w:rFonts w:hint="eastAsia" w:ascii="仿宋" w:hAnsi="仿宋" w:eastAsia="仿宋" w:cs="仿宋"/>
          <w:b/>
          <w:bCs w:val="0"/>
          <w:sz w:val="32"/>
          <w:szCs w:val="32"/>
        </w:rPr>
        <w:t>中转站生活垃圾清运服务</w:t>
      </w:r>
    </w:p>
    <w:p w14:paraId="1D675CA6">
      <w:pPr>
        <w:spacing w:line="500" w:lineRule="atLeast"/>
        <w:ind w:firstLine="360" w:firstLineChars="150"/>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1</w:t>
      </w:r>
      <w:r>
        <w:rPr>
          <w:rFonts w:hint="eastAsia" w:ascii="仿宋" w:hAnsi="仿宋" w:eastAsia="仿宋" w:cs="仿宋"/>
          <w:bCs/>
          <w:sz w:val="24"/>
          <w:szCs w:val="24"/>
        </w:rPr>
        <w:t>）质量依据及要求：《杭州市城市市容和环境卫生管理条例》、《杭州市城市环境卫生作业规范》、《临安区街镇生活垃圾清运管理考核细则》；</w:t>
      </w:r>
    </w:p>
    <w:p w14:paraId="3998ADC4">
      <w:pPr>
        <w:spacing w:line="500" w:lineRule="atLeast"/>
        <w:ind w:firstLine="360" w:firstLineChars="150"/>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rPr>
        <w:t>）招标内容</w:t>
      </w:r>
    </w:p>
    <w:p w14:paraId="1D6CAAA2">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①於潜镇生活垃圾中转站管理及中转站到临安区绿能环保发电有限公司或其他焚烧厂的生活垃圾清运服务，必须配合市区两级主管部门垃圾的调度指令，结算时按实际运输量计算（注：以垃圾焚烧厂的数据为准）</w:t>
      </w:r>
      <w:r>
        <w:rPr>
          <w:rFonts w:hint="eastAsia" w:ascii="仿宋" w:hAnsi="仿宋" w:eastAsia="仿宋" w:cs="仿宋"/>
          <w:sz w:val="24"/>
          <w:szCs w:val="24"/>
        </w:rPr>
        <w:t>；</w:t>
      </w:r>
    </w:p>
    <w:p w14:paraId="32D4B832">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②</w:t>
      </w:r>
      <w:r>
        <w:rPr>
          <w:rFonts w:hint="eastAsia" w:ascii="仿宋" w:hAnsi="仿宋" w:eastAsia="仿宋" w:cs="仿宋"/>
          <w:sz w:val="24"/>
          <w:szCs w:val="24"/>
        </w:rPr>
        <w:t>於潜垃圾转运站垃圾压缩、转运运营管理；</w:t>
      </w:r>
    </w:p>
    <w:p w14:paraId="21754210">
      <w:pPr>
        <w:spacing w:line="500" w:lineRule="atLeast"/>
        <w:jc w:val="center"/>
        <w:rPr>
          <w:rFonts w:hint="eastAsia" w:ascii="仿宋" w:hAnsi="仿宋" w:eastAsia="仿宋" w:cs="仿宋"/>
          <w:b/>
          <w:sz w:val="24"/>
          <w:szCs w:val="24"/>
        </w:rPr>
      </w:pPr>
      <w:r>
        <w:rPr>
          <w:rFonts w:hint="eastAsia" w:ascii="仿宋" w:hAnsi="仿宋" w:eastAsia="仿宋" w:cs="仿宋"/>
          <w:b/>
          <w:sz w:val="24"/>
          <w:szCs w:val="24"/>
        </w:rPr>
        <w:t>於潜生活垃圾清运测算明细表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967"/>
        <w:gridCol w:w="2254"/>
      </w:tblGrid>
      <w:tr w14:paraId="19C1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38" w:type="dxa"/>
            <w:shd w:val="clear" w:color="000000" w:fill="FFFFFF"/>
            <w:noWrap w:val="0"/>
            <w:vAlign w:val="center"/>
          </w:tcPr>
          <w:p w14:paraId="03F26C79">
            <w:pPr>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每日垃圾量</w:t>
            </w:r>
          </w:p>
        </w:tc>
        <w:tc>
          <w:tcPr>
            <w:tcW w:w="1967" w:type="dxa"/>
            <w:shd w:val="clear" w:color="000000" w:fill="FFFFFF"/>
            <w:noWrap w:val="0"/>
            <w:vAlign w:val="center"/>
          </w:tcPr>
          <w:p w14:paraId="7C3AB84F">
            <w:pPr>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单程运距</w:t>
            </w:r>
          </w:p>
        </w:tc>
        <w:tc>
          <w:tcPr>
            <w:tcW w:w="2254" w:type="dxa"/>
            <w:shd w:val="clear" w:color="000000" w:fill="FFFFFF"/>
            <w:noWrap w:val="0"/>
            <w:vAlign w:val="center"/>
          </w:tcPr>
          <w:p w14:paraId="782AC09B">
            <w:pPr>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年总清运量</w:t>
            </w:r>
          </w:p>
        </w:tc>
      </w:tr>
      <w:tr w14:paraId="530D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038" w:type="dxa"/>
            <w:shd w:val="clear" w:color="000000" w:fill="FFFFFF"/>
            <w:noWrap w:val="0"/>
            <w:vAlign w:val="center"/>
          </w:tcPr>
          <w:p w14:paraId="7E9E8F90">
            <w:pPr>
              <w:snapToGrid w:val="0"/>
              <w:spacing w:line="240" w:lineRule="atLeas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约3</w:t>
            </w: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吨</w:t>
            </w:r>
          </w:p>
        </w:tc>
        <w:tc>
          <w:tcPr>
            <w:tcW w:w="1967" w:type="dxa"/>
            <w:shd w:val="clear" w:color="000000" w:fill="FFFFFF"/>
            <w:noWrap w:val="0"/>
            <w:vAlign w:val="center"/>
          </w:tcPr>
          <w:p w14:paraId="62D770F0">
            <w:pPr>
              <w:snapToGrid w:val="0"/>
              <w:spacing w:line="240" w:lineRule="atLeas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约35公里</w:t>
            </w:r>
          </w:p>
        </w:tc>
        <w:tc>
          <w:tcPr>
            <w:tcW w:w="2254" w:type="dxa"/>
            <w:shd w:val="clear" w:color="000000" w:fill="FFFFFF"/>
            <w:noWrap w:val="0"/>
            <w:vAlign w:val="center"/>
          </w:tcPr>
          <w:p w14:paraId="63A35643">
            <w:pPr>
              <w:snapToGrid w:val="0"/>
              <w:spacing w:line="240" w:lineRule="atLeas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约</w:t>
            </w:r>
            <w:r>
              <w:rPr>
                <w:rFonts w:hint="eastAsia" w:ascii="仿宋" w:hAnsi="仿宋" w:eastAsia="仿宋" w:cs="仿宋"/>
                <w:bCs/>
                <w:sz w:val="24"/>
                <w:szCs w:val="24"/>
                <w:highlight w:val="none"/>
                <w:lang w:val="en-US" w:eastAsia="zh-CN"/>
              </w:rPr>
              <w:t>13140</w:t>
            </w:r>
            <w:r>
              <w:rPr>
                <w:rFonts w:hint="eastAsia" w:ascii="仿宋" w:hAnsi="仿宋" w:eastAsia="仿宋" w:cs="仿宋"/>
                <w:bCs/>
                <w:sz w:val="24"/>
                <w:szCs w:val="24"/>
                <w:highlight w:val="none"/>
              </w:rPr>
              <w:t>吨</w:t>
            </w:r>
          </w:p>
        </w:tc>
      </w:tr>
    </w:tbl>
    <w:p w14:paraId="64DC5D34">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③服务期限：2025年2月1日起至本项目服务期限止</w:t>
      </w:r>
      <w:r>
        <w:rPr>
          <w:rFonts w:hint="eastAsia" w:ascii="仿宋" w:hAnsi="仿宋" w:eastAsia="仿宋" w:cs="仿宋"/>
          <w:bCs/>
          <w:color w:val="000000"/>
          <w:sz w:val="24"/>
          <w:szCs w:val="24"/>
        </w:rPr>
        <w:t>。合同履行完毕后，在未找到接替公司前，中标人在服务期内考核达标的，可以延续服务至下一次招标前，费用按原合同签订的标准支付。</w:t>
      </w:r>
    </w:p>
    <w:p w14:paraId="310A2082">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在考核作业质量的同时，考核作业人员落实（到位）情况，劳动纪律（规定）执行情况以及其他如综合治理等情况。建立随机抽查考核，日常巡查考核制度；建立考核台帐，按月公布成绩。</w:t>
      </w:r>
    </w:p>
    <w:p w14:paraId="16397934">
      <w:pPr>
        <w:spacing w:line="500" w:lineRule="atLeast"/>
        <w:ind w:firstLine="480"/>
        <w:rPr>
          <w:rFonts w:hint="eastAsia" w:ascii="仿宋" w:hAnsi="仿宋" w:eastAsia="仿宋" w:cs="仿宋"/>
          <w:b/>
          <w:sz w:val="24"/>
          <w:szCs w:val="24"/>
        </w:rPr>
      </w:pPr>
      <w:r>
        <w:rPr>
          <w:rFonts w:hint="eastAsia" w:ascii="仿宋" w:hAnsi="仿宋" w:eastAsia="仿宋" w:cs="仿宋"/>
          <w:b/>
          <w:sz w:val="24"/>
          <w:szCs w:val="24"/>
        </w:rPr>
        <w:t>2、项目要求</w:t>
      </w:r>
    </w:p>
    <w:p w14:paraId="5AA6A987">
      <w:pPr>
        <w:spacing w:line="500" w:lineRule="atLeast"/>
        <w:ind w:firstLine="480"/>
        <w:rPr>
          <w:rFonts w:hint="eastAsia" w:ascii="仿宋" w:hAnsi="仿宋" w:eastAsia="仿宋" w:cs="仿宋"/>
          <w:bCs/>
          <w:sz w:val="24"/>
          <w:szCs w:val="24"/>
        </w:rPr>
      </w:pPr>
      <w:r>
        <w:rPr>
          <w:rFonts w:hint="eastAsia" w:ascii="仿宋" w:hAnsi="仿宋" w:eastAsia="仿宋" w:cs="仿宋"/>
          <w:bCs/>
          <w:sz w:val="24"/>
          <w:szCs w:val="24"/>
        </w:rPr>
        <w:t>中标方应确保合同签订之日后7日内作业车辆、设备及人员到位。中标方必须按照作业规范标准执行，服从管理部门的各项考核及检查并积极配合各项临时性任务。</w:t>
      </w:r>
    </w:p>
    <w:p w14:paraId="2BC9700E">
      <w:pPr>
        <w:numPr>
          <w:ilvl w:val="0"/>
          <w:numId w:val="1"/>
        </w:numPr>
        <w:spacing w:line="500" w:lineRule="atLeas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配置车辆、设施设备、人员数量要求：</w:t>
      </w:r>
    </w:p>
    <w:p w14:paraId="2DED6F97">
      <w:pPr>
        <w:numPr>
          <w:ilvl w:val="0"/>
          <w:numId w:val="0"/>
        </w:numPr>
        <w:spacing w:line="500" w:lineRule="atLeas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a、配置车辆及设施设备要求：</w:t>
      </w:r>
      <w:r>
        <w:rPr>
          <w:rFonts w:hint="eastAsia" w:ascii="仿宋" w:hAnsi="仿宋" w:eastAsia="仿宋" w:cs="仿宋"/>
          <w:b/>
          <w:bCs w:val="0"/>
          <w:color w:val="000000"/>
          <w:spacing w:val="-6"/>
          <w:kern w:val="0"/>
          <w:sz w:val="24"/>
          <w:szCs w:val="24"/>
          <w:lang w:bidi="ar"/>
        </w:rPr>
        <w:t>总质量25吨勾臂车1辆，总质量25吨的压缩车1辆，</w:t>
      </w:r>
      <w:r>
        <w:rPr>
          <w:rFonts w:hint="eastAsia" w:ascii="仿宋" w:hAnsi="仿宋" w:eastAsia="仿宋" w:cs="仿宋"/>
          <w:b/>
          <w:bCs w:val="0"/>
          <w:color w:val="000000"/>
          <w:spacing w:val="-6"/>
          <w:kern w:val="0"/>
          <w:sz w:val="24"/>
          <w:szCs w:val="24"/>
          <w:lang w:eastAsia="zh-CN" w:bidi="ar"/>
        </w:rPr>
        <w:t>登高</w:t>
      </w:r>
      <w:r>
        <w:rPr>
          <w:rFonts w:hint="eastAsia" w:ascii="仿宋" w:hAnsi="仿宋" w:eastAsia="仿宋" w:cs="仿宋"/>
          <w:b/>
          <w:bCs w:val="0"/>
          <w:color w:val="000000"/>
          <w:spacing w:val="-6"/>
          <w:kern w:val="0"/>
          <w:sz w:val="24"/>
          <w:szCs w:val="24"/>
          <w:lang w:bidi="ar"/>
        </w:rPr>
        <w:t>车1辆，运输车辆上需安装GPS定位装</w:t>
      </w:r>
      <w:r>
        <w:rPr>
          <w:rFonts w:hint="eastAsia" w:ascii="仿宋" w:hAnsi="仿宋" w:eastAsia="仿宋" w:cs="仿宋"/>
          <w:b/>
          <w:bCs w:val="0"/>
          <w:color w:val="auto"/>
          <w:spacing w:val="-6"/>
          <w:kern w:val="0"/>
          <w:sz w:val="24"/>
          <w:szCs w:val="24"/>
          <w:lang w:bidi="ar"/>
        </w:rPr>
        <w:t>置(接入</w:t>
      </w:r>
      <w:r>
        <w:rPr>
          <w:rFonts w:hint="eastAsia" w:ascii="仿宋" w:hAnsi="仿宋" w:eastAsia="仿宋" w:cs="仿宋"/>
          <w:b/>
          <w:bCs w:val="0"/>
          <w:color w:val="auto"/>
          <w:spacing w:val="-6"/>
          <w:kern w:val="0"/>
          <w:sz w:val="24"/>
          <w:szCs w:val="24"/>
          <w:lang w:eastAsia="zh-CN" w:bidi="ar"/>
        </w:rPr>
        <w:t>於潜镇环卫所</w:t>
      </w:r>
      <w:r>
        <w:rPr>
          <w:rFonts w:hint="eastAsia" w:ascii="仿宋" w:hAnsi="仿宋" w:eastAsia="仿宋" w:cs="仿宋"/>
          <w:b/>
          <w:bCs w:val="0"/>
          <w:color w:val="auto"/>
          <w:spacing w:val="-6"/>
          <w:kern w:val="0"/>
          <w:sz w:val="24"/>
          <w:szCs w:val="24"/>
          <w:lang w:val="en-US" w:eastAsia="zh-CN" w:bidi="ar"/>
        </w:rPr>
        <w:t>APP平台、</w:t>
      </w:r>
      <w:r>
        <w:rPr>
          <w:rFonts w:hint="eastAsia" w:ascii="仿宋" w:hAnsi="仿宋" w:eastAsia="仿宋" w:cs="仿宋"/>
          <w:b/>
          <w:bCs w:val="0"/>
          <w:color w:val="auto"/>
          <w:spacing w:val="-6"/>
          <w:kern w:val="0"/>
          <w:sz w:val="24"/>
          <w:szCs w:val="24"/>
          <w:lang w:bidi="ar"/>
        </w:rPr>
        <w:t>区市政公用和市容环境卫生保障中心</w:t>
      </w:r>
      <w:r>
        <w:rPr>
          <w:rFonts w:hint="eastAsia" w:ascii="仿宋" w:hAnsi="仿宋" w:eastAsia="仿宋" w:cs="仿宋"/>
          <w:b/>
          <w:bCs w:val="0"/>
          <w:color w:val="auto"/>
          <w:spacing w:val="-6"/>
          <w:kern w:val="0"/>
          <w:sz w:val="24"/>
          <w:szCs w:val="24"/>
          <w:lang w:eastAsia="zh-CN" w:bidi="ar"/>
        </w:rPr>
        <w:t>等</w:t>
      </w:r>
      <w:r>
        <w:rPr>
          <w:rFonts w:hint="eastAsia" w:ascii="仿宋" w:hAnsi="仿宋" w:eastAsia="仿宋" w:cs="仿宋"/>
          <w:b/>
          <w:bCs w:val="0"/>
          <w:color w:val="auto"/>
          <w:spacing w:val="-6"/>
          <w:kern w:val="0"/>
          <w:sz w:val="24"/>
          <w:szCs w:val="24"/>
          <w:lang w:bidi="ar"/>
        </w:rPr>
        <w:t>相关监管平台)；</w:t>
      </w:r>
      <w:r>
        <w:rPr>
          <w:rFonts w:hint="eastAsia" w:ascii="仿宋" w:hAnsi="仿宋" w:eastAsia="仿宋" w:cs="仿宋"/>
          <w:b/>
          <w:bCs w:val="0"/>
          <w:color w:val="auto"/>
          <w:sz w:val="24"/>
          <w:szCs w:val="24"/>
        </w:rPr>
        <w:t>冲洗设备1套；固定式水平</w:t>
      </w:r>
      <w:r>
        <w:rPr>
          <w:rFonts w:hint="eastAsia" w:ascii="仿宋" w:hAnsi="仿宋" w:eastAsia="仿宋" w:cs="仿宋"/>
          <w:b/>
          <w:bCs w:val="0"/>
          <w:sz w:val="24"/>
          <w:szCs w:val="24"/>
        </w:rPr>
        <w:t>压缩站成套设备2套（含固定式压缩机2组，清运箱体3只），移动式垃圾箱2个。</w:t>
      </w:r>
    </w:p>
    <w:p w14:paraId="07F9F23C">
      <w:pPr>
        <w:numPr>
          <w:ilvl w:val="0"/>
          <w:numId w:val="0"/>
        </w:numPr>
        <w:spacing w:line="500" w:lineRule="atLeas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b、配置人员数量要求：驾驶员1人、操作员</w:t>
      </w:r>
      <w:r>
        <w:rPr>
          <w:rFonts w:hint="eastAsia" w:ascii="仿宋" w:hAnsi="仿宋" w:eastAsia="仿宋" w:cs="仿宋"/>
          <w:b/>
          <w:bCs w:val="0"/>
          <w:sz w:val="24"/>
          <w:szCs w:val="24"/>
          <w:lang w:val="en-US" w:eastAsia="zh-CN"/>
        </w:rPr>
        <w:t>1</w:t>
      </w:r>
      <w:r>
        <w:rPr>
          <w:rFonts w:hint="eastAsia" w:ascii="仿宋" w:hAnsi="仿宋" w:eastAsia="仿宋" w:cs="仿宋"/>
          <w:b/>
          <w:bCs w:val="0"/>
          <w:sz w:val="24"/>
          <w:szCs w:val="24"/>
        </w:rPr>
        <w:t>人，共计项目部人员</w:t>
      </w:r>
      <w:r>
        <w:rPr>
          <w:rFonts w:hint="eastAsia" w:ascii="仿宋" w:hAnsi="仿宋" w:eastAsia="仿宋" w:cs="仿宋"/>
          <w:b/>
          <w:bCs w:val="0"/>
          <w:sz w:val="24"/>
          <w:szCs w:val="24"/>
          <w:lang w:val="en-US" w:eastAsia="zh-CN"/>
        </w:rPr>
        <w:t>2</w:t>
      </w:r>
      <w:r>
        <w:rPr>
          <w:rFonts w:hint="eastAsia" w:ascii="仿宋" w:hAnsi="仿宋" w:eastAsia="仿宋" w:cs="仿宋"/>
          <w:b/>
          <w:bCs w:val="0"/>
          <w:sz w:val="24"/>
          <w:szCs w:val="24"/>
        </w:rPr>
        <w:t>人。</w:t>
      </w:r>
    </w:p>
    <w:p w14:paraId="0F2C911C">
      <w:pPr>
        <w:numPr>
          <w:ilvl w:val="0"/>
          <w:numId w:val="0"/>
        </w:num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② 本项目所需的车辆及中转站设备由中标方自行购置。承包期限内中转站运行、车辆运输、作业工具等相关费用包含在本项目内。 </w:t>
      </w:r>
    </w:p>
    <w:p w14:paraId="6BB43CB7">
      <w:pPr>
        <w:numPr>
          <w:ilvl w:val="0"/>
          <w:numId w:val="0"/>
        </w:numPr>
        <w:spacing w:line="500" w:lineRule="atLeast"/>
        <w:ind w:firstLine="240" w:firstLineChars="100"/>
        <w:rPr>
          <w:rFonts w:hint="eastAsia" w:ascii="仿宋" w:hAnsi="仿宋" w:eastAsia="仿宋" w:cs="仿宋"/>
          <w:bCs/>
          <w:sz w:val="24"/>
          <w:szCs w:val="24"/>
        </w:rPr>
      </w:pPr>
      <w:r>
        <w:rPr>
          <w:rFonts w:hint="eastAsia" w:ascii="仿宋" w:hAnsi="仿宋" w:eastAsia="仿宋" w:cs="仿宋"/>
          <w:bCs/>
          <w:sz w:val="24"/>
          <w:szCs w:val="24"/>
        </w:rPr>
        <w:t xml:space="preserve"> ③ 垃圾中转站内必须有专职管理人员24小时实行值班管理，规章制度、操作规程、应急预案及时上墙；垃圾要及时压缩清运，并保持站内卫生整洁，并对站内道路及时进行冲洗，同时定期对站内进行消杀、污水沟清理，严禁站内焚烧垃圾。</w:t>
      </w:r>
    </w:p>
    <w:p w14:paraId="13011D87">
      <w:pPr>
        <w:spacing w:line="500" w:lineRule="atLeast"/>
        <w:ind w:firstLine="480"/>
        <w:rPr>
          <w:rFonts w:hint="eastAsia" w:ascii="仿宋" w:hAnsi="仿宋" w:eastAsia="仿宋" w:cs="仿宋"/>
          <w:bCs/>
          <w:sz w:val="24"/>
          <w:szCs w:val="24"/>
        </w:rPr>
      </w:pPr>
      <w:r>
        <w:rPr>
          <w:rFonts w:hint="eastAsia" w:ascii="仿宋" w:hAnsi="仿宋" w:eastAsia="仿宋" w:cs="仿宋"/>
          <w:bCs/>
          <w:sz w:val="24"/>
          <w:szCs w:val="24"/>
        </w:rPr>
        <w:t xml:space="preserve">④ 垃圾中转站管理人员对进入中转站倾倒垃圾的农村垃圾收集运输车辆应进行管理（外观整洁，实行密闭化运输，无破损、无油污、无吊挂，无抛洒滴漏）。    </w:t>
      </w:r>
    </w:p>
    <w:p w14:paraId="60FDD86A">
      <w:pPr>
        <w:spacing w:line="500" w:lineRule="atLeast"/>
        <w:ind w:firstLine="480"/>
        <w:rPr>
          <w:rFonts w:hint="eastAsia" w:ascii="仿宋" w:hAnsi="仿宋" w:eastAsia="仿宋" w:cs="仿宋"/>
          <w:bCs/>
          <w:sz w:val="24"/>
          <w:szCs w:val="24"/>
        </w:rPr>
      </w:pPr>
      <w:r>
        <w:rPr>
          <w:rFonts w:hint="eastAsia" w:ascii="仿宋" w:hAnsi="仿宋" w:eastAsia="仿宋" w:cs="仿宋"/>
          <w:bCs/>
          <w:sz w:val="24"/>
          <w:szCs w:val="24"/>
        </w:rPr>
        <w:t>⑤ 垃圾清运车辆应印有编号、监督电话、责任单位等信息，清运垃圾的车辆要按规定的路线行驶，规定地点停放，确保运行安全。</w:t>
      </w:r>
    </w:p>
    <w:p w14:paraId="3D1D30EE">
      <w:pPr>
        <w:pStyle w:val="26"/>
        <w:spacing w:line="500" w:lineRule="atLeast"/>
        <w:ind w:firstLine="480" w:firstLineChars="200"/>
        <w:rPr>
          <w:rFonts w:hint="eastAsia" w:ascii="仿宋" w:hAnsi="仿宋" w:eastAsia="仿宋" w:cs="仿宋"/>
          <w:bCs/>
          <w:spacing w:val="0"/>
          <w:sz w:val="24"/>
          <w:szCs w:val="24"/>
        </w:rPr>
      </w:pPr>
      <w:r>
        <w:rPr>
          <w:rFonts w:hint="eastAsia" w:ascii="仿宋" w:hAnsi="仿宋" w:eastAsia="仿宋" w:cs="仿宋"/>
          <w:bCs/>
          <w:sz w:val="24"/>
          <w:szCs w:val="24"/>
        </w:rPr>
        <w:t xml:space="preserve">⑥ </w:t>
      </w:r>
      <w:r>
        <w:rPr>
          <w:rFonts w:hint="eastAsia" w:ascii="仿宋" w:hAnsi="仿宋" w:eastAsia="仿宋" w:cs="仿宋"/>
          <w:bCs/>
          <w:spacing w:val="0"/>
          <w:sz w:val="24"/>
          <w:szCs w:val="24"/>
        </w:rPr>
        <w:t>垃圾清运车辆车容车貌整洁，无破损，运输过程中应密闭运输，无吊挂，无抛、撒垃圾现象。垃圾应倾倒在指定地点，不得随处乱倒和焚烧垃圾，垃圾清运车辆作业完毕后应冲洗干净，做到车厢无积存垃圾、无污垢、无油污，底盘无垃圾、无污物、无油污、无泥浆。</w:t>
      </w:r>
    </w:p>
    <w:p w14:paraId="5F28370B">
      <w:pPr>
        <w:pStyle w:val="26"/>
        <w:spacing w:line="500" w:lineRule="atLeast"/>
        <w:ind w:firstLine="480" w:firstLineChars="200"/>
        <w:rPr>
          <w:rFonts w:hint="eastAsia" w:ascii="仿宋" w:hAnsi="仿宋" w:eastAsia="仿宋" w:cs="仿宋"/>
          <w:bCs/>
          <w:spacing w:val="0"/>
          <w:sz w:val="24"/>
          <w:szCs w:val="24"/>
        </w:rPr>
      </w:pPr>
      <w:r>
        <w:rPr>
          <w:rFonts w:hint="eastAsia" w:ascii="仿宋" w:hAnsi="仿宋" w:eastAsia="仿宋" w:cs="仿宋"/>
          <w:bCs/>
          <w:spacing w:val="0"/>
          <w:sz w:val="24"/>
          <w:szCs w:val="24"/>
        </w:rPr>
        <w:t>⑦</w:t>
      </w:r>
      <w:r>
        <w:rPr>
          <w:rFonts w:hint="eastAsia" w:ascii="仿宋" w:hAnsi="仿宋" w:eastAsia="仿宋" w:cs="仿宋"/>
          <w:bCs/>
          <w:spacing w:val="0"/>
          <w:sz w:val="24"/>
          <w:szCs w:val="24"/>
          <w:lang w:val="en-US" w:eastAsia="zh-CN"/>
        </w:rPr>
        <w:t xml:space="preserve"> </w:t>
      </w:r>
      <w:r>
        <w:rPr>
          <w:rFonts w:hint="eastAsia" w:ascii="仿宋" w:hAnsi="仿宋" w:eastAsia="仿宋" w:cs="仿宋"/>
          <w:bCs/>
          <w:spacing w:val="0"/>
          <w:sz w:val="24"/>
          <w:szCs w:val="24"/>
        </w:rPr>
        <w:t>垃圾清运车辆运输过程中不得滴漏污水。车辆应匀速行驶，不得急停急起，防止污水外溢。垃圾运输车在垃圾焚烧发电厂倾倒垃圾后须及时排空污水箱中的污水，并将污水排水口密闭。</w:t>
      </w:r>
    </w:p>
    <w:p w14:paraId="6A73C8F2">
      <w:pPr>
        <w:pStyle w:val="26"/>
        <w:spacing w:line="500" w:lineRule="atLeast"/>
        <w:ind w:firstLine="482" w:firstLineChars="200"/>
        <w:rPr>
          <w:rFonts w:hint="eastAsia" w:ascii="仿宋" w:hAnsi="仿宋" w:eastAsia="仿宋" w:cs="仿宋"/>
          <w:b/>
          <w:spacing w:val="0"/>
          <w:sz w:val="24"/>
          <w:szCs w:val="24"/>
        </w:rPr>
      </w:pPr>
      <w:r>
        <w:rPr>
          <w:rFonts w:hint="eastAsia" w:ascii="仿宋" w:hAnsi="仿宋" w:eastAsia="仿宋" w:cs="仿宋"/>
          <w:b/>
          <w:spacing w:val="0"/>
          <w:sz w:val="24"/>
          <w:szCs w:val="24"/>
        </w:rPr>
        <w:t>3、台帐资料管理</w:t>
      </w:r>
    </w:p>
    <w:p w14:paraId="4B7E6D0C">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①垃圾清运企业年度、季度、月度有报表、工作计划，年终有总结。</w:t>
      </w:r>
    </w:p>
    <w:p w14:paraId="2C6B814C">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②垃圾清运企业与主管单位有工作联系单制度和工作落实情况记录。</w:t>
      </w:r>
    </w:p>
    <w:p w14:paraId="3E22873D">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③垃圾清运企业本着该项目达到优良的标准进行管理，应建立相应管理系统、健全的业务管理制度和标准作业规范，加强对作业队伍和作业机械的管理，分工明确，认真落实质量岗位责任制，各项基础设施台帐资料齐全，真实可信，并如实上报。</w:t>
      </w:r>
    </w:p>
    <w:p w14:paraId="27920CEE">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④垃圾清运企业要建立巡查制度，完善巡查日报，建立月报制度。</w:t>
      </w:r>
    </w:p>
    <w:p w14:paraId="167BFC70">
      <w:pPr>
        <w:spacing w:line="500" w:lineRule="atLeast"/>
        <w:ind w:firstLine="482" w:firstLineChars="200"/>
        <w:rPr>
          <w:rFonts w:hint="eastAsia" w:ascii="仿宋" w:hAnsi="仿宋" w:eastAsia="仿宋" w:cs="仿宋"/>
          <w:b/>
          <w:sz w:val="24"/>
          <w:szCs w:val="24"/>
        </w:rPr>
      </w:pPr>
      <w:r>
        <w:rPr>
          <w:rFonts w:hint="eastAsia" w:ascii="仿宋" w:hAnsi="仿宋" w:eastAsia="仿宋" w:cs="仿宋"/>
          <w:b/>
          <w:sz w:val="24"/>
          <w:szCs w:val="24"/>
        </w:rPr>
        <w:t>4、组织管理</w:t>
      </w:r>
    </w:p>
    <w:p w14:paraId="0152B69F">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①城管局和於潜负责垃圾清运工作的牵头管理、业务指导、随机检查等。</w:t>
      </w:r>
    </w:p>
    <w:p w14:paraId="000E55B9">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②各街镇对垃圾清运工作负责每月监管考核评定，并协助企业做好清运工作。</w:t>
      </w:r>
    </w:p>
    <w:p w14:paraId="4108310A">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③垃圾清运企业应强化内部作业和管理制度，加强对内部人员的安全和责任教育，建立完善的作业和巡查登记制度，强化责任考核和整改制度，自觉接受政府、媒体和社会团体的监督。</w:t>
      </w:r>
    </w:p>
    <w:p w14:paraId="19439B41">
      <w:pPr>
        <w:tabs>
          <w:tab w:val="left" w:pos="1050"/>
        </w:tabs>
        <w:spacing w:line="500" w:lineRule="atLeast"/>
        <w:ind w:left="600"/>
        <w:rPr>
          <w:rFonts w:hint="eastAsia" w:ascii="仿宋" w:hAnsi="仿宋" w:eastAsia="仿宋" w:cs="仿宋"/>
          <w:b/>
          <w:sz w:val="24"/>
          <w:szCs w:val="24"/>
        </w:rPr>
      </w:pPr>
      <w:r>
        <w:rPr>
          <w:rFonts w:hint="eastAsia" w:ascii="仿宋" w:hAnsi="仿宋" w:eastAsia="仿宋" w:cs="仿宋"/>
          <w:b/>
          <w:sz w:val="24"/>
          <w:szCs w:val="24"/>
        </w:rPr>
        <w:t>5、其他：</w:t>
      </w:r>
    </w:p>
    <w:p w14:paraId="4E4D12F9">
      <w:pPr>
        <w:tabs>
          <w:tab w:val="left" w:pos="1050"/>
        </w:tabs>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①承包方必须按照《杭州市城市市容和环境卫生管理条例》、《杭州市城市环境卫生作业规范》和本招标文件进行作业。如在合同期内，行业主管部门颁发新的检查考核标准则以最新文件标准作业为准。</w:t>
      </w:r>
    </w:p>
    <w:p w14:paraId="6D9CC8EE">
      <w:pPr>
        <w:pStyle w:val="38"/>
        <w:spacing w:line="500" w:lineRule="atLeast"/>
        <w:ind w:firstLine="360" w:firstLineChars="150"/>
        <w:rPr>
          <w:rFonts w:hint="eastAsia" w:ascii="仿宋" w:hAnsi="仿宋" w:eastAsia="仿宋" w:cs="仿宋"/>
          <w:b w:val="0"/>
          <w:color w:val="auto"/>
          <w:sz w:val="24"/>
          <w:szCs w:val="24"/>
        </w:rPr>
      </w:pPr>
      <w:r>
        <w:rPr>
          <w:rFonts w:hint="eastAsia" w:ascii="仿宋" w:hAnsi="仿宋" w:eastAsia="仿宋" w:cs="仿宋"/>
          <w:b w:val="0"/>
          <w:color w:val="auto"/>
          <w:sz w:val="24"/>
          <w:szCs w:val="24"/>
        </w:rPr>
        <w:t>②作业人员须参加人身意外等保险。其中人身意外险必须在签订合同后一个月内办理完毕并提交招标人审核，否则招标人有权终止合同。</w:t>
      </w:r>
    </w:p>
    <w:p w14:paraId="238C9166">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③作业人员的收入待遇应按《杭州市人民政府办公厅关于进一步解决环卫工人实际困难保障其合法权益的意见》[2008]14号文件执行。足额发放人员工资、法定假日加班工资、夏季高温补贴。不得苛扣、拖延、漏发。</w:t>
      </w:r>
    </w:p>
    <w:p w14:paraId="0E167014">
      <w:pPr>
        <w:tabs>
          <w:tab w:val="left" w:pos="1050"/>
        </w:tabs>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④作业时遵守交通管理法规，保证安全。确保车辆整洁，设施完好，密闭运输，如有破损及时修复。发生各种事故由承包方自行解决，所产生的费用全部由承包方自行承担。</w:t>
      </w:r>
    </w:p>
    <w:p w14:paraId="2C5D2B16">
      <w:pPr>
        <w:tabs>
          <w:tab w:val="left" w:pos="1050"/>
        </w:tabs>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⑤规范管理，文明作业，自觉接受各级领导的检查和社会舆论的监督。</w:t>
      </w:r>
    </w:p>
    <w:p w14:paraId="084DDC2A">
      <w:pPr>
        <w:tabs>
          <w:tab w:val="left" w:pos="1050"/>
        </w:tabs>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（7）重要宾客来访及上级检查，要确保车辆设备整洁。如造成不良后果的视情给予通报批评立即作出相应处罚。</w:t>
      </w:r>
    </w:p>
    <w:p w14:paraId="13D8CCCE">
      <w:pPr>
        <w:tabs>
          <w:tab w:val="left" w:pos="1050"/>
        </w:tabs>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（8）中标单价调整方式：服务期限内中标单价不予调整。</w:t>
      </w:r>
    </w:p>
    <w:p w14:paraId="38348715">
      <w:pPr>
        <w:pStyle w:val="79"/>
        <w:spacing w:line="440" w:lineRule="exact"/>
        <w:ind w:firstLine="482" w:firstLineChars="200"/>
        <w:rPr>
          <w:rFonts w:hint="eastAsia" w:ascii="仿宋" w:hAnsi="仿宋" w:eastAsia="仿宋" w:cs="仿宋"/>
          <w:bCs/>
          <w:sz w:val="24"/>
          <w:szCs w:val="24"/>
        </w:rPr>
      </w:pPr>
      <w:r>
        <w:rPr>
          <w:rFonts w:hint="eastAsia" w:ascii="仿宋" w:hAnsi="仿宋" w:eastAsia="仿宋" w:cs="仿宋"/>
          <w:b/>
          <w:sz w:val="24"/>
          <w:szCs w:val="24"/>
        </w:rPr>
        <w:t>6、付款方式：</w:t>
      </w:r>
      <w:r>
        <w:rPr>
          <w:rFonts w:hint="eastAsia" w:ascii="仿宋" w:hAnsi="仿宋" w:eastAsia="仿宋" w:cs="仿宋"/>
          <w:bCs/>
          <w:sz w:val="24"/>
          <w:szCs w:val="24"/>
        </w:rPr>
        <w:t>先清运后支付，由招标人根据前一个月的考核结果在下月的15日前凭税务发票支付前一个月的服务费，最后一个月的费用在合同结束后15日内结清（遇节假日顺延）。</w:t>
      </w:r>
    </w:p>
    <w:p w14:paraId="6A39E702">
      <w:pPr>
        <w:spacing w:after="120" w:afterLines="50"/>
        <w:rPr>
          <w:rFonts w:hint="eastAsia" w:ascii="宋体" w:hAnsi="宋体"/>
          <w:bCs/>
          <w:sz w:val="24"/>
        </w:rPr>
      </w:pPr>
      <w:r>
        <w:rPr>
          <w:rFonts w:hint="eastAsia" w:ascii="宋体" w:hAnsi="宋体"/>
          <w:bCs/>
          <w:sz w:val="24"/>
        </w:rPr>
        <w:t>附件</w:t>
      </w:r>
    </w:p>
    <w:p w14:paraId="36B5CCB6">
      <w:pPr>
        <w:spacing w:after="120" w:afterLines="50"/>
        <w:ind w:firstLine="482" w:firstLineChars="200"/>
        <w:rPr>
          <w:rFonts w:hint="eastAsia" w:ascii="宋体" w:hAnsi="宋体"/>
          <w:b/>
          <w:bCs/>
          <w:sz w:val="24"/>
        </w:rPr>
      </w:pPr>
      <w:r>
        <w:rPr>
          <w:rFonts w:hint="eastAsia" w:ascii="宋体" w:hAnsi="宋体"/>
          <w:b/>
          <w:bCs/>
          <w:sz w:val="24"/>
          <w:lang w:val="en-US" w:eastAsia="zh-CN"/>
        </w:rPr>
        <w:t>7、</w:t>
      </w:r>
      <w:r>
        <w:rPr>
          <w:rFonts w:hint="eastAsia" w:ascii="宋体" w:hAnsi="宋体"/>
          <w:b/>
          <w:bCs/>
          <w:sz w:val="24"/>
        </w:rPr>
        <w:t>考核办法及奖惩措施</w:t>
      </w:r>
    </w:p>
    <w:p w14:paraId="706614AC">
      <w:pPr>
        <w:spacing w:line="480" w:lineRule="exact"/>
        <w:ind w:firstLine="540" w:firstLineChars="225"/>
        <w:rPr>
          <w:rFonts w:hint="eastAsia" w:ascii="仿宋" w:hAnsi="仿宋" w:eastAsia="仿宋" w:cs="仿宋"/>
          <w:sz w:val="24"/>
        </w:rPr>
      </w:pPr>
      <w:r>
        <w:rPr>
          <w:rFonts w:hint="eastAsia" w:ascii="仿宋" w:hAnsi="仿宋" w:eastAsia="仿宋" w:cs="仿宋"/>
          <w:sz w:val="24"/>
        </w:rPr>
        <w:t>1、自查。清运公司每月进行一次自查，自行打分，每月10日前将自查情况上报环卫处。</w:t>
      </w:r>
    </w:p>
    <w:p w14:paraId="3A352DB0">
      <w:pPr>
        <w:spacing w:line="480" w:lineRule="exact"/>
        <w:ind w:firstLine="540" w:firstLineChars="225"/>
        <w:rPr>
          <w:rFonts w:hint="eastAsia" w:ascii="仿宋" w:hAnsi="仿宋" w:eastAsia="仿宋" w:cs="仿宋"/>
          <w:sz w:val="24"/>
        </w:rPr>
      </w:pPr>
      <w:r>
        <w:rPr>
          <w:rFonts w:hint="eastAsia" w:ascii="仿宋" w:hAnsi="仿宋" w:eastAsia="仿宋" w:cs="仿宋"/>
          <w:sz w:val="24"/>
        </w:rPr>
        <w:t>2、抽查。抽查考核由环卫处牵头组织实施，相关街、镇共同参与，每季度抽查1-2次。抽查考核分值由环卫处汇总统计。</w:t>
      </w:r>
    </w:p>
    <w:p w14:paraId="49520DFC">
      <w:pPr>
        <w:spacing w:line="480" w:lineRule="exact"/>
        <w:ind w:firstLine="480" w:firstLineChars="200"/>
        <w:rPr>
          <w:rFonts w:hint="eastAsia" w:ascii="仿宋" w:hAnsi="仿宋" w:eastAsia="仿宋" w:cs="仿宋"/>
          <w:sz w:val="24"/>
        </w:rPr>
      </w:pPr>
      <w:r>
        <w:rPr>
          <w:rFonts w:hint="eastAsia" w:ascii="仿宋" w:hAnsi="仿宋" w:eastAsia="仿宋" w:cs="仿宋"/>
          <w:sz w:val="24"/>
        </w:rPr>
        <w:t>3、奖惩措施</w:t>
      </w:r>
    </w:p>
    <w:p w14:paraId="58598D18">
      <w:pPr>
        <w:spacing w:line="480" w:lineRule="exact"/>
        <w:ind w:firstLine="480" w:firstLineChars="200"/>
        <w:rPr>
          <w:rFonts w:hint="eastAsia" w:ascii="仿宋" w:hAnsi="仿宋" w:eastAsia="仿宋" w:cs="仿宋"/>
          <w:sz w:val="24"/>
        </w:rPr>
      </w:pPr>
      <w:r>
        <w:rPr>
          <w:rFonts w:hint="eastAsia" w:ascii="仿宋" w:hAnsi="仿宋" w:eastAsia="仿宋" w:cs="仿宋"/>
          <w:sz w:val="24"/>
        </w:rPr>
        <w:t>①每月自查考核总分为100分，考核分低于90分（不含90分），少一分扣500元。</w:t>
      </w:r>
    </w:p>
    <w:p w14:paraId="259C1203">
      <w:pPr>
        <w:spacing w:line="480" w:lineRule="exact"/>
        <w:ind w:firstLine="480" w:firstLineChars="200"/>
        <w:rPr>
          <w:rFonts w:hint="eastAsia" w:ascii="仿宋" w:hAnsi="仿宋" w:eastAsia="仿宋" w:cs="仿宋"/>
          <w:sz w:val="24"/>
        </w:rPr>
      </w:pPr>
      <w:r>
        <w:rPr>
          <w:rFonts w:hint="eastAsia" w:ascii="仿宋" w:hAnsi="仿宋" w:eastAsia="仿宋" w:cs="仿宋"/>
          <w:sz w:val="24"/>
        </w:rPr>
        <w:t>②每次抽查考核总分为100分，考核分高于95分，根据情况适合予以奖励。</w:t>
      </w:r>
    </w:p>
    <w:p w14:paraId="0677CFCF">
      <w:pPr>
        <w:pStyle w:val="79"/>
        <w:spacing w:line="480" w:lineRule="exact"/>
        <w:ind w:firstLine="480" w:firstLineChars="200"/>
        <w:rPr>
          <w:highlight w:val="none"/>
        </w:rPr>
      </w:pPr>
      <w:r>
        <w:rPr>
          <w:rFonts w:hint="eastAsia" w:ascii="仿宋" w:hAnsi="仿宋" w:eastAsia="仿宋" w:cs="仿宋"/>
        </w:rPr>
        <w:t>③每次抽查考核分低于90分（不含90分），少一分扣500元；一次抽查考核分低于80分，对清运公司扣款5000-10000元；连续二次抽查考核分低于80分，给予警告，并与清运企业负责人进行约谈；连续三次抽查考核分低于80分，对清运公司扣款</w:t>
      </w:r>
      <w:r>
        <w:rPr>
          <w:rFonts w:hint="eastAsia" w:ascii="仿宋" w:hAnsi="仿宋" w:eastAsia="仿宋" w:cs="仿宋"/>
          <w:lang w:val="en-US" w:eastAsia="zh-CN"/>
        </w:rPr>
        <w:t>5</w:t>
      </w:r>
      <w:r>
        <w:rPr>
          <w:rFonts w:hint="eastAsia" w:ascii="仿宋" w:hAnsi="仿宋" w:eastAsia="仿宋" w:cs="仿宋"/>
        </w:rPr>
        <w:t>0000元。</w:t>
      </w:r>
    </w:p>
    <w:p w14:paraId="7EE54E3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_GB2312"/>
          <w:b/>
          <w:sz w:val="36"/>
          <w:szCs w:val="36"/>
          <w:highlight w:val="none"/>
        </w:rPr>
      </w:pPr>
    </w:p>
    <w:p w14:paraId="5E6FDA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_GB2312"/>
          <w:b/>
          <w:sz w:val="36"/>
          <w:szCs w:val="36"/>
          <w:highlight w:val="none"/>
        </w:rPr>
      </w:pPr>
    </w:p>
    <w:p w14:paraId="4F0FEB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_GB2312"/>
          <w:b/>
          <w:sz w:val="36"/>
          <w:szCs w:val="36"/>
          <w:highlight w:val="none"/>
        </w:rPr>
      </w:pPr>
    </w:p>
    <w:p w14:paraId="75BF163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_GB2312"/>
          <w:b/>
          <w:sz w:val="36"/>
          <w:szCs w:val="36"/>
          <w:highlight w:val="none"/>
        </w:rPr>
      </w:pPr>
    </w:p>
    <w:p w14:paraId="4461BB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ascii="仿宋" w:hAnsi="仿宋" w:eastAsia="仿宋" w:cs="仿宋_GB2312"/>
          <w:b/>
          <w:sz w:val="36"/>
          <w:szCs w:val="36"/>
          <w:highlight w:val="none"/>
        </w:rPr>
      </w:pPr>
      <w:r>
        <w:rPr>
          <w:rFonts w:hint="eastAsia" w:ascii="仿宋" w:hAnsi="仿宋" w:eastAsia="仿宋" w:cs="仿宋_GB2312"/>
          <w:b/>
          <w:sz w:val="36"/>
          <w:szCs w:val="36"/>
          <w:highlight w:val="none"/>
        </w:rPr>
        <w:t>第四部分</w:t>
      </w:r>
      <w:r>
        <w:rPr>
          <w:rFonts w:ascii="仿宋" w:hAnsi="仿宋" w:eastAsia="仿宋" w:cs="仿宋_GB2312"/>
          <w:b/>
          <w:sz w:val="36"/>
          <w:szCs w:val="36"/>
          <w:highlight w:val="none"/>
        </w:rPr>
        <w:t xml:space="preserve">   </w:t>
      </w:r>
      <w:bookmarkStart w:id="26" w:name="_Toc184313275"/>
      <w:bookmarkEnd w:id="26"/>
      <w:bookmarkStart w:id="27" w:name="_Toc184314420"/>
      <w:bookmarkEnd w:id="27"/>
      <w:bookmarkStart w:id="28" w:name="_Toc184310324"/>
      <w:bookmarkEnd w:id="28"/>
      <w:bookmarkStart w:id="29" w:name="_Toc184310294"/>
      <w:bookmarkEnd w:id="29"/>
      <w:bookmarkStart w:id="30" w:name="_Toc184313260"/>
      <w:bookmarkEnd w:id="30"/>
      <w:bookmarkStart w:id="31" w:name="_Toc184313291"/>
      <w:bookmarkEnd w:id="31"/>
      <w:bookmarkStart w:id="32" w:name="_Toc184314467"/>
      <w:bookmarkEnd w:id="32"/>
      <w:bookmarkStart w:id="33" w:name="_Toc184314438"/>
      <w:bookmarkEnd w:id="33"/>
      <w:bookmarkStart w:id="34" w:name="_Toc184313263"/>
      <w:bookmarkEnd w:id="34"/>
      <w:bookmarkStart w:id="35" w:name="_Toc184314432"/>
      <w:bookmarkEnd w:id="35"/>
      <w:bookmarkStart w:id="36" w:name="_Toc184310331"/>
      <w:bookmarkEnd w:id="36"/>
      <w:bookmarkStart w:id="37" w:name="_Toc184314456"/>
      <w:bookmarkEnd w:id="37"/>
      <w:bookmarkStart w:id="38" w:name="_Toc184312131"/>
      <w:bookmarkEnd w:id="38"/>
      <w:bookmarkStart w:id="39" w:name="_Toc184308066"/>
      <w:bookmarkEnd w:id="39"/>
      <w:bookmarkStart w:id="40" w:name="_Toc184313252"/>
      <w:bookmarkEnd w:id="40"/>
      <w:bookmarkStart w:id="41" w:name="_Toc184308046"/>
      <w:bookmarkEnd w:id="41"/>
      <w:bookmarkStart w:id="42" w:name="_Toc184313302"/>
      <w:bookmarkEnd w:id="42"/>
      <w:bookmarkStart w:id="43" w:name="_Toc184313305"/>
      <w:bookmarkEnd w:id="43"/>
      <w:bookmarkStart w:id="44" w:name="_Toc184314454"/>
      <w:bookmarkEnd w:id="44"/>
      <w:bookmarkStart w:id="45" w:name="_Toc184313304"/>
      <w:bookmarkEnd w:id="45"/>
      <w:bookmarkStart w:id="46" w:name="_Toc184312091"/>
      <w:bookmarkEnd w:id="46"/>
      <w:bookmarkStart w:id="47" w:name="_Toc184314453"/>
      <w:bookmarkEnd w:id="47"/>
      <w:bookmarkStart w:id="48" w:name="_Toc184313258"/>
      <w:bookmarkEnd w:id="48"/>
      <w:bookmarkStart w:id="49" w:name="_Toc184312126"/>
      <w:bookmarkEnd w:id="49"/>
      <w:bookmarkStart w:id="50" w:name="_Toc184314436"/>
      <w:bookmarkEnd w:id="50"/>
      <w:bookmarkStart w:id="51" w:name="_Toc184314479"/>
      <w:bookmarkEnd w:id="51"/>
      <w:bookmarkStart w:id="52" w:name="_Toc184313248"/>
      <w:bookmarkEnd w:id="52"/>
      <w:bookmarkStart w:id="53" w:name="_Toc184310320"/>
      <w:bookmarkEnd w:id="53"/>
      <w:bookmarkStart w:id="54" w:name="_Toc184312076"/>
      <w:bookmarkEnd w:id="54"/>
      <w:bookmarkStart w:id="55" w:name="_Toc184308108"/>
      <w:bookmarkEnd w:id="55"/>
      <w:bookmarkStart w:id="56" w:name="_Toc184308037"/>
      <w:bookmarkEnd w:id="56"/>
      <w:bookmarkStart w:id="57" w:name="_Toc184310333"/>
      <w:bookmarkEnd w:id="57"/>
      <w:bookmarkStart w:id="58" w:name="_Toc184310316"/>
      <w:bookmarkEnd w:id="58"/>
      <w:bookmarkStart w:id="59" w:name="_Toc184308040"/>
      <w:bookmarkEnd w:id="59"/>
      <w:bookmarkStart w:id="60" w:name="_Toc184312102"/>
      <w:bookmarkEnd w:id="60"/>
      <w:bookmarkStart w:id="61" w:name="_Toc184312112"/>
      <w:bookmarkEnd w:id="61"/>
      <w:bookmarkStart w:id="62" w:name="_Toc184312127"/>
      <w:bookmarkEnd w:id="62"/>
      <w:bookmarkStart w:id="63" w:name="_Toc184312101"/>
      <w:bookmarkEnd w:id="63"/>
      <w:bookmarkStart w:id="64" w:name="_Toc184310282"/>
      <w:bookmarkEnd w:id="64"/>
      <w:bookmarkStart w:id="65" w:name="_Toc184314477"/>
      <w:bookmarkEnd w:id="65"/>
      <w:bookmarkStart w:id="66" w:name="_Toc184310272"/>
      <w:bookmarkEnd w:id="66"/>
      <w:bookmarkStart w:id="67" w:name="_Toc184310323"/>
      <w:bookmarkEnd w:id="67"/>
      <w:bookmarkStart w:id="68" w:name="_Toc184312083"/>
      <w:bookmarkEnd w:id="68"/>
      <w:bookmarkStart w:id="69" w:name="_Toc184310310"/>
      <w:bookmarkEnd w:id="69"/>
      <w:bookmarkStart w:id="70" w:name="_Toc184310304"/>
      <w:bookmarkEnd w:id="70"/>
      <w:bookmarkStart w:id="71" w:name="_Toc184314418"/>
      <w:bookmarkEnd w:id="71"/>
      <w:bookmarkStart w:id="72" w:name="_Toc184314465"/>
      <w:bookmarkEnd w:id="72"/>
      <w:bookmarkStart w:id="73" w:name="_Toc184314466"/>
      <w:bookmarkEnd w:id="73"/>
      <w:bookmarkStart w:id="74" w:name="_Toc184312124"/>
      <w:bookmarkEnd w:id="74"/>
      <w:bookmarkStart w:id="75" w:name="_Toc184312093"/>
      <w:bookmarkEnd w:id="75"/>
      <w:bookmarkStart w:id="76" w:name="_Toc184313239"/>
      <w:bookmarkEnd w:id="76"/>
      <w:bookmarkStart w:id="77" w:name="_Toc184314460"/>
      <w:bookmarkEnd w:id="77"/>
      <w:bookmarkStart w:id="78" w:name="_Toc184312103"/>
      <w:bookmarkEnd w:id="78"/>
      <w:bookmarkStart w:id="79" w:name="_Toc184308059"/>
      <w:bookmarkEnd w:id="79"/>
      <w:bookmarkStart w:id="80" w:name="_Toc184314433"/>
      <w:bookmarkEnd w:id="80"/>
      <w:bookmarkStart w:id="81" w:name="_Toc184314446"/>
      <w:bookmarkEnd w:id="81"/>
      <w:bookmarkStart w:id="82" w:name="_Toc184314413"/>
      <w:bookmarkEnd w:id="82"/>
      <w:bookmarkStart w:id="83" w:name="_Toc184314444"/>
      <w:bookmarkEnd w:id="83"/>
      <w:bookmarkStart w:id="84" w:name="_Toc184308052"/>
      <w:bookmarkEnd w:id="84"/>
      <w:bookmarkStart w:id="85" w:name="_Toc184314424"/>
      <w:bookmarkEnd w:id="85"/>
      <w:bookmarkStart w:id="86" w:name="_Toc184308084"/>
      <w:bookmarkEnd w:id="86"/>
      <w:bookmarkStart w:id="87" w:name="_Toc184314478"/>
      <w:bookmarkEnd w:id="87"/>
      <w:bookmarkStart w:id="88" w:name="_Toc184313241"/>
      <w:bookmarkEnd w:id="88"/>
      <w:bookmarkStart w:id="89" w:name="_Toc184312138"/>
      <w:bookmarkEnd w:id="89"/>
      <w:bookmarkStart w:id="90" w:name="_Toc184308090"/>
      <w:bookmarkEnd w:id="90"/>
      <w:bookmarkStart w:id="91" w:name="_Toc184314441"/>
      <w:bookmarkEnd w:id="91"/>
      <w:bookmarkStart w:id="92" w:name="_Toc184308093"/>
      <w:bookmarkEnd w:id="92"/>
      <w:bookmarkStart w:id="93" w:name="_Toc184313266"/>
      <w:bookmarkEnd w:id="93"/>
      <w:bookmarkStart w:id="94" w:name="_Toc184308069"/>
      <w:bookmarkEnd w:id="94"/>
      <w:bookmarkStart w:id="95" w:name="_Toc184310340"/>
      <w:bookmarkEnd w:id="95"/>
      <w:bookmarkStart w:id="96" w:name="_Toc184314448"/>
      <w:bookmarkEnd w:id="96"/>
      <w:bookmarkStart w:id="97" w:name="_Toc184310312"/>
      <w:bookmarkEnd w:id="97"/>
      <w:bookmarkStart w:id="98" w:name="_Toc184314474"/>
      <w:bookmarkEnd w:id="98"/>
      <w:bookmarkStart w:id="99" w:name="_Toc184312095"/>
      <w:bookmarkEnd w:id="99"/>
      <w:bookmarkStart w:id="100" w:name="_Toc184308056"/>
      <w:bookmarkEnd w:id="100"/>
      <w:bookmarkStart w:id="101" w:name="_Toc184310343"/>
      <w:bookmarkEnd w:id="101"/>
      <w:bookmarkStart w:id="102" w:name="_Toc184312068"/>
      <w:bookmarkEnd w:id="102"/>
      <w:bookmarkStart w:id="103" w:name="_Toc184308107"/>
      <w:bookmarkEnd w:id="103"/>
      <w:bookmarkStart w:id="104" w:name="_Toc184314469"/>
      <w:bookmarkEnd w:id="104"/>
      <w:bookmarkStart w:id="105" w:name="_Toc184314429"/>
      <w:bookmarkEnd w:id="105"/>
      <w:bookmarkStart w:id="106" w:name="_Toc184312082"/>
      <w:bookmarkEnd w:id="106"/>
      <w:bookmarkStart w:id="107" w:name="_Toc184310291"/>
      <w:bookmarkEnd w:id="107"/>
      <w:bookmarkStart w:id="108" w:name="_Toc184313261"/>
      <w:bookmarkEnd w:id="108"/>
      <w:bookmarkStart w:id="109" w:name="_Toc184310321"/>
      <w:bookmarkEnd w:id="109"/>
      <w:bookmarkStart w:id="110" w:name="_Toc184314482"/>
      <w:bookmarkEnd w:id="110"/>
      <w:bookmarkStart w:id="111" w:name="_Toc184308099"/>
      <w:bookmarkEnd w:id="111"/>
      <w:bookmarkStart w:id="112" w:name="_Toc184308077"/>
      <w:bookmarkEnd w:id="112"/>
      <w:bookmarkStart w:id="113" w:name="_Toc184310289"/>
      <w:bookmarkEnd w:id="113"/>
      <w:bookmarkStart w:id="114" w:name="_Toc184312110"/>
      <w:bookmarkEnd w:id="114"/>
      <w:bookmarkStart w:id="115" w:name="_Toc184308104"/>
      <w:bookmarkEnd w:id="115"/>
      <w:bookmarkStart w:id="116" w:name="_Toc184310280"/>
      <w:bookmarkEnd w:id="116"/>
      <w:bookmarkStart w:id="117" w:name="_Toc184308057"/>
      <w:bookmarkEnd w:id="117"/>
      <w:bookmarkStart w:id="118" w:name="_Toc184314428"/>
      <w:bookmarkEnd w:id="118"/>
      <w:bookmarkStart w:id="119" w:name="_Toc184312094"/>
      <w:bookmarkEnd w:id="119"/>
      <w:bookmarkStart w:id="120" w:name="_Toc184312114"/>
      <w:bookmarkEnd w:id="120"/>
      <w:bookmarkStart w:id="121" w:name="_Toc184314459"/>
      <w:bookmarkEnd w:id="121"/>
      <w:bookmarkStart w:id="122" w:name="_Toc184313307"/>
      <w:bookmarkEnd w:id="122"/>
      <w:bookmarkStart w:id="123" w:name="_Toc184314452"/>
      <w:bookmarkEnd w:id="123"/>
      <w:bookmarkStart w:id="124" w:name="_Toc184308085"/>
      <w:bookmarkEnd w:id="124"/>
      <w:bookmarkStart w:id="125" w:name="_Toc184310337"/>
      <w:bookmarkEnd w:id="125"/>
      <w:bookmarkStart w:id="126" w:name="_Toc184313250"/>
      <w:bookmarkEnd w:id="126"/>
      <w:bookmarkStart w:id="127" w:name="_Toc184310277"/>
      <w:bookmarkEnd w:id="127"/>
      <w:bookmarkStart w:id="128" w:name="_Toc184308079"/>
      <w:bookmarkEnd w:id="128"/>
      <w:bookmarkStart w:id="129" w:name="_Toc184313299"/>
      <w:bookmarkEnd w:id="129"/>
      <w:bookmarkStart w:id="130" w:name="_Toc184310283"/>
      <w:bookmarkEnd w:id="130"/>
      <w:bookmarkStart w:id="131" w:name="_Toc184308038"/>
      <w:bookmarkEnd w:id="131"/>
      <w:bookmarkStart w:id="132" w:name="_Toc184310330"/>
      <w:bookmarkEnd w:id="132"/>
      <w:bookmarkStart w:id="133" w:name="_Toc184310298"/>
      <w:bookmarkEnd w:id="133"/>
      <w:bookmarkStart w:id="134" w:name="_Toc184308064"/>
      <w:bookmarkEnd w:id="134"/>
      <w:bookmarkStart w:id="135" w:name="_Toc184312129"/>
      <w:bookmarkEnd w:id="135"/>
      <w:bookmarkStart w:id="136" w:name="_Toc184308088"/>
      <w:bookmarkEnd w:id="136"/>
      <w:bookmarkStart w:id="137" w:name="_Toc184313277"/>
      <w:bookmarkEnd w:id="137"/>
      <w:bookmarkStart w:id="138" w:name="_Toc184308063"/>
      <w:bookmarkEnd w:id="138"/>
      <w:bookmarkStart w:id="139" w:name="_Toc184313268"/>
      <w:bookmarkEnd w:id="139"/>
      <w:bookmarkStart w:id="140" w:name="_Toc184308067"/>
      <w:bookmarkEnd w:id="140"/>
      <w:bookmarkStart w:id="141" w:name="_Toc184308105"/>
      <w:bookmarkEnd w:id="141"/>
      <w:bookmarkStart w:id="142" w:name="_Toc184313279"/>
      <w:bookmarkEnd w:id="142"/>
      <w:bookmarkStart w:id="143" w:name="_Toc184310338"/>
      <w:bookmarkEnd w:id="143"/>
      <w:bookmarkStart w:id="144" w:name="_Toc184314472"/>
      <w:bookmarkEnd w:id="144"/>
      <w:bookmarkStart w:id="145" w:name="_Toc184310273"/>
      <w:bookmarkEnd w:id="145"/>
      <w:bookmarkStart w:id="146" w:name="_Toc184314437"/>
      <w:bookmarkEnd w:id="146"/>
      <w:bookmarkStart w:id="147" w:name="_Toc184312125"/>
      <w:bookmarkEnd w:id="147"/>
      <w:bookmarkStart w:id="148" w:name="_Toc184308050"/>
      <w:bookmarkEnd w:id="148"/>
      <w:bookmarkStart w:id="149" w:name="_Toc184313294"/>
      <w:bookmarkEnd w:id="149"/>
      <w:bookmarkStart w:id="150" w:name="_Toc184313288"/>
      <w:bookmarkEnd w:id="150"/>
      <w:bookmarkStart w:id="151" w:name="_Toc184314434"/>
      <w:bookmarkEnd w:id="151"/>
      <w:bookmarkStart w:id="152" w:name="_Toc184313310"/>
      <w:bookmarkEnd w:id="152"/>
      <w:bookmarkStart w:id="153" w:name="_Toc184313298"/>
      <w:bookmarkEnd w:id="153"/>
      <w:bookmarkStart w:id="154" w:name="_Toc184308106"/>
      <w:bookmarkEnd w:id="154"/>
      <w:bookmarkStart w:id="155" w:name="_Toc184312123"/>
      <w:bookmarkEnd w:id="155"/>
      <w:bookmarkStart w:id="156" w:name="_Toc184314419"/>
      <w:bookmarkEnd w:id="156"/>
      <w:bookmarkStart w:id="157" w:name="_Toc184310302"/>
      <w:bookmarkEnd w:id="157"/>
      <w:bookmarkStart w:id="158" w:name="_Toc184312111"/>
      <w:bookmarkEnd w:id="158"/>
      <w:bookmarkStart w:id="159" w:name="_Toc184313297"/>
      <w:bookmarkEnd w:id="159"/>
      <w:bookmarkStart w:id="160" w:name="_Toc184312135"/>
      <w:bookmarkEnd w:id="160"/>
      <w:bookmarkStart w:id="161" w:name="_Toc184308092"/>
      <w:bookmarkEnd w:id="161"/>
      <w:bookmarkStart w:id="162" w:name="_Toc184308096"/>
      <w:bookmarkEnd w:id="162"/>
      <w:bookmarkStart w:id="163" w:name="_Toc184313254"/>
      <w:bookmarkEnd w:id="163"/>
      <w:bookmarkStart w:id="164" w:name="_Toc184312084"/>
      <w:bookmarkEnd w:id="164"/>
      <w:bookmarkStart w:id="165" w:name="_Toc184310303"/>
      <w:bookmarkEnd w:id="165"/>
      <w:bookmarkStart w:id="166" w:name="_Toc184308080"/>
      <w:bookmarkEnd w:id="166"/>
      <w:bookmarkStart w:id="167" w:name="_Toc184308043"/>
      <w:bookmarkEnd w:id="167"/>
      <w:bookmarkStart w:id="168" w:name="_Toc184313282"/>
      <w:bookmarkEnd w:id="168"/>
      <w:bookmarkStart w:id="169" w:name="_Toc184308101"/>
      <w:bookmarkEnd w:id="169"/>
      <w:bookmarkStart w:id="170" w:name="_Toc184308060"/>
      <w:bookmarkEnd w:id="170"/>
      <w:bookmarkStart w:id="171" w:name="_Toc184312117"/>
      <w:bookmarkEnd w:id="171"/>
      <w:bookmarkStart w:id="172" w:name="_Toc184314426"/>
      <w:bookmarkEnd w:id="172"/>
      <w:bookmarkStart w:id="173" w:name="_Toc184313280"/>
      <w:bookmarkEnd w:id="173"/>
      <w:bookmarkStart w:id="174" w:name="_Toc184308098"/>
      <w:bookmarkEnd w:id="174"/>
      <w:bookmarkStart w:id="175" w:name="_Toc184310301"/>
      <w:bookmarkEnd w:id="175"/>
      <w:bookmarkStart w:id="176" w:name="_Toc184313303"/>
      <w:bookmarkEnd w:id="176"/>
      <w:bookmarkStart w:id="177" w:name="_Toc184310279"/>
      <w:bookmarkEnd w:id="177"/>
      <w:bookmarkStart w:id="178" w:name="_Toc184314435"/>
      <w:bookmarkEnd w:id="178"/>
      <w:bookmarkStart w:id="179" w:name="_Toc184312097"/>
      <w:bookmarkEnd w:id="179"/>
      <w:bookmarkStart w:id="180" w:name="_Toc184308047"/>
      <w:bookmarkEnd w:id="180"/>
      <w:bookmarkStart w:id="181" w:name="_Toc184312087"/>
      <w:bookmarkEnd w:id="181"/>
      <w:bookmarkStart w:id="182" w:name="_Toc184312088"/>
      <w:bookmarkEnd w:id="182"/>
      <w:bookmarkStart w:id="183" w:name="_Toc184313309"/>
      <w:bookmarkEnd w:id="183"/>
      <w:bookmarkStart w:id="184" w:name="_Toc184313301"/>
      <w:bookmarkEnd w:id="184"/>
      <w:bookmarkStart w:id="185" w:name="_Toc184313296"/>
      <w:bookmarkEnd w:id="185"/>
      <w:bookmarkStart w:id="186" w:name="_Toc184310306"/>
      <w:bookmarkEnd w:id="186"/>
      <w:bookmarkStart w:id="187" w:name="_Toc184310275"/>
      <w:bookmarkEnd w:id="187"/>
      <w:bookmarkStart w:id="188" w:name="_Toc184313244"/>
      <w:bookmarkEnd w:id="188"/>
      <w:bookmarkStart w:id="189" w:name="_Toc184308072"/>
      <w:bookmarkEnd w:id="189"/>
      <w:bookmarkStart w:id="190" w:name="_Toc184314442"/>
      <w:bookmarkEnd w:id="190"/>
      <w:bookmarkStart w:id="191" w:name="_Toc184312073"/>
      <w:bookmarkEnd w:id="191"/>
      <w:bookmarkStart w:id="192" w:name="_Toc184314475"/>
      <w:bookmarkEnd w:id="192"/>
      <w:bookmarkStart w:id="193" w:name="_Toc184308054"/>
      <w:bookmarkEnd w:id="193"/>
      <w:bookmarkStart w:id="194" w:name="_Toc184313272"/>
      <w:bookmarkEnd w:id="194"/>
      <w:bookmarkStart w:id="195" w:name="_Toc184312136"/>
      <w:bookmarkEnd w:id="195"/>
      <w:bookmarkStart w:id="196" w:name="_Toc184312107"/>
      <w:bookmarkEnd w:id="196"/>
      <w:bookmarkStart w:id="197" w:name="_Toc184310344"/>
      <w:bookmarkEnd w:id="197"/>
      <w:bookmarkStart w:id="198" w:name="_Toc184314412"/>
      <w:bookmarkEnd w:id="198"/>
      <w:bookmarkStart w:id="199" w:name="_Toc184310342"/>
      <w:bookmarkEnd w:id="199"/>
      <w:bookmarkStart w:id="200" w:name="_Toc184314464"/>
      <w:bookmarkEnd w:id="200"/>
      <w:bookmarkStart w:id="201" w:name="_Toc184312120"/>
      <w:bookmarkEnd w:id="201"/>
      <w:bookmarkStart w:id="202" w:name="_Toc184314450"/>
      <w:bookmarkEnd w:id="202"/>
      <w:bookmarkStart w:id="203" w:name="_Toc184310332"/>
      <w:bookmarkEnd w:id="203"/>
      <w:bookmarkStart w:id="204" w:name="_Toc184313240"/>
      <w:bookmarkEnd w:id="204"/>
      <w:bookmarkStart w:id="205" w:name="_Toc184312081"/>
      <w:bookmarkEnd w:id="205"/>
      <w:bookmarkStart w:id="206" w:name="_Toc184308091"/>
      <w:bookmarkEnd w:id="206"/>
      <w:bookmarkStart w:id="207" w:name="_Toc184312134"/>
      <w:bookmarkEnd w:id="207"/>
      <w:bookmarkStart w:id="208" w:name="_Toc184313292"/>
      <w:bookmarkEnd w:id="208"/>
      <w:bookmarkStart w:id="209" w:name="_Toc184312109"/>
      <w:bookmarkEnd w:id="209"/>
      <w:bookmarkStart w:id="210" w:name="_Toc184310286"/>
      <w:bookmarkEnd w:id="210"/>
      <w:bookmarkStart w:id="211" w:name="_Toc184308078"/>
      <w:bookmarkEnd w:id="211"/>
      <w:bookmarkStart w:id="212" w:name="_Toc184310325"/>
      <w:bookmarkEnd w:id="212"/>
      <w:bookmarkStart w:id="213" w:name="_Toc184310305"/>
      <w:bookmarkEnd w:id="213"/>
      <w:bookmarkStart w:id="214" w:name="_Toc184313285"/>
      <w:bookmarkEnd w:id="214"/>
      <w:bookmarkStart w:id="215" w:name="_Toc184310314"/>
      <w:bookmarkEnd w:id="215"/>
      <w:bookmarkStart w:id="216" w:name="_Toc184313238"/>
      <w:bookmarkEnd w:id="216"/>
      <w:bookmarkStart w:id="217" w:name="_Toc184308103"/>
      <w:bookmarkEnd w:id="217"/>
      <w:bookmarkStart w:id="218" w:name="_Toc184313278"/>
      <w:bookmarkEnd w:id="218"/>
      <w:bookmarkStart w:id="219" w:name="_Toc184314423"/>
      <w:bookmarkEnd w:id="219"/>
      <w:bookmarkStart w:id="220" w:name="_Toc184308081"/>
      <w:bookmarkEnd w:id="220"/>
      <w:bookmarkStart w:id="221" w:name="_Toc184313267"/>
      <w:bookmarkEnd w:id="221"/>
      <w:bookmarkStart w:id="222" w:name="_Toc184314480"/>
      <w:bookmarkEnd w:id="222"/>
      <w:bookmarkStart w:id="223" w:name="_Toc184313271"/>
      <w:bookmarkEnd w:id="223"/>
      <w:bookmarkStart w:id="224" w:name="_Toc184314443"/>
      <w:bookmarkEnd w:id="224"/>
      <w:bookmarkStart w:id="225" w:name="_Toc184308044"/>
      <w:bookmarkEnd w:id="225"/>
      <w:bookmarkStart w:id="226" w:name="_Toc184313255"/>
      <w:bookmarkEnd w:id="226"/>
      <w:bookmarkStart w:id="227" w:name="_Toc184308100"/>
      <w:bookmarkEnd w:id="227"/>
      <w:bookmarkStart w:id="228" w:name="_Toc184310308"/>
      <w:bookmarkEnd w:id="228"/>
      <w:bookmarkStart w:id="229" w:name="_Toc184308089"/>
      <w:bookmarkEnd w:id="229"/>
      <w:bookmarkStart w:id="230" w:name="_Toc184314431"/>
      <w:bookmarkEnd w:id="230"/>
      <w:bookmarkStart w:id="231" w:name="_Toc184314476"/>
      <w:bookmarkEnd w:id="231"/>
      <w:bookmarkStart w:id="232" w:name="_Toc184314414"/>
      <w:bookmarkEnd w:id="232"/>
      <w:bookmarkStart w:id="233" w:name="_Toc184312130"/>
      <w:bookmarkEnd w:id="233"/>
      <w:bookmarkStart w:id="234" w:name="_Toc184308036"/>
      <w:bookmarkEnd w:id="234"/>
      <w:bookmarkStart w:id="235" w:name="_Toc184313269"/>
      <w:bookmarkEnd w:id="235"/>
      <w:bookmarkStart w:id="236" w:name="_Toc184313276"/>
      <w:bookmarkEnd w:id="236"/>
      <w:bookmarkStart w:id="237" w:name="_Toc184313290"/>
      <w:bookmarkEnd w:id="237"/>
      <w:bookmarkStart w:id="238" w:name="_Toc184308058"/>
      <w:bookmarkEnd w:id="238"/>
      <w:bookmarkStart w:id="239" w:name="_Toc184308053"/>
      <w:bookmarkEnd w:id="239"/>
      <w:bookmarkStart w:id="240" w:name="_Toc184312085"/>
      <w:bookmarkEnd w:id="240"/>
      <w:bookmarkStart w:id="241" w:name="_Toc184310299"/>
      <w:bookmarkEnd w:id="241"/>
      <w:bookmarkStart w:id="242" w:name="_Toc184313284"/>
      <w:bookmarkEnd w:id="242"/>
      <w:bookmarkStart w:id="243" w:name="_Toc184312089"/>
      <w:bookmarkEnd w:id="243"/>
      <w:bookmarkStart w:id="244" w:name="_Toc184314427"/>
      <w:bookmarkEnd w:id="244"/>
      <w:bookmarkStart w:id="245" w:name="_Toc184314462"/>
      <w:bookmarkEnd w:id="245"/>
      <w:bookmarkStart w:id="246" w:name="_Toc184312137"/>
      <w:bookmarkEnd w:id="246"/>
      <w:bookmarkStart w:id="247" w:name="_Toc184313270"/>
      <w:bookmarkEnd w:id="247"/>
      <w:bookmarkStart w:id="248" w:name="_Toc184308086"/>
      <w:bookmarkEnd w:id="248"/>
      <w:bookmarkStart w:id="249" w:name="_Toc184313264"/>
      <w:bookmarkEnd w:id="249"/>
      <w:bookmarkStart w:id="250" w:name="_Toc184314463"/>
      <w:bookmarkEnd w:id="250"/>
      <w:bookmarkStart w:id="251" w:name="_Toc184313265"/>
      <w:bookmarkEnd w:id="251"/>
      <w:bookmarkStart w:id="252" w:name="_Toc184308061"/>
      <w:bookmarkEnd w:id="252"/>
      <w:bookmarkStart w:id="253" w:name="_Toc184313257"/>
      <w:bookmarkEnd w:id="253"/>
      <w:bookmarkStart w:id="254" w:name="_Toc184313283"/>
      <w:bookmarkEnd w:id="254"/>
      <w:bookmarkStart w:id="255" w:name="_Toc184308074"/>
      <w:bookmarkEnd w:id="255"/>
      <w:bookmarkStart w:id="256" w:name="_Toc184313246"/>
      <w:bookmarkEnd w:id="256"/>
      <w:bookmarkStart w:id="257" w:name="_Toc184314449"/>
      <w:bookmarkEnd w:id="257"/>
      <w:bookmarkStart w:id="258" w:name="_Toc184312070"/>
      <w:bookmarkEnd w:id="258"/>
      <w:bookmarkStart w:id="259" w:name="_Toc184308041"/>
      <w:bookmarkEnd w:id="259"/>
      <w:bookmarkStart w:id="260" w:name="_Toc184308071"/>
      <w:bookmarkEnd w:id="260"/>
      <w:bookmarkStart w:id="261" w:name="_Toc184310315"/>
      <w:bookmarkEnd w:id="261"/>
      <w:bookmarkStart w:id="262" w:name="_Toc184312133"/>
      <w:bookmarkEnd w:id="262"/>
      <w:bookmarkStart w:id="263" w:name="_Toc184312067"/>
      <w:bookmarkEnd w:id="263"/>
      <w:bookmarkStart w:id="264" w:name="_Toc184312077"/>
      <w:bookmarkEnd w:id="264"/>
      <w:bookmarkStart w:id="265" w:name="_Toc184312105"/>
      <w:bookmarkEnd w:id="265"/>
      <w:bookmarkStart w:id="266" w:name="_Toc184308082"/>
      <w:bookmarkEnd w:id="266"/>
      <w:bookmarkStart w:id="267" w:name="_Toc184312100"/>
      <w:bookmarkEnd w:id="267"/>
      <w:bookmarkStart w:id="268" w:name="_Toc184314471"/>
      <w:bookmarkEnd w:id="268"/>
      <w:bookmarkStart w:id="269" w:name="_Toc184308062"/>
      <w:bookmarkEnd w:id="269"/>
      <w:bookmarkStart w:id="270" w:name="_Toc184314457"/>
      <w:bookmarkEnd w:id="270"/>
      <w:bookmarkStart w:id="271" w:name="_Toc184313287"/>
      <w:bookmarkEnd w:id="271"/>
      <w:bookmarkStart w:id="272" w:name="_Toc184310326"/>
      <w:bookmarkEnd w:id="272"/>
      <w:bookmarkStart w:id="273" w:name="_Toc184310285"/>
      <w:bookmarkEnd w:id="273"/>
      <w:bookmarkStart w:id="274" w:name="_Toc184312096"/>
      <w:bookmarkEnd w:id="274"/>
      <w:bookmarkStart w:id="275" w:name="_Toc184310328"/>
      <w:bookmarkEnd w:id="275"/>
      <w:bookmarkStart w:id="276" w:name="_Toc184310341"/>
      <w:bookmarkEnd w:id="276"/>
      <w:bookmarkStart w:id="277" w:name="_Toc184312099"/>
      <w:bookmarkEnd w:id="277"/>
      <w:bookmarkStart w:id="278" w:name="_Toc184308097"/>
      <w:bookmarkEnd w:id="278"/>
      <w:bookmarkStart w:id="279" w:name="_Toc184314447"/>
      <w:bookmarkEnd w:id="279"/>
      <w:bookmarkStart w:id="280" w:name="_Toc184313253"/>
      <w:bookmarkEnd w:id="280"/>
      <w:bookmarkStart w:id="281" w:name="_Toc184310276"/>
      <w:bookmarkEnd w:id="281"/>
      <w:bookmarkStart w:id="282" w:name="_Toc184310313"/>
      <w:bookmarkEnd w:id="282"/>
      <w:bookmarkStart w:id="283" w:name="_Toc184310336"/>
      <w:bookmarkEnd w:id="283"/>
      <w:bookmarkStart w:id="284" w:name="_Toc184314455"/>
      <w:bookmarkEnd w:id="284"/>
      <w:bookmarkStart w:id="285" w:name="_Toc184308045"/>
      <w:bookmarkEnd w:id="285"/>
      <w:bookmarkStart w:id="286" w:name="_Toc184312080"/>
      <w:bookmarkEnd w:id="286"/>
      <w:bookmarkStart w:id="287" w:name="_Toc184312074"/>
      <w:bookmarkEnd w:id="287"/>
      <w:bookmarkStart w:id="288" w:name="_Toc184314416"/>
      <w:bookmarkEnd w:id="288"/>
      <w:bookmarkStart w:id="289" w:name="_Toc184314481"/>
      <w:bookmarkEnd w:id="289"/>
      <w:bookmarkStart w:id="290" w:name="_Toc184310329"/>
      <w:bookmarkEnd w:id="290"/>
      <w:bookmarkStart w:id="291" w:name="_Toc184310287"/>
      <w:bookmarkEnd w:id="291"/>
      <w:bookmarkStart w:id="292" w:name="_Toc184313274"/>
      <w:bookmarkEnd w:id="292"/>
      <w:bookmarkStart w:id="293" w:name="_Toc184312139"/>
      <w:bookmarkEnd w:id="293"/>
      <w:bookmarkStart w:id="294" w:name="_Toc184313281"/>
      <w:bookmarkEnd w:id="294"/>
      <w:bookmarkStart w:id="295" w:name="_Toc184312121"/>
      <w:bookmarkEnd w:id="295"/>
      <w:bookmarkStart w:id="296" w:name="_Toc184308048"/>
      <w:bookmarkEnd w:id="296"/>
      <w:bookmarkStart w:id="297" w:name="_Toc184310290"/>
      <w:bookmarkEnd w:id="297"/>
      <w:bookmarkStart w:id="298" w:name="_Toc184313249"/>
      <w:bookmarkEnd w:id="298"/>
      <w:bookmarkStart w:id="299" w:name="_Toc184312113"/>
      <w:bookmarkEnd w:id="299"/>
      <w:bookmarkStart w:id="300" w:name="_Toc184314468"/>
      <w:bookmarkEnd w:id="300"/>
      <w:bookmarkStart w:id="301" w:name="_Toc184312119"/>
      <w:bookmarkEnd w:id="301"/>
      <w:bookmarkStart w:id="302" w:name="_Toc184312075"/>
      <w:bookmarkEnd w:id="302"/>
      <w:bookmarkStart w:id="303" w:name="_Toc184314461"/>
      <w:bookmarkEnd w:id="303"/>
      <w:bookmarkStart w:id="304" w:name="_Toc184312092"/>
      <w:bookmarkEnd w:id="304"/>
      <w:bookmarkStart w:id="305" w:name="_Toc184312072"/>
      <w:bookmarkEnd w:id="305"/>
      <w:bookmarkStart w:id="306" w:name="_Toc184312098"/>
      <w:bookmarkEnd w:id="306"/>
      <w:bookmarkStart w:id="307" w:name="_Toc184312069"/>
      <w:bookmarkEnd w:id="307"/>
      <w:bookmarkStart w:id="308" w:name="_Toc184310327"/>
      <w:bookmarkEnd w:id="308"/>
      <w:bookmarkStart w:id="309" w:name="_Toc184308051"/>
      <w:bookmarkEnd w:id="309"/>
      <w:bookmarkStart w:id="310" w:name="_Toc184308073"/>
      <w:bookmarkEnd w:id="310"/>
      <w:bookmarkStart w:id="311" w:name="_Toc184310334"/>
      <w:bookmarkEnd w:id="311"/>
      <w:bookmarkStart w:id="312" w:name="_Toc184310278"/>
      <w:bookmarkEnd w:id="312"/>
      <w:bookmarkStart w:id="313" w:name="_Toc184313256"/>
      <w:bookmarkEnd w:id="313"/>
      <w:bookmarkStart w:id="314" w:name="_Toc184314415"/>
      <w:bookmarkEnd w:id="314"/>
      <w:bookmarkStart w:id="315" w:name="_Toc184310309"/>
      <w:bookmarkEnd w:id="315"/>
      <w:bookmarkStart w:id="316" w:name="_Toc184310297"/>
      <w:bookmarkEnd w:id="316"/>
      <w:bookmarkStart w:id="317" w:name="_Toc184308095"/>
      <w:bookmarkEnd w:id="317"/>
      <w:bookmarkStart w:id="318" w:name="_Toc184314473"/>
      <w:bookmarkEnd w:id="318"/>
      <w:bookmarkStart w:id="319" w:name="_Toc184313262"/>
      <w:bookmarkEnd w:id="319"/>
      <w:bookmarkStart w:id="320" w:name="_Toc184308042"/>
      <w:bookmarkEnd w:id="320"/>
      <w:bookmarkStart w:id="321" w:name="_Toc184310317"/>
      <w:bookmarkEnd w:id="321"/>
      <w:bookmarkStart w:id="322" w:name="_Toc184314417"/>
      <w:bookmarkEnd w:id="322"/>
      <w:bookmarkStart w:id="323" w:name="_Toc184310293"/>
      <w:bookmarkEnd w:id="323"/>
      <w:bookmarkStart w:id="324" w:name="_Toc184308087"/>
      <w:bookmarkEnd w:id="324"/>
      <w:bookmarkStart w:id="325" w:name="_Toc184314439"/>
      <w:bookmarkEnd w:id="325"/>
      <w:bookmarkStart w:id="326" w:name="_Toc184308076"/>
      <w:bookmarkEnd w:id="326"/>
      <w:bookmarkStart w:id="327" w:name="_Toc184310322"/>
      <w:bookmarkEnd w:id="327"/>
      <w:bookmarkStart w:id="328" w:name="_Toc184313286"/>
      <w:bookmarkEnd w:id="328"/>
      <w:bookmarkStart w:id="329" w:name="_Toc184312086"/>
      <w:bookmarkEnd w:id="329"/>
      <w:bookmarkStart w:id="330" w:name="_Toc184312128"/>
      <w:bookmarkEnd w:id="330"/>
      <w:bookmarkStart w:id="331" w:name="_Toc184314421"/>
      <w:bookmarkEnd w:id="331"/>
      <w:bookmarkStart w:id="332" w:name="_Toc184313273"/>
      <w:bookmarkEnd w:id="332"/>
      <w:bookmarkStart w:id="333" w:name="_Toc184308039"/>
      <w:bookmarkEnd w:id="333"/>
      <w:bookmarkStart w:id="334" w:name="_Toc184308049"/>
      <w:bookmarkEnd w:id="334"/>
      <w:bookmarkStart w:id="335" w:name="_Toc184313259"/>
      <w:bookmarkEnd w:id="335"/>
      <w:bookmarkStart w:id="336" w:name="_Toc184314410"/>
      <w:bookmarkEnd w:id="336"/>
      <w:bookmarkStart w:id="337" w:name="_Toc184313306"/>
      <w:bookmarkEnd w:id="337"/>
      <w:bookmarkStart w:id="338" w:name="_Toc184312071"/>
      <w:bookmarkEnd w:id="338"/>
      <w:bookmarkStart w:id="339" w:name="_Toc184313245"/>
      <w:bookmarkEnd w:id="339"/>
      <w:bookmarkStart w:id="340" w:name="_Toc184312115"/>
      <w:bookmarkEnd w:id="340"/>
      <w:bookmarkStart w:id="341" w:name="_Toc184314430"/>
      <w:bookmarkEnd w:id="341"/>
      <w:bookmarkStart w:id="342" w:name="_Toc184310288"/>
      <w:bookmarkEnd w:id="342"/>
      <w:bookmarkStart w:id="343" w:name="_Toc184308065"/>
      <w:bookmarkEnd w:id="343"/>
      <w:bookmarkStart w:id="344" w:name="_Toc184312132"/>
      <w:bookmarkEnd w:id="344"/>
      <w:bookmarkStart w:id="345" w:name="_Toc184312104"/>
      <w:bookmarkEnd w:id="345"/>
      <w:bookmarkStart w:id="346" w:name="_Toc184313247"/>
      <w:bookmarkEnd w:id="346"/>
      <w:bookmarkStart w:id="347" w:name="_Toc184310296"/>
      <w:bookmarkEnd w:id="347"/>
      <w:bookmarkStart w:id="348" w:name="_Toc184314445"/>
      <w:bookmarkEnd w:id="348"/>
      <w:bookmarkStart w:id="349" w:name="_Toc184313300"/>
      <w:bookmarkEnd w:id="349"/>
      <w:bookmarkStart w:id="350" w:name="_Toc184308055"/>
      <w:bookmarkEnd w:id="350"/>
      <w:bookmarkStart w:id="351" w:name="_Toc184312078"/>
      <w:bookmarkEnd w:id="351"/>
      <w:bookmarkStart w:id="352" w:name="_Toc184314425"/>
      <w:bookmarkEnd w:id="352"/>
      <w:bookmarkStart w:id="353" w:name="_Toc184312108"/>
      <w:bookmarkEnd w:id="353"/>
      <w:bookmarkStart w:id="354" w:name="_Toc184310318"/>
      <w:bookmarkEnd w:id="354"/>
      <w:bookmarkStart w:id="355" w:name="_Toc184310281"/>
      <w:bookmarkEnd w:id="355"/>
      <w:bookmarkStart w:id="356" w:name="_Toc184310300"/>
      <w:bookmarkEnd w:id="356"/>
      <w:bookmarkStart w:id="357" w:name="_Toc184310284"/>
      <w:bookmarkEnd w:id="357"/>
      <w:bookmarkStart w:id="358" w:name="_Toc184314422"/>
      <w:bookmarkEnd w:id="358"/>
      <w:bookmarkStart w:id="359" w:name="_Toc184308083"/>
      <w:bookmarkEnd w:id="359"/>
      <w:bookmarkStart w:id="360" w:name="_Toc184313295"/>
      <w:bookmarkEnd w:id="360"/>
      <w:bookmarkStart w:id="361" w:name="_Toc184312118"/>
      <w:bookmarkEnd w:id="361"/>
      <w:bookmarkStart w:id="362" w:name="_Toc184310339"/>
      <w:bookmarkEnd w:id="362"/>
      <w:bookmarkStart w:id="363" w:name="_Toc184310335"/>
      <w:bookmarkEnd w:id="363"/>
      <w:bookmarkStart w:id="364" w:name="_Toc184308068"/>
      <w:bookmarkEnd w:id="364"/>
      <w:bookmarkStart w:id="365" w:name="_Toc184312122"/>
      <w:bookmarkEnd w:id="365"/>
      <w:bookmarkStart w:id="366" w:name="_Toc184308094"/>
      <w:bookmarkEnd w:id="366"/>
      <w:bookmarkStart w:id="367" w:name="_Toc184313251"/>
      <w:bookmarkEnd w:id="367"/>
      <w:bookmarkStart w:id="368" w:name="_Toc184313243"/>
      <w:bookmarkEnd w:id="368"/>
      <w:bookmarkStart w:id="369" w:name="_Toc184310274"/>
      <w:bookmarkEnd w:id="369"/>
      <w:bookmarkStart w:id="370" w:name="_Toc184312106"/>
      <w:bookmarkEnd w:id="370"/>
      <w:bookmarkStart w:id="371" w:name="_Toc184314440"/>
      <w:bookmarkEnd w:id="371"/>
      <w:bookmarkStart w:id="372" w:name="_Toc184308102"/>
      <w:bookmarkEnd w:id="372"/>
      <w:bookmarkStart w:id="373" w:name="_Toc184313242"/>
      <w:bookmarkEnd w:id="373"/>
      <w:bookmarkStart w:id="374" w:name="_Toc184310307"/>
      <w:bookmarkEnd w:id="374"/>
      <w:bookmarkStart w:id="375" w:name="_Toc184308075"/>
      <w:bookmarkEnd w:id="375"/>
      <w:bookmarkStart w:id="376" w:name="_Toc184308070"/>
      <w:bookmarkEnd w:id="376"/>
      <w:bookmarkStart w:id="377" w:name="_Toc184312116"/>
      <w:bookmarkEnd w:id="377"/>
      <w:bookmarkStart w:id="378" w:name="_Toc184310311"/>
      <w:bookmarkEnd w:id="378"/>
      <w:bookmarkStart w:id="379" w:name="_Toc184314470"/>
      <w:bookmarkEnd w:id="379"/>
      <w:bookmarkStart w:id="380" w:name="_Toc184314451"/>
      <w:bookmarkEnd w:id="380"/>
      <w:bookmarkStart w:id="381" w:name="_Toc184310319"/>
      <w:bookmarkEnd w:id="381"/>
      <w:bookmarkStart w:id="382" w:name="_Toc184314458"/>
      <w:bookmarkEnd w:id="382"/>
      <w:bookmarkStart w:id="383" w:name="_Toc184313289"/>
      <w:bookmarkEnd w:id="383"/>
      <w:bookmarkStart w:id="384" w:name="_Toc184312079"/>
      <w:bookmarkEnd w:id="384"/>
      <w:bookmarkStart w:id="385" w:name="_Toc184312090"/>
      <w:bookmarkEnd w:id="385"/>
      <w:bookmarkStart w:id="386" w:name="_Toc184314411"/>
      <w:bookmarkEnd w:id="386"/>
      <w:bookmarkStart w:id="387" w:name="_Toc184313293"/>
      <w:bookmarkEnd w:id="387"/>
      <w:bookmarkStart w:id="388" w:name="_Toc184310292"/>
      <w:bookmarkEnd w:id="388"/>
      <w:bookmarkStart w:id="389" w:name="_Toc184313308"/>
      <w:bookmarkEnd w:id="389"/>
      <w:bookmarkStart w:id="390" w:name="_Toc184310295"/>
      <w:bookmarkEnd w:id="390"/>
      <w:r>
        <w:rPr>
          <w:rFonts w:hint="eastAsia" w:ascii="仿宋" w:hAnsi="仿宋" w:eastAsia="仿宋" w:cs="仿宋_GB2312"/>
          <w:b/>
          <w:sz w:val="36"/>
          <w:szCs w:val="36"/>
          <w:highlight w:val="none"/>
        </w:rPr>
        <w:t>评标办法</w:t>
      </w:r>
    </w:p>
    <w:p w14:paraId="7050C8CB">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tbl>
      <w:tblPr>
        <w:tblStyle w:val="62"/>
        <w:tblpPr w:leftFromText="180" w:rightFromText="180" w:vertAnchor="text" w:horzAnchor="page" w:tblpXSpec="center" w:tblpY="126"/>
        <w:tblW w:w="54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6192"/>
        <w:gridCol w:w="957"/>
        <w:gridCol w:w="945"/>
        <w:gridCol w:w="1331"/>
      </w:tblGrid>
      <w:tr w14:paraId="3C50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08" w:type="pct"/>
            <w:vAlign w:val="center"/>
          </w:tcPr>
          <w:p w14:paraId="1E3D0312">
            <w:pPr>
              <w:spacing w:line="240" w:lineRule="auto"/>
              <w:jc w:val="center"/>
              <w:outlineLvl w:val="0"/>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序号</w:t>
            </w:r>
          </w:p>
        </w:tc>
        <w:tc>
          <w:tcPr>
            <w:tcW w:w="3082" w:type="pct"/>
            <w:vAlign w:val="center"/>
          </w:tcPr>
          <w:p w14:paraId="14C848DD">
            <w:pPr>
              <w:spacing w:line="240" w:lineRule="auto"/>
              <w:ind w:firstLine="1566" w:firstLineChars="650"/>
              <w:outlineLvl w:val="0"/>
              <w:rPr>
                <w:rFonts w:ascii="仿宋" w:hAnsi="仿宋" w:eastAsia="仿宋" w:cs="仿宋_GB2312"/>
                <w:b/>
                <w:bCs w:val="0"/>
                <w:sz w:val="24"/>
                <w:highlight w:val="none"/>
              </w:rPr>
            </w:pPr>
            <w:r>
              <w:rPr>
                <w:rFonts w:hint="eastAsia" w:ascii="仿宋" w:hAnsi="仿宋" w:eastAsia="仿宋" w:cs="仿宋_GB2312"/>
                <w:b/>
                <w:bCs w:val="0"/>
                <w:sz w:val="24"/>
                <w:highlight w:val="none"/>
              </w:rPr>
              <w:t>评标标准</w:t>
            </w:r>
          </w:p>
        </w:tc>
        <w:tc>
          <w:tcPr>
            <w:tcW w:w="476" w:type="pct"/>
            <w:vAlign w:val="center"/>
          </w:tcPr>
          <w:p w14:paraId="0C0B83DD">
            <w:pPr>
              <w:spacing w:line="240" w:lineRule="auto"/>
              <w:jc w:val="center"/>
              <w:outlineLvl w:val="0"/>
              <w:rPr>
                <w:rFonts w:ascii="仿宋" w:hAnsi="仿宋" w:eastAsia="仿宋" w:cs="仿宋_GB2312"/>
                <w:b/>
                <w:bCs w:val="0"/>
                <w:sz w:val="24"/>
                <w:highlight w:val="none"/>
              </w:rPr>
            </w:pPr>
            <w:r>
              <w:rPr>
                <w:rFonts w:hint="eastAsia" w:ascii="仿宋" w:hAnsi="仿宋" w:eastAsia="仿宋" w:cs="仿宋_GB2312"/>
                <w:b/>
                <w:bCs w:val="0"/>
                <w:sz w:val="24"/>
                <w:highlight w:val="none"/>
              </w:rPr>
              <w:t>权重</w:t>
            </w:r>
          </w:p>
        </w:tc>
        <w:tc>
          <w:tcPr>
            <w:tcW w:w="470" w:type="pct"/>
            <w:vAlign w:val="center"/>
          </w:tcPr>
          <w:p w14:paraId="401113D2">
            <w:pPr>
              <w:spacing w:line="240" w:lineRule="auto"/>
              <w:jc w:val="center"/>
              <w:outlineLvl w:val="0"/>
              <w:rPr>
                <w:rFonts w:hint="eastAsia" w:ascii="仿宋" w:hAnsi="仿宋" w:eastAsia="仿宋" w:cs="仿宋_GB2312"/>
                <w:b/>
                <w:bCs w:val="0"/>
                <w:sz w:val="24"/>
                <w:highlight w:val="none"/>
              </w:rPr>
            </w:pPr>
            <w:r>
              <w:rPr>
                <w:rFonts w:hint="eastAsia" w:ascii="仿宋" w:hAnsi="仿宋" w:eastAsia="仿宋" w:cs="仿宋_GB2312"/>
                <w:b/>
                <w:i w:val="0"/>
                <w:iCs w:val="0"/>
                <w:color w:val="auto"/>
                <w:kern w:val="2"/>
                <w:sz w:val="24"/>
                <w:szCs w:val="24"/>
                <w:highlight w:val="none"/>
                <w:u w:val="none"/>
                <w:lang w:val="en-US" w:eastAsia="zh-CN" w:bidi="ar"/>
              </w:rPr>
              <w:t>主观分/客观分属性</w:t>
            </w:r>
          </w:p>
        </w:tc>
        <w:tc>
          <w:tcPr>
            <w:tcW w:w="662" w:type="pct"/>
          </w:tcPr>
          <w:p w14:paraId="2DEEEFCA">
            <w:pPr>
              <w:spacing w:line="240" w:lineRule="auto"/>
              <w:outlineLvl w:val="0"/>
              <w:rPr>
                <w:rFonts w:ascii="仿宋" w:hAnsi="仿宋" w:eastAsia="仿宋" w:cs="仿宋_GB2312"/>
                <w:b/>
                <w:bCs w:val="0"/>
                <w:sz w:val="24"/>
                <w:highlight w:val="none"/>
              </w:rPr>
            </w:pPr>
            <w:r>
              <w:rPr>
                <w:rFonts w:hint="eastAsia" w:ascii="仿宋" w:hAnsi="仿宋" w:eastAsia="仿宋" w:cs="仿宋_GB2312"/>
                <w:b/>
                <w:bCs w:val="0"/>
                <w:sz w:val="24"/>
                <w:highlight w:val="none"/>
              </w:rPr>
              <w:t>投标文件中评标标准相应的商务技术资料目录</w:t>
            </w:r>
            <w:r>
              <w:rPr>
                <w:rFonts w:ascii="仿宋" w:hAnsi="仿宋" w:eastAsia="仿宋" w:cs="Arial"/>
                <w:b/>
                <w:bCs w:val="0"/>
                <w:sz w:val="24"/>
                <w:highlight w:val="none"/>
                <w:shd w:val="clear" w:color="auto" w:fill="FFFFFF"/>
              </w:rPr>
              <w:t>*</w:t>
            </w:r>
          </w:p>
        </w:tc>
      </w:tr>
      <w:tr w14:paraId="5EC6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08" w:type="pct"/>
            <w:vAlign w:val="center"/>
          </w:tcPr>
          <w:p w14:paraId="28F992DF">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082" w:type="pct"/>
            <w:vAlign w:val="top"/>
          </w:tcPr>
          <w:p w14:paraId="2DD53257">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投标人针对</w:t>
            </w:r>
            <w:r>
              <w:rPr>
                <w:rFonts w:hint="eastAsia" w:ascii="仿宋" w:hAnsi="仿宋" w:eastAsia="仿宋" w:cs="仿宋"/>
                <w:bCs/>
                <w:sz w:val="24"/>
                <w:szCs w:val="24"/>
                <w:highlight w:val="none"/>
                <w:lang w:eastAsia="zh-CN"/>
              </w:rPr>
              <w:t>於潜镇</w:t>
            </w:r>
            <w:r>
              <w:rPr>
                <w:rFonts w:hint="eastAsia" w:ascii="仿宋" w:hAnsi="仿宋" w:eastAsia="仿宋" w:cs="仿宋"/>
                <w:bCs/>
                <w:sz w:val="24"/>
                <w:szCs w:val="24"/>
                <w:highlight w:val="none"/>
              </w:rPr>
              <w:t>实际情况，提出具体方案（包含：1、保洁服务主要工作内容；2、作业标准；3、清扫保洁时间；4、人工清扫保洁作业规范；5、洒水车（高压清洗车）作业规范；6、居民社区里弄小巷保洁作业规范；7、交通隔离护栏、果壳箱等保洁作业规范；8、沿街店面生活垃圾摇铃收集、居民社区上门收集作业规范；9、牛皮癣（非法涂写）作业规范；10、无主垃圾作业规范</w:t>
            </w:r>
            <w:r>
              <w:rPr>
                <w:rFonts w:hint="eastAsia" w:ascii="仿宋" w:hAnsi="仿宋" w:eastAsia="仿宋" w:cs="仿宋"/>
                <w:bCs/>
                <w:sz w:val="24"/>
                <w:szCs w:val="24"/>
                <w:highlight w:val="none"/>
                <w:lang w:val="en-US" w:eastAsia="zh-CN"/>
              </w:rPr>
              <w:t>;11、公厕保洁作业规范；12、行政村垃圾收集作业规范；13、镇属垃圾中转站运营管理</w:t>
            </w:r>
            <w:r>
              <w:rPr>
                <w:rFonts w:hint="eastAsia" w:ascii="仿宋" w:hAnsi="仿宋" w:eastAsia="仿宋" w:cs="仿宋"/>
                <w:bCs/>
                <w:sz w:val="24"/>
                <w:szCs w:val="24"/>
                <w:highlight w:val="none"/>
              </w:rPr>
              <w:t>），要求切合招标项目预定要求，针对性强，操作性强</w:t>
            </w:r>
            <w:r>
              <w:rPr>
                <w:rFonts w:hint="eastAsia" w:ascii="仿宋" w:hAnsi="仿宋" w:eastAsia="仿宋" w:cs="仿宋"/>
                <w:bCs/>
                <w:sz w:val="24"/>
                <w:szCs w:val="24"/>
                <w:highlight w:val="none"/>
                <w:lang w:eastAsia="zh-CN"/>
              </w:rPr>
              <w:t>的每项得</w:t>
            </w:r>
            <w:r>
              <w:rPr>
                <w:rFonts w:hint="eastAsia" w:ascii="仿宋" w:hAnsi="仿宋" w:eastAsia="仿宋" w:cs="仿宋"/>
                <w:bCs/>
                <w:sz w:val="24"/>
                <w:szCs w:val="24"/>
                <w:highlight w:val="none"/>
                <w:lang w:val="en-US" w:eastAsia="zh-CN"/>
              </w:rPr>
              <w:t>1.5分；</w:t>
            </w:r>
            <w:r>
              <w:rPr>
                <w:rFonts w:hint="eastAsia" w:ascii="仿宋" w:hAnsi="仿宋" w:eastAsia="仿宋" w:cs="仿宋"/>
                <w:bCs/>
                <w:sz w:val="24"/>
                <w:szCs w:val="24"/>
                <w:highlight w:val="none"/>
              </w:rPr>
              <w:t>针对性</w:t>
            </w:r>
            <w:r>
              <w:rPr>
                <w:rFonts w:hint="eastAsia" w:ascii="仿宋" w:hAnsi="仿宋" w:eastAsia="仿宋" w:cs="仿宋"/>
                <w:bCs/>
                <w:sz w:val="24"/>
                <w:szCs w:val="24"/>
                <w:highlight w:val="none"/>
                <w:lang w:eastAsia="zh-CN"/>
              </w:rPr>
              <w:t>较</w:t>
            </w:r>
            <w:r>
              <w:rPr>
                <w:rFonts w:hint="eastAsia" w:ascii="仿宋" w:hAnsi="仿宋" w:eastAsia="仿宋" w:cs="仿宋"/>
                <w:bCs/>
                <w:sz w:val="24"/>
                <w:szCs w:val="24"/>
                <w:highlight w:val="none"/>
              </w:rPr>
              <w:t>强，操作性</w:t>
            </w:r>
            <w:r>
              <w:rPr>
                <w:rFonts w:hint="eastAsia" w:ascii="仿宋" w:hAnsi="仿宋" w:eastAsia="仿宋" w:cs="仿宋"/>
                <w:bCs/>
                <w:sz w:val="24"/>
                <w:szCs w:val="24"/>
                <w:highlight w:val="none"/>
                <w:lang w:eastAsia="zh-CN"/>
              </w:rPr>
              <w:t>较</w:t>
            </w:r>
            <w:r>
              <w:rPr>
                <w:rFonts w:hint="eastAsia" w:ascii="仿宋" w:hAnsi="仿宋" w:eastAsia="仿宋" w:cs="仿宋"/>
                <w:bCs/>
                <w:sz w:val="24"/>
                <w:szCs w:val="24"/>
                <w:highlight w:val="none"/>
              </w:rPr>
              <w:t>强</w:t>
            </w:r>
            <w:r>
              <w:rPr>
                <w:rFonts w:hint="eastAsia" w:ascii="仿宋" w:hAnsi="仿宋" w:eastAsia="仿宋" w:cs="仿宋"/>
                <w:bCs/>
                <w:sz w:val="24"/>
                <w:szCs w:val="24"/>
                <w:highlight w:val="none"/>
                <w:lang w:eastAsia="zh-CN"/>
              </w:rPr>
              <w:t>的每项得</w:t>
            </w:r>
            <w:r>
              <w:rPr>
                <w:rFonts w:hint="eastAsia" w:ascii="仿宋" w:hAnsi="仿宋" w:eastAsia="仿宋" w:cs="仿宋"/>
                <w:bCs/>
                <w:sz w:val="24"/>
                <w:szCs w:val="24"/>
                <w:highlight w:val="none"/>
                <w:lang w:val="en-US" w:eastAsia="zh-CN"/>
              </w:rPr>
              <w:t>1分；</w:t>
            </w:r>
            <w:r>
              <w:rPr>
                <w:rFonts w:hint="eastAsia" w:ascii="仿宋" w:hAnsi="仿宋" w:eastAsia="仿宋" w:cs="仿宋"/>
                <w:bCs/>
                <w:sz w:val="24"/>
                <w:szCs w:val="24"/>
                <w:highlight w:val="none"/>
              </w:rPr>
              <w:t>针对性</w:t>
            </w:r>
            <w:r>
              <w:rPr>
                <w:rFonts w:hint="eastAsia" w:ascii="仿宋" w:hAnsi="仿宋" w:eastAsia="仿宋" w:cs="仿宋"/>
                <w:bCs/>
                <w:sz w:val="24"/>
                <w:szCs w:val="24"/>
                <w:highlight w:val="none"/>
                <w:lang w:eastAsia="zh-CN"/>
              </w:rPr>
              <w:t>一般</w:t>
            </w:r>
            <w:r>
              <w:rPr>
                <w:rFonts w:hint="eastAsia" w:ascii="仿宋" w:hAnsi="仿宋" w:eastAsia="仿宋" w:cs="仿宋"/>
                <w:bCs/>
                <w:sz w:val="24"/>
                <w:szCs w:val="24"/>
                <w:highlight w:val="none"/>
              </w:rPr>
              <w:t>，操作性</w:t>
            </w:r>
            <w:r>
              <w:rPr>
                <w:rFonts w:hint="eastAsia" w:ascii="仿宋" w:hAnsi="仿宋" w:eastAsia="仿宋" w:cs="仿宋"/>
                <w:bCs/>
                <w:sz w:val="24"/>
                <w:szCs w:val="24"/>
                <w:highlight w:val="none"/>
                <w:lang w:eastAsia="zh-CN"/>
              </w:rPr>
              <w:t>一般的每项得</w:t>
            </w:r>
            <w:r>
              <w:rPr>
                <w:rFonts w:hint="eastAsia" w:ascii="仿宋" w:hAnsi="仿宋" w:eastAsia="仿宋" w:cs="仿宋"/>
                <w:bCs/>
                <w:sz w:val="24"/>
                <w:szCs w:val="24"/>
                <w:highlight w:val="none"/>
                <w:lang w:val="en-US" w:eastAsia="zh-CN"/>
              </w:rPr>
              <w:t>0.5；</w:t>
            </w:r>
            <w:r>
              <w:rPr>
                <w:rFonts w:hint="eastAsia" w:ascii="仿宋" w:hAnsi="仿宋" w:eastAsia="仿宋" w:cs="仿宋_GB2312"/>
                <w:sz w:val="24"/>
                <w:highlight w:val="none"/>
              </w:rPr>
              <w:t>未提供相关内容</w:t>
            </w:r>
            <w:r>
              <w:rPr>
                <w:rFonts w:hint="eastAsia" w:ascii="仿宋" w:hAnsi="仿宋" w:eastAsia="仿宋" w:cs="仿宋_GB2312"/>
                <w:sz w:val="24"/>
                <w:highlight w:val="none"/>
                <w:lang w:eastAsia="zh-CN"/>
              </w:rPr>
              <w:t>的不得分</w:t>
            </w:r>
            <w:r>
              <w:rPr>
                <w:rFonts w:hint="eastAsia" w:ascii="仿宋" w:hAnsi="仿宋" w:eastAsia="仿宋" w:cs="仿宋"/>
                <w:bCs/>
                <w:sz w:val="24"/>
                <w:szCs w:val="24"/>
                <w:highlight w:val="none"/>
              </w:rPr>
              <w:t>。</w:t>
            </w:r>
          </w:p>
        </w:tc>
        <w:tc>
          <w:tcPr>
            <w:tcW w:w="476" w:type="pct"/>
            <w:vAlign w:val="center"/>
          </w:tcPr>
          <w:p w14:paraId="2FA8E2D7">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w:t>
            </w:r>
            <w:r>
              <w:rPr>
                <w:rFonts w:hint="eastAsia" w:ascii="仿宋" w:hAnsi="仿宋" w:eastAsia="仿宋" w:cs="仿宋"/>
                <w:bCs/>
                <w:sz w:val="24"/>
                <w:szCs w:val="24"/>
                <w:highlight w:val="none"/>
                <w:lang w:val="en-US" w:eastAsia="zh-CN"/>
              </w:rPr>
              <w:t>19.5</w:t>
            </w:r>
          </w:p>
        </w:tc>
        <w:tc>
          <w:tcPr>
            <w:tcW w:w="470" w:type="pct"/>
            <w:vAlign w:val="center"/>
          </w:tcPr>
          <w:p w14:paraId="4552F942">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w:t>
            </w:r>
          </w:p>
        </w:tc>
        <w:tc>
          <w:tcPr>
            <w:tcW w:w="662" w:type="pct"/>
            <w:vMerge w:val="restart"/>
            <w:vAlign w:val="center"/>
          </w:tcPr>
          <w:p w14:paraId="0F666B05">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项目方案</w:t>
            </w:r>
          </w:p>
        </w:tc>
      </w:tr>
      <w:tr w14:paraId="6DD8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08" w:type="pct"/>
            <w:vAlign w:val="center"/>
          </w:tcPr>
          <w:p w14:paraId="12A0E479">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082" w:type="pct"/>
            <w:vAlign w:val="top"/>
          </w:tcPr>
          <w:p w14:paraId="515611BC">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根据投标人制定的针对保洁区域范围内垃圾分类工作方案，</w:t>
            </w:r>
            <w:r>
              <w:rPr>
                <w:rFonts w:hint="eastAsia" w:ascii="仿宋" w:hAnsi="仿宋" w:eastAsia="仿宋" w:cs="仿宋"/>
                <w:bCs/>
                <w:sz w:val="24"/>
                <w:szCs w:val="24"/>
                <w:highlight w:val="none"/>
                <w:lang w:eastAsia="zh-CN"/>
              </w:rPr>
              <w:t>方案针对性强的得</w:t>
            </w:r>
            <w:r>
              <w:rPr>
                <w:rFonts w:hint="eastAsia" w:ascii="仿宋" w:hAnsi="仿宋" w:eastAsia="仿宋" w:cs="仿宋"/>
                <w:bCs/>
                <w:sz w:val="24"/>
                <w:szCs w:val="24"/>
                <w:highlight w:val="none"/>
                <w:lang w:val="en-US" w:eastAsia="zh-CN"/>
              </w:rPr>
              <w:t>3分；</w:t>
            </w:r>
            <w:r>
              <w:rPr>
                <w:rFonts w:hint="eastAsia" w:ascii="仿宋" w:hAnsi="仿宋" w:eastAsia="仿宋" w:cs="仿宋"/>
                <w:bCs/>
                <w:sz w:val="24"/>
                <w:szCs w:val="24"/>
                <w:highlight w:val="none"/>
                <w:lang w:eastAsia="zh-CN"/>
              </w:rPr>
              <w:t>方案针对性较强的得</w:t>
            </w:r>
            <w:r>
              <w:rPr>
                <w:rFonts w:hint="eastAsia" w:ascii="仿宋" w:hAnsi="仿宋" w:eastAsia="仿宋" w:cs="仿宋"/>
                <w:bCs/>
                <w:sz w:val="24"/>
                <w:szCs w:val="24"/>
                <w:highlight w:val="none"/>
                <w:lang w:val="en-US" w:eastAsia="zh-CN"/>
              </w:rPr>
              <w:t>2分；</w:t>
            </w:r>
            <w:r>
              <w:rPr>
                <w:rFonts w:hint="eastAsia" w:ascii="仿宋" w:hAnsi="仿宋" w:eastAsia="仿宋" w:cs="仿宋"/>
                <w:bCs/>
                <w:sz w:val="24"/>
                <w:szCs w:val="24"/>
                <w:highlight w:val="none"/>
                <w:lang w:eastAsia="zh-CN"/>
              </w:rPr>
              <w:t>方案针对性一般的得</w:t>
            </w:r>
            <w:r>
              <w:rPr>
                <w:rFonts w:hint="eastAsia" w:ascii="仿宋" w:hAnsi="仿宋" w:eastAsia="仿宋" w:cs="仿宋"/>
                <w:bCs/>
                <w:sz w:val="24"/>
                <w:szCs w:val="24"/>
                <w:highlight w:val="none"/>
                <w:lang w:val="en-US" w:eastAsia="zh-CN"/>
              </w:rPr>
              <w:t>1分；</w:t>
            </w:r>
            <w:r>
              <w:rPr>
                <w:rFonts w:hint="eastAsia" w:ascii="仿宋" w:hAnsi="仿宋" w:eastAsia="仿宋" w:cs="仿宋_GB2312"/>
                <w:sz w:val="24"/>
                <w:highlight w:val="none"/>
              </w:rPr>
              <w:t>未提供相关内容</w:t>
            </w:r>
            <w:r>
              <w:rPr>
                <w:rFonts w:hint="eastAsia" w:ascii="仿宋" w:hAnsi="仿宋" w:eastAsia="仿宋" w:cs="仿宋_GB2312"/>
                <w:sz w:val="24"/>
                <w:highlight w:val="none"/>
                <w:lang w:eastAsia="zh-CN"/>
              </w:rPr>
              <w:t>的不得分</w:t>
            </w:r>
            <w:r>
              <w:rPr>
                <w:rFonts w:hint="eastAsia" w:ascii="仿宋" w:hAnsi="仿宋" w:eastAsia="仿宋" w:cs="仿宋"/>
                <w:bCs/>
                <w:sz w:val="24"/>
                <w:szCs w:val="24"/>
                <w:highlight w:val="none"/>
              </w:rPr>
              <w:t>。</w:t>
            </w:r>
          </w:p>
        </w:tc>
        <w:tc>
          <w:tcPr>
            <w:tcW w:w="476" w:type="pct"/>
            <w:vAlign w:val="center"/>
          </w:tcPr>
          <w:p w14:paraId="488266C5">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w:t>
            </w:r>
            <w:r>
              <w:rPr>
                <w:rFonts w:hint="eastAsia" w:ascii="仿宋" w:hAnsi="仿宋" w:eastAsia="仿宋" w:cs="仿宋"/>
                <w:bCs/>
                <w:sz w:val="24"/>
                <w:szCs w:val="24"/>
                <w:highlight w:val="none"/>
                <w:lang w:val="en-US" w:eastAsia="zh-CN"/>
              </w:rPr>
              <w:t>3</w:t>
            </w:r>
          </w:p>
        </w:tc>
        <w:tc>
          <w:tcPr>
            <w:tcW w:w="470" w:type="pct"/>
            <w:vAlign w:val="center"/>
          </w:tcPr>
          <w:p w14:paraId="01B58491">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w:t>
            </w:r>
          </w:p>
        </w:tc>
        <w:tc>
          <w:tcPr>
            <w:tcW w:w="662" w:type="pct"/>
            <w:vMerge w:val="continue"/>
            <w:vAlign w:val="center"/>
          </w:tcPr>
          <w:p w14:paraId="424B9FAE">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rPr>
            </w:pPr>
          </w:p>
        </w:tc>
      </w:tr>
      <w:tr w14:paraId="4CF7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08" w:type="pct"/>
            <w:vAlign w:val="center"/>
          </w:tcPr>
          <w:p w14:paraId="4FCA03D7">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3082" w:type="pct"/>
            <w:vAlign w:val="top"/>
          </w:tcPr>
          <w:p w14:paraId="5DEFB1FA">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投标人突破传统运作模式，针对项目管理、作业措施、人员管理、设施管理等环节运用智能化管理措施的，且措施科学合理的</w:t>
            </w:r>
            <w:r>
              <w:rPr>
                <w:rFonts w:hint="eastAsia" w:ascii="仿宋" w:hAnsi="仿宋" w:eastAsia="仿宋" w:cs="仿宋"/>
                <w:bCs/>
                <w:sz w:val="24"/>
                <w:szCs w:val="24"/>
                <w:highlight w:val="none"/>
                <w:lang w:eastAsia="zh-CN"/>
              </w:rPr>
              <w:t>每项得</w:t>
            </w:r>
            <w:r>
              <w:rPr>
                <w:rFonts w:hint="eastAsia" w:ascii="仿宋" w:hAnsi="仿宋" w:eastAsia="仿宋" w:cs="仿宋"/>
                <w:bCs/>
                <w:sz w:val="24"/>
                <w:szCs w:val="24"/>
                <w:highlight w:val="none"/>
                <w:lang w:val="en-US" w:eastAsia="zh-CN"/>
              </w:rPr>
              <w:t>1分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措施科学</w:t>
            </w:r>
            <w:r>
              <w:rPr>
                <w:rFonts w:hint="eastAsia" w:ascii="仿宋" w:hAnsi="仿宋" w:eastAsia="仿宋" w:cs="仿宋"/>
                <w:bCs/>
                <w:sz w:val="24"/>
                <w:szCs w:val="24"/>
                <w:highlight w:val="none"/>
                <w:lang w:eastAsia="zh-CN"/>
              </w:rPr>
              <w:t>一般</w:t>
            </w:r>
            <w:r>
              <w:rPr>
                <w:rFonts w:hint="eastAsia" w:ascii="仿宋" w:hAnsi="仿宋" w:eastAsia="仿宋" w:cs="仿宋"/>
                <w:bCs/>
                <w:sz w:val="24"/>
                <w:szCs w:val="24"/>
                <w:highlight w:val="none"/>
              </w:rPr>
              <w:t>的</w:t>
            </w:r>
            <w:r>
              <w:rPr>
                <w:rFonts w:hint="eastAsia" w:ascii="仿宋" w:hAnsi="仿宋" w:eastAsia="仿宋" w:cs="仿宋"/>
                <w:bCs/>
                <w:sz w:val="24"/>
                <w:szCs w:val="24"/>
                <w:highlight w:val="none"/>
                <w:lang w:eastAsia="zh-CN"/>
              </w:rPr>
              <w:t>每项得</w:t>
            </w:r>
            <w:r>
              <w:rPr>
                <w:rFonts w:hint="eastAsia" w:ascii="仿宋" w:hAnsi="仿宋" w:eastAsia="仿宋" w:cs="仿宋"/>
                <w:bCs/>
                <w:sz w:val="24"/>
                <w:szCs w:val="24"/>
                <w:highlight w:val="none"/>
                <w:lang w:val="en-US" w:eastAsia="zh-CN"/>
              </w:rPr>
              <w:t>0.5分；</w:t>
            </w:r>
            <w:r>
              <w:rPr>
                <w:rFonts w:hint="eastAsia" w:ascii="仿宋" w:hAnsi="仿宋" w:eastAsia="仿宋" w:cs="仿宋_GB2312"/>
                <w:sz w:val="24"/>
                <w:highlight w:val="none"/>
              </w:rPr>
              <w:t>未提供相关内容</w:t>
            </w:r>
            <w:r>
              <w:rPr>
                <w:rFonts w:hint="eastAsia" w:ascii="仿宋" w:hAnsi="仿宋" w:eastAsia="仿宋" w:cs="仿宋_GB2312"/>
                <w:sz w:val="24"/>
                <w:highlight w:val="none"/>
                <w:lang w:eastAsia="zh-CN"/>
              </w:rPr>
              <w:t>的不得分</w:t>
            </w:r>
            <w:r>
              <w:rPr>
                <w:rFonts w:hint="eastAsia" w:ascii="仿宋" w:hAnsi="仿宋" w:eastAsia="仿宋" w:cs="仿宋"/>
                <w:bCs/>
                <w:sz w:val="24"/>
                <w:szCs w:val="24"/>
                <w:highlight w:val="none"/>
              </w:rPr>
              <w:t>。</w:t>
            </w:r>
          </w:p>
        </w:tc>
        <w:tc>
          <w:tcPr>
            <w:tcW w:w="476" w:type="pct"/>
            <w:vAlign w:val="center"/>
          </w:tcPr>
          <w:p w14:paraId="46AEC78A">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0-4</w:t>
            </w:r>
          </w:p>
        </w:tc>
        <w:tc>
          <w:tcPr>
            <w:tcW w:w="470" w:type="pct"/>
            <w:vAlign w:val="center"/>
          </w:tcPr>
          <w:p w14:paraId="70A038D2">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w:t>
            </w:r>
          </w:p>
        </w:tc>
        <w:tc>
          <w:tcPr>
            <w:tcW w:w="662" w:type="pct"/>
            <w:vMerge w:val="continue"/>
            <w:vAlign w:val="center"/>
          </w:tcPr>
          <w:p w14:paraId="7AC4CB05">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rPr>
            </w:pPr>
          </w:p>
        </w:tc>
      </w:tr>
      <w:tr w14:paraId="3506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08" w:type="pct"/>
            <w:vAlign w:val="center"/>
          </w:tcPr>
          <w:p w14:paraId="7B0E8EEC">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3082" w:type="pct"/>
            <w:vAlign w:val="top"/>
          </w:tcPr>
          <w:p w14:paraId="6FA9A783">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根据投标人过渡期内原区域保洁人员及设备的交接安排及具体方案（重点为保证人员及设备平稳过渡），方案完整，可实施性强</w:t>
            </w:r>
            <w:r>
              <w:rPr>
                <w:rFonts w:hint="eastAsia" w:ascii="仿宋" w:hAnsi="仿宋" w:eastAsia="仿宋" w:cs="仿宋"/>
                <w:bCs/>
                <w:sz w:val="24"/>
                <w:szCs w:val="24"/>
                <w:highlight w:val="none"/>
                <w:lang w:eastAsia="zh-CN"/>
              </w:rPr>
              <w:t>的</w:t>
            </w:r>
            <w:r>
              <w:rPr>
                <w:rFonts w:hint="eastAsia" w:ascii="仿宋" w:hAnsi="仿宋" w:eastAsia="仿宋" w:cs="仿宋"/>
                <w:bCs/>
                <w:sz w:val="24"/>
                <w:szCs w:val="24"/>
                <w:highlight w:val="none"/>
              </w:rPr>
              <w:t>得</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分；方案较完整，实施性较强</w:t>
            </w:r>
            <w:r>
              <w:rPr>
                <w:rFonts w:hint="eastAsia" w:ascii="仿宋" w:hAnsi="仿宋" w:eastAsia="仿宋" w:cs="仿宋"/>
                <w:bCs/>
                <w:sz w:val="24"/>
                <w:szCs w:val="24"/>
                <w:highlight w:val="none"/>
                <w:lang w:eastAsia="zh-CN"/>
              </w:rPr>
              <w:t>的</w:t>
            </w:r>
            <w:r>
              <w:rPr>
                <w:rFonts w:hint="eastAsia" w:ascii="仿宋" w:hAnsi="仿宋" w:eastAsia="仿宋" w:cs="仿宋"/>
                <w:bCs/>
                <w:sz w:val="24"/>
                <w:szCs w:val="24"/>
                <w:highlight w:val="none"/>
              </w:rPr>
              <w:t>得</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分；方案</w:t>
            </w:r>
            <w:r>
              <w:rPr>
                <w:rFonts w:hint="eastAsia" w:ascii="仿宋" w:hAnsi="仿宋" w:eastAsia="仿宋" w:cs="仿宋"/>
                <w:bCs/>
                <w:sz w:val="24"/>
                <w:szCs w:val="24"/>
                <w:highlight w:val="none"/>
                <w:lang w:eastAsia="zh-CN"/>
              </w:rPr>
              <w:t>一般</w:t>
            </w:r>
            <w:r>
              <w:rPr>
                <w:rFonts w:hint="eastAsia" w:ascii="仿宋" w:hAnsi="仿宋" w:eastAsia="仿宋" w:cs="仿宋"/>
                <w:bCs/>
                <w:sz w:val="24"/>
                <w:szCs w:val="24"/>
                <w:highlight w:val="none"/>
              </w:rPr>
              <w:t>，实施性一般</w:t>
            </w:r>
            <w:r>
              <w:rPr>
                <w:rFonts w:hint="eastAsia" w:ascii="仿宋" w:hAnsi="仿宋" w:eastAsia="仿宋" w:cs="仿宋"/>
                <w:bCs/>
                <w:sz w:val="24"/>
                <w:szCs w:val="24"/>
                <w:highlight w:val="none"/>
                <w:lang w:eastAsia="zh-CN"/>
              </w:rPr>
              <w:t>的</w:t>
            </w:r>
            <w:r>
              <w:rPr>
                <w:rFonts w:hint="eastAsia" w:ascii="仿宋" w:hAnsi="仿宋" w:eastAsia="仿宋" w:cs="仿宋"/>
                <w:bCs/>
                <w:sz w:val="24"/>
                <w:szCs w:val="24"/>
                <w:highlight w:val="none"/>
              </w:rPr>
              <w:t>得1分；未提供相关内容得0分。</w:t>
            </w:r>
          </w:p>
        </w:tc>
        <w:tc>
          <w:tcPr>
            <w:tcW w:w="476" w:type="pct"/>
            <w:vAlign w:val="center"/>
          </w:tcPr>
          <w:p w14:paraId="74694A91">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0-5</w:t>
            </w:r>
          </w:p>
        </w:tc>
        <w:tc>
          <w:tcPr>
            <w:tcW w:w="470" w:type="pct"/>
            <w:vAlign w:val="center"/>
          </w:tcPr>
          <w:p w14:paraId="35452223">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w:t>
            </w:r>
          </w:p>
        </w:tc>
        <w:tc>
          <w:tcPr>
            <w:tcW w:w="662" w:type="pct"/>
            <w:vMerge w:val="continue"/>
            <w:vAlign w:val="center"/>
          </w:tcPr>
          <w:p w14:paraId="1F379D72">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rPr>
            </w:pPr>
          </w:p>
        </w:tc>
      </w:tr>
      <w:tr w14:paraId="725C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08" w:type="pct"/>
            <w:vAlign w:val="center"/>
          </w:tcPr>
          <w:p w14:paraId="5B93E212">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082" w:type="pct"/>
            <w:vAlign w:val="top"/>
          </w:tcPr>
          <w:p w14:paraId="5298E95A">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sz w:val="24"/>
                <w:szCs w:val="24"/>
                <w:highlight w:val="none"/>
              </w:rPr>
              <w:t>投标人提供道路清扫、保洁工作的安全保证措施及服务质量保证措施</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保证措施</w:t>
            </w:r>
            <w:r>
              <w:rPr>
                <w:rFonts w:hint="eastAsia" w:ascii="仿宋" w:hAnsi="仿宋" w:eastAsia="仿宋" w:cs="仿宋"/>
                <w:b w:val="0"/>
                <w:bCs/>
                <w:sz w:val="24"/>
                <w:szCs w:val="24"/>
                <w:highlight w:val="none"/>
                <w:lang w:eastAsia="zh-CN"/>
              </w:rPr>
              <w:t>科学合理的得</w:t>
            </w:r>
            <w:r>
              <w:rPr>
                <w:rFonts w:hint="eastAsia" w:ascii="仿宋" w:hAnsi="仿宋" w:eastAsia="仿宋" w:cs="仿宋"/>
                <w:b w:val="0"/>
                <w:bCs/>
                <w:sz w:val="24"/>
                <w:szCs w:val="24"/>
                <w:highlight w:val="none"/>
                <w:lang w:val="en-US" w:eastAsia="zh-CN"/>
              </w:rPr>
              <w:t>3分；</w:t>
            </w:r>
            <w:r>
              <w:rPr>
                <w:rFonts w:hint="eastAsia" w:ascii="仿宋" w:hAnsi="仿宋" w:eastAsia="仿宋" w:cs="仿宋"/>
                <w:b w:val="0"/>
                <w:bCs/>
                <w:sz w:val="24"/>
                <w:szCs w:val="24"/>
                <w:highlight w:val="none"/>
              </w:rPr>
              <w:t>保证措施</w:t>
            </w:r>
            <w:r>
              <w:rPr>
                <w:rFonts w:hint="eastAsia" w:ascii="仿宋" w:hAnsi="仿宋" w:eastAsia="仿宋" w:cs="仿宋"/>
                <w:b w:val="0"/>
                <w:bCs/>
                <w:sz w:val="24"/>
                <w:szCs w:val="24"/>
                <w:highlight w:val="none"/>
                <w:lang w:eastAsia="zh-CN"/>
              </w:rPr>
              <w:t>科学一般的得</w:t>
            </w:r>
            <w:r>
              <w:rPr>
                <w:rFonts w:hint="eastAsia" w:ascii="仿宋" w:hAnsi="仿宋" w:eastAsia="仿宋" w:cs="仿宋"/>
                <w:b w:val="0"/>
                <w:bCs/>
                <w:sz w:val="24"/>
                <w:szCs w:val="24"/>
                <w:highlight w:val="none"/>
                <w:lang w:val="en-US" w:eastAsia="zh-CN"/>
              </w:rPr>
              <w:t>1.5分；</w:t>
            </w:r>
            <w:r>
              <w:rPr>
                <w:rFonts w:hint="eastAsia" w:ascii="仿宋" w:hAnsi="仿宋" w:eastAsia="仿宋" w:cs="仿宋_GB2312"/>
                <w:sz w:val="24"/>
                <w:highlight w:val="none"/>
              </w:rPr>
              <w:t>未提供相关内容</w:t>
            </w:r>
            <w:r>
              <w:rPr>
                <w:rFonts w:hint="eastAsia" w:ascii="仿宋" w:hAnsi="仿宋" w:eastAsia="仿宋" w:cs="仿宋_GB2312"/>
                <w:sz w:val="24"/>
                <w:highlight w:val="none"/>
                <w:lang w:eastAsia="zh-CN"/>
              </w:rPr>
              <w:t>的不得分</w:t>
            </w:r>
            <w:r>
              <w:rPr>
                <w:rFonts w:hint="eastAsia" w:ascii="仿宋" w:hAnsi="仿宋" w:eastAsia="仿宋" w:cs="仿宋"/>
                <w:b w:val="0"/>
                <w:bCs/>
                <w:sz w:val="24"/>
                <w:szCs w:val="24"/>
                <w:highlight w:val="none"/>
              </w:rPr>
              <w:t>。</w:t>
            </w:r>
          </w:p>
        </w:tc>
        <w:tc>
          <w:tcPr>
            <w:tcW w:w="476" w:type="pct"/>
            <w:vAlign w:val="center"/>
          </w:tcPr>
          <w:p w14:paraId="5B0E6244">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w:t>
            </w:r>
            <w:r>
              <w:rPr>
                <w:rFonts w:hint="eastAsia" w:ascii="仿宋" w:hAnsi="仿宋" w:eastAsia="仿宋" w:cs="仿宋"/>
                <w:bCs/>
                <w:sz w:val="24"/>
                <w:szCs w:val="24"/>
                <w:highlight w:val="none"/>
                <w:lang w:val="en-US" w:eastAsia="zh-CN"/>
              </w:rPr>
              <w:t>3</w:t>
            </w:r>
          </w:p>
        </w:tc>
        <w:tc>
          <w:tcPr>
            <w:tcW w:w="470" w:type="pct"/>
            <w:vAlign w:val="center"/>
          </w:tcPr>
          <w:p w14:paraId="58B81FC7">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w:t>
            </w:r>
          </w:p>
        </w:tc>
        <w:tc>
          <w:tcPr>
            <w:tcW w:w="662" w:type="pct"/>
            <w:vMerge w:val="continue"/>
            <w:vAlign w:val="center"/>
          </w:tcPr>
          <w:p w14:paraId="002D4953">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rPr>
            </w:pPr>
          </w:p>
        </w:tc>
      </w:tr>
      <w:tr w14:paraId="63ED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08" w:type="pct"/>
            <w:vAlign w:val="center"/>
          </w:tcPr>
          <w:p w14:paraId="660E405B">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3082" w:type="pct"/>
            <w:vAlign w:val="top"/>
          </w:tcPr>
          <w:p w14:paraId="13A8910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对本项目服务有合理化建议，并制订具体实施措施及方案，</w:t>
            </w:r>
            <w:r>
              <w:rPr>
                <w:rFonts w:hint="eastAsia" w:ascii="仿宋" w:hAnsi="仿宋" w:eastAsia="仿宋" w:cs="仿宋"/>
                <w:bCs/>
                <w:sz w:val="24"/>
                <w:szCs w:val="24"/>
                <w:highlight w:val="none"/>
                <w:lang w:eastAsia="zh-CN"/>
              </w:rPr>
              <w:t>方案针对性强的得</w:t>
            </w:r>
            <w:r>
              <w:rPr>
                <w:rFonts w:hint="eastAsia" w:ascii="仿宋" w:hAnsi="仿宋" w:eastAsia="仿宋" w:cs="仿宋"/>
                <w:bCs/>
                <w:sz w:val="24"/>
                <w:szCs w:val="24"/>
                <w:highlight w:val="none"/>
                <w:lang w:val="en-US" w:eastAsia="zh-CN"/>
              </w:rPr>
              <w:t>3分；</w:t>
            </w:r>
            <w:r>
              <w:rPr>
                <w:rFonts w:hint="eastAsia" w:ascii="仿宋" w:hAnsi="仿宋" w:eastAsia="仿宋" w:cs="仿宋"/>
                <w:bCs/>
                <w:sz w:val="24"/>
                <w:szCs w:val="24"/>
                <w:highlight w:val="none"/>
                <w:lang w:eastAsia="zh-CN"/>
              </w:rPr>
              <w:t>方案针对性较强的得</w:t>
            </w:r>
            <w:r>
              <w:rPr>
                <w:rFonts w:hint="eastAsia" w:ascii="仿宋" w:hAnsi="仿宋" w:eastAsia="仿宋" w:cs="仿宋"/>
                <w:bCs/>
                <w:sz w:val="24"/>
                <w:szCs w:val="24"/>
                <w:highlight w:val="none"/>
                <w:lang w:val="en-US" w:eastAsia="zh-CN"/>
              </w:rPr>
              <w:t>2分；</w:t>
            </w:r>
            <w:r>
              <w:rPr>
                <w:rFonts w:hint="eastAsia" w:ascii="仿宋" w:hAnsi="仿宋" w:eastAsia="仿宋" w:cs="仿宋"/>
                <w:bCs/>
                <w:sz w:val="24"/>
                <w:szCs w:val="24"/>
                <w:highlight w:val="none"/>
                <w:lang w:eastAsia="zh-CN"/>
              </w:rPr>
              <w:t>方案针对性一般的得</w:t>
            </w:r>
            <w:r>
              <w:rPr>
                <w:rFonts w:hint="eastAsia" w:ascii="仿宋" w:hAnsi="仿宋" w:eastAsia="仿宋" w:cs="仿宋"/>
                <w:bCs/>
                <w:sz w:val="24"/>
                <w:szCs w:val="24"/>
                <w:highlight w:val="none"/>
                <w:lang w:val="en-US" w:eastAsia="zh-CN"/>
              </w:rPr>
              <w:t>1分；</w:t>
            </w:r>
            <w:r>
              <w:rPr>
                <w:rFonts w:hint="eastAsia" w:ascii="仿宋" w:hAnsi="仿宋" w:eastAsia="仿宋" w:cs="仿宋_GB2312"/>
                <w:sz w:val="24"/>
                <w:highlight w:val="none"/>
              </w:rPr>
              <w:t>未提供相关内容</w:t>
            </w:r>
            <w:r>
              <w:rPr>
                <w:rFonts w:hint="eastAsia" w:ascii="仿宋" w:hAnsi="仿宋" w:eastAsia="仿宋" w:cs="仿宋_GB2312"/>
                <w:sz w:val="24"/>
                <w:highlight w:val="none"/>
                <w:lang w:eastAsia="zh-CN"/>
              </w:rPr>
              <w:t>的不得分</w:t>
            </w:r>
            <w:r>
              <w:rPr>
                <w:rFonts w:hint="eastAsia" w:ascii="仿宋" w:hAnsi="仿宋" w:eastAsia="仿宋" w:cs="仿宋"/>
                <w:b w:val="0"/>
                <w:bCs/>
                <w:kern w:val="2"/>
                <w:sz w:val="24"/>
                <w:szCs w:val="24"/>
                <w:highlight w:val="none"/>
                <w:lang w:val="en-US" w:eastAsia="zh-CN" w:bidi="ar-SA"/>
              </w:rPr>
              <w:t>。</w:t>
            </w:r>
          </w:p>
        </w:tc>
        <w:tc>
          <w:tcPr>
            <w:tcW w:w="476" w:type="pct"/>
            <w:vAlign w:val="center"/>
          </w:tcPr>
          <w:p w14:paraId="0B2CBFDD">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0-3</w:t>
            </w:r>
          </w:p>
        </w:tc>
        <w:tc>
          <w:tcPr>
            <w:tcW w:w="470" w:type="pct"/>
            <w:vAlign w:val="center"/>
          </w:tcPr>
          <w:p w14:paraId="15BAFF76">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w:t>
            </w:r>
          </w:p>
        </w:tc>
        <w:tc>
          <w:tcPr>
            <w:tcW w:w="662" w:type="pct"/>
            <w:vMerge w:val="continue"/>
            <w:vAlign w:val="center"/>
          </w:tcPr>
          <w:p w14:paraId="703E6F59">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rPr>
            </w:pPr>
          </w:p>
        </w:tc>
      </w:tr>
      <w:tr w14:paraId="09E3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08" w:type="pct"/>
            <w:vAlign w:val="center"/>
          </w:tcPr>
          <w:p w14:paraId="1D6F0BF8">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3082" w:type="pct"/>
            <w:vAlign w:val="center"/>
          </w:tcPr>
          <w:p w14:paraId="34C29D14">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投标人内部管理制度内容完善、各项规章制度健全的配置合理，其中制定有员工管理制度、企业财务制度、安全生产制度，</w:t>
            </w:r>
            <w:r>
              <w:rPr>
                <w:rFonts w:hint="eastAsia" w:ascii="仿宋" w:hAnsi="仿宋" w:eastAsia="仿宋" w:cs="仿宋"/>
                <w:bCs/>
                <w:sz w:val="24"/>
                <w:szCs w:val="24"/>
                <w:highlight w:val="none"/>
                <w:lang w:eastAsia="zh-CN"/>
              </w:rPr>
              <w:t>制度合理的</w:t>
            </w:r>
            <w:r>
              <w:rPr>
                <w:rFonts w:hint="eastAsia" w:ascii="仿宋" w:hAnsi="仿宋" w:eastAsia="仿宋" w:cs="仿宋"/>
                <w:bCs/>
                <w:sz w:val="24"/>
                <w:szCs w:val="24"/>
                <w:highlight w:val="none"/>
              </w:rPr>
              <w:t>每项得</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分</w:t>
            </w:r>
            <w:r>
              <w:rPr>
                <w:rFonts w:hint="eastAsia" w:ascii="仿宋" w:hAnsi="仿宋" w:eastAsia="仿宋" w:cs="仿宋"/>
                <w:bCs/>
                <w:sz w:val="24"/>
                <w:szCs w:val="24"/>
                <w:highlight w:val="none"/>
                <w:lang w:eastAsia="zh-CN"/>
              </w:rPr>
              <w:t>；制度一般的</w:t>
            </w:r>
            <w:r>
              <w:rPr>
                <w:rFonts w:hint="eastAsia" w:ascii="仿宋" w:hAnsi="仿宋" w:eastAsia="仿宋" w:cs="仿宋"/>
                <w:bCs/>
                <w:sz w:val="24"/>
                <w:szCs w:val="24"/>
                <w:highlight w:val="none"/>
              </w:rPr>
              <w:t>每项得</w:t>
            </w:r>
            <w:r>
              <w:rPr>
                <w:rFonts w:hint="eastAsia" w:ascii="仿宋" w:hAnsi="仿宋" w:eastAsia="仿宋" w:cs="仿宋"/>
                <w:bCs/>
                <w:sz w:val="24"/>
                <w:szCs w:val="24"/>
                <w:highlight w:val="none"/>
                <w:lang w:val="en-US" w:eastAsia="zh-CN"/>
              </w:rPr>
              <w:t>0.5</w:t>
            </w:r>
            <w:r>
              <w:rPr>
                <w:rFonts w:hint="eastAsia" w:ascii="仿宋" w:hAnsi="仿宋" w:eastAsia="仿宋" w:cs="仿宋"/>
                <w:bCs/>
                <w:sz w:val="24"/>
                <w:szCs w:val="24"/>
                <w:highlight w:val="none"/>
              </w:rPr>
              <w:t>分</w:t>
            </w:r>
            <w:r>
              <w:rPr>
                <w:rFonts w:hint="eastAsia" w:ascii="仿宋" w:hAnsi="仿宋" w:eastAsia="仿宋" w:cs="仿宋"/>
                <w:bCs/>
                <w:sz w:val="24"/>
                <w:szCs w:val="24"/>
                <w:highlight w:val="none"/>
                <w:lang w:eastAsia="zh-CN"/>
              </w:rPr>
              <w:t>；</w:t>
            </w:r>
            <w:r>
              <w:rPr>
                <w:rFonts w:hint="eastAsia" w:ascii="仿宋" w:hAnsi="仿宋" w:eastAsia="仿宋" w:cs="仿宋_GB2312"/>
                <w:sz w:val="24"/>
                <w:highlight w:val="none"/>
              </w:rPr>
              <w:t>未提供相关内容</w:t>
            </w:r>
            <w:r>
              <w:rPr>
                <w:rFonts w:hint="eastAsia" w:ascii="仿宋" w:hAnsi="仿宋" w:eastAsia="仿宋" w:cs="仿宋_GB2312"/>
                <w:sz w:val="24"/>
                <w:highlight w:val="none"/>
                <w:lang w:eastAsia="zh-CN"/>
              </w:rPr>
              <w:t>的不得分</w:t>
            </w:r>
            <w:r>
              <w:rPr>
                <w:rFonts w:hint="eastAsia" w:ascii="仿宋" w:hAnsi="仿宋" w:eastAsia="仿宋" w:cs="仿宋"/>
                <w:bCs/>
                <w:sz w:val="24"/>
                <w:szCs w:val="24"/>
                <w:highlight w:val="none"/>
              </w:rPr>
              <w:t>。</w:t>
            </w:r>
          </w:p>
        </w:tc>
        <w:tc>
          <w:tcPr>
            <w:tcW w:w="476" w:type="pct"/>
            <w:vAlign w:val="center"/>
          </w:tcPr>
          <w:p w14:paraId="27BF1ACE">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0-3</w:t>
            </w:r>
          </w:p>
        </w:tc>
        <w:tc>
          <w:tcPr>
            <w:tcW w:w="470" w:type="pct"/>
            <w:vAlign w:val="center"/>
          </w:tcPr>
          <w:p w14:paraId="195A558A">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w:t>
            </w:r>
          </w:p>
        </w:tc>
        <w:tc>
          <w:tcPr>
            <w:tcW w:w="662" w:type="pct"/>
            <w:vMerge w:val="restart"/>
            <w:vAlign w:val="center"/>
          </w:tcPr>
          <w:p w14:paraId="66DB300D">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内部管理</w:t>
            </w:r>
          </w:p>
        </w:tc>
      </w:tr>
      <w:tr w14:paraId="1055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08" w:type="pct"/>
            <w:vAlign w:val="center"/>
          </w:tcPr>
          <w:p w14:paraId="2DA266FA">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3082" w:type="pct"/>
            <w:vAlign w:val="center"/>
          </w:tcPr>
          <w:p w14:paraId="1C8CD54A">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投标人提供明确的培训方案和培训计划（包括培训的具体内容、培训方式、人数等），方案</w:t>
            </w:r>
            <w:r>
              <w:rPr>
                <w:rFonts w:hint="eastAsia" w:ascii="仿宋" w:hAnsi="仿宋" w:eastAsia="仿宋" w:cs="仿宋"/>
                <w:bCs/>
                <w:sz w:val="24"/>
                <w:szCs w:val="24"/>
                <w:highlight w:val="none"/>
                <w:lang w:eastAsia="zh-CN"/>
              </w:rPr>
              <w:t>、计划</w:t>
            </w:r>
            <w:r>
              <w:rPr>
                <w:rFonts w:hint="eastAsia" w:ascii="仿宋" w:hAnsi="仿宋" w:eastAsia="仿宋" w:cs="仿宋"/>
                <w:bCs/>
                <w:sz w:val="24"/>
                <w:szCs w:val="24"/>
                <w:highlight w:val="none"/>
              </w:rPr>
              <w:t>完整，可实施性强</w:t>
            </w:r>
            <w:r>
              <w:rPr>
                <w:rFonts w:hint="eastAsia" w:ascii="仿宋" w:hAnsi="仿宋" w:eastAsia="仿宋" w:cs="仿宋"/>
                <w:bCs/>
                <w:sz w:val="24"/>
                <w:szCs w:val="24"/>
                <w:highlight w:val="none"/>
                <w:lang w:eastAsia="zh-CN"/>
              </w:rPr>
              <w:t>的</w:t>
            </w:r>
            <w:r>
              <w:rPr>
                <w:rFonts w:hint="eastAsia" w:ascii="仿宋" w:hAnsi="仿宋" w:eastAsia="仿宋" w:cs="仿宋"/>
                <w:bCs/>
                <w:sz w:val="24"/>
                <w:szCs w:val="24"/>
                <w:highlight w:val="none"/>
              </w:rPr>
              <w:t>得</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分；方案</w:t>
            </w:r>
            <w:r>
              <w:rPr>
                <w:rFonts w:hint="eastAsia" w:ascii="仿宋" w:hAnsi="仿宋" w:eastAsia="仿宋" w:cs="仿宋"/>
                <w:bCs/>
                <w:sz w:val="24"/>
                <w:szCs w:val="24"/>
                <w:highlight w:val="none"/>
                <w:lang w:eastAsia="zh-CN"/>
              </w:rPr>
              <w:t>、计划</w:t>
            </w:r>
            <w:r>
              <w:rPr>
                <w:rFonts w:hint="eastAsia" w:ascii="仿宋" w:hAnsi="仿宋" w:eastAsia="仿宋" w:cs="仿宋"/>
                <w:bCs/>
                <w:sz w:val="24"/>
                <w:szCs w:val="24"/>
                <w:highlight w:val="none"/>
              </w:rPr>
              <w:t>较完整，实施性较强</w:t>
            </w:r>
            <w:r>
              <w:rPr>
                <w:rFonts w:hint="eastAsia" w:ascii="仿宋" w:hAnsi="仿宋" w:eastAsia="仿宋" w:cs="仿宋"/>
                <w:bCs/>
                <w:sz w:val="24"/>
                <w:szCs w:val="24"/>
                <w:highlight w:val="none"/>
                <w:lang w:eastAsia="zh-CN"/>
              </w:rPr>
              <w:t>的</w:t>
            </w:r>
            <w:r>
              <w:rPr>
                <w:rFonts w:hint="eastAsia" w:ascii="仿宋" w:hAnsi="仿宋" w:eastAsia="仿宋" w:cs="仿宋"/>
                <w:bCs/>
                <w:sz w:val="24"/>
                <w:szCs w:val="24"/>
                <w:highlight w:val="none"/>
              </w:rPr>
              <w:t>得</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分；方案</w:t>
            </w:r>
            <w:r>
              <w:rPr>
                <w:rFonts w:hint="eastAsia" w:ascii="仿宋" w:hAnsi="仿宋" w:eastAsia="仿宋" w:cs="仿宋"/>
                <w:bCs/>
                <w:sz w:val="24"/>
                <w:szCs w:val="24"/>
                <w:highlight w:val="none"/>
                <w:lang w:eastAsia="zh-CN"/>
              </w:rPr>
              <w:t>、计划一般</w:t>
            </w:r>
            <w:r>
              <w:rPr>
                <w:rFonts w:hint="eastAsia" w:ascii="仿宋" w:hAnsi="仿宋" w:eastAsia="仿宋" w:cs="仿宋"/>
                <w:bCs/>
                <w:sz w:val="24"/>
                <w:szCs w:val="24"/>
                <w:highlight w:val="none"/>
              </w:rPr>
              <w:t>，实施性一般</w:t>
            </w:r>
            <w:r>
              <w:rPr>
                <w:rFonts w:hint="eastAsia" w:ascii="仿宋" w:hAnsi="仿宋" w:eastAsia="仿宋" w:cs="仿宋"/>
                <w:bCs/>
                <w:sz w:val="24"/>
                <w:szCs w:val="24"/>
                <w:highlight w:val="none"/>
                <w:lang w:eastAsia="zh-CN"/>
              </w:rPr>
              <w:t>的</w:t>
            </w:r>
            <w:r>
              <w:rPr>
                <w:rFonts w:hint="eastAsia" w:ascii="仿宋" w:hAnsi="仿宋" w:eastAsia="仿宋" w:cs="仿宋"/>
                <w:bCs/>
                <w:sz w:val="24"/>
                <w:szCs w:val="24"/>
                <w:highlight w:val="none"/>
              </w:rPr>
              <w:t>得1分；未提供相关内容得0分。</w:t>
            </w:r>
          </w:p>
        </w:tc>
        <w:tc>
          <w:tcPr>
            <w:tcW w:w="476" w:type="pct"/>
            <w:vAlign w:val="center"/>
          </w:tcPr>
          <w:p w14:paraId="7EF280D0">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w:t>
            </w:r>
            <w:r>
              <w:rPr>
                <w:rFonts w:hint="eastAsia" w:ascii="仿宋" w:hAnsi="仿宋" w:eastAsia="仿宋" w:cs="仿宋"/>
                <w:bCs/>
                <w:sz w:val="24"/>
                <w:szCs w:val="24"/>
                <w:highlight w:val="none"/>
                <w:lang w:val="en-US" w:eastAsia="zh-CN"/>
              </w:rPr>
              <w:t>3</w:t>
            </w:r>
          </w:p>
        </w:tc>
        <w:tc>
          <w:tcPr>
            <w:tcW w:w="470" w:type="pct"/>
            <w:vAlign w:val="center"/>
          </w:tcPr>
          <w:p w14:paraId="7FEBE244">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w:t>
            </w:r>
          </w:p>
        </w:tc>
        <w:tc>
          <w:tcPr>
            <w:tcW w:w="662" w:type="pct"/>
            <w:vMerge w:val="continue"/>
            <w:vAlign w:val="center"/>
          </w:tcPr>
          <w:p w14:paraId="19881473">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rPr>
            </w:pPr>
          </w:p>
        </w:tc>
      </w:tr>
      <w:tr w14:paraId="1FE4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08" w:type="pct"/>
            <w:vAlign w:val="center"/>
          </w:tcPr>
          <w:p w14:paraId="16F12D42">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3082" w:type="pct"/>
            <w:vAlign w:val="center"/>
          </w:tcPr>
          <w:p w14:paraId="1F7845C5">
            <w:pPr>
              <w:keepNext w:val="0"/>
              <w:keepLines w:val="0"/>
              <w:pageBreakBefore w:val="0"/>
              <w:widowControl w:val="0"/>
              <w:kinsoku/>
              <w:wordWrap/>
              <w:overflowPunct/>
              <w:topLinePunct w:val="0"/>
              <w:autoSpaceDE/>
              <w:autoSpaceDN/>
              <w:bidi w:val="0"/>
              <w:adjustRightInd w:val="0"/>
              <w:snapToGrid/>
              <w:spacing w:line="320" w:lineRule="exact"/>
              <w:textAlignment w:val="auto"/>
              <w:outlineLvl w:val="0"/>
              <w:rPr>
                <w:rFonts w:hint="eastAsia" w:ascii="仿宋" w:hAnsi="仿宋" w:eastAsia="仿宋" w:cs="仿宋"/>
                <w:sz w:val="24"/>
                <w:szCs w:val="24"/>
                <w:highlight w:val="none"/>
              </w:rPr>
            </w:pPr>
            <w:r>
              <w:rPr>
                <w:rFonts w:hint="eastAsia" w:ascii="仿宋" w:hAnsi="仿宋" w:eastAsia="仿宋" w:cs="仿宋"/>
                <w:bCs/>
                <w:sz w:val="24"/>
                <w:szCs w:val="24"/>
                <w:highlight w:val="none"/>
              </w:rPr>
              <w:t>投标人针对防汛抗台、防雪抗冻、重大检查及各项创建活动、疫情防控分别制定保障方案，并能无条件响应，圆满完成任务</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方案完整，实施性强</w:t>
            </w:r>
            <w:r>
              <w:rPr>
                <w:rFonts w:hint="eastAsia" w:ascii="仿宋" w:hAnsi="仿宋" w:eastAsia="仿宋" w:cs="仿宋"/>
                <w:bCs/>
                <w:sz w:val="24"/>
                <w:szCs w:val="24"/>
                <w:highlight w:val="none"/>
                <w:lang w:eastAsia="zh-CN"/>
              </w:rPr>
              <w:t>的</w:t>
            </w:r>
            <w:r>
              <w:rPr>
                <w:rFonts w:hint="eastAsia" w:ascii="仿宋" w:hAnsi="仿宋" w:eastAsia="仿宋" w:cs="仿宋"/>
                <w:bCs/>
                <w:sz w:val="24"/>
                <w:szCs w:val="24"/>
                <w:highlight w:val="none"/>
              </w:rPr>
              <w:t>得</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分；方案较完整，实施性较强</w:t>
            </w:r>
            <w:r>
              <w:rPr>
                <w:rFonts w:hint="eastAsia" w:ascii="仿宋" w:hAnsi="仿宋" w:eastAsia="仿宋" w:cs="仿宋"/>
                <w:bCs/>
                <w:sz w:val="24"/>
                <w:szCs w:val="24"/>
                <w:highlight w:val="none"/>
                <w:lang w:val="en-US" w:eastAsia="zh-CN"/>
              </w:rPr>
              <w:t>的</w:t>
            </w:r>
            <w:r>
              <w:rPr>
                <w:rFonts w:hint="eastAsia" w:ascii="仿宋" w:hAnsi="仿宋" w:eastAsia="仿宋" w:cs="仿宋"/>
                <w:bCs/>
                <w:sz w:val="24"/>
                <w:szCs w:val="24"/>
                <w:highlight w:val="none"/>
              </w:rPr>
              <w:t>得</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分；方案</w:t>
            </w:r>
            <w:r>
              <w:rPr>
                <w:rFonts w:hint="eastAsia" w:ascii="仿宋" w:hAnsi="仿宋" w:eastAsia="仿宋" w:cs="仿宋"/>
                <w:bCs/>
                <w:sz w:val="24"/>
                <w:szCs w:val="24"/>
                <w:highlight w:val="none"/>
                <w:lang w:eastAsia="zh-CN"/>
              </w:rPr>
              <w:t>一般</w:t>
            </w:r>
            <w:r>
              <w:rPr>
                <w:rFonts w:hint="eastAsia" w:ascii="仿宋" w:hAnsi="仿宋" w:eastAsia="仿宋" w:cs="仿宋"/>
                <w:bCs/>
                <w:sz w:val="24"/>
                <w:szCs w:val="24"/>
                <w:highlight w:val="none"/>
              </w:rPr>
              <w:t>，实施性一般得</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分；未提供相关内容得0分。</w:t>
            </w:r>
          </w:p>
        </w:tc>
        <w:tc>
          <w:tcPr>
            <w:tcW w:w="476" w:type="pct"/>
            <w:vAlign w:val="center"/>
          </w:tcPr>
          <w:p w14:paraId="0134CF7E">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0-4</w:t>
            </w:r>
          </w:p>
        </w:tc>
        <w:tc>
          <w:tcPr>
            <w:tcW w:w="470" w:type="pct"/>
            <w:vAlign w:val="center"/>
          </w:tcPr>
          <w:p w14:paraId="62433864">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w:t>
            </w:r>
          </w:p>
        </w:tc>
        <w:tc>
          <w:tcPr>
            <w:tcW w:w="662" w:type="pct"/>
            <w:vAlign w:val="center"/>
          </w:tcPr>
          <w:p w14:paraId="26578038">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应急保障方案</w:t>
            </w:r>
          </w:p>
        </w:tc>
      </w:tr>
      <w:tr w14:paraId="1792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8" w:type="pct"/>
            <w:vAlign w:val="center"/>
          </w:tcPr>
          <w:p w14:paraId="4D41EFC9">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3082" w:type="pct"/>
            <w:vAlign w:val="top"/>
          </w:tcPr>
          <w:p w14:paraId="7D46AD3C">
            <w:pPr>
              <w:pStyle w:val="965"/>
              <w:keepNext w:val="0"/>
              <w:keepLines w:val="0"/>
              <w:pageBreakBefore w:val="0"/>
              <w:kinsoku/>
              <w:wordWrap/>
              <w:overflowPunct/>
              <w:topLinePunct w:val="0"/>
              <w:autoSpaceDE/>
              <w:autoSpaceDN/>
              <w:bidi w:val="0"/>
              <w:snapToGrid/>
              <w:spacing w:line="320" w:lineRule="exact"/>
              <w:textAlignment w:val="auto"/>
              <w:rPr>
                <w:rFonts w:hint="eastAsia" w:ascii="仿宋" w:hAnsi="仿宋" w:eastAsia="仿宋" w:cs="仿宋"/>
                <w:bCs/>
                <w:color w:val="auto"/>
                <w:kern w:val="0"/>
                <w:sz w:val="24"/>
                <w:szCs w:val="24"/>
                <w:highlight w:val="none"/>
                <w:lang w:val="zh-CN" w:eastAsia="zh-CN" w:bidi="ar-SA"/>
              </w:rPr>
            </w:pPr>
            <w:r>
              <w:rPr>
                <w:rFonts w:hint="eastAsia" w:ascii="仿宋" w:hAnsi="仿宋" w:eastAsia="仿宋" w:cs="仿宋"/>
                <w:bCs/>
                <w:color w:val="auto"/>
                <w:kern w:val="2"/>
                <w:sz w:val="24"/>
                <w:szCs w:val="24"/>
                <w:highlight w:val="none"/>
                <w:lang w:val="en-US" w:eastAsia="zh-CN" w:bidi="ar-SA"/>
              </w:rPr>
              <w:t>①投标人现有配置车辆（包含新能源上牌车辆）：压缩垃圾车、</w:t>
            </w:r>
            <w:r>
              <w:rPr>
                <w:rFonts w:hint="eastAsia" w:ascii="仿宋" w:hAnsi="仿宋" w:eastAsia="仿宋" w:cs="仿宋"/>
                <w:sz w:val="24"/>
                <w:szCs w:val="24"/>
                <w:highlight w:val="none"/>
                <w:lang w:val="en-US" w:eastAsia="zh-CN"/>
              </w:rPr>
              <w:t>易腐垃圾收集车、</w:t>
            </w:r>
            <w:r>
              <w:rPr>
                <w:rFonts w:hint="eastAsia" w:ascii="仿宋" w:hAnsi="仿宋" w:eastAsia="仿宋" w:cs="仿宋"/>
                <w:bCs/>
                <w:color w:val="auto"/>
                <w:kern w:val="2"/>
                <w:sz w:val="24"/>
                <w:szCs w:val="24"/>
                <w:highlight w:val="none"/>
                <w:lang w:val="en-US" w:eastAsia="zh-CN" w:bidi="ar-SA"/>
              </w:rPr>
              <w:t xml:space="preserve">三位一体洗扫车、机扫车、洒水车、雾炮车、冲洗车、吸污车、自卸货车、铲车、收集车、保洁车、勾臂车、登高车，车辆购置时间需在2020年1月1日（含2020年1月1日，购置时间以车辆设备首次购置时间为准）以后，以上设备类型中任意每件金额大于40万（含40万）的得1分，不到40万的得0.5分，所有车辆均要求为自有车辆，其中二手过户车辆需在2024年6月30日之前完成过户（以车辆登记证日期为准），最高得12分。（只取25件专用车辆设备作为评分依据)。以上需同时提供车辆登记证及购置发票和机具照片，未提供或提供不全不得分。 </w:t>
            </w:r>
          </w:p>
        </w:tc>
        <w:tc>
          <w:tcPr>
            <w:tcW w:w="476" w:type="pct"/>
            <w:vAlign w:val="center"/>
          </w:tcPr>
          <w:p w14:paraId="55E9702D">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0-1</w:t>
            </w:r>
            <w:r>
              <w:rPr>
                <w:rFonts w:hint="eastAsia" w:ascii="仿宋" w:hAnsi="仿宋" w:eastAsia="仿宋" w:cs="仿宋"/>
                <w:bCs/>
                <w:sz w:val="24"/>
                <w:szCs w:val="24"/>
                <w:highlight w:val="none"/>
                <w:lang w:val="en-US" w:eastAsia="zh-CN"/>
              </w:rPr>
              <w:t>2</w:t>
            </w:r>
          </w:p>
        </w:tc>
        <w:tc>
          <w:tcPr>
            <w:tcW w:w="470" w:type="pct"/>
            <w:vAlign w:val="center"/>
          </w:tcPr>
          <w:p w14:paraId="7FD14303">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客</w:t>
            </w:r>
            <w:r>
              <w:rPr>
                <w:rFonts w:hint="eastAsia" w:ascii="仿宋" w:hAnsi="仿宋" w:eastAsia="仿宋" w:cs="仿宋"/>
                <w:bCs/>
                <w:sz w:val="24"/>
                <w:szCs w:val="24"/>
                <w:highlight w:val="none"/>
              </w:rPr>
              <w:t>观分</w:t>
            </w:r>
          </w:p>
        </w:tc>
        <w:tc>
          <w:tcPr>
            <w:tcW w:w="662" w:type="pct"/>
            <w:vMerge w:val="restart"/>
            <w:vAlign w:val="center"/>
          </w:tcPr>
          <w:p w14:paraId="2CC31306">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设备保障</w:t>
            </w:r>
          </w:p>
        </w:tc>
      </w:tr>
      <w:tr w14:paraId="520B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08" w:type="pct"/>
            <w:vAlign w:val="center"/>
          </w:tcPr>
          <w:p w14:paraId="151370BB">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3082" w:type="pct"/>
            <w:vAlign w:val="top"/>
          </w:tcPr>
          <w:p w14:paraId="59EC5450">
            <w:pPr>
              <w:keepNext w:val="0"/>
              <w:keepLines w:val="0"/>
              <w:pageBreakBefore w:val="0"/>
              <w:kinsoku/>
              <w:wordWrap/>
              <w:overflowPunct/>
              <w:topLinePunct w:val="0"/>
              <w:autoSpaceDE/>
              <w:autoSpaceDN/>
              <w:bidi w:val="0"/>
              <w:snapToGrid/>
              <w:spacing w:line="320" w:lineRule="exac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②</w:t>
            </w:r>
            <w:r>
              <w:rPr>
                <w:rFonts w:hint="eastAsia" w:ascii="仿宋" w:hAnsi="仿宋" w:eastAsia="仿宋" w:cs="仿宋"/>
                <w:bCs/>
                <w:color w:val="auto"/>
                <w:sz w:val="24"/>
                <w:szCs w:val="24"/>
                <w:highlight w:val="none"/>
              </w:rPr>
              <w:t>投标人现有配置的新能源</w:t>
            </w:r>
            <w:r>
              <w:rPr>
                <w:rFonts w:hint="eastAsia" w:ascii="仿宋" w:hAnsi="仿宋" w:eastAsia="仿宋" w:cs="仿宋"/>
                <w:bCs/>
                <w:color w:val="auto"/>
                <w:sz w:val="24"/>
                <w:szCs w:val="24"/>
                <w:highlight w:val="none"/>
                <w:lang w:eastAsia="zh-CN"/>
              </w:rPr>
              <w:t>（或清洁能源）</w:t>
            </w:r>
            <w:r>
              <w:rPr>
                <w:rFonts w:hint="eastAsia" w:ascii="仿宋" w:hAnsi="仿宋" w:eastAsia="仿宋" w:cs="仿宋"/>
                <w:bCs/>
                <w:color w:val="auto"/>
                <w:sz w:val="24"/>
                <w:szCs w:val="24"/>
                <w:highlight w:val="none"/>
              </w:rPr>
              <w:t>可上牌车辆（评分①中的车辆可重复计分）：</w:t>
            </w:r>
            <w:r>
              <w:rPr>
                <w:rFonts w:hint="eastAsia" w:ascii="仿宋" w:hAnsi="仿宋" w:eastAsia="仿宋" w:cs="仿宋"/>
                <w:bCs/>
                <w:color w:val="auto"/>
                <w:kern w:val="2"/>
                <w:sz w:val="24"/>
                <w:szCs w:val="24"/>
                <w:highlight w:val="none"/>
                <w:lang w:val="en-US" w:eastAsia="zh-CN" w:bidi="ar-SA"/>
              </w:rPr>
              <w:t>压缩垃圾车、</w:t>
            </w:r>
            <w:r>
              <w:rPr>
                <w:rFonts w:hint="eastAsia" w:ascii="仿宋" w:hAnsi="仿宋" w:eastAsia="仿宋" w:cs="仿宋"/>
                <w:sz w:val="24"/>
                <w:szCs w:val="24"/>
                <w:highlight w:val="none"/>
                <w:lang w:val="en-US" w:eastAsia="zh-CN"/>
              </w:rPr>
              <w:t>易腐垃圾收集车、</w:t>
            </w:r>
            <w:r>
              <w:rPr>
                <w:rFonts w:hint="eastAsia" w:ascii="仿宋" w:hAnsi="仿宋" w:eastAsia="仿宋" w:cs="仿宋"/>
                <w:bCs/>
                <w:color w:val="auto"/>
                <w:kern w:val="2"/>
                <w:sz w:val="24"/>
                <w:szCs w:val="24"/>
                <w:highlight w:val="none"/>
                <w:lang w:val="en-US" w:eastAsia="zh-CN" w:bidi="ar-SA"/>
              </w:rPr>
              <w:t>三位一体洗扫车、机扫车、洒水车、雾炮车、冲洗车、吸污车、自卸货车、铲车、收集车、保洁车、勾臂车、登高车</w:t>
            </w:r>
            <w:r>
              <w:rPr>
                <w:rFonts w:hint="eastAsia" w:ascii="仿宋" w:hAnsi="仿宋" w:eastAsia="仿宋" w:cs="仿宋"/>
                <w:bCs/>
                <w:color w:val="auto"/>
                <w:sz w:val="24"/>
                <w:szCs w:val="24"/>
                <w:highlight w:val="none"/>
              </w:rPr>
              <w:t>，车辆购置时间需在20</w:t>
            </w: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年1月1日（含20</w:t>
            </w: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年1月1日，购置时间以车辆设备首次购置时间为准）以后，所有车辆均要求为自有车辆，其中二手过户车辆需在</w:t>
            </w:r>
            <w:r>
              <w:rPr>
                <w:rFonts w:hint="eastAsia" w:ascii="仿宋" w:hAnsi="仿宋" w:eastAsia="仿宋" w:cs="仿宋"/>
                <w:bCs/>
                <w:color w:val="auto"/>
                <w:sz w:val="24"/>
                <w:szCs w:val="24"/>
                <w:highlight w:val="none"/>
                <w:lang w:val="en-US" w:eastAsia="zh-CN"/>
              </w:rPr>
              <w:t>2024年6</w:t>
            </w:r>
            <w:r>
              <w:rPr>
                <w:rFonts w:hint="eastAsia" w:ascii="仿宋" w:hAnsi="仿宋" w:eastAsia="仿宋" w:cs="仿宋"/>
                <w:bCs/>
                <w:color w:val="auto"/>
                <w:sz w:val="24"/>
                <w:szCs w:val="24"/>
                <w:highlight w:val="none"/>
              </w:rPr>
              <w:t>月30日之前完成过户（以车辆登记证日期为准），以上设备类型中任意每件得1分，车辆需为能上牌的新能源</w:t>
            </w:r>
            <w:r>
              <w:rPr>
                <w:rFonts w:hint="eastAsia" w:ascii="仿宋" w:hAnsi="仿宋" w:eastAsia="仿宋" w:cs="仿宋"/>
                <w:bCs/>
                <w:color w:val="auto"/>
                <w:sz w:val="24"/>
                <w:szCs w:val="24"/>
                <w:highlight w:val="none"/>
                <w:lang w:eastAsia="zh-CN"/>
              </w:rPr>
              <w:t>（或清洁能源）</w:t>
            </w:r>
            <w:r>
              <w:rPr>
                <w:rFonts w:hint="eastAsia" w:ascii="仿宋" w:hAnsi="仿宋" w:eastAsia="仿宋" w:cs="仿宋"/>
                <w:bCs/>
                <w:color w:val="auto"/>
                <w:sz w:val="24"/>
                <w:szCs w:val="24"/>
                <w:highlight w:val="none"/>
              </w:rPr>
              <w:t xml:space="preserve">车辆，采购金额不限，最多得4分。（只取4件专用车辆设备作为评分依据）。以上需同时提供车辆登记证及购置发票和机具照片，未提供或提供不全不得分。 </w:t>
            </w:r>
          </w:p>
        </w:tc>
        <w:tc>
          <w:tcPr>
            <w:tcW w:w="476" w:type="pct"/>
            <w:vAlign w:val="center"/>
          </w:tcPr>
          <w:p w14:paraId="1DFAAEF3">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0-4</w:t>
            </w:r>
          </w:p>
        </w:tc>
        <w:tc>
          <w:tcPr>
            <w:tcW w:w="470" w:type="pct"/>
            <w:vAlign w:val="center"/>
          </w:tcPr>
          <w:p w14:paraId="34DD078B">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客</w:t>
            </w:r>
            <w:r>
              <w:rPr>
                <w:rFonts w:hint="eastAsia" w:ascii="仿宋" w:hAnsi="仿宋" w:eastAsia="仿宋" w:cs="仿宋"/>
                <w:bCs/>
                <w:sz w:val="24"/>
                <w:szCs w:val="24"/>
                <w:highlight w:val="none"/>
              </w:rPr>
              <w:t>观分</w:t>
            </w:r>
          </w:p>
        </w:tc>
        <w:tc>
          <w:tcPr>
            <w:tcW w:w="662" w:type="pct"/>
            <w:vMerge w:val="continue"/>
            <w:vAlign w:val="center"/>
          </w:tcPr>
          <w:p w14:paraId="63CC7A0E">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rPr>
            </w:pPr>
          </w:p>
        </w:tc>
      </w:tr>
      <w:tr w14:paraId="4599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308" w:type="pct"/>
            <w:vAlign w:val="center"/>
          </w:tcPr>
          <w:p w14:paraId="6F6A4735">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3082" w:type="pct"/>
            <w:vAlign w:val="top"/>
          </w:tcPr>
          <w:p w14:paraId="44136233">
            <w:pPr>
              <w:keepNext w:val="0"/>
              <w:keepLines w:val="0"/>
              <w:pageBreakBefore w:val="0"/>
              <w:kinsoku/>
              <w:wordWrap/>
              <w:overflowPunct/>
              <w:topLinePunct w:val="0"/>
              <w:autoSpaceDE/>
              <w:autoSpaceDN/>
              <w:bidi w:val="0"/>
              <w:snapToGrid/>
              <w:spacing w:line="320" w:lineRule="exac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lang w:val="zh-CN"/>
              </w:rPr>
              <w:t>投入本项目的设备满足采购需求，安排合理的得</w:t>
            </w:r>
            <w:r>
              <w:rPr>
                <w:rFonts w:hint="eastAsia" w:ascii="仿宋" w:hAnsi="仿宋" w:eastAsia="仿宋" w:cs="仿宋"/>
                <w:bCs/>
                <w:sz w:val="24"/>
                <w:szCs w:val="24"/>
                <w:highlight w:val="none"/>
                <w:lang w:val="en-US" w:eastAsia="zh-CN"/>
              </w:rPr>
              <w:t>4分</w:t>
            </w:r>
            <w:r>
              <w:rPr>
                <w:rFonts w:hint="eastAsia" w:ascii="仿宋" w:hAnsi="仿宋" w:eastAsia="仿宋" w:cs="仿宋"/>
                <w:bCs/>
                <w:sz w:val="24"/>
                <w:szCs w:val="24"/>
                <w:highlight w:val="none"/>
                <w:lang w:val="zh-CN"/>
              </w:rPr>
              <w:t>。未提供设备配置计划的，该项不得分；设备安排数量不符合招标方作业设备安排数量的不得分。</w:t>
            </w:r>
          </w:p>
        </w:tc>
        <w:tc>
          <w:tcPr>
            <w:tcW w:w="476" w:type="pct"/>
            <w:vAlign w:val="center"/>
          </w:tcPr>
          <w:p w14:paraId="3099CB49">
            <w:pPr>
              <w:keepNext w:val="0"/>
              <w:keepLines w:val="0"/>
              <w:pageBreakBefore w:val="0"/>
              <w:kinsoku/>
              <w:wordWrap/>
              <w:overflowPunct/>
              <w:topLinePunct w:val="0"/>
              <w:autoSpaceDE/>
              <w:autoSpaceDN/>
              <w:bidi w:val="0"/>
              <w:snapToGrid/>
              <w:spacing w:before="156" w:line="32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w:t>
            </w:r>
            <w:r>
              <w:rPr>
                <w:rFonts w:hint="eastAsia" w:ascii="仿宋" w:hAnsi="仿宋" w:eastAsia="仿宋" w:cs="仿宋"/>
                <w:bCs/>
                <w:sz w:val="24"/>
                <w:szCs w:val="24"/>
                <w:highlight w:val="none"/>
                <w:lang w:val="en-US" w:eastAsia="zh-CN"/>
              </w:rPr>
              <w:t>4</w:t>
            </w:r>
          </w:p>
        </w:tc>
        <w:tc>
          <w:tcPr>
            <w:tcW w:w="470" w:type="pct"/>
            <w:vAlign w:val="center"/>
          </w:tcPr>
          <w:p w14:paraId="21D46423">
            <w:pPr>
              <w:keepNext w:val="0"/>
              <w:keepLines w:val="0"/>
              <w:pageBreakBefore w:val="0"/>
              <w:kinsoku/>
              <w:wordWrap/>
              <w:overflowPunct/>
              <w:topLinePunct w:val="0"/>
              <w:autoSpaceDE/>
              <w:autoSpaceDN/>
              <w:bidi w:val="0"/>
              <w:snapToGrid/>
              <w:spacing w:before="156" w:line="3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客</w:t>
            </w:r>
            <w:r>
              <w:rPr>
                <w:rFonts w:hint="eastAsia" w:ascii="仿宋" w:hAnsi="仿宋" w:eastAsia="仿宋" w:cs="仿宋"/>
                <w:bCs/>
                <w:sz w:val="24"/>
                <w:szCs w:val="24"/>
                <w:highlight w:val="none"/>
              </w:rPr>
              <w:t>观分</w:t>
            </w:r>
          </w:p>
        </w:tc>
        <w:tc>
          <w:tcPr>
            <w:tcW w:w="662" w:type="pct"/>
            <w:vMerge w:val="continue"/>
            <w:vAlign w:val="center"/>
          </w:tcPr>
          <w:p w14:paraId="22FF2868">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rPr>
            </w:pPr>
          </w:p>
        </w:tc>
      </w:tr>
      <w:tr w14:paraId="7033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308" w:type="pct"/>
            <w:vAlign w:val="center"/>
          </w:tcPr>
          <w:p w14:paraId="78EF0B67">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3082" w:type="pct"/>
            <w:vAlign w:val="top"/>
          </w:tcPr>
          <w:p w14:paraId="207882F1">
            <w:pPr>
              <w:keepNext w:val="0"/>
              <w:keepLines w:val="0"/>
              <w:pageBreakBefore w:val="0"/>
              <w:kinsoku/>
              <w:wordWrap/>
              <w:overflowPunct/>
              <w:topLinePunct w:val="0"/>
              <w:autoSpaceDE/>
              <w:autoSpaceDN/>
              <w:bidi w:val="0"/>
              <w:snapToGrid/>
              <w:spacing w:line="320" w:lineRule="exac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lang w:val="zh-CN"/>
              </w:rPr>
              <w:t>投入本项目的班组人员需固定，人员数量安排满足采购需求的得</w:t>
            </w:r>
            <w:r>
              <w:rPr>
                <w:rFonts w:hint="eastAsia" w:ascii="仿宋" w:hAnsi="仿宋" w:eastAsia="仿宋" w:cs="仿宋"/>
                <w:bCs/>
                <w:sz w:val="24"/>
                <w:szCs w:val="24"/>
                <w:highlight w:val="none"/>
                <w:lang w:val="en-US" w:eastAsia="zh-CN"/>
              </w:rPr>
              <w:t>3分；人员数量满足采购需求的基础上，多1人加0.2分，最高加1分；</w:t>
            </w:r>
            <w:r>
              <w:rPr>
                <w:rFonts w:hint="eastAsia" w:ascii="仿宋" w:hAnsi="仿宋" w:eastAsia="仿宋" w:cs="仿宋"/>
                <w:bCs/>
                <w:sz w:val="24"/>
                <w:szCs w:val="24"/>
                <w:highlight w:val="none"/>
                <w:lang w:val="zh-CN"/>
              </w:rPr>
              <w:t>人员数量安排不满足采购需求的不得分。</w:t>
            </w:r>
          </w:p>
        </w:tc>
        <w:tc>
          <w:tcPr>
            <w:tcW w:w="476" w:type="pct"/>
            <w:vAlign w:val="center"/>
          </w:tcPr>
          <w:p w14:paraId="61E9A335">
            <w:pPr>
              <w:keepNext w:val="0"/>
              <w:keepLines w:val="0"/>
              <w:pageBreakBefore w:val="0"/>
              <w:kinsoku/>
              <w:wordWrap/>
              <w:overflowPunct/>
              <w:topLinePunct w:val="0"/>
              <w:autoSpaceDE/>
              <w:autoSpaceDN/>
              <w:bidi w:val="0"/>
              <w:snapToGrid/>
              <w:spacing w:before="156" w:line="32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w:t>
            </w:r>
            <w:r>
              <w:rPr>
                <w:rFonts w:hint="eastAsia" w:ascii="仿宋" w:hAnsi="仿宋" w:eastAsia="仿宋" w:cs="仿宋"/>
                <w:bCs/>
                <w:sz w:val="24"/>
                <w:szCs w:val="24"/>
                <w:highlight w:val="none"/>
                <w:lang w:val="en-US" w:eastAsia="zh-CN"/>
              </w:rPr>
              <w:t>4</w:t>
            </w:r>
          </w:p>
        </w:tc>
        <w:tc>
          <w:tcPr>
            <w:tcW w:w="470" w:type="pct"/>
            <w:vAlign w:val="center"/>
          </w:tcPr>
          <w:p w14:paraId="231C1402">
            <w:pPr>
              <w:keepNext w:val="0"/>
              <w:keepLines w:val="0"/>
              <w:pageBreakBefore w:val="0"/>
              <w:kinsoku/>
              <w:wordWrap/>
              <w:overflowPunct/>
              <w:topLinePunct w:val="0"/>
              <w:autoSpaceDE/>
              <w:autoSpaceDN/>
              <w:bidi w:val="0"/>
              <w:snapToGrid/>
              <w:spacing w:before="156" w:line="3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客</w:t>
            </w:r>
            <w:r>
              <w:rPr>
                <w:rFonts w:hint="eastAsia" w:ascii="仿宋" w:hAnsi="仿宋" w:eastAsia="仿宋" w:cs="仿宋"/>
                <w:bCs/>
                <w:sz w:val="24"/>
                <w:szCs w:val="24"/>
                <w:highlight w:val="none"/>
              </w:rPr>
              <w:t>观分</w:t>
            </w:r>
          </w:p>
        </w:tc>
        <w:tc>
          <w:tcPr>
            <w:tcW w:w="662" w:type="pct"/>
            <w:vMerge w:val="restart"/>
            <w:vAlign w:val="center"/>
          </w:tcPr>
          <w:p w14:paraId="2180E55B">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
                <w:sz w:val="24"/>
                <w:szCs w:val="24"/>
                <w:highlight w:val="none"/>
              </w:rPr>
            </w:pPr>
            <w:r>
              <w:rPr>
                <w:rFonts w:hint="eastAsia" w:ascii="仿宋" w:hAnsi="仿宋" w:eastAsia="仿宋" w:cs="仿宋"/>
                <w:bCs/>
                <w:sz w:val="24"/>
                <w:szCs w:val="24"/>
                <w:highlight w:val="none"/>
              </w:rPr>
              <w:t>力量保障</w:t>
            </w:r>
          </w:p>
        </w:tc>
      </w:tr>
      <w:tr w14:paraId="581B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08" w:type="pct"/>
            <w:vAlign w:val="center"/>
          </w:tcPr>
          <w:p w14:paraId="74AF1BBD">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3082" w:type="pct"/>
            <w:vAlign w:val="top"/>
          </w:tcPr>
          <w:p w14:paraId="56C6D02A">
            <w:pPr>
              <w:keepNext w:val="0"/>
              <w:keepLines w:val="0"/>
              <w:pageBreakBefore w:val="0"/>
              <w:kinsoku/>
              <w:wordWrap/>
              <w:overflowPunct/>
              <w:topLinePunct w:val="0"/>
              <w:autoSpaceDE/>
              <w:autoSpaceDN/>
              <w:bidi w:val="0"/>
              <w:snapToGrid/>
              <w:spacing w:line="32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1.本项目的项目经理，具有大专及以上学历（含函授）且从业3年以上得1分。</w:t>
            </w:r>
          </w:p>
          <w:p w14:paraId="30162B6C">
            <w:pPr>
              <w:keepNext w:val="0"/>
              <w:keepLines w:val="0"/>
              <w:pageBreakBefore w:val="0"/>
              <w:kinsoku/>
              <w:wordWrap/>
              <w:overflowPunct/>
              <w:topLinePunct w:val="0"/>
              <w:autoSpaceDE/>
              <w:autoSpaceDN/>
              <w:bidi w:val="0"/>
              <w:snapToGrid/>
              <w:spacing w:line="32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2.投标人为本项目配备的管理人员（内勤、项目副经理、巡查人员）：具有大专及以上学历（含函授）且从业3-5年（含3年）的，每提供1名管理人员得</w:t>
            </w:r>
            <w:r>
              <w:rPr>
                <w:rFonts w:hint="eastAsia" w:ascii="仿宋" w:hAnsi="仿宋" w:eastAsia="仿宋" w:cs="仿宋"/>
                <w:bCs/>
                <w:sz w:val="24"/>
                <w:szCs w:val="24"/>
                <w:highlight w:val="none"/>
                <w:lang w:val="en-US" w:eastAsia="zh-CN"/>
              </w:rPr>
              <w:t>0.8</w:t>
            </w:r>
            <w:r>
              <w:rPr>
                <w:rFonts w:hint="eastAsia" w:ascii="仿宋" w:hAnsi="仿宋" w:eastAsia="仿宋" w:cs="仿宋"/>
                <w:bCs/>
                <w:sz w:val="24"/>
                <w:szCs w:val="24"/>
                <w:highlight w:val="none"/>
              </w:rPr>
              <w:t>分，或具有从业5年及以上的，每提供1名管理人员得得</w:t>
            </w:r>
            <w:r>
              <w:rPr>
                <w:rFonts w:hint="eastAsia" w:ascii="仿宋" w:hAnsi="仿宋" w:eastAsia="仿宋" w:cs="仿宋"/>
                <w:bCs/>
                <w:sz w:val="24"/>
                <w:szCs w:val="24"/>
                <w:highlight w:val="none"/>
                <w:lang w:val="en-US" w:eastAsia="zh-CN"/>
              </w:rPr>
              <w:t>0.8</w:t>
            </w:r>
            <w:r>
              <w:rPr>
                <w:rFonts w:hint="eastAsia" w:ascii="仿宋" w:hAnsi="仿宋" w:eastAsia="仿宋" w:cs="仿宋"/>
                <w:bCs/>
                <w:sz w:val="24"/>
                <w:szCs w:val="24"/>
                <w:highlight w:val="none"/>
              </w:rPr>
              <w:t>分。本项最高得4分。</w:t>
            </w:r>
          </w:p>
          <w:p w14:paraId="6D313AA3">
            <w:pPr>
              <w:keepNext w:val="0"/>
              <w:keepLines w:val="0"/>
              <w:pageBreakBefore w:val="0"/>
              <w:kinsoku/>
              <w:wordWrap/>
              <w:overflowPunct/>
              <w:topLinePunct w:val="0"/>
              <w:autoSpaceDE/>
              <w:autoSpaceDN/>
              <w:bidi w:val="0"/>
              <w:snapToGrid/>
              <w:spacing w:line="320" w:lineRule="exac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注：须提供项目经理及其他人员学历证书、从业经验（以在环卫企业工作所缴纳并经人社局盖章的社保证明为准，可累计）、社保证明（人社局盖章）为准的复印件，提交本人从业经历承诺书。</w:t>
            </w:r>
          </w:p>
        </w:tc>
        <w:tc>
          <w:tcPr>
            <w:tcW w:w="476" w:type="pct"/>
            <w:vAlign w:val="center"/>
          </w:tcPr>
          <w:p w14:paraId="1E37014D">
            <w:pPr>
              <w:keepNext w:val="0"/>
              <w:keepLines w:val="0"/>
              <w:pageBreakBefore w:val="0"/>
              <w:kinsoku/>
              <w:wordWrap/>
              <w:overflowPunct/>
              <w:topLinePunct w:val="0"/>
              <w:autoSpaceDE/>
              <w:autoSpaceDN/>
              <w:bidi w:val="0"/>
              <w:snapToGrid/>
              <w:spacing w:before="156" w:line="32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0-5</w:t>
            </w:r>
          </w:p>
        </w:tc>
        <w:tc>
          <w:tcPr>
            <w:tcW w:w="470" w:type="pct"/>
            <w:vAlign w:val="center"/>
          </w:tcPr>
          <w:p w14:paraId="22DB6F70">
            <w:pPr>
              <w:keepNext w:val="0"/>
              <w:keepLines w:val="0"/>
              <w:pageBreakBefore w:val="0"/>
              <w:kinsoku/>
              <w:wordWrap/>
              <w:overflowPunct/>
              <w:topLinePunct w:val="0"/>
              <w:autoSpaceDE/>
              <w:autoSpaceDN/>
              <w:bidi w:val="0"/>
              <w:snapToGrid/>
              <w:spacing w:before="156" w:line="3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客</w:t>
            </w:r>
            <w:r>
              <w:rPr>
                <w:rFonts w:hint="eastAsia" w:ascii="仿宋" w:hAnsi="仿宋" w:eastAsia="仿宋" w:cs="仿宋"/>
                <w:bCs/>
                <w:sz w:val="24"/>
                <w:szCs w:val="24"/>
                <w:highlight w:val="none"/>
              </w:rPr>
              <w:t>观分</w:t>
            </w:r>
          </w:p>
        </w:tc>
        <w:tc>
          <w:tcPr>
            <w:tcW w:w="662" w:type="pct"/>
            <w:vMerge w:val="continue"/>
            <w:vAlign w:val="center"/>
          </w:tcPr>
          <w:p w14:paraId="3F744721">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sz w:val="24"/>
                <w:szCs w:val="24"/>
                <w:highlight w:val="none"/>
              </w:rPr>
            </w:pPr>
          </w:p>
        </w:tc>
      </w:tr>
      <w:tr w14:paraId="1D7D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 w:type="pct"/>
            <w:vAlign w:val="center"/>
          </w:tcPr>
          <w:p w14:paraId="0CF07BDC">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3082" w:type="pct"/>
            <w:vAlign w:val="top"/>
          </w:tcPr>
          <w:p w14:paraId="4AFBB4F4">
            <w:pPr>
              <w:keepNext w:val="0"/>
              <w:keepLines w:val="0"/>
              <w:pageBreakBefore w:val="0"/>
              <w:kinsoku/>
              <w:wordWrap/>
              <w:overflowPunct/>
              <w:topLinePunct w:val="0"/>
              <w:autoSpaceDE/>
              <w:autoSpaceDN/>
              <w:bidi w:val="0"/>
              <w:snapToGrid/>
              <w:spacing w:line="320" w:lineRule="exac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投标人自20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年1月1日起至开标时间止，获得</w:t>
            </w:r>
            <w:r>
              <w:rPr>
                <w:rFonts w:hint="eastAsia" w:ascii="仿宋" w:hAnsi="仿宋" w:eastAsia="仿宋" w:cs="仿宋"/>
                <w:bCs/>
                <w:sz w:val="24"/>
                <w:szCs w:val="24"/>
                <w:highlight w:val="none"/>
                <w:lang w:eastAsia="zh-CN"/>
              </w:rPr>
              <w:t>地市</w:t>
            </w:r>
            <w:r>
              <w:rPr>
                <w:rFonts w:hint="eastAsia" w:ascii="仿宋" w:hAnsi="仿宋" w:eastAsia="仿宋" w:cs="仿宋"/>
                <w:bCs/>
                <w:sz w:val="24"/>
                <w:szCs w:val="24"/>
                <w:highlight w:val="none"/>
              </w:rPr>
              <w:t>级</w:t>
            </w:r>
            <w:r>
              <w:rPr>
                <w:rFonts w:hint="eastAsia" w:ascii="仿宋" w:hAnsi="仿宋" w:eastAsia="仿宋" w:cs="仿宋"/>
                <w:bCs/>
                <w:sz w:val="24"/>
                <w:szCs w:val="24"/>
                <w:highlight w:val="none"/>
                <w:lang w:eastAsia="zh-CN"/>
              </w:rPr>
              <w:t>及以上</w:t>
            </w:r>
            <w:r>
              <w:rPr>
                <w:rFonts w:hint="eastAsia" w:ascii="仿宋" w:hAnsi="仿宋" w:eastAsia="仿宋" w:cs="仿宋"/>
                <w:bCs/>
                <w:sz w:val="24"/>
                <w:szCs w:val="24"/>
                <w:highlight w:val="none"/>
              </w:rPr>
              <w:t>政府或</w:t>
            </w:r>
            <w:r>
              <w:rPr>
                <w:rFonts w:hint="eastAsia" w:ascii="仿宋" w:hAnsi="仿宋" w:eastAsia="仿宋" w:cs="仿宋"/>
                <w:bCs/>
                <w:sz w:val="24"/>
                <w:szCs w:val="24"/>
                <w:highlight w:val="none"/>
                <w:lang w:eastAsia="zh-CN"/>
              </w:rPr>
              <w:t>地市</w:t>
            </w:r>
            <w:r>
              <w:rPr>
                <w:rFonts w:hint="eastAsia" w:ascii="仿宋" w:hAnsi="仿宋" w:eastAsia="仿宋" w:cs="仿宋"/>
                <w:bCs/>
                <w:sz w:val="24"/>
                <w:szCs w:val="24"/>
                <w:highlight w:val="none"/>
              </w:rPr>
              <w:t>级</w:t>
            </w:r>
            <w:r>
              <w:rPr>
                <w:rFonts w:hint="eastAsia" w:ascii="仿宋" w:hAnsi="仿宋" w:eastAsia="仿宋" w:cs="仿宋"/>
                <w:bCs/>
                <w:sz w:val="24"/>
                <w:szCs w:val="24"/>
                <w:highlight w:val="none"/>
                <w:lang w:eastAsia="zh-CN"/>
              </w:rPr>
              <w:t>及以上</w:t>
            </w:r>
            <w:r>
              <w:rPr>
                <w:rFonts w:hint="eastAsia" w:ascii="仿宋" w:hAnsi="仿宋" w:eastAsia="仿宋" w:cs="仿宋"/>
                <w:bCs/>
                <w:sz w:val="24"/>
                <w:szCs w:val="24"/>
                <w:highlight w:val="none"/>
              </w:rPr>
              <w:t>行政主管部门颁发（不含协会）的</w:t>
            </w:r>
            <w:r>
              <w:rPr>
                <w:rFonts w:hint="eastAsia" w:ascii="仿宋" w:hAnsi="仿宋" w:eastAsia="仿宋" w:cs="仿宋"/>
                <w:bCs/>
                <w:sz w:val="24"/>
                <w:szCs w:val="24"/>
                <w:highlight w:val="none"/>
                <w:lang w:eastAsia="zh-CN"/>
              </w:rPr>
              <w:t>环卫保洁或垃圾分类等相关</w:t>
            </w:r>
            <w:r>
              <w:rPr>
                <w:rFonts w:hint="eastAsia" w:ascii="仿宋" w:hAnsi="仿宋" w:eastAsia="仿宋" w:cs="仿宋"/>
                <w:bCs/>
                <w:sz w:val="24"/>
                <w:szCs w:val="24"/>
                <w:highlight w:val="none"/>
              </w:rPr>
              <w:t>荣誉</w:t>
            </w:r>
            <w:r>
              <w:rPr>
                <w:rFonts w:hint="eastAsia" w:ascii="仿宋" w:hAnsi="仿宋" w:eastAsia="仿宋" w:cs="仿宋"/>
                <w:bCs/>
                <w:sz w:val="24"/>
                <w:szCs w:val="24"/>
                <w:highlight w:val="none"/>
                <w:lang w:eastAsia="zh-CN"/>
              </w:rPr>
              <w:t>，每个得</w:t>
            </w:r>
            <w:r>
              <w:rPr>
                <w:rFonts w:hint="eastAsia" w:ascii="仿宋" w:hAnsi="仿宋" w:eastAsia="仿宋" w:cs="仿宋"/>
                <w:bCs/>
                <w:sz w:val="24"/>
                <w:szCs w:val="24"/>
                <w:highlight w:val="none"/>
                <w:lang w:val="en-US" w:eastAsia="zh-CN"/>
              </w:rPr>
              <w:t>1分，最高</w:t>
            </w:r>
            <w:r>
              <w:rPr>
                <w:rFonts w:hint="eastAsia" w:ascii="仿宋" w:hAnsi="仿宋" w:eastAsia="仿宋" w:cs="仿宋"/>
                <w:bCs/>
                <w:sz w:val="24"/>
                <w:szCs w:val="24"/>
                <w:highlight w:val="none"/>
              </w:rPr>
              <w:t>得2分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获得区县级政府或区县级行政主管部门颁发（不含协会）的</w:t>
            </w:r>
            <w:r>
              <w:rPr>
                <w:rFonts w:hint="eastAsia" w:ascii="仿宋" w:hAnsi="仿宋" w:eastAsia="仿宋" w:cs="仿宋"/>
                <w:bCs/>
                <w:sz w:val="24"/>
                <w:szCs w:val="24"/>
                <w:highlight w:val="none"/>
                <w:lang w:eastAsia="zh-CN"/>
              </w:rPr>
              <w:t>环卫保洁或垃圾分类等相关</w:t>
            </w:r>
            <w:r>
              <w:rPr>
                <w:rFonts w:hint="eastAsia" w:ascii="仿宋" w:hAnsi="仿宋" w:eastAsia="仿宋" w:cs="仿宋"/>
                <w:bCs/>
                <w:sz w:val="24"/>
                <w:szCs w:val="24"/>
                <w:highlight w:val="none"/>
              </w:rPr>
              <w:t>荣誉</w:t>
            </w:r>
            <w:r>
              <w:rPr>
                <w:rFonts w:hint="eastAsia" w:ascii="仿宋" w:hAnsi="仿宋" w:eastAsia="仿宋" w:cs="仿宋"/>
                <w:bCs/>
                <w:sz w:val="24"/>
                <w:szCs w:val="24"/>
                <w:highlight w:val="none"/>
                <w:lang w:eastAsia="zh-CN"/>
              </w:rPr>
              <w:t>，每个得</w:t>
            </w:r>
            <w:r>
              <w:rPr>
                <w:rFonts w:hint="eastAsia" w:ascii="仿宋" w:hAnsi="仿宋" w:eastAsia="仿宋" w:cs="仿宋"/>
                <w:bCs/>
                <w:sz w:val="24"/>
                <w:szCs w:val="24"/>
                <w:highlight w:val="none"/>
                <w:lang w:val="en-US" w:eastAsia="zh-CN"/>
              </w:rPr>
              <w:t>0.5分，最高</w:t>
            </w:r>
            <w:r>
              <w:rPr>
                <w:rFonts w:hint="eastAsia" w:ascii="仿宋" w:hAnsi="仿宋" w:eastAsia="仿宋" w:cs="仿宋"/>
                <w:bCs/>
                <w:sz w:val="24"/>
                <w:szCs w:val="24"/>
                <w:highlight w:val="none"/>
              </w:rPr>
              <w:t>得</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分（提供相关荣誉证明）。</w:t>
            </w:r>
          </w:p>
        </w:tc>
        <w:tc>
          <w:tcPr>
            <w:tcW w:w="476" w:type="pct"/>
            <w:vAlign w:val="center"/>
          </w:tcPr>
          <w:p w14:paraId="652C4428">
            <w:pPr>
              <w:keepNext w:val="0"/>
              <w:keepLines w:val="0"/>
              <w:pageBreakBefore w:val="0"/>
              <w:kinsoku/>
              <w:wordWrap/>
              <w:overflowPunct/>
              <w:topLinePunct w:val="0"/>
              <w:autoSpaceDE/>
              <w:autoSpaceDN/>
              <w:bidi w:val="0"/>
              <w:snapToGrid/>
              <w:spacing w:before="156" w:line="32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0-2</w:t>
            </w:r>
          </w:p>
        </w:tc>
        <w:tc>
          <w:tcPr>
            <w:tcW w:w="470" w:type="pct"/>
            <w:vAlign w:val="center"/>
          </w:tcPr>
          <w:p w14:paraId="1C6E38F4">
            <w:pPr>
              <w:keepNext w:val="0"/>
              <w:keepLines w:val="0"/>
              <w:pageBreakBefore w:val="0"/>
              <w:kinsoku/>
              <w:wordWrap/>
              <w:overflowPunct/>
              <w:topLinePunct w:val="0"/>
              <w:autoSpaceDE/>
              <w:autoSpaceDN/>
              <w:bidi w:val="0"/>
              <w:snapToGrid/>
              <w:spacing w:before="156" w:line="3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客</w:t>
            </w:r>
            <w:r>
              <w:rPr>
                <w:rFonts w:hint="eastAsia" w:ascii="仿宋" w:hAnsi="仿宋" w:eastAsia="仿宋" w:cs="仿宋"/>
                <w:bCs/>
                <w:sz w:val="24"/>
                <w:szCs w:val="24"/>
                <w:highlight w:val="none"/>
              </w:rPr>
              <w:t>观分</w:t>
            </w:r>
          </w:p>
        </w:tc>
        <w:tc>
          <w:tcPr>
            <w:tcW w:w="662" w:type="pct"/>
            <w:vAlign w:val="center"/>
          </w:tcPr>
          <w:p w14:paraId="4A4CDBC1">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企业</w:t>
            </w:r>
            <w:r>
              <w:rPr>
                <w:rFonts w:hint="eastAsia" w:ascii="仿宋" w:hAnsi="仿宋" w:eastAsia="仿宋" w:cs="仿宋"/>
                <w:sz w:val="24"/>
                <w:szCs w:val="24"/>
                <w:highlight w:val="none"/>
              </w:rPr>
              <w:t>荣誉</w:t>
            </w:r>
          </w:p>
        </w:tc>
      </w:tr>
      <w:tr w14:paraId="28A2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08" w:type="pct"/>
            <w:vAlign w:val="center"/>
          </w:tcPr>
          <w:p w14:paraId="11A61495">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3082" w:type="pct"/>
            <w:vAlign w:val="top"/>
          </w:tcPr>
          <w:p w14:paraId="6CDEBE96">
            <w:pPr>
              <w:keepNext w:val="0"/>
              <w:keepLines w:val="0"/>
              <w:pageBreakBefore w:val="0"/>
              <w:kinsoku/>
              <w:wordWrap/>
              <w:overflowPunct/>
              <w:topLinePunct w:val="0"/>
              <w:autoSpaceDE/>
              <w:autoSpaceDN/>
              <w:bidi w:val="0"/>
              <w:snapToGrid/>
              <w:spacing w:line="320" w:lineRule="exac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投标人自2019年1月1日起（以合同签订时间为准）至开标时间止，投标人提供政府采购</w:t>
            </w:r>
            <w:r>
              <w:rPr>
                <w:rFonts w:hint="eastAsia" w:ascii="仿宋" w:hAnsi="仿宋" w:eastAsia="仿宋" w:cs="仿宋"/>
                <w:bCs/>
                <w:sz w:val="24"/>
                <w:szCs w:val="24"/>
                <w:highlight w:val="none"/>
                <w:lang w:eastAsia="zh-CN"/>
              </w:rPr>
              <w:t>道路</w:t>
            </w:r>
            <w:r>
              <w:rPr>
                <w:rFonts w:hint="eastAsia" w:ascii="仿宋" w:hAnsi="仿宋" w:eastAsia="仿宋" w:cs="仿宋"/>
                <w:bCs/>
                <w:sz w:val="24"/>
                <w:szCs w:val="24"/>
                <w:highlight w:val="none"/>
              </w:rPr>
              <w:t>保洁</w:t>
            </w:r>
            <w:r>
              <w:rPr>
                <w:rFonts w:hint="eastAsia" w:ascii="仿宋" w:hAnsi="仿宋" w:eastAsia="仿宋" w:cs="仿宋"/>
                <w:bCs/>
                <w:sz w:val="24"/>
                <w:szCs w:val="24"/>
                <w:highlight w:val="none"/>
                <w:lang w:eastAsia="zh-CN"/>
              </w:rPr>
              <w:t>类相关</w:t>
            </w:r>
            <w:r>
              <w:rPr>
                <w:rFonts w:hint="eastAsia" w:ascii="仿宋" w:hAnsi="仿宋" w:eastAsia="仿宋" w:cs="仿宋"/>
                <w:bCs/>
                <w:sz w:val="24"/>
                <w:szCs w:val="24"/>
                <w:highlight w:val="none"/>
              </w:rPr>
              <w:t>项目(包含综合类项目)</w:t>
            </w:r>
            <w:r>
              <w:rPr>
                <w:rFonts w:hint="eastAsia" w:ascii="仿宋" w:hAnsi="仿宋" w:eastAsia="仿宋" w:cs="仿宋"/>
                <w:bCs/>
                <w:sz w:val="24"/>
                <w:szCs w:val="24"/>
                <w:highlight w:val="none"/>
                <w:lang w:eastAsia="zh-CN"/>
              </w:rPr>
              <w:t>，每个</w:t>
            </w:r>
            <w:r>
              <w:rPr>
                <w:rFonts w:hint="eastAsia" w:ascii="仿宋" w:hAnsi="仿宋" w:eastAsia="仿宋" w:cs="仿宋"/>
                <w:bCs/>
                <w:sz w:val="24"/>
                <w:szCs w:val="24"/>
                <w:highlight w:val="none"/>
              </w:rPr>
              <w:t>得</w:t>
            </w:r>
            <w:r>
              <w:rPr>
                <w:rFonts w:hint="eastAsia" w:ascii="仿宋" w:hAnsi="仿宋" w:eastAsia="仿宋" w:cs="仿宋"/>
                <w:bCs/>
                <w:sz w:val="24"/>
                <w:szCs w:val="24"/>
                <w:highlight w:val="none"/>
                <w:lang w:val="en-US" w:eastAsia="zh-CN"/>
              </w:rPr>
              <w:t>0.75</w:t>
            </w:r>
            <w:r>
              <w:rPr>
                <w:rFonts w:hint="eastAsia" w:ascii="仿宋" w:hAnsi="仿宋" w:eastAsia="仿宋" w:cs="仿宋"/>
                <w:bCs/>
                <w:sz w:val="24"/>
                <w:szCs w:val="24"/>
                <w:highlight w:val="none"/>
              </w:rPr>
              <w:t>分，最高得</w:t>
            </w:r>
            <w:r>
              <w:rPr>
                <w:rFonts w:hint="eastAsia" w:ascii="仿宋" w:hAnsi="仿宋" w:eastAsia="仿宋" w:cs="仿宋"/>
                <w:bCs/>
                <w:sz w:val="24"/>
                <w:szCs w:val="24"/>
                <w:highlight w:val="none"/>
                <w:lang w:val="en-US" w:eastAsia="zh-CN"/>
              </w:rPr>
              <w:t>1.5</w:t>
            </w:r>
            <w:r>
              <w:rPr>
                <w:rFonts w:hint="eastAsia" w:ascii="仿宋" w:hAnsi="仿宋" w:eastAsia="仿宋" w:cs="仿宋"/>
                <w:bCs/>
                <w:sz w:val="24"/>
                <w:szCs w:val="24"/>
                <w:highlight w:val="none"/>
              </w:rPr>
              <w:t>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eastAsia="zh-CN"/>
              </w:rPr>
              <w:t>同一业绩续签不重复得分，</w:t>
            </w:r>
            <w:r>
              <w:rPr>
                <w:rFonts w:hint="eastAsia" w:ascii="仿宋" w:hAnsi="仿宋" w:eastAsia="仿宋" w:cs="仿宋"/>
                <w:bCs/>
                <w:sz w:val="24"/>
                <w:szCs w:val="24"/>
                <w:highlight w:val="none"/>
              </w:rPr>
              <w:t>须提供项目合同、中标通知书，</w:t>
            </w:r>
            <w:r>
              <w:rPr>
                <w:rFonts w:hint="eastAsia" w:ascii="仿宋" w:hAnsi="仿宋" w:eastAsia="仿宋" w:cs="仿宋"/>
                <w:bCs/>
                <w:sz w:val="24"/>
                <w:szCs w:val="24"/>
                <w:highlight w:val="none"/>
                <w:lang w:eastAsia="zh-CN"/>
              </w:rPr>
              <w:t>以上资料中未体现相关内容的，需提供业主证明材料，</w:t>
            </w:r>
            <w:r>
              <w:rPr>
                <w:rFonts w:hint="eastAsia" w:ascii="仿宋" w:hAnsi="仿宋" w:eastAsia="仿宋" w:cs="仿宋"/>
                <w:bCs/>
                <w:sz w:val="24"/>
                <w:szCs w:val="24"/>
                <w:highlight w:val="none"/>
              </w:rPr>
              <w:t>未提供或提供不全不得分）</w:t>
            </w:r>
          </w:p>
        </w:tc>
        <w:tc>
          <w:tcPr>
            <w:tcW w:w="476" w:type="pct"/>
            <w:vAlign w:val="center"/>
          </w:tcPr>
          <w:p w14:paraId="023CC3E3">
            <w:pPr>
              <w:keepNext w:val="0"/>
              <w:keepLines w:val="0"/>
              <w:pageBreakBefore w:val="0"/>
              <w:kinsoku/>
              <w:wordWrap/>
              <w:overflowPunct/>
              <w:topLinePunct w:val="0"/>
              <w:autoSpaceDE/>
              <w:autoSpaceDN/>
              <w:bidi w:val="0"/>
              <w:snapToGrid/>
              <w:spacing w:before="156" w:line="320" w:lineRule="exact"/>
              <w:jc w:val="center"/>
              <w:textAlignment w:val="auto"/>
              <w:rPr>
                <w:rFonts w:hint="default"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w:t>
            </w:r>
            <w:r>
              <w:rPr>
                <w:rFonts w:hint="eastAsia" w:ascii="仿宋" w:hAnsi="仿宋" w:eastAsia="仿宋" w:cs="仿宋"/>
                <w:bCs/>
                <w:sz w:val="24"/>
                <w:szCs w:val="24"/>
                <w:highlight w:val="none"/>
                <w:lang w:val="en-US" w:eastAsia="zh-CN"/>
              </w:rPr>
              <w:t>1.5</w:t>
            </w:r>
          </w:p>
        </w:tc>
        <w:tc>
          <w:tcPr>
            <w:tcW w:w="470" w:type="pct"/>
            <w:vAlign w:val="center"/>
          </w:tcPr>
          <w:p w14:paraId="61B05B85">
            <w:pPr>
              <w:keepNext w:val="0"/>
              <w:keepLines w:val="0"/>
              <w:pageBreakBefore w:val="0"/>
              <w:kinsoku/>
              <w:wordWrap/>
              <w:overflowPunct/>
              <w:topLinePunct w:val="0"/>
              <w:autoSpaceDE/>
              <w:autoSpaceDN/>
              <w:bidi w:val="0"/>
              <w:snapToGrid/>
              <w:spacing w:before="156" w:line="3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客</w:t>
            </w:r>
            <w:r>
              <w:rPr>
                <w:rFonts w:hint="eastAsia" w:ascii="仿宋" w:hAnsi="仿宋" w:eastAsia="仿宋" w:cs="仿宋"/>
                <w:bCs/>
                <w:sz w:val="24"/>
                <w:szCs w:val="24"/>
                <w:highlight w:val="none"/>
              </w:rPr>
              <w:t>观分</w:t>
            </w:r>
          </w:p>
        </w:tc>
        <w:tc>
          <w:tcPr>
            <w:tcW w:w="662" w:type="pct"/>
            <w:vAlign w:val="center"/>
          </w:tcPr>
          <w:p w14:paraId="210F593C">
            <w:pPr>
              <w:keepNext w:val="0"/>
              <w:keepLines w:val="0"/>
              <w:pageBreakBefore w:val="0"/>
              <w:kinsoku/>
              <w:wordWrap/>
              <w:overflowPunct/>
              <w:topLinePunct w:val="0"/>
              <w:autoSpaceDE/>
              <w:autoSpaceDN/>
              <w:bidi w:val="0"/>
              <w:snapToGrid/>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同类业绩</w:t>
            </w:r>
          </w:p>
        </w:tc>
      </w:tr>
      <w:tr w14:paraId="765F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308" w:type="pct"/>
            <w:vAlign w:val="center"/>
          </w:tcPr>
          <w:p w14:paraId="4EC44834">
            <w:pPr>
              <w:keepNext w:val="0"/>
              <w:keepLines w:val="0"/>
              <w:pageBreakBefore w:val="0"/>
              <w:kinsoku/>
              <w:wordWrap/>
              <w:overflowPunct/>
              <w:topLinePunct w:val="0"/>
              <w:autoSpaceDE/>
              <w:autoSpaceDN/>
              <w:bidi w:val="0"/>
              <w:snapToGrid/>
              <w:spacing w:line="320" w:lineRule="exact"/>
              <w:jc w:val="center"/>
              <w:textAlignment w:val="auto"/>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3082" w:type="pct"/>
          </w:tcPr>
          <w:p w14:paraId="5280B822">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20"/>
              <w:jc w:val="left"/>
              <w:textAlignment w:val="auto"/>
              <w:outlineLvl w:val="9"/>
              <w:rPr>
                <w:rFonts w:ascii="仿宋" w:hAnsi="仿宋" w:eastAsia="仿宋" w:cs="仿宋_GB2312"/>
                <w:sz w:val="24"/>
                <w:szCs w:val="24"/>
                <w:highlight w:val="none"/>
              </w:rPr>
            </w:pPr>
            <w:r>
              <w:rPr>
                <w:rFonts w:hint="eastAsia" w:ascii="仿宋" w:hAnsi="仿宋" w:eastAsia="仿宋" w:cs="仿宋_GB2312"/>
                <w:sz w:val="24"/>
                <w:szCs w:val="24"/>
                <w:highlight w:val="none"/>
              </w:rPr>
              <w:t>有效投标报价的最低价作为评标基准价，其最低报价为满分；按［投标报价得分</w:t>
            </w:r>
            <w:r>
              <w:rPr>
                <w:rFonts w:ascii="仿宋" w:hAnsi="仿宋" w:eastAsia="仿宋" w:cs="仿宋_GB2312"/>
                <w:sz w:val="24"/>
                <w:szCs w:val="24"/>
                <w:highlight w:val="none"/>
              </w:rPr>
              <w:t>=（评标基准价/投标报价）*</w:t>
            </w:r>
            <w:r>
              <w:rPr>
                <w:rFonts w:hint="eastAsia" w:ascii="仿宋" w:hAnsi="仿宋" w:eastAsia="仿宋" w:cs="仿宋_GB2312"/>
                <w:sz w:val="24"/>
                <w:szCs w:val="24"/>
                <w:highlight w:val="none"/>
                <w:lang w:val="en-US" w:eastAsia="zh-CN"/>
              </w:rPr>
              <w:t>20</w:t>
            </w:r>
            <w:r>
              <w:rPr>
                <w:rFonts w:ascii="仿宋" w:hAnsi="仿宋" w:eastAsia="仿宋" w:cs="仿宋_GB2312"/>
                <w:sz w:val="24"/>
                <w:szCs w:val="24"/>
                <w:highlight w:val="none"/>
              </w:rPr>
              <w:t>］的计算公式计算。</w:t>
            </w:r>
          </w:p>
          <w:p w14:paraId="06BB05AB">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20"/>
              <w:jc w:val="left"/>
              <w:textAlignment w:val="auto"/>
              <w:rPr>
                <w:rFonts w:ascii="仿宋" w:eastAsia="仿宋"/>
                <w:sz w:val="24"/>
                <w:szCs w:val="24"/>
                <w:highlight w:val="none"/>
              </w:rPr>
            </w:pPr>
            <w:r>
              <w:rPr>
                <w:rFonts w:ascii="仿宋" w:hAnsi="仿宋" w:eastAsia="仿宋" w:cs="仿宋_GB2312"/>
                <w:sz w:val="24"/>
                <w:szCs w:val="24"/>
                <w:highlight w:val="none"/>
              </w:rPr>
              <w:t>评标过程中，不得去掉报价中的最高报价和最低报价。</w:t>
            </w:r>
          </w:p>
        </w:tc>
        <w:tc>
          <w:tcPr>
            <w:tcW w:w="476" w:type="pct"/>
            <w:vAlign w:val="center"/>
          </w:tcPr>
          <w:p w14:paraId="21EC242D">
            <w:pPr>
              <w:keepNext w:val="0"/>
              <w:keepLines w:val="0"/>
              <w:pageBreakBefore w:val="0"/>
              <w:kinsoku/>
              <w:wordWrap/>
              <w:overflowPunct/>
              <w:topLinePunct w:val="0"/>
              <w:autoSpaceDE/>
              <w:autoSpaceDN/>
              <w:bidi w:val="0"/>
              <w:snapToGrid/>
              <w:spacing w:line="320" w:lineRule="exact"/>
              <w:jc w:val="center"/>
              <w:textAlignment w:val="auto"/>
              <w:outlineLvl w:val="0"/>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20</w:t>
            </w:r>
          </w:p>
        </w:tc>
        <w:tc>
          <w:tcPr>
            <w:tcW w:w="470" w:type="pct"/>
            <w:vAlign w:val="center"/>
          </w:tcPr>
          <w:p w14:paraId="3BBA124B">
            <w:pPr>
              <w:keepNext w:val="0"/>
              <w:keepLines w:val="0"/>
              <w:pageBreakBefore w:val="0"/>
              <w:kinsoku/>
              <w:wordWrap/>
              <w:overflowPunct/>
              <w:topLinePunct w:val="0"/>
              <w:autoSpaceDE/>
              <w:autoSpaceDN/>
              <w:bidi w:val="0"/>
              <w:snapToGrid/>
              <w:spacing w:line="320" w:lineRule="exact"/>
              <w:jc w:val="center"/>
              <w:textAlignment w:val="auto"/>
              <w:outlineLvl w:val="0"/>
              <w:rPr>
                <w:rFonts w:hint="eastAsia" w:ascii="仿宋" w:hAnsi="仿宋" w:eastAsia="仿宋" w:cs="仿宋_GB2312"/>
                <w:sz w:val="24"/>
                <w:szCs w:val="24"/>
                <w:highlight w:val="none"/>
                <w:lang w:val="en-US" w:eastAsia="zh-CN"/>
              </w:rPr>
            </w:pPr>
          </w:p>
        </w:tc>
        <w:tc>
          <w:tcPr>
            <w:tcW w:w="662" w:type="pct"/>
            <w:vAlign w:val="center"/>
          </w:tcPr>
          <w:p w14:paraId="011A8AC6">
            <w:pPr>
              <w:keepNext w:val="0"/>
              <w:keepLines w:val="0"/>
              <w:pageBreakBefore w:val="0"/>
              <w:kinsoku/>
              <w:wordWrap/>
              <w:overflowPunct/>
              <w:topLinePunct w:val="0"/>
              <w:autoSpaceDE/>
              <w:autoSpaceDN/>
              <w:bidi w:val="0"/>
              <w:snapToGrid/>
              <w:spacing w:line="320" w:lineRule="exact"/>
              <w:jc w:val="center"/>
              <w:textAlignment w:val="auto"/>
              <w:outlineLvl w:val="0"/>
              <w:rPr>
                <w:rFonts w:ascii="仿宋" w:hAnsi="仿宋" w:eastAsia="仿宋" w:cs="仿宋_GB2312"/>
                <w:sz w:val="24"/>
                <w:szCs w:val="24"/>
                <w:highlight w:val="none"/>
              </w:rPr>
            </w:pPr>
            <w:r>
              <w:rPr>
                <w:rFonts w:ascii="仿宋" w:hAnsi="仿宋" w:eastAsia="仿宋" w:cs="仿宋_GB2312"/>
                <w:sz w:val="24"/>
                <w:szCs w:val="24"/>
                <w:highlight w:val="none"/>
              </w:rPr>
              <w:t>/</w:t>
            </w:r>
          </w:p>
        </w:tc>
      </w:tr>
    </w:tbl>
    <w:p w14:paraId="140055E9">
      <w:pPr>
        <w:snapToGrid w:val="0"/>
        <w:spacing w:line="360" w:lineRule="auto"/>
        <w:rPr>
          <w:rFonts w:ascii="仿宋" w:hAnsi="仿宋" w:eastAsia="仿宋" w:cs="仿宋_GB2312"/>
          <w:b/>
          <w:sz w:val="24"/>
          <w:highlight w:val="none"/>
        </w:rPr>
      </w:pPr>
      <w:r>
        <w:rPr>
          <w:rFonts w:ascii="Arial" w:hAnsi="Arial" w:cs="Arial"/>
          <w:sz w:val="20"/>
          <w:szCs w:val="20"/>
          <w:highlight w:val="none"/>
          <w:shd w:val="clear" w:color="auto" w:fill="FFFFFF"/>
        </w:rPr>
        <w:t> *</w:t>
      </w:r>
      <w:r>
        <w:rPr>
          <w:rFonts w:hint="eastAsia" w:ascii="仿宋" w:hAnsi="仿宋" w:eastAsia="仿宋" w:cs="仿宋_GB2312"/>
          <w:b/>
          <w:sz w:val="24"/>
          <w:highlight w:val="none"/>
        </w:rPr>
        <w:t>备注：</w:t>
      </w:r>
      <w:r>
        <w:rPr>
          <w:rFonts w:hint="eastAsia" w:ascii="仿宋" w:hAnsi="仿宋" w:eastAsia="仿宋" w:cs="仿宋_GB2312"/>
          <w:sz w:val="24"/>
          <w:highlight w:val="none"/>
        </w:rPr>
        <w:t>投标人编制投标文件（商务技术文件部分）时，建议按此目录（序号和内容）提供评标标准相应的商务技术资料。</w:t>
      </w:r>
      <w:r>
        <w:rPr>
          <w:rFonts w:ascii="仿宋" w:hAnsi="仿宋" w:eastAsia="仿宋" w:cs="仿宋_GB2312"/>
          <w:sz w:val="24"/>
          <w:highlight w:val="none"/>
        </w:rPr>
        <w:t> </w:t>
      </w:r>
    </w:p>
    <w:p w14:paraId="0AE297C2">
      <w:pPr>
        <w:snapToGrid w:val="0"/>
        <w:spacing w:line="360" w:lineRule="auto"/>
        <w:rPr>
          <w:rFonts w:ascii="仿宋_GB2312" w:hAnsi="仿宋" w:eastAsia="仿宋_GB2312"/>
          <w:b/>
          <w:sz w:val="28"/>
          <w:szCs w:val="28"/>
          <w:highlight w:val="none"/>
        </w:rPr>
      </w:pPr>
      <w:r>
        <w:rPr>
          <w:rFonts w:hint="eastAsia" w:ascii="仿宋_GB2312" w:hAnsi="仿宋" w:eastAsia="仿宋_GB2312" w:cs="仿宋_GB2312"/>
          <w:b/>
          <w:sz w:val="32"/>
          <w:highlight w:val="none"/>
        </w:rPr>
        <w:t>一、评标方法</w:t>
      </w:r>
    </w:p>
    <w:p w14:paraId="12E3FF89">
      <w:pPr>
        <w:adjustRightInd/>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14:paraId="1B1ECE7A">
      <w:pPr>
        <w:adjustRightInd/>
        <w:spacing w:line="360" w:lineRule="auto"/>
        <w:rPr>
          <w:rFonts w:ascii="仿宋_GB2312" w:hAnsi="仿宋" w:eastAsia="仿宋_GB2312" w:cs="Arial"/>
          <w:kern w:val="0"/>
          <w:sz w:val="24"/>
          <w:highlight w:val="none"/>
        </w:rPr>
      </w:pPr>
      <w:r>
        <w:rPr>
          <w:rFonts w:hint="eastAsia" w:ascii="仿宋_GB2312" w:hAnsi="仿宋" w:eastAsia="仿宋_GB2312" w:cs="仿宋_GB2312"/>
          <w:b/>
          <w:sz w:val="32"/>
          <w:highlight w:val="none"/>
        </w:rPr>
        <w:t>二、评标标准</w:t>
      </w:r>
    </w:p>
    <w:p w14:paraId="0EED7400">
      <w:pPr>
        <w:spacing w:line="360" w:lineRule="auto"/>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14:paraId="6577FEDA">
      <w:pPr>
        <w:spacing w:line="360" w:lineRule="auto"/>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三、评标程序</w:t>
      </w:r>
    </w:p>
    <w:p w14:paraId="68C6F1FC">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14:paraId="3BFA7991">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14:paraId="4500FFD2">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14:paraId="6BE33694">
      <w:pPr>
        <w:spacing w:line="360" w:lineRule="auto"/>
        <w:ind w:firstLine="472" w:firstLineChars="196"/>
        <w:rPr>
          <w:rFonts w:ascii="仿宋_GB2312" w:hAnsi="仿宋" w:eastAsia="仿宋_GB2312" w:cs="Arial"/>
          <w:b/>
          <w:kern w:val="0"/>
          <w:sz w:val="24"/>
          <w:highlight w:val="none"/>
        </w:rPr>
      </w:pPr>
      <w:r>
        <w:rPr>
          <w:rFonts w:ascii="仿宋_GB2312" w:hAnsi="仿宋" w:eastAsia="仿宋_GB2312" w:cs="Arial"/>
          <w:b/>
          <w:kern w:val="0"/>
          <w:sz w:val="24"/>
          <w:highlight w:val="none"/>
        </w:rPr>
        <w:t>3.4报价评审。</w:t>
      </w:r>
    </w:p>
    <w:p w14:paraId="72A37647">
      <w:pPr>
        <w:pStyle w:val="129"/>
        <w:spacing w:before="0"/>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14:paraId="0F88FAD4">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14:paraId="35F9EB4D">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14:paraId="77E09595">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14:paraId="644EFE34">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14:paraId="647ABDA9">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14:paraId="39C31EB0">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14:paraId="0D94D934">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14:paraId="709C5D4E">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14:paraId="024BEF1A">
      <w:pPr>
        <w:spacing w:line="360" w:lineRule="auto"/>
        <w:ind w:firstLine="482" w:firstLineChars="200"/>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highlight w:val="none"/>
        </w:rPr>
        <w:t>。</w:t>
      </w:r>
    </w:p>
    <w:p w14:paraId="1B985F8F">
      <w:pPr>
        <w:spacing w:line="360" w:lineRule="auto"/>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B86A683">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03253CC">
      <w:pPr>
        <w:widowControl/>
        <w:shd w:val="clear" w:color="auto" w:fill="FFFFFF"/>
        <w:adjustRightInd/>
        <w:spacing w:after="225" w:line="315" w:lineRule="atLeast"/>
        <w:jc w:val="left"/>
        <w:rPr>
          <w:rFonts w:ascii="仿宋_GB2312" w:hAnsi="仿宋" w:eastAsia="仿宋_GB2312" w:cs="仿宋_GB2312"/>
          <w:b/>
          <w:sz w:val="32"/>
          <w:highlight w:val="none"/>
        </w:rPr>
      </w:pPr>
      <w:r>
        <w:rPr>
          <w:rFonts w:hint="eastAsia" w:ascii="仿宋_GB2312" w:hAnsi="仿宋" w:eastAsia="仿宋_GB2312" w:cs="仿宋_GB2312"/>
          <w:b/>
          <w:sz w:val="32"/>
          <w:highlight w:val="none"/>
        </w:rPr>
        <w:t>四、评标中的其他事项</w:t>
      </w:r>
    </w:p>
    <w:p w14:paraId="0B573390">
      <w:pPr>
        <w:pStyle w:val="129"/>
        <w:spacing w:before="0"/>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E251D6">
      <w:pPr>
        <w:pStyle w:val="26"/>
        <w:spacing w:line="360" w:lineRule="auto"/>
        <w:ind w:left="954" w:leftChars="226" w:hanging="479" w:firstLineChars="0"/>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14:paraId="0D2A6817">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4.2.1投标人不具备招标文件中规定的资格要求的（投标人未提供有效的资格文件的，视为投标人不具备招标文件中规定的资格要求）；</w:t>
      </w:r>
    </w:p>
    <w:p w14:paraId="75DE25EA">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4.2.2投标文件未按照招标文件要求签署、盖章的；</w:t>
      </w:r>
    </w:p>
    <w:p w14:paraId="06D18C50">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highlight w:val="none"/>
        </w:rPr>
        <w:t>的；</w:t>
      </w:r>
    </w:p>
    <w:p w14:paraId="7CA1DAA1">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4.2.4投标文件含有采购人不能接受的附加条件的；</w:t>
      </w:r>
    </w:p>
    <w:p w14:paraId="161B9B45">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4.2.5投标文件中承诺的投标有效期少于招标文件中载明的投标有效期的；</w:t>
      </w:r>
    </w:p>
    <w:p w14:paraId="6F87438D">
      <w:pPr>
        <w:snapToGrid w:val="0"/>
        <w:spacing w:line="360" w:lineRule="auto"/>
        <w:ind w:firstLine="120" w:firstLineChars="50"/>
        <w:jc w:val="left"/>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 xml:space="preserve"> </w:t>
      </w:r>
      <w:r>
        <w:rPr>
          <w:rFonts w:ascii="仿宋_GB2312" w:hAnsi="仿宋" w:eastAsia="仿宋_GB2312" w:cs="Arial"/>
          <w:kern w:val="0"/>
          <w:sz w:val="24"/>
          <w:highlight w:val="none"/>
        </w:rPr>
        <w:t>4.2.6投标文件出现不是唯一的、有选择性投标报价的;</w:t>
      </w:r>
    </w:p>
    <w:p w14:paraId="3351F010">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4.2.7投标报价超过招标文件中规定的预算金额或者最高限价的;</w:t>
      </w:r>
    </w:p>
    <w:p w14:paraId="291687A0">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81128C8">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4.2.9投标人对根据修正原则修正后的报价不确认的；</w:t>
      </w:r>
    </w:p>
    <w:p w14:paraId="6EE2F147">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4.2.10投标人提供虚假材料投标的；</w:t>
      </w:r>
    </w:p>
    <w:p w14:paraId="613C6CCD">
      <w:pPr>
        <w:spacing w:line="360" w:lineRule="auto"/>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4.2.11投标人有恶意串通、妨碍其他投标人的竞争行为、损害采购人或者其他投标人的合法权益情形的；</w:t>
      </w:r>
    </w:p>
    <w:p w14:paraId="24FE24FA">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4.2.12投标人仅提交备份投标文件，没有在电子交易平台传输递交投标文件的，投标无效；</w:t>
      </w:r>
    </w:p>
    <w:p w14:paraId="721EFEF2">
      <w:pPr>
        <w:pStyle w:val="3"/>
        <w:ind w:left="862" w:leftChars="205"/>
        <w:rPr>
          <w:rFonts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投标文件不满足招标文件的其它实质性要求的；</w:t>
      </w:r>
    </w:p>
    <w:p w14:paraId="0EC97493">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4.2.14法律、法规、规章（适用本市的）及省级以上规范性文件（适用本市的）规定的其他无效情形。</w:t>
      </w:r>
    </w:p>
    <w:p w14:paraId="59AF44E4">
      <w:pPr>
        <w:pStyle w:val="26"/>
        <w:snapToGrid w:val="0"/>
        <w:spacing w:line="360" w:lineRule="auto"/>
        <w:ind w:firstLine="472"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14:paraId="2039D49B">
      <w:pPr>
        <w:pStyle w:val="2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14:paraId="064AD4C3">
      <w:pPr>
        <w:pStyle w:val="2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14:paraId="24EEE7A8">
      <w:pPr>
        <w:pStyle w:val="2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14:paraId="7E7C684D">
      <w:pPr>
        <w:pStyle w:val="2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14:paraId="6CB4B5B8">
      <w:pPr>
        <w:pStyle w:val="26"/>
        <w:snapToGrid w:val="0"/>
        <w:spacing w:line="360" w:lineRule="auto"/>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14:paraId="5AB7BC2B">
      <w:pPr>
        <w:pStyle w:val="26"/>
        <w:snapToGrid w:val="0"/>
        <w:spacing w:line="360" w:lineRule="auto"/>
        <w:ind w:firstLine="590" w:firstLineChars="245"/>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2E07CB7">
      <w:pPr>
        <w:pStyle w:val="26"/>
        <w:keepNext w:val="0"/>
        <w:keepLines w:val="0"/>
        <w:pageBreakBefore w:val="0"/>
        <w:widowControl w:val="0"/>
        <w:kinsoku/>
        <w:wordWrap/>
        <w:overflowPunct/>
        <w:topLinePunct w:val="0"/>
        <w:autoSpaceDE/>
        <w:autoSpaceDN/>
        <w:bidi w:val="0"/>
        <w:adjustRightInd w:val="0"/>
        <w:snapToGrid w:val="0"/>
        <w:spacing w:line="400" w:lineRule="exact"/>
        <w:ind w:firstLine="590" w:firstLineChars="245"/>
        <w:textAlignment w:val="auto"/>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14:paraId="0232FD5E">
      <w:pPr>
        <w:pStyle w:val="26"/>
        <w:keepNext w:val="0"/>
        <w:keepLines w:val="0"/>
        <w:pageBreakBefore w:val="0"/>
        <w:widowControl w:val="0"/>
        <w:kinsoku/>
        <w:wordWrap/>
        <w:overflowPunct/>
        <w:topLinePunct w:val="0"/>
        <w:autoSpaceDE/>
        <w:autoSpaceDN/>
        <w:bidi w:val="0"/>
        <w:adjustRightInd w:val="0"/>
        <w:snapToGrid w:val="0"/>
        <w:spacing w:line="400" w:lineRule="exact"/>
        <w:ind w:firstLine="600" w:firstLineChars="250"/>
        <w:textAlignment w:val="auto"/>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14:paraId="6A554949">
      <w:pPr>
        <w:pStyle w:val="26"/>
        <w:keepNext w:val="0"/>
        <w:keepLines w:val="0"/>
        <w:pageBreakBefore w:val="0"/>
        <w:widowControl w:val="0"/>
        <w:kinsoku/>
        <w:wordWrap/>
        <w:overflowPunct/>
        <w:topLinePunct w:val="0"/>
        <w:autoSpaceDE/>
        <w:autoSpaceDN/>
        <w:bidi w:val="0"/>
        <w:adjustRightInd w:val="0"/>
        <w:snapToGrid w:val="0"/>
        <w:spacing w:line="400" w:lineRule="exact"/>
        <w:ind w:firstLine="600" w:firstLineChars="250"/>
        <w:textAlignment w:val="auto"/>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36E8B6B5">
      <w:pPr>
        <w:pStyle w:val="26"/>
        <w:keepNext w:val="0"/>
        <w:keepLines w:val="0"/>
        <w:pageBreakBefore w:val="0"/>
        <w:widowControl w:val="0"/>
        <w:kinsoku/>
        <w:wordWrap/>
        <w:overflowPunct/>
        <w:topLinePunct w:val="0"/>
        <w:autoSpaceDE/>
        <w:autoSpaceDN/>
        <w:bidi w:val="0"/>
        <w:adjustRightInd w:val="0"/>
        <w:snapToGrid w:val="0"/>
        <w:spacing w:line="400" w:lineRule="exact"/>
        <w:ind w:firstLine="600" w:firstLineChars="250"/>
        <w:textAlignment w:val="auto"/>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14:paraId="3E2882C2">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14:paraId="49B6934D">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w:t>
      </w:r>
      <w:r>
        <w:rPr>
          <w:rFonts w:hint="eastAsia" w:ascii="仿宋_GB2312" w:hAnsi="仿宋" w:eastAsia="仿宋_GB2312" w:cs="Arial"/>
          <w:kern w:val="0"/>
          <w:highlight w:val="none"/>
        </w:rPr>
        <w:t>或者政府采购法实施条例等法律法规规定</w:t>
      </w:r>
      <w:r>
        <w:rPr>
          <w:rFonts w:hint="eastAsia" w:ascii="仿宋_GB2312" w:hAnsi="仿宋" w:eastAsia="仿宋_GB2312" w:cs="仿宋_GB2312"/>
          <w:highlight w:val="none"/>
        </w:rPr>
        <w:t>的行为，经改正后仍然影响或者可能影响中标、成交结果或者依法被认定为中标、成交无效的，依照</w:t>
      </w:r>
      <w:r>
        <w:rPr>
          <w:rFonts w:ascii="仿宋_GB2312" w:hAnsi="仿宋" w:eastAsia="仿宋_GB2312" w:cs="仿宋_GB2312"/>
          <w:highlight w:val="none"/>
        </w:rPr>
        <w:t>7.1-7.4规定处理</w:t>
      </w:r>
      <w:r>
        <w:rPr>
          <w:rFonts w:hint="eastAsia" w:ascii="仿宋" w:hAnsi="仿宋" w:eastAsia="仿宋" w:cs="仿宋"/>
          <w:sz w:val="24"/>
          <w:szCs w:val="24"/>
          <w:highlight w:val="none"/>
        </w:rPr>
        <w:t>。</w:t>
      </w:r>
    </w:p>
    <w:p w14:paraId="0D35DE13">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p w14:paraId="05A7DCC0">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p w14:paraId="6D8434EA">
      <w:pPr>
        <w:rPr>
          <w:rFonts w:hint="eastAsia" w:ascii="仿宋" w:hAnsi="仿宋" w:eastAsia="仿宋" w:cs="仿宋"/>
          <w:sz w:val="24"/>
          <w:szCs w:val="24"/>
          <w:highlight w:val="none"/>
        </w:rPr>
      </w:pPr>
    </w:p>
    <w:p w14:paraId="08211D6B">
      <w:pPr>
        <w:rPr>
          <w:rFonts w:hint="eastAsia" w:ascii="仿宋" w:hAnsi="仿宋" w:eastAsia="仿宋" w:cs="仿宋"/>
          <w:sz w:val="24"/>
          <w:szCs w:val="24"/>
          <w:highlight w:val="none"/>
        </w:rPr>
      </w:pPr>
    </w:p>
    <w:bookmarkEnd w:id="25"/>
    <w:p w14:paraId="551217B4">
      <w:pPr>
        <w:pStyle w:val="61"/>
        <w:rPr>
          <w:rFonts w:ascii="仿宋_GB2312" w:hAnsi="仿宋" w:eastAsia="仿宋_GB2312" w:cs="仿宋_GB2312"/>
          <w:b/>
          <w:sz w:val="36"/>
          <w:szCs w:val="36"/>
          <w:highlight w:val="none"/>
        </w:rPr>
      </w:pPr>
      <w:bookmarkStart w:id="391" w:name="第五部分"/>
      <w:bookmarkStart w:id="392" w:name="_Toc86217003"/>
    </w:p>
    <w:p w14:paraId="015BCE1C">
      <w:pPr>
        <w:pStyle w:val="61"/>
        <w:rPr>
          <w:rFonts w:ascii="仿宋_GB2312" w:hAnsi="仿宋" w:eastAsia="仿宋_GB2312" w:cs="仿宋_GB2312"/>
          <w:b/>
          <w:sz w:val="36"/>
          <w:szCs w:val="36"/>
          <w:highlight w:val="none"/>
        </w:rPr>
      </w:pPr>
    </w:p>
    <w:p w14:paraId="6581F5A3">
      <w:pPr>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第五部分</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拟签订的合同文本</w:t>
      </w:r>
    </w:p>
    <w:p w14:paraId="05429EF9">
      <w:pPr>
        <w:rPr>
          <w:rFonts w:hint="eastAsia" w:ascii="仿宋" w:hAnsi="仿宋" w:eastAsia="仿宋" w:cs="仿宋"/>
          <w:b/>
          <w:bCs/>
          <w:sz w:val="24"/>
          <w:highlight w:val="none"/>
        </w:rPr>
      </w:pPr>
    </w:p>
    <w:p w14:paraId="51A8C89E">
      <w:pPr>
        <w:rPr>
          <w:rFonts w:hint="eastAsia" w:ascii="仿宋" w:hAnsi="仿宋" w:eastAsia="仿宋" w:cs="仿宋"/>
          <w:b/>
          <w:bCs/>
          <w:sz w:val="24"/>
          <w:highlight w:val="none"/>
          <w:u w:val="single"/>
        </w:rPr>
      </w:pPr>
      <w:r>
        <w:rPr>
          <w:rFonts w:hint="eastAsia" w:ascii="仿宋" w:hAnsi="仿宋" w:eastAsia="仿宋" w:cs="仿宋"/>
          <w:b/>
          <w:bCs/>
          <w:sz w:val="24"/>
          <w:highlight w:val="none"/>
        </w:rPr>
        <w:t>合同编号：</w:t>
      </w:r>
      <w:r>
        <w:rPr>
          <w:rFonts w:hint="eastAsia" w:ascii="仿宋" w:hAnsi="仿宋" w:eastAsia="仿宋" w:cs="仿宋"/>
          <w:b/>
          <w:bCs/>
          <w:sz w:val="24"/>
          <w:highlight w:val="none"/>
          <w:u w:val="single"/>
        </w:rPr>
        <w:t xml:space="preserve">           </w:t>
      </w:r>
    </w:p>
    <w:p w14:paraId="207E177C">
      <w:pPr>
        <w:spacing w:line="480" w:lineRule="auto"/>
        <w:jc w:val="center"/>
        <w:rPr>
          <w:rFonts w:ascii="楷体" w:hAnsi="楷体" w:eastAsia="楷体"/>
          <w:b/>
          <w:sz w:val="28"/>
          <w:szCs w:val="28"/>
          <w:highlight w:val="none"/>
        </w:rPr>
      </w:pPr>
    </w:p>
    <w:p w14:paraId="6A7F8D54">
      <w:pPr>
        <w:spacing w:line="480" w:lineRule="auto"/>
        <w:jc w:val="center"/>
        <w:rPr>
          <w:rFonts w:ascii="仿宋" w:hAnsi="仿宋" w:eastAsia="仿宋"/>
          <w:b/>
          <w:sz w:val="24"/>
          <w:highlight w:val="none"/>
        </w:rPr>
      </w:pPr>
    </w:p>
    <w:p w14:paraId="7A0D4C65">
      <w:pPr>
        <w:spacing w:line="360" w:lineRule="auto"/>
        <w:jc w:val="center"/>
        <w:rPr>
          <w:rFonts w:ascii="仿宋" w:hAnsi="仿宋" w:eastAsia="仿宋"/>
          <w:b/>
          <w:sz w:val="24"/>
          <w:highlight w:val="none"/>
        </w:rPr>
      </w:pPr>
    </w:p>
    <w:p w14:paraId="696FA01B">
      <w:pPr>
        <w:pStyle w:val="79"/>
        <w:spacing w:line="360" w:lineRule="auto"/>
        <w:ind w:firstLine="643" w:firstLineChars="200"/>
        <w:rPr>
          <w:rFonts w:ascii="宋体" w:hAnsi="宋体" w:cs="宋体"/>
          <w:b/>
          <w:color w:val="auto"/>
          <w:sz w:val="32"/>
          <w:szCs w:val="32"/>
          <w:highlight w:val="none"/>
          <w:u w:val="single"/>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u w:val="single"/>
        </w:rPr>
        <w:t>　　　　　　　　　　　　　　</w:t>
      </w:r>
    </w:p>
    <w:p w14:paraId="3DBF37E9">
      <w:pPr>
        <w:pStyle w:val="79"/>
        <w:spacing w:line="360" w:lineRule="auto"/>
        <w:rPr>
          <w:rFonts w:ascii="宋体" w:hAnsi="宋体" w:cs="宋体"/>
          <w:b/>
          <w:color w:val="auto"/>
          <w:sz w:val="32"/>
          <w:szCs w:val="32"/>
          <w:highlight w:val="none"/>
        </w:rPr>
      </w:pPr>
    </w:p>
    <w:p w14:paraId="0BFDA668">
      <w:pPr>
        <w:pStyle w:val="79"/>
        <w:spacing w:line="360" w:lineRule="auto"/>
        <w:rPr>
          <w:rFonts w:ascii="宋体" w:hAnsi="宋体" w:cs="宋体"/>
          <w:b/>
          <w:color w:val="auto"/>
          <w:sz w:val="32"/>
          <w:szCs w:val="32"/>
          <w:highlight w:val="none"/>
        </w:rPr>
      </w:pPr>
    </w:p>
    <w:p w14:paraId="2EF385C9">
      <w:pPr>
        <w:pStyle w:val="79"/>
        <w:spacing w:line="360" w:lineRule="auto"/>
        <w:ind w:firstLine="643" w:firstLineChars="200"/>
        <w:rPr>
          <w:rFonts w:ascii="宋体" w:hAnsi="宋体" w:cs="宋体"/>
          <w:b/>
          <w:color w:val="auto"/>
          <w:sz w:val="32"/>
          <w:szCs w:val="32"/>
          <w:highlight w:val="none"/>
        </w:rPr>
      </w:pPr>
      <w:r>
        <w:rPr>
          <w:rFonts w:hint="eastAsia" w:ascii="宋体" w:hAnsi="宋体" w:cs="宋体"/>
          <w:b/>
          <w:color w:val="auto"/>
          <w:sz w:val="32"/>
          <w:szCs w:val="32"/>
          <w:highlight w:val="none"/>
        </w:rPr>
        <w:t>甲    方：</w:t>
      </w:r>
      <w:r>
        <w:rPr>
          <w:rFonts w:hint="eastAsia" w:ascii="宋体" w:hAnsi="宋体" w:cs="宋体"/>
          <w:b/>
          <w:color w:val="auto"/>
          <w:sz w:val="32"/>
          <w:szCs w:val="32"/>
          <w:highlight w:val="none"/>
          <w:u w:val="single"/>
        </w:rPr>
        <w:t>　　　　　　　　　　　　　　</w:t>
      </w:r>
    </w:p>
    <w:p w14:paraId="4A1B07C7">
      <w:pPr>
        <w:pStyle w:val="79"/>
        <w:spacing w:line="360" w:lineRule="auto"/>
        <w:ind w:firstLine="643" w:firstLineChars="200"/>
        <w:rPr>
          <w:rFonts w:ascii="宋体" w:hAnsi="宋体" w:cs="宋体"/>
          <w:b/>
          <w:color w:val="auto"/>
          <w:sz w:val="32"/>
          <w:szCs w:val="32"/>
          <w:highlight w:val="none"/>
        </w:rPr>
      </w:pPr>
    </w:p>
    <w:p w14:paraId="4466547D">
      <w:pPr>
        <w:pStyle w:val="79"/>
        <w:spacing w:line="360" w:lineRule="auto"/>
        <w:rPr>
          <w:rFonts w:ascii="宋体" w:hAnsi="宋体" w:cs="宋体"/>
          <w:b/>
          <w:color w:val="auto"/>
          <w:sz w:val="32"/>
          <w:szCs w:val="32"/>
          <w:highlight w:val="none"/>
        </w:rPr>
      </w:pPr>
    </w:p>
    <w:p w14:paraId="3943E90A">
      <w:pPr>
        <w:pStyle w:val="79"/>
        <w:spacing w:line="360" w:lineRule="auto"/>
        <w:ind w:firstLine="643" w:firstLineChars="200"/>
        <w:rPr>
          <w:rFonts w:ascii="宋体" w:hAnsi="宋体" w:cs="宋体"/>
          <w:b/>
          <w:color w:val="auto"/>
          <w:sz w:val="32"/>
          <w:szCs w:val="32"/>
          <w:highlight w:val="none"/>
        </w:rPr>
      </w:pPr>
      <w:r>
        <w:rPr>
          <w:rFonts w:hint="eastAsia" w:ascii="宋体" w:hAnsi="宋体" w:cs="宋体"/>
          <w:b/>
          <w:color w:val="auto"/>
          <w:sz w:val="32"/>
          <w:szCs w:val="32"/>
          <w:highlight w:val="none"/>
        </w:rPr>
        <w:t>乙    方：</w:t>
      </w:r>
      <w:r>
        <w:rPr>
          <w:rFonts w:hint="eastAsia" w:ascii="宋体" w:hAnsi="宋体" w:cs="宋体"/>
          <w:b/>
          <w:color w:val="auto"/>
          <w:sz w:val="32"/>
          <w:szCs w:val="32"/>
          <w:highlight w:val="none"/>
          <w:u w:val="single"/>
        </w:rPr>
        <w:t>　　　　　　　　　　　　　　</w:t>
      </w:r>
    </w:p>
    <w:p w14:paraId="639C3C24">
      <w:pPr>
        <w:pStyle w:val="79"/>
        <w:spacing w:line="360" w:lineRule="auto"/>
        <w:ind w:firstLine="643" w:firstLineChars="200"/>
        <w:rPr>
          <w:rFonts w:ascii="宋体" w:hAnsi="宋体" w:cs="宋体"/>
          <w:b/>
          <w:color w:val="auto"/>
          <w:sz w:val="32"/>
          <w:szCs w:val="32"/>
          <w:highlight w:val="none"/>
        </w:rPr>
      </w:pPr>
    </w:p>
    <w:p w14:paraId="0C709362">
      <w:pPr>
        <w:pStyle w:val="79"/>
        <w:spacing w:line="360" w:lineRule="auto"/>
        <w:rPr>
          <w:rFonts w:ascii="宋体" w:hAnsi="宋体" w:cs="宋体"/>
          <w:b/>
          <w:color w:val="auto"/>
          <w:sz w:val="32"/>
          <w:szCs w:val="32"/>
          <w:highlight w:val="none"/>
        </w:rPr>
      </w:pPr>
    </w:p>
    <w:p w14:paraId="4CC35C1D">
      <w:pPr>
        <w:pStyle w:val="79"/>
        <w:spacing w:line="360" w:lineRule="auto"/>
        <w:ind w:firstLine="643" w:firstLineChars="200"/>
        <w:rPr>
          <w:rFonts w:ascii="宋体" w:hAnsi="宋体" w:cs="宋体"/>
          <w:b/>
          <w:color w:val="auto"/>
          <w:sz w:val="32"/>
          <w:szCs w:val="32"/>
          <w:highlight w:val="none"/>
        </w:rPr>
      </w:pPr>
      <w:r>
        <w:rPr>
          <w:rFonts w:hint="eastAsia" w:ascii="宋体" w:hAnsi="宋体" w:cs="宋体"/>
          <w:b/>
          <w:color w:val="auto"/>
          <w:sz w:val="32"/>
          <w:szCs w:val="32"/>
          <w:highlight w:val="none"/>
        </w:rPr>
        <w:t>签订地：</w:t>
      </w:r>
      <w:r>
        <w:rPr>
          <w:rFonts w:hint="eastAsia" w:ascii="宋体" w:hAnsi="宋体" w:cs="宋体"/>
          <w:b/>
          <w:color w:val="auto"/>
          <w:sz w:val="32"/>
          <w:szCs w:val="32"/>
          <w:highlight w:val="none"/>
          <w:u w:val="single"/>
        </w:rPr>
        <w:t>　　　　　　　　　　　　　　　</w:t>
      </w:r>
    </w:p>
    <w:p w14:paraId="526A0CAD">
      <w:pPr>
        <w:pStyle w:val="79"/>
        <w:spacing w:line="360" w:lineRule="auto"/>
        <w:ind w:firstLine="643" w:firstLineChars="200"/>
        <w:rPr>
          <w:rFonts w:ascii="宋体" w:hAnsi="宋体" w:cs="宋体"/>
          <w:b/>
          <w:color w:val="auto"/>
          <w:sz w:val="32"/>
          <w:szCs w:val="32"/>
          <w:highlight w:val="none"/>
        </w:rPr>
      </w:pPr>
    </w:p>
    <w:p w14:paraId="5F3F9C81">
      <w:pPr>
        <w:pStyle w:val="79"/>
        <w:spacing w:line="360" w:lineRule="auto"/>
        <w:rPr>
          <w:rFonts w:ascii="宋体" w:hAnsi="宋体" w:cs="宋体"/>
          <w:b/>
          <w:color w:val="auto"/>
          <w:sz w:val="32"/>
          <w:szCs w:val="32"/>
          <w:highlight w:val="none"/>
        </w:rPr>
      </w:pPr>
    </w:p>
    <w:p w14:paraId="673D9977">
      <w:pPr>
        <w:pStyle w:val="79"/>
        <w:spacing w:line="360" w:lineRule="auto"/>
        <w:rPr>
          <w:rFonts w:ascii="宋体" w:hAnsi="宋体" w:cs="宋体"/>
          <w:b/>
          <w:color w:val="auto"/>
          <w:sz w:val="32"/>
          <w:szCs w:val="32"/>
          <w:highlight w:val="none"/>
        </w:rPr>
      </w:pPr>
    </w:p>
    <w:p w14:paraId="0D913E6C">
      <w:pPr>
        <w:pStyle w:val="79"/>
        <w:spacing w:line="360" w:lineRule="auto"/>
        <w:ind w:firstLine="643" w:firstLineChars="200"/>
        <w:rPr>
          <w:rFonts w:ascii="宋体" w:hAnsi="宋体" w:cs="宋体"/>
          <w:b/>
          <w:color w:val="auto"/>
          <w:sz w:val="32"/>
          <w:szCs w:val="32"/>
          <w:highlight w:val="none"/>
        </w:rPr>
      </w:pPr>
      <w:r>
        <w:rPr>
          <w:rFonts w:hint="eastAsia" w:ascii="宋体" w:hAnsi="宋体" w:cs="宋体"/>
          <w:b/>
          <w:color w:val="auto"/>
          <w:sz w:val="32"/>
          <w:szCs w:val="32"/>
          <w:highlight w:val="none"/>
        </w:rPr>
        <w:t>签订日期：   年     月    日</w:t>
      </w:r>
    </w:p>
    <w:p w14:paraId="46446F48">
      <w:pPr>
        <w:pStyle w:val="79"/>
        <w:ind w:firstLine="643" w:firstLineChars="200"/>
        <w:rPr>
          <w:rFonts w:ascii="宋体" w:hAnsi="宋体" w:cs="宋体"/>
          <w:b/>
          <w:color w:val="auto"/>
          <w:sz w:val="32"/>
          <w:szCs w:val="32"/>
          <w:highlight w:val="none"/>
        </w:rPr>
      </w:pPr>
    </w:p>
    <w:p w14:paraId="3B8EC4F1">
      <w:pPr>
        <w:pStyle w:val="79"/>
        <w:ind w:firstLine="643" w:firstLineChars="200"/>
        <w:rPr>
          <w:rFonts w:ascii="宋体" w:hAnsi="宋体" w:cs="宋体"/>
          <w:b/>
          <w:color w:val="auto"/>
          <w:sz w:val="32"/>
          <w:szCs w:val="32"/>
          <w:highlight w:val="none"/>
        </w:rPr>
      </w:pPr>
    </w:p>
    <w:p w14:paraId="654E67A4">
      <w:pPr>
        <w:pStyle w:val="79"/>
        <w:ind w:firstLine="643" w:firstLineChars="200"/>
        <w:rPr>
          <w:rFonts w:ascii="宋体" w:hAnsi="宋体" w:cs="宋体"/>
          <w:b/>
          <w:color w:val="auto"/>
          <w:sz w:val="32"/>
          <w:szCs w:val="32"/>
          <w:highlight w:val="none"/>
        </w:rPr>
      </w:pPr>
    </w:p>
    <w:p w14:paraId="523B4160">
      <w:pPr>
        <w:pStyle w:val="79"/>
        <w:ind w:firstLine="643" w:firstLineChars="200"/>
        <w:rPr>
          <w:rFonts w:ascii="宋体" w:hAnsi="宋体" w:cs="宋体"/>
          <w:b/>
          <w:color w:val="auto"/>
          <w:sz w:val="32"/>
          <w:szCs w:val="32"/>
          <w:highlight w:val="none"/>
        </w:rPr>
      </w:pPr>
    </w:p>
    <w:p w14:paraId="3DA33DAA">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仿宋" w:hAnsi="仿宋" w:eastAsia="仿宋" w:cs="仿宋"/>
          <w:sz w:val="24"/>
          <w:szCs w:val="24"/>
          <w:highlight w:val="none"/>
          <w:u w:val="single"/>
          <w:lang w:eastAsia="zh-CN"/>
        </w:rPr>
      </w:pPr>
      <w:r>
        <w:rPr>
          <w:rFonts w:hint="eastAsia" w:ascii="仿宋" w:hAnsi="仿宋" w:eastAsia="仿宋" w:cs="仿宋"/>
          <w:b/>
          <w:bCs/>
          <w:sz w:val="24"/>
          <w:szCs w:val="24"/>
          <w:highlight w:val="none"/>
        </w:rPr>
        <w:t>甲方：</w:t>
      </w:r>
      <w:r>
        <w:rPr>
          <w:rFonts w:hint="eastAsia" w:ascii="仿宋" w:hAnsi="仿宋" w:eastAsia="仿宋" w:cs="仿宋"/>
          <w:sz w:val="24"/>
          <w:szCs w:val="24"/>
          <w:highlight w:val="none"/>
          <w:u w:val="single"/>
          <w:lang w:eastAsia="zh-CN"/>
        </w:rPr>
        <w:t>杭州市临安区於潜镇人民政府</w:t>
      </w:r>
    </w:p>
    <w:p w14:paraId="12EC68AE">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乙方：</w:t>
      </w:r>
      <w:r>
        <w:rPr>
          <w:rFonts w:hint="eastAsia" w:ascii="仿宋" w:hAnsi="仿宋" w:eastAsia="仿宋" w:cs="仿宋"/>
          <w:b/>
          <w:bCs/>
          <w:sz w:val="24"/>
          <w:szCs w:val="24"/>
          <w:highlight w:val="none"/>
          <w:u w:val="single"/>
        </w:rPr>
        <w:t xml:space="preserve">                          </w:t>
      </w:r>
    </w:p>
    <w:p w14:paraId="7B0D2DDA">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甲乙双方根据《中华人民共和国民法典》等有关法律法规和本合同的采购文件、报价文件及承诺，经双方友好协商，签订本合同，具体内容如下：</w:t>
      </w:r>
    </w:p>
    <w:p w14:paraId="5CC070AD">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一、服务内容</w:t>
      </w:r>
    </w:p>
    <w:p w14:paraId="09C87E4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1、集镇道路保洁为西至高速路口，东至102省道高速桥洞，北至208省道后渚村叉口红绿，南至208省道祈祥村村口（集镇主干道路及区域内里弄小巷、人行道、树穴、</w:t>
      </w:r>
      <w:r>
        <w:rPr>
          <w:rFonts w:hint="eastAsia" w:ascii="仿宋" w:hAnsi="仿宋" w:eastAsia="仿宋"/>
          <w:sz w:val="24"/>
          <w:highlight w:val="none"/>
          <w:lang w:eastAsia="zh-CN"/>
        </w:rPr>
        <w:t>公共</w:t>
      </w:r>
      <w:r>
        <w:rPr>
          <w:rFonts w:hint="eastAsia" w:ascii="仿宋" w:hAnsi="仿宋" w:eastAsia="仿宋" w:cs="仿宋"/>
          <w:bCs/>
          <w:sz w:val="24"/>
          <w:szCs w:val="24"/>
          <w:highlight w:val="none"/>
        </w:rPr>
        <w:t>绿化带、水沟、广场、公园、公益性宣传牌、候车亭、果壳箱、交通护栏、天目溪城区段沿线绿道、绿化护栏等保洁以及保洁所产生的垃圾运送至垃圾清运点）及逸逸工业园区道路保洁、垃圾清运等；</w:t>
      </w:r>
    </w:p>
    <w:p w14:paraId="476C924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2、集镇生活垃圾定时定点分类收集；</w:t>
      </w:r>
    </w:p>
    <w:p w14:paraId="4C0EE5E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3、公厕保洁为集镇</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座公厕的日常保洁、除臭设备维护及定期清理化粪池；</w:t>
      </w:r>
    </w:p>
    <w:p w14:paraId="3D1F4B5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4、行政村垃圾收集为全镇30个行政村的生活垃圾分类收集清运至镇垃圾中转；</w:t>
      </w:r>
    </w:p>
    <w:p w14:paraId="31C4FA7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5、於潜镇生活垃圾中转站管理及中转站到临安区绿能环保发电有限公司或其他焚烧厂的生活垃圾清运服务;</w:t>
      </w:r>
    </w:p>
    <w:p w14:paraId="2F4EF03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6、於潜镇生活垃圾中转站污水清理及消纳处理。</w:t>
      </w:r>
    </w:p>
    <w:p w14:paraId="03D2F81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7、保洁范围内大件垃圾清运，垃圾桶、果壳箱更新。</w:t>
      </w:r>
    </w:p>
    <w:p w14:paraId="63AA43C8">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二、服务期限及费用</w:t>
      </w:r>
    </w:p>
    <w:p w14:paraId="5B885FBA">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1、本次合同服务期限为</w:t>
      </w:r>
      <w:r>
        <w:rPr>
          <w:rFonts w:hint="eastAsia" w:ascii="仿宋" w:hAnsi="仿宋" w:eastAsia="仿宋" w:cs="仿宋"/>
          <w:b/>
          <w:sz w:val="24"/>
          <w:szCs w:val="24"/>
          <w:highlight w:val="none"/>
          <w:u w:val="single"/>
        </w:rPr>
        <w:t xml:space="preserve"> </w:t>
      </w:r>
      <w:r>
        <w:rPr>
          <w:rFonts w:hint="eastAsia" w:ascii="仿宋" w:hAnsi="仿宋" w:eastAsia="仿宋" w:cs="仿宋"/>
          <w:b/>
          <w:sz w:val="24"/>
          <w:szCs w:val="24"/>
          <w:highlight w:val="none"/>
          <w:u w:val="single"/>
          <w:lang w:eastAsia="zh-CN"/>
        </w:rPr>
        <w:t>贰</w:t>
      </w:r>
      <w:r>
        <w:rPr>
          <w:rFonts w:hint="eastAsia" w:ascii="仿宋" w:hAnsi="仿宋" w:eastAsia="仿宋" w:cs="仿宋"/>
          <w:b/>
          <w:sz w:val="24"/>
          <w:szCs w:val="24"/>
          <w:highlight w:val="none"/>
          <w:u w:val="single"/>
        </w:rPr>
        <w:t xml:space="preserve"> </w:t>
      </w:r>
      <w:r>
        <w:rPr>
          <w:rFonts w:hint="eastAsia" w:ascii="仿宋" w:hAnsi="仿宋" w:eastAsia="仿宋" w:cs="仿宋"/>
          <w:sz w:val="24"/>
          <w:szCs w:val="24"/>
          <w:highlight w:val="none"/>
        </w:rPr>
        <w:t>年，即</w:t>
      </w:r>
      <w:r>
        <w:rPr>
          <w:rFonts w:hint="eastAsia" w:ascii="仿宋" w:hAnsi="仿宋" w:eastAsia="仿宋" w:cs="仿宋"/>
          <w:b/>
          <w:bCs/>
          <w:sz w:val="24"/>
          <w:szCs w:val="24"/>
          <w:highlight w:val="none"/>
          <w:u w:val="single"/>
        </w:rPr>
        <w:t xml:space="preserve">  年  月  日至  年   月   日</w:t>
      </w:r>
      <w:r>
        <w:rPr>
          <w:rFonts w:hint="eastAsia" w:ascii="仿宋" w:hAnsi="仿宋" w:eastAsia="仿宋" w:cs="仿宋"/>
          <w:sz w:val="24"/>
          <w:szCs w:val="24"/>
          <w:highlight w:val="none"/>
        </w:rPr>
        <w:t>。</w:t>
      </w:r>
      <w:r>
        <w:rPr>
          <w:rFonts w:hint="eastAsia" w:ascii="仿宋" w:hAnsi="仿宋" w:eastAsia="仿宋" w:cs="Times New Roman"/>
          <w:sz w:val="24"/>
          <w:highlight w:val="none"/>
          <w:lang w:val="en-US" w:eastAsia="zh-CN"/>
        </w:rPr>
        <w:t>(其中中转站生活垃圾清运服务为</w:t>
      </w:r>
      <w:r>
        <w:rPr>
          <w:rFonts w:hint="eastAsia" w:ascii="仿宋" w:hAnsi="仿宋" w:eastAsia="仿宋" w:cs="仿宋"/>
          <w:b/>
          <w:bCs/>
          <w:sz w:val="24"/>
          <w:szCs w:val="24"/>
          <w:highlight w:val="none"/>
          <w:u w:val="single"/>
          <w:lang w:val="en-US" w:eastAsia="zh-CN"/>
        </w:rPr>
        <w:t>2025</w:t>
      </w:r>
      <w:r>
        <w:rPr>
          <w:rFonts w:hint="eastAsia" w:ascii="仿宋" w:hAnsi="仿宋" w:eastAsia="仿宋" w:cs="仿宋"/>
          <w:b/>
          <w:bCs/>
          <w:sz w:val="24"/>
          <w:szCs w:val="24"/>
          <w:highlight w:val="none"/>
          <w:u w:val="single"/>
        </w:rPr>
        <w:t>年</w:t>
      </w:r>
      <w:r>
        <w:rPr>
          <w:rFonts w:hint="eastAsia" w:ascii="仿宋" w:hAnsi="仿宋" w:eastAsia="仿宋" w:cs="仿宋"/>
          <w:b/>
          <w:bCs/>
          <w:sz w:val="24"/>
          <w:szCs w:val="24"/>
          <w:highlight w:val="none"/>
          <w:u w:val="single"/>
          <w:lang w:val="en-US" w:eastAsia="zh-CN"/>
        </w:rPr>
        <w:t>2</w:t>
      </w:r>
      <w:r>
        <w:rPr>
          <w:rFonts w:hint="eastAsia" w:ascii="仿宋" w:hAnsi="仿宋" w:eastAsia="仿宋" w:cs="仿宋"/>
          <w:b/>
          <w:bCs/>
          <w:sz w:val="24"/>
          <w:szCs w:val="24"/>
          <w:highlight w:val="none"/>
          <w:u w:val="single"/>
        </w:rPr>
        <w:t>月</w:t>
      </w:r>
      <w:r>
        <w:rPr>
          <w:rFonts w:hint="eastAsia" w:ascii="仿宋" w:hAnsi="仿宋" w:eastAsia="仿宋" w:cs="仿宋"/>
          <w:b/>
          <w:bCs/>
          <w:sz w:val="24"/>
          <w:szCs w:val="24"/>
          <w:highlight w:val="none"/>
          <w:u w:val="single"/>
          <w:lang w:val="en-US" w:eastAsia="zh-CN"/>
        </w:rPr>
        <w:t>1</w:t>
      </w:r>
      <w:r>
        <w:rPr>
          <w:rFonts w:hint="eastAsia" w:ascii="仿宋" w:hAnsi="仿宋" w:eastAsia="仿宋" w:cs="仿宋"/>
          <w:b/>
          <w:bCs/>
          <w:sz w:val="24"/>
          <w:szCs w:val="24"/>
          <w:highlight w:val="none"/>
          <w:u w:val="single"/>
        </w:rPr>
        <w:t>日至  年   月   日</w:t>
      </w:r>
      <w:r>
        <w:rPr>
          <w:rFonts w:hint="eastAsia" w:ascii="仿宋" w:hAnsi="仿宋" w:eastAsia="仿宋" w:cs="Times New Roman"/>
          <w:sz w:val="24"/>
          <w:highlight w:val="none"/>
          <w:lang w:val="en-US" w:eastAsia="zh-CN"/>
        </w:rPr>
        <w:t>)；</w:t>
      </w:r>
      <w:r>
        <w:rPr>
          <w:rFonts w:hint="eastAsia" w:ascii="仿宋" w:hAnsi="仿宋" w:eastAsia="仿宋" w:cs="仿宋"/>
          <w:kern w:val="0"/>
          <w:sz w:val="24"/>
          <w:szCs w:val="24"/>
          <w:highlight w:val="none"/>
          <w:lang w:eastAsia="zh-CN"/>
        </w:rPr>
        <w:t>履约期限结束后，甲方对乙方进行年度综合考核，如考核优秀的，双方协商同意后，可续签1年，如考核非优秀的，采购单位根据实际情况扣除相应的保洁经费</w:t>
      </w:r>
      <w:r>
        <w:rPr>
          <w:rFonts w:hint="eastAsia" w:ascii="仿宋" w:hAnsi="仿宋" w:eastAsia="仿宋" w:cs="Times New Roman"/>
          <w:sz w:val="24"/>
          <w:highlight w:val="none"/>
          <w:lang w:val="zh-CN" w:eastAsia="zh-CN"/>
        </w:rPr>
        <w:t>。</w:t>
      </w:r>
    </w:p>
    <w:p w14:paraId="59EBF682">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2、本合同年度服务总价为人民币：</w:t>
      </w:r>
      <w:r>
        <w:rPr>
          <w:rFonts w:hint="eastAsia" w:ascii="仿宋" w:hAnsi="仿宋" w:eastAsia="仿宋" w:cs="仿宋"/>
          <w:b/>
          <w:sz w:val="24"/>
          <w:szCs w:val="24"/>
          <w:highlight w:val="none"/>
          <w:u w:val="single"/>
        </w:rPr>
        <w:t xml:space="preserve">      </w:t>
      </w:r>
      <w:r>
        <w:rPr>
          <w:rFonts w:hint="eastAsia" w:ascii="仿宋" w:hAnsi="仿宋" w:eastAsia="仿宋" w:cs="仿宋"/>
          <w:sz w:val="24"/>
          <w:szCs w:val="24"/>
          <w:highlight w:val="none"/>
        </w:rPr>
        <w:t>元整 （￥</w:t>
      </w:r>
      <w:r>
        <w:rPr>
          <w:rFonts w:hint="eastAsia" w:ascii="仿宋" w:hAnsi="仿宋" w:eastAsia="仿宋" w:cs="仿宋"/>
          <w:b/>
          <w:sz w:val="24"/>
          <w:szCs w:val="24"/>
          <w:highlight w:val="none"/>
          <w:u w:val="single"/>
        </w:rPr>
        <w:t xml:space="preserve">     </w:t>
      </w:r>
      <w:r>
        <w:rPr>
          <w:rFonts w:hint="eastAsia" w:ascii="仿宋" w:hAnsi="仿宋" w:eastAsia="仿宋" w:cs="仿宋"/>
          <w:sz w:val="24"/>
          <w:szCs w:val="24"/>
          <w:highlight w:val="none"/>
        </w:rPr>
        <w:t>元），</w:t>
      </w:r>
    </w:p>
    <w:tbl>
      <w:tblPr>
        <w:tblStyle w:val="62"/>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904"/>
        <w:gridCol w:w="792"/>
        <w:gridCol w:w="948"/>
        <w:gridCol w:w="2000"/>
        <w:gridCol w:w="1732"/>
      </w:tblGrid>
      <w:tr w14:paraId="16E0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777" w:type="dxa"/>
            <w:noWrap w:val="0"/>
            <w:vAlign w:val="center"/>
          </w:tcPr>
          <w:p w14:paraId="0ACA5980">
            <w:pPr>
              <w:spacing w:line="3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2904" w:type="dxa"/>
            <w:noWrap w:val="0"/>
            <w:vAlign w:val="center"/>
          </w:tcPr>
          <w:p w14:paraId="01B12242">
            <w:pPr>
              <w:spacing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服务内容</w:t>
            </w:r>
          </w:p>
        </w:tc>
        <w:tc>
          <w:tcPr>
            <w:tcW w:w="792" w:type="dxa"/>
            <w:noWrap w:val="0"/>
            <w:vAlign w:val="center"/>
          </w:tcPr>
          <w:p w14:paraId="0D9E713F">
            <w:pPr>
              <w:spacing w:line="3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单位</w:t>
            </w:r>
          </w:p>
        </w:tc>
        <w:tc>
          <w:tcPr>
            <w:tcW w:w="948" w:type="dxa"/>
            <w:noWrap w:val="0"/>
            <w:vAlign w:val="center"/>
          </w:tcPr>
          <w:p w14:paraId="07BFF66F">
            <w:pPr>
              <w:spacing w:line="3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数量</w:t>
            </w:r>
          </w:p>
        </w:tc>
        <w:tc>
          <w:tcPr>
            <w:tcW w:w="2000" w:type="dxa"/>
            <w:noWrap w:val="0"/>
            <w:vAlign w:val="center"/>
          </w:tcPr>
          <w:p w14:paraId="65676E7D">
            <w:pPr>
              <w:spacing w:line="3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合同价（单价）</w:t>
            </w:r>
          </w:p>
        </w:tc>
        <w:tc>
          <w:tcPr>
            <w:tcW w:w="1732" w:type="dxa"/>
            <w:noWrap w:val="0"/>
            <w:vAlign w:val="center"/>
          </w:tcPr>
          <w:p w14:paraId="727F66E3">
            <w:pPr>
              <w:spacing w:line="3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合同价（总价）</w:t>
            </w:r>
          </w:p>
        </w:tc>
      </w:tr>
      <w:tr w14:paraId="1729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7" w:type="dxa"/>
            <w:noWrap w:val="0"/>
            <w:vAlign w:val="center"/>
          </w:tcPr>
          <w:p w14:paraId="24EDA7D9">
            <w:pPr>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2904" w:type="dxa"/>
            <w:noWrap w:val="0"/>
            <w:vAlign w:val="center"/>
          </w:tcPr>
          <w:p w14:paraId="4BF10D8C">
            <w:pPr>
              <w:spacing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综合保洁</w:t>
            </w:r>
          </w:p>
        </w:tc>
        <w:tc>
          <w:tcPr>
            <w:tcW w:w="792" w:type="dxa"/>
            <w:noWrap w:val="0"/>
            <w:vAlign w:val="center"/>
          </w:tcPr>
          <w:p w14:paraId="70D8784C">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948" w:type="dxa"/>
            <w:noWrap w:val="0"/>
            <w:vAlign w:val="center"/>
          </w:tcPr>
          <w:p w14:paraId="452F0DB9">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000" w:type="dxa"/>
            <w:noWrap w:val="0"/>
            <w:vAlign w:val="center"/>
          </w:tcPr>
          <w:p w14:paraId="234C5AF9">
            <w:pPr>
              <w:spacing w:line="360" w:lineRule="exact"/>
              <w:jc w:val="center"/>
              <w:rPr>
                <w:rFonts w:hint="eastAsia" w:ascii="仿宋" w:hAnsi="仿宋" w:eastAsia="仿宋" w:cs="仿宋"/>
                <w:color w:val="auto"/>
                <w:sz w:val="24"/>
                <w:szCs w:val="24"/>
                <w:highlight w:val="none"/>
                <w:lang w:val="en-US" w:eastAsia="zh-CN"/>
              </w:rPr>
            </w:pPr>
          </w:p>
        </w:tc>
        <w:tc>
          <w:tcPr>
            <w:tcW w:w="1732" w:type="dxa"/>
            <w:noWrap w:val="0"/>
            <w:vAlign w:val="center"/>
          </w:tcPr>
          <w:p w14:paraId="44C3F13F">
            <w:pPr>
              <w:spacing w:line="360" w:lineRule="exact"/>
              <w:jc w:val="center"/>
              <w:rPr>
                <w:rFonts w:hint="eastAsia" w:ascii="仿宋" w:hAnsi="仿宋" w:eastAsia="仿宋" w:cs="仿宋"/>
                <w:color w:val="auto"/>
                <w:sz w:val="24"/>
                <w:szCs w:val="24"/>
                <w:highlight w:val="none"/>
                <w:lang w:val="en-US" w:eastAsia="zh-CN"/>
              </w:rPr>
            </w:pPr>
          </w:p>
        </w:tc>
      </w:tr>
      <w:tr w14:paraId="7BFD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7" w:type="dxa"/>
            <w:noWrap w:val="0"/>
            <w:vAlign w:val="center"/>
          </w:tcPr>
          <w:p w14:paraId="654FC725">
            <w:pPr>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2904" w:type="dxa"/>
            <w:noWrap w:val="0"/>
            <w:vAlign w:val="center"/>
          </w:tcPr>
          <w:p w14:paraId="48363827">
            <w:pPr>
              <w:spacing w:line="36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中转站生活垃圾清运服务</w:t>
            </w:r>
          </w:p>
        </w:tc>
        <w:tc>
          <w:tcPr>
            <w:tcW w:w="792" w:type="dxa"/>
            <w:noWrap w:val="0"/>
            <w:vAlign w:val="center"/>
          </w:tcPr>
          <w:p w14:paraId="3CD4B1EE">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吨</w:t>
            </w:r>
          </w:p>
        </w:tc>
        <w:tc>
          <w:tcPr>
            <w:tcW w:w="948" w:type="dxa"/>
            <w:noWrap w:val="0"/>
            <w:vAlign w:val="center"/>
          </w:tcPr>
          <w:p w14:paraId="53EE77DC">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22995</w:t>
            </w:r>
          </w:p>
        </w:tc>
        <w:tc>
          <w:tcPr>
            <w:tcW w:w="2000" w:type="dxa"/>
            <w:noWrap w:val="0"/>
            <w:vAlign w:val="center"/>
          </w:tcPr>
          <w:p w14:paraId="1D622C18">
            <w:pPr>
              <w:spacing w:line="360" w:lineRule="exact"/>
              <w:jc w:val="center"/>
              <w:rPr>
                <w:rFonts w:hint="eastAsia" w:ascii="仿宋" w:hAnsi="仿宋" w:eastAsia="仿宋" w:cs="仿宋"/>
                <w:color w:val="auto"/>
                <w:sz w:val="24"/>
                <w:szCs w:val="24"/>
                <w:highlight w:val="none"/>
                <w:lang w:val="en-US" w:eastAsia="zh-CN"/>
              </w:rPr>
            </w:pPr>
          </w:p>
        </w:tc>
        <w:tc>
          <w:tcPr>
            <w:tcW w:w="1732" w:type="dxa"/>
            <w:noWrap w:val="0"/>
            <w:vAlign w:val="center"/>
          </w:tcPr>
          <w:p w14:paraId="710AE3BA">
            <w:pPr>
              <w:spacing w:line="360" w:lineRule="exact"/>
              <w:jc w:val="center"/>
              <w:rPr>
                <w:rFonts w:hint="eastAsia" w:ascii="仿宋" w:hAnsi="仿宋" w:eastAsia="仿宋" w:cs="仿宋"/>
                <w:color w:val="auto"/>
                <w:sz w:val="24"/>
                <w:szCs w:val="24"/>
                <w:highlight w:val="none"/>
                <w:lang w:val="en-US" w:eastAsia="zh-CN"/>
              </w:rPr>
            </w:pPr>
          </w:p>
        </w:tc>
      </w:tr>
    </w:tbl>
    <w:p w14:paraId="2640D8AC">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其中：</w:t>
      </w:r>
      <w:r>
        <w:rPr>
          <w:rFonts w:hint="eastAsia" w:ascii="仿宋" w:hAnsi="仿宋" w:eastAsia="仿宋" w:cs="仿宋"/>
          <w:sz w:val="24"/>
          <w:szCs w:val="24"/>
          <w:highlight w:val="none"/>
          <w:lang w:val="en-US" w:eastAsia="zh-CN"/>
        </w:rPr>
        <w:t>①综合</w:t>
      </w:r>
      <w:r>
        <w:rPr>
          <w:rFonts w:hint="eastAsia" w:ascii="仿宋" w:hAnsi="仿宋" w:eastAsia="仿宋" w:cs="仿宋"/>
          <w:sz w:val="24"/>
          <w:szCs w:val="24"/>
          <w:highlight w:val="none"/>
        </w:rPr>
        <w:t>保洁</w:t>
      </w:r>
      <w:r>
        <w:rPr>
          <w:rFonts w:hint="eastAsia" w:ascii="仿宋" w:hAnsi="仿宋" w:eastAsia="仿宋" w:cs="仿宋"/>
          <w:sz w:val="24"/>
          <w:szCs w:val="24"/>
          <w:highlight w:val="none"/>
          <w:lang w:eastAsia="zh-CN"/>
        </w:rPr>
        <w:t>服务费用：</w:t>
      </w:r>
      <w:r>
        <w:rPr>
          <w:rFonts w:hint="eastAsia" w:ascii="仿宋" w:hAnsi="仿宋" w:eastAsia="仿宋" w:cs="仿宋"/>
          <w:sz w:val="24"/>
          <w:szCs w:val="24"/>
          <w:highlight w:val="none"/>
        </w:rPr>
        <w:t>采用先作业后拨付的方式，</w:t>
      </w:r>
      <w:r>
        <w:rPr>
          <w:rFonts w:hint="eastAsia" w:ascii="仿宋" w:hAnsi="仿宋" w:eastAsia="仿宋" w:cs="仿宋"/>
          <w:kern w:val="0"/>
          <w:sz w:val="24"/>
          <w:szCs w:val="24"/>
          <w:highlight w:val="none"/>
        </w:rPr>
        <w:t>每月按合同期月平均经费</w:t>
      </w:r>
      <w:r>
        <w:rPr>
          <w:rFonts w:hint="eastAsia" w:ascii="仿宋" w:hAnsi="仿宋" w:eastAsia="仿宋" w:cs="仿宋"/>
          <w:kern w:val="0"/>
          <w:sz w:val="24"/>
          <w:szCs w:val="24"/>
          <w:highlight w:val="none"/>
          <w:lang w:eastAsia="zh-CN"/>
        </w:rPr>
        <w:t>的</w:t>
      </w:r>
      <w:r>
        <w:rPr>
          <w:rFonts w:hint="eastAsia" w:ascii="仿宋" w:hAnsi="仿宋" w:eastAsia="仿宋" w:cs="仿宋"/>
          <w:kern w:val="0"/>
          <w:sz w:val="24"/>
          <w:szCs w:val="24"/>
          <w:highlight w:val="none"/>
          <w:lang w:val="en-US" w:eastAsia="zh-CN"/>
        </w:rPr>
        <w:t>85%及扣除当月考核处罚金额后</w:t>
      </w:r>
      <w:r>
        <w:rPr>
          <w:rFonts w:hint="eastAsia" w:ascii="仿宋" w:hAnsi="仿宋" w:eastAsia="仿宋" w:cs="仿宋"/>
          <w:kern w:val="0"/>
          <w:sz w:val="24"/>
          <w:szCs w:val="24"/>
          <w:highlight w:val="none"/>
        </w:rPr>
        <w:t>拨付，</w:t>
      </w:r>
      <w:r>
        <w:rPr>
          <w:rFonts w:hint="eastAsia" w:ascii="仿宋" w:hAnsi="仿宋" w:eastAsia="仿宋" w:cs="仿宋"/>
          <w:kern w:val="0"/>
          <w:sz w:val="24"/>
          <w:szCs w:val="24"/>
          <w:highlight w:val="none"/>
          <w:lang w:eastAsia="zh-CN"/>
        </w:rPr>
        <w:t>余款</w:t>
      </w:r>
      <w:r>
        <w:rPr>
          <w:rFonts w:hint="eastAsia" w:ascii="仿宋" w:hAnsi="仿宋" w:eastAsia="仿宋" w:cs="仿宋"/>
          <w:kern w:val="0"/>
          <w:sz w:val="24"/>
          <w:szCs w:val="24"/>
          <w:highlight w:val="none"/>
          <w:lang w:val="en-US" w:eastAsia="zh-CN"/>
        </w:rPr>
        <w:t>15%</w:t>
      </w:r>
      <w:r>
        <w:rPr>
          <w:rFonts w:hint="eastAsia" w:ascii="仿宋" w:hAnsi="仿宋" w:eastAsia="仿宋" w:cs="仿宋"/>
          <w:kern w:val="0"/>
          <w:sz w:val="24"/>
          <w:szCs w:val="24"/>
          <w:highlight w:val="none"/>
          <w:lang w:eastAsia="zh-CN"/>
        </w:rPr>
        <w:t>待</w:t>
      </w:r>
      <w:r>
        <w:rPr>
          <w:rFonts w:hint="eastAsia" w:ascii="仿宋" w:hAnsi="仿宋" w:eastAsia="仿宋" w:cs="仿宋"/>
          <w:kern w:val="0"/>
          <w:sz w:val="24"/>
          <w:szCs w:val="24"/>
          <w:highlight w:val="none"/>
        </w:rPr>
        <w:t>合同期满</w:t>
      </w:r>
      <w:r>
        <w:rPr>
          <w:rFonts w:hint="eastAsia" w:ascii="仿宋" w:hAnsi="仿宋" w:eastAsia="仿宋" w:cs="仿宋"/>
          <w:kern w:val="0"/>
          <w:sz w:val="24"/>
          <w:szCs w:val="24"/>
          <w:highlight w:val="none"/>
          <w:lang w:eastAsia="zh-CN"/>
        </w:rPr>
        <w:t>后三十</w:t>
      </w:r>
      <w:r>
        <w:rPr>
          <w:rFonts w:hint="eastAsia" w:ascii="仿宋" w:hAnsi="仿宋" w:eastAsia="仿宋" w:cs="仿宋"/>
          <w:kern w:val="0"/>
          <w:sz w:val="24"/>
          <w:szCs w:val="24"/>
          <w:highlight w:val="none"/>
        </w:rPr>
        <w:t>天内根据</w:t>
      </w:r>
      <w:r>
        <w:rPr>
          <w:rFonts w:hint="eastAsia" w:ascii="仿宋" w:hAnsi="仿宋" w:eastAsia="仿宋" w:cs="仿宋"/>
          <w:kern w:val="0"/>
          <w:sz w:val="24"/>
          <w:szCs w:val="24"/>
          <w:highlight w:val="none"/>
          <w:lang w:eastAsia="zh-CN"/>
        </w:rPr>
        <w:t>年度综合</w:t>
      </w:r>
      <w:r>
        <w:rPr>
          <w:rFonts w:hint="eastAsia" w:ascii="仿宋" w:hAnsi="仿宋" w:eastAsia="仿宋" w:cs="仿宋"/>
          <w:kern w:val="0"/>
          <w:sz w:val="24"/>
          <w:szCs w:val="24"/>
          <w:highlight w:val="none"/>
        </w:rPr>
        <w:t>考核结果，扣除相应的保洁经费</w:t>
      </w:r>
      <w:r>
        <w:rPr>
          <w:rFonts w:hint="eastAsia" w:ascii="仿宋" w:hAnsi="仿宋" w:eastAsia="仿宋" w:cs="仿宋"/>
          <w:kern w:val="0"/>
          <w:sz w:val="24"/>
          <w:szCs w:val="24"/>
          <w:highlight w:val="none"/>
          <w:lang w:eastAsia="zh-CN"/>
        </w:rPr>
        <w:t>后</w:t>
      </w:r>
      <w:r>
        <w:rPr>
          <w:rFonts w:hint="eastAsia" w:ascii="仿宋" w:hAnsi="仿宋" w:eastAsia="仿宋" w:cs="仿宋"/>
          <w:kern w:val="0"/>
          <w:sz w:val="24"/>
          <w:szCs w:val="24"/>
          <w:highlight w:val="none"/>
        </w:rPr>
        <w:t>一次</w:t>
      </w:r>
      <w:r>
        <w:rPr>
          <w:rFonts w:hint="eastAsia" w:ascii="仿宋" w:hAnsi="仿宋" w:eastAsia="仿宋" w:cs="仿宋"/>
          <w:kern w:val="0"/>
          <w:sz w:val="24"/>
          <w:szCs w:val="24"/>
          <w:highlight w:val="none"/>
          <w:lang w:eastAsia="zh-CN"/>
        </w:rPr>
        <w:t>性付清</w:t>
      </w:r>
      <w:r>
        <w:rPr>
          <w:rFonts w:hint="eastAsia" w:ascii="仿宋" w:hAnsi="仿宋" w:eastAsia="仿宋" w:cs="仿宋"/>
          <w:sz w:val="24"/>
          <w:szCs w:val="24"/>
          <w:highlight w:val="none"/>
        </w:rPr>
        <w:t>。</w:t>
      </w:r>
      <w:r>
        <w:rPr>
          <w:rFonts w:hint="eastAsia" w:ascii="仿宋" w:hAnsi="仿宋" w:eastAsia="仿宋" w:cs="仿宋"/>
          <w:bCs/>
          <w:color w:val="000000"/>
          <w:sz w:val="24"/>
          <w:szCs w:val="24"/>
        </w:rPr>
        <w:t>合同履行完毕后，在未找到接替公司前，中标人在服务期内考核达标的，可以延续服务至下一次招标前，费用按原合同签订的标准支付</w:t>
      </w:r>
      <w:r>
        <w:rPr>
          <w:rFonts w:hint="eastAsia" w:ascii="仿宋" w:hAnsi="仿宋" w:eastAsia="仿宋" w:cs="仿宋"/>
          <w:bCs/>
          <w:color w:val="000000"/>
          <w:sz w:val="24"/>
          <w:szCs w:val="24"/>
          <w:lang w:eastAsia="zh-CN"/>
        </w:rPr>
        <w:t>。</w:t>
      </w:r>
    </w:p>
    <w:p w14:paraId="71777109">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②中转站生活垃圾清运服务费用：</w:t>
      </w:r>
      <w:r>
        <w:rPr>
          <w:rFonts w:hint="eastAsia" w:ascii="仿宋" w:hAnsi="仿宋" w:eastAsia="仿宋" w:cs="仿宋"/>
          <w:bCs/>
          <w:sz w:val="24"/>
          <w:szCs w:val="24"/>
        </w:rPr>
        <w:t>先清运后支付，由招标人根据前一个月的考核结果在下月的15日前凭税务发票支付前一个月的服务费，最后一个月的费用在合同结束后15日内结清（遇节假日顺延）</w:t>
      </w:r>
      <w:r>
        <w:rPr>
          <w:rFonts w:hint="eastAsia" w:ascii="仿宋" w:hAnsi="仿宋" w:eastAsia="仿宋" w:cs="仿宋"/>
          <w:bCs/>
          <w:sz w:val="24"/>
          <w:szCs w:val="24"/>
          <w:lang w:eastAsia="zh-CN"/>
        </w:rPr>
        <w:t>。</w:t>
      </w:r>
      <w:r>
        <w:rPr>
          <w:rFonts w:hint="eastAsia" w:ascii="仿宋" w:hAnsi="仿宋" w:eastAsia="仿宋" w:cs="仿宋"/>
          <w:bCs/>
          <w:color w:val="000000"/>
          <w:sz w:val="24"/>
          <w:szCs w:val="24"/>
        </w:rPr>
        <w:t>合同履行完毕后，在未找到接替公司前，中标人在服务期内考核达标的，可以延续服务至下一次招标前，费用按原合同签订的标准支付</w:t>
      </w:r>
      <w:r>
        <w:rPr>
          <w:rFonts w:hint="eastAsia" w:ascii="仿宋" w:hAnsi="仿宋" w:eastAsia="仿宋" w:cs="仿宋"/>
          <w:bCs/>
          <w:color w:val="000000"/>
          <w:sz w:val="24"/>
          <w:szCs w:val="24"/>
          <w:lang w:eastAsia="zh-CN"/>
        </w:rPr>
        <w:t>。</w:t>
      </w:r>
    </w:p>
    <w:p w14:paraId="78D2365B">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服务费包含本项目的人工费、材料费、设备使用费、人员来往的交通、通信、食宿、企业管理费、利润、税金、售后服务费、招标代理费、技术服务费、技术培训费、政策性文件规定及合同包含的所有风险、责任、成果验收以及采购文件约定工作内容所包含的等一切费用并承担一切风险责任。</w:t>
      </w:r>
    </w:p>
    <w:p w14:paraId="71F46A7F">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4、乙方按</w:t>
      </w:r>
      <w:r>
        <w:rPr>
          <w:rFonts w:hint="eastAsia" w:ascii="仿宋" w:hAnsi="仿宋" w:eastAsia="仿宋" w:cs="仿宋"/>
          <w:sz w:val="24"/>
          <w:szCs w:val="24"/>
          <w:highlight w:val="none"/>
          <w:lang w:eastAsia="zh-CN"/>
        </w:rPr>
        <w:t>每月</w:t>
      </w:r>
      <w:r>
        <w:rPr>
          <w:rFonts w:hint="eastAsia" w:ascii="仿宋" w:hAnsi="仿宋" w:eastAsia="仿宋" w:cs="仿宋"/>
          <w:sz w:val="24"/>
          <w:szCs w:val="24"/>
          <w:highlight w:val="none"/>
        </w:rPr>
        <w:t>向甲方结算，甲方凭乙方开具的服务发票进行支付。</w:t>
      </w:r>
    </w:p>
    <w:p w14:paraId="196DBC7C">
      <w:pPr>
        <w:keepNext w:val="0"/>
        <w:keepLines w:val="0"/>
        <w:pageBreakBefore w:val="0"/>
        <w:widowControl w:val="0"/>
        <w:kinsoku/>
        <w:wordWrap/>
        <w:overflowPunct/>
        <w:topLinePunct w:val="0"/>
        <w:bidi w:val="0"/>
        <w:adjustRightInd w:val="0"/>
        <w:snapToGrid w:val="0"/>
        <w:spacing w:line="50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三、工作要求</w:t>
      </w:r>
    </w:p>
    <w:p w14:paraId="591B1694">
      <w:pPr>
        <w:widowControl/>
        <w:spacing w:line="500" w:lineRule="exact"/>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1、保洁服务主要工作内容</w:t>
      </w:r>
    </w:p>
    <w:p w14:paraId="5FF5B211">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（1）集镇主次道路、里弄小巷、硬化空地、开放式公园广场（视线范围内）等清扫；</w:t>
      </w:r>
    </w:p>
    <w:p w14:paraId="71F30F9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（2）道路绿化隔离带、道路两侧绿化带（视线范围内）、开放式绿地（视线范围内）、里弄小巷等范围内绿化带保洁；</w:t>
      </w:r>
    </w:p>
    <w:p w14:paraId="10BD5173">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（3）沿街果壳箱垃圾收集清理、定期清洗保洁；沿街店面垃圾摇铃收集、清运；</w:t>
      </w:r>
    </w:p>
    <w:p w14:paraId="2D6D2A3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（4）交通隔离栏、人行道、立交桥、地下通道、2.2米以下路灯杆、交通信号灯杆等公共设施、城市家具清洗；</w:t>
      </w:r>
    </w:p>
    <w:p w14:paraId="7431799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（5）落实责任保洁区域边界管理，保洁时应向保洁边界以外延伸5米，不留保洁盲区空白点。</w:t>
      </w:r>
    </w:p>
    <w:p w14:paraId="24E8B11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（6）及时清扫、清洗因突发情况（各类投诉、110联动、城管96310、区长公开电话等）污染的道路；抗台防台、抗雪防冰冻等各类工作的应急保障；</w:t>
      </w:r>
    </w:p>
    <w:p w14:paraId="3481CCB1">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（7）做好法定节假日、政府举办的重大活动期间的保洁工作；</w:t>
      </w:r>
    </w:p>
    <w:p w14:paraId="08BF42B8">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（8）应业主方要求，无条件响应完成重大检查评比、庆典活动期间的市容环境卫生保障任务；</w:t>
      </w:r>
    </w:p>
    <w:p w14:paraId="26239AF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（9）对辖区范围内各类无主垃圾进行清理、分类清运，包括杂物垃圾、大件垃圾、建筑装潢垃圾清理；</w:t>
      </w:r>
    </w:p>
    <w:p w14:paraId="3A879E03">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（10）对辖区区域内牛皮癣进行清理清除，对乱贴、乱画、乱投小广告的行为人进行劝阻与制止。</w:t>
      </w:r>
    </w:p>
    <w:p w14:paraId="248EB885">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（11）做好其他涉及环境卫生的各项工作。</w:t>
      </w:r>
    </w:p>
    <w:p w14:paraId="749748A4">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2、作业标准</w:t>
      </w:r>
    </w:p>
    <w:p w14:paraId="1C0480FB">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普扫是对城市道路、街巷进行的全面清扫，包括机械化和人工清扫，普扫作业质量应做到“五无五净”，路面见本色。“五无”：无垃圾杂物，无积水积泥，无痰迹烟蒂，无果皮纸屑，无土石杂草；“五净”：路面干净，绿地、绿化带和树圈干净，边角侧石干净，雨水井盖沟眼畅通干净，果皮箱等环卫设施干净。路面见本色。</w:t>
      </w:r>
    </w:p>
    <w:p w14:paraId="67A1C31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每日普扫前，应先对车行道路面进行洒水，一般第一次普扫采用人机结合方式对道路街巷进行全面的清扫。第二次普扫，根据车流量情况，一般采用机械化方式对快车道进行清扫清理。人工方式对慢车道、人行道等位置进行清扫捡拾。</w:t>
      </w:r>
    </w:p>
    <w:p w14:paraId="46C69F2B">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在“五无五净”的基础上，保持交通隔离栏、2.2米以下灯杆、交通信号灯杆等城市家具清洁。巡回保洁期间，以捡拾漂浮垃圾为主，不允许单人无维护措施情况下上快车道作业。遇特殊情况，非机动车道可进行小范围清扫，车行道内在做好维护及安全措施的前提下集体进入清扫清理。</w:t>
      </w:r>
    </w:p>
    <w:p w14:paraId="5E5E2A15">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3、清扫保洁时间规定</w:t>
      </w:r>
    </w:p>
    <w:p w14:paraId="413EC28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普扫作业时间应符合下列要求：普扫作业每日不少于2次；普扫完成时间：每日首次普扫，夏秋季节在上午6:30之前完成，春冬季在上午7:00之前完成；每日二次普扫在14：00之前完成，在遇特殊天气或路面落叶较多季节，可视实际情况适当延长；夜间普扫在19:00之前完成。</w:t>
      </w:r>
    </w:p>
    <w:p w14:paraId="69985D7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（2）每日清扫保洁时间规定：主干道</w:t>
      </w:r>
      <w:r>
        <w:rPr>
          <w:rFonts w:hint="eastAsia" w:ascii="仿宋" w:hAnsi="仿宋" w:eastAsia="仿宋"/>
          <w:bCs/>
          <w:sz w:val="24"/>
          <w:highlight w:val="none"/>
          <w:lang w:val="en-US" w:eastAsia="zh-CN"/>
        </w:rPr>
        <w:t>18小时，</w:t>
      </w:r>
      <w:r>
        <w:rPr>
          <w:rFonts w:hint="eastAsia" w:ascii="仿宋" w:hAnsi="仿宋" w:eastAsia="仿宋"/>
          <w:bCs/>
          <w:sz w:val="24"/>
          <w:highlight w:val="none"/>
          <w:lang w:eastAsia="zh-CN"/>
        </w:rPr>
        <w:t>全年度（4：30—22：30）；次干道、支路、园区道路</w:t>
      </w:r>
      <w:r>
        <w:rPr>
          <w:rFonts w:hint="eastAsia" w:ascii="仿宋" w:hAnsi="仿宋" w:eastAsia="仿宋"/>
          <w:bCs/>
          <w:sz w:val="24"/>
          <w:highlight w:val="none"/>
          <w:lang w:val="en-US" w:eastAsia="zh-CN"/>
        </w:rPr>
        <w:t>14小时，全年度（5:30—19:30）；里弄小巷、绿道等12小时，全年度（5:30—19:30）</w:t>
      </w:r>
    </w:p>
    <w:p w14:paraId="70C99B6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（3）机械化作业路段洒水、冲洗、机扫、三位一体洗扫等轮班作业</w:t>
      </w:r>
    </w:p>
    <w:p w14:paraId="28D7230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作业时间：5:30-19:00，避早晚高峰（7:00-8:30,16:30-18:00），冬季2度以下禁止涉水作业。</w:t>
      </w:r>
    </w:p>
    <w:p w14:paraId="54ECB83A">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4、人工清扫保洁作业规范</w:t>
      </w:r>
    </w:p>
    <w:p w14:paraId="14C6E619">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（1）普扫时，应按人行道路面、树圈及周边、车行道路面、窨井口的顺序进行全面清扫。</w:t>
      </w:r>
    </w:p>
    <w:p w14:paraId="4B92A718">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（2）清扫归拢的垃圾靠边成堆，应及时清运，确保无漏少漏收。清扫道路时不得将垃圾扫入窨井、喇叭口、绿地等，并及时疏通窨井口。</w:t>
      </w:r>
    </w:p>
    <w:p w14:paraId="66982B49">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（3）清扫道路路面时应仔细清扫，不得漏扫、甩扫，尽量避免扬尘，妨碍周边行人。</w:t>
      </w:r>
    </w:p>
    <w:p w14:paraId="71480E20">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（4）保洁作业时，应做到对道路路面巡查保洁，及时用工具清理路面垃圾。</w:t>
      </w:r>
    </w:p>
    <w:p w14:paraId="0ABDB05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（5）发现有人随地乱扔垃圾或破环果壳箱等行为时，应及时劝阻，发现路面被严重污染时，应马上向上级监管部门汇报，并立即组织人员或车辆等设备进行清理。</w:t>
      </w:r>
    </w:p>
    <w:p w14:paraId="7F84396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（6）道路清扫归拢的垃圾应及时清运至就近生活垃圾中转站。</w:t>
      </w:r>
    </w:p>
    <w:p w14:paraId="4E97CE6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（7）绿化带（含车道绿化隔离带、人行道绿地及道路两侧保洁区域绿地）保洁应与道路保洁同步，做到绿化带内无杂物、无垃圾。</w:t>
      </w:r>
    </w:p>
    <w:p w14:paraId="4C3EA1C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（8）道路设置的果壳箱等城市家具，每天擦洗不少于1次，每周冲洗不少于1次。果壳箱内垃圾即满即清，不得发生满溢现象。</w:t>
      </w:r>
    </w:p>
    <w:p w14:paraId="74BD3687">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5、洒水车（高压清洗车）作业规范</w:t>
      </w:r>
    </w:p>
    <w:p w14:paraId="4C29DA63">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路面作业。洒水时，洒水车车速不得超过25Km/h；清洗时，高压清洗车车速不得超过10Km/h。道路洒水频次根据季节变化调整，夏季5月1日-10月31日洒水频次不少于6次，首次洒水必须在6:30前完成；日常季节11月1日-4月30日洒水频次不少于4次，首次洒水必须在7:00前完成。上述洒水作业在遇特殊天气时除外。寒冷季节，气温2度及以下时暂停洒水清洗作业。清洗作业，每条道路每周清洗不少于1次，对个别易受污染的道路或遇突发事件引发道路污染的，应及时组织车辆与人员进行清洗。</w:t>
      </w:r>
    </w:p>
    <w:p w14:paraId="5BC14E0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（2）洒水作业时不得漏洒，注意调整高度和水压，避让行人，作业结束后，要做到路面、侧石、交通隔离带以及道路相关公共设施周围无泥沙和积水。</w:t>
      </w:r>
    </w:p>
    <w:p w14:paraId="6C217938">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高压清洗必须高压清洗车采用主喷作业模式或采用洒水车冲洗与人工清扫模式，作业时水压调整适当，避让行人，应积极与人工作业相配合，以消除路面的积泥、沙石、污迹。对被泥沙等严重污染的路面应组织洒水车、高压清洗车和人员进行反复冲洗，直至路面见本色。</w:t>
      </w:r>
    </w:p>
    <w:p w14:paraId="22A93D6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（4）洒水作业时不得倒车洒水。洒水、高压清洗作业，月末应制定作业计划并上报采购人（按一般为每月25日前上报），全面推行定车、定人、定责、定路线制度。</w:t>
      </w:r>
    </w:p>
    <w:p w14:paraId="70E69961">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（5）清扫作业前应检查车辆车况，加足水，并根据路面实际及时调整好机扫车侧刷和吸口。</w:t>
      </w:r>
    </w:p>
    <w:p w14:paraId="19BDC4A3">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（6）清扫作业时应避免“干扫”，做到喷雾清扫作业，做到不扬尘，不漏土（沙）。禁止侧刷，吸口不落地空跑。</w:t>
      </w:r>
    </w:p>
    <w:p w14:paraId="10E9337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（7）清扫时注意观察路面清扫质量和路面障碍情况，对机扫车不能清除的大件垃圾和硬物，应及时进行清除，确保清扫质量和设备不受损坏。</w:t>
      </w:r>
    </w:p>
    <w:p w14:paraId="5EF86401">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（8）清扫完毕，应检查车辆内垃圾是否卸尽，并做好车辆保洁和维护，保持车容整洁、性能良好。</w:t>
      </w:r>
    </w:p>
    <w:p w14:paraId="11F8983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（9）机扫车清扫作业时速为：≦10㎞/h，道路机扫频次不少于3次，首次机扫必须在7时前完成，夏季6:30前完成。</w:t>
      </w:r>
    </w:p>
    <w:p w14:paraId="2386FA9E">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（10）机扫作业，月末应制定作业计划并上报监管部门（按一般为每月25日前上报），全面推行定车、定人、定责、定路线制度。</w:t>
      </w:r>
    </w:p>
    <w:p w14:paraId="27DBC57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（11）机械化清扫车作业垃圾自行分类组织处理，不得乱倒、偷倒。</w:t>
      </w:r>
    </w:p>
    <w:p w14:paraId="1D147DA7">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（12）机械化清扫车规范处理作业污水，严禁乱倒乱排。</w:t>
      </w:r>
    </w:p>
    <w:p w14:paraId="14DD61F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注：各类机械化作业车辆，应根据实际适时调整提示音音量，指示灯模式等，以减少对市民朋友的影响。7时前关闭提示音乐开启警示灯作业，7时后关闭警示灯开启提示音乐作业。</w:t>
      </w:r>
    </w:p>
    <w:p w14:paraId="4465DC0B">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6、里弄小巷保洁作业规范</w:t>
      </w:r>
    </w:p>
    <w:p w14:paraId="60DCF979">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普扫作业时间应符合下列要求：空地、街巷普扫作业每日不少于2次。空地、街巷普扫完成时间：每日首次普扫，夏秋季节在上午7:00之前完成，春冬季在上午7:30之前完成；二次普扫在14:00之前完成，在遇特殊恶劣天气或路面落叶较多季节，可视实际情况适当延长。</w:t>
      </w:r>
    </w:p>
    <w:p w14:paraId="7321E1F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（2）空地、街巷里弄普扫每日清扫保洁时间规定：</w:t>
      </w:r>
      <w:r>
        <w:rPr>
          <w:rFonts w:hint="eastAsia" w:ascii="仿宋" w:hAnsi="仿宋" w:eastAsia="仿宋"/>
          <w:bCs/>
          <w:sz w:val="24"/>
          <w:highlight w:val="none"/>
          <w:lang w:val="en-US" w:eastAsia="zh-CN"/>
        </w:rPr>
        <w:t>全年度（5:30—19:30）</w:t>
      </w:r>
    </w:p>
    <w:p w14:paraId="1D80905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（3）对开放式小区空地、街巷的清扫与保洁，应做好巡回式清扫保洁。</w:t>
      </w:r>
    </w:p>
    <w:p w14:paraId="73626BD6">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普扫时，应进行全面清扫，不得遗漏。清扫道路路面时应文明作业、注意安全，清扫时尽量避免扬尘或妨碍周边行人；清扫归拢的垃圾靠边成堆，应及时清运，确保无漏收。清扫道路时不得将垃圾扫（倒）入窨井、喇叭口、绿地等，并及时疏通窨井口。</w:t>
      </w:r>
    </w:p>
    <w:p w14:paraId="63929578">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（5）发现有人随地乱扔垃圾或破坏垃圾桶等行为时，应及时劝阻，发现路面被严重污染时，应马上向上级汇报，并立即组织人员或车辆等设备进行清理。</w:t>
      </w:r>
    </w:p>
    <w:p w14:paraId="42799347">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（6）道路清扫归拢的垃圾应及时清运至周边垃圾投放点。</w:t>
      </w:r>
    </w:p>
    <w:p w14:paraId="77C41938">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对房前屋后开放式绿地的保洁，做好日常巡回捡拾保洁，及时清理绿地内枯叶、树枝、吊挂垃圾等其他垃圾，配合好绿化养护单位做好养护作业时的地面及周边环境的保洁工作。发现有损坏的绿化等现象，应及时做好信息上报工作。</w:t>
      </w:r>
    </w:p>
    <w:p w14:paraId="7FEEB24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（8）按照垃圾分类的要求分类清运，不得混装混运。垃圾清运过后，垃圾桶需及时清洗。垃圾桶、收运点及垃圾房周边需保持清洁，无暴露垃圾、无污水满溢等问题存在。</w:t>
      </w:r>
    </w:p>
    <w:p w14:paraId="20248070">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7、交通隔离护栏、果壳箱等保洁作业规范</w:t>
      </w:r>
    </w:p>
    <w:p w14:paraId="3B54AA30">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（1）隔离护栏清洗作业应做到每周一次周期性循环清洗，日常保洁应做到护栏无明显积尘。遇大风、暴雨、暴雪等恶劣天气时，上报业主方处经批准，可停止清洗作业。</w:t>
      </w:r>
    </w:p>
    <w:p w14:paraId="6EC961F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（2）由于在清洗作业中会使用清洗剂或洗衣粉，作业当中易产生白色泡沫或积水遗留路面，造成二次污染，因此必需对产生的白色泡沫和路面积水进行清理。</w:t>
      </w:r>
    </w:p>
    <w:p w14:paraId="7F6C6DF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（3）由于清洗作业处于交通干道内，为确保安全生产，在清洗作业时在来车方向适当位置放置警示锥或桩等能起到有效警示作业的物品。</w:t>
      </w:r>
    </w:p>
    <w:p w14:paraId="0F7590D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（4）果壳箱擦洗每天不少于1次，清洗每周不少于1次。果壳箱无积尘、无油污、无垃圾满溢。果壳箱内不得存在垃圾满溢现象。</w:t>
      </w:r>
    </w:p>
    <w:p w14:paraId="7C3738C7">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（5）如遇果壳箱存在破损等情况时，应及时告知监管部门，以便于及时维修或更换。</w:t>
      </w:r>
    </w:p>
    <w:p w14:paraId="251D88D1">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8、沿街店面生活垃圾摇铃收集、居民社区上门收集作业规范</w:t>
      </w:r>
    </w:p>
    <w:p w14:paraId="7B98DDF3">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（1）应结合本项目特点制定商业街、社区居民生活垃圾收集时间、频次、人员、责任等规定，全面推行上门收集清运模式。</w:t>
      </w:r>
    </w:p>
    <w:p w14:paraId="76FB5271">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（2）应配置专用车辆，全面推行垃圾分类投放、分类收集、分类清运。</w:t>
      </w:r>
    </w:p>
    <w:p w14:paraId="1739C87B">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（3）收集车辆运输垃圾必须密闭，无抛洒、吊挂和污水滴漏。车容整洁，车体外部无污物、灰垢，标识应清晰。运输车辆作业后及时清洗干净，并按指定地点停放。</w:t>
      </w:r>
    </w:p>
    <w:p w14:paraId="2F00D51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（4）商业街摇铃收集作业每天不少于3次。收集清运时应分类投放，不得混装。如店家不配合，可拒绝收集清运，并第一时间向监管部门或城管执法中队反馈。</w:t>
      </w:r>
    </w:p>
    <w:p w14:paraId="56C21E33">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（5）小区、城中村居民生活垃圾集中点收集每天不少于1次，对居民垃圾分类进行指导，对拒绝分类的居民加以劝导和指导，如居民特别恶劣不配合的，第一时间向街道社区或城管执法中队反馈。</w:t>
      </w:r>
    </w:p>
    <w:p w14:paraId="097CFA8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（6）制定宣传方案，定期做好上门收集、入户宣传指导和对接。</w:t>
      </w:r>
    </w:p>
    <w:p w14:paraId="122F4EF3">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（7）根据清运要求，将保洁范围内的生活垃圾清运至中转站。</w:t>
      </w:r>
    </w:p>
    <w:p w14:paraId="0DD9C195">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9、牛皮癣（非法涂写）作业规范</w:t>
      </w:r>
    </w:p>
    <w:p w14:paraId="60064A13">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（1）建立除癣队伍，自备作业工具和作业用品，每日全天候对辖区主要道路、居民社区、里弄小巷牛皮癣（非法涂写）情况进行巡查。</w:t>
      </w:r>
    </w:p>
    <w:p w14:paraId="4AC06F6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（2）对张贴式城市牛皮癣要及时清理干净，不得遗留明显的张贴痕迹，作业时不损坏建筑物、树木、管线、灯杆、护栏及其他各类市政公共设施，确有损坏的，要及时采取相应补救措施，恢复原状。</w:t>
      </w:r>
    </w:p>
    <w:p w14:paraId="554DC39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（3）对涂写式牛皮癣要确保覆盖彻底，不出现清理后涂写文字仍能呈现的情况。</w:t>
      </w:r>
    </w:p>
    <w:p w14:paraId="4E97B71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（4）注意与底色协调、涂刷规范，按照“色差一致、形状统一、干净整洁、协调美观”的要求进行整改，恢复，要避免出现癣上癣。</w:t>
      </w:r>
    </w:p>
    <w:p w14:paraId="04628320">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（5）除癣作业后，要及时做好周边地面保洁，保持周边地面干净。</w:t>
      </w:r>
    </w:p>
    <w:p w14:paraId="540C5B10">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（6）接到辖区范围内，检查发现、投诉反映、新闻或各类媒介报道的牛皮癣（非法涂写），必须在12小时内完成整改处理并反馈整改信息。</w:t>
      </w:r>
    </w:p>
    <w:p w14:paraId="7CC370B1">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（7）发现大规模低俗、反社会等小广告时，必须组织人员在1小时内进行清除。</w:t>
      </w:r>
    </w:p>
    <w:p w14:paraId="4B4B8E6D">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10、无主垃圾作业规范</w:t>
      </w:r>
    </w:p>
    <w:p w14:paraId="58EB9D11">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（1）装卸垃圾不得随意乱倒，必须运至指定场所处理。装卸应符合作业要求，文明作业，垃圾进入处理场站时应服从管理，不得乱倒、乱卸、乱抛垃圾。</w:t>
      </w:r>
    </w:p>
    <w:p w14:paraId="250606BE">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（2）每日不少于1次对辖区主要道路、居民社区、里弄小巷无主垃圾堆放情况进行巡查。</w:t>
      </w:r>
    </w:p>
    <w:p w14:paraId="1EB5CE5E">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辖区内堆放的无主大件杂物垃圾、无主建筑装潢垃圾应做到集中收拢清运堆放至社区所指定场所处置后清运或直接清运至由采购人核准的合法得消纳场地，严禁将生活垃圾与建筑装潢垃圾混合投（堆）放，其由此产生的处置费用由业主方进行支付。</w:t>
      </w:r>
    </w:p>
    <w:p w14:paraId="1D48814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（4）无主垃圾清理后，要及时清扫周围地面，周边环境恢复卫生面貌。</w:t>
      </w:r>
    </w:p>
    <w:p w14:paraId="76AE76E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（5）对发现乱扔乱倒垃圾的行为，要及时规范劝导，引导居民群众正确妥善处置垃圾。</w:t>
      </w:r>
    </w:p>
    <w:p w14:paraId="741419A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（6）发现大量偷倒垃圾情况，保持维护好现场证据，并第一时间向街道或城管部门反馈查处。</w:t>
      </w:r>
    </w:p>
    <w:p w14:paraId="3D09FC1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（7）垃圾装运量应以车辆的额定荷载和有效容积为限，不得超重、超高运输。</w:t>
      </w:r>
    </w:p>
    <w:p w14:paraId="4046D84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（8）有主装修垃圾、大件垃圾、混合垃圾，产生单位应自行联系处置，也可在支付相关费用后，由保洁公司负责清运，保洁公司不承担有主垃圾的清运工作。</w:t>
      </w:r>
    </w:p>
    <w:p w14:paraId="7AA41390">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11、公厕保洁作业规范</w:t>
      </w:r>
    </w:p>
    <w:p w14:paraId="5208F17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(1）、正门及外围</w:t>
      </w:r>
    </w:p>
    <w:p w14:paraId="4C7AFBD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1.1绿化带和花草盆无垃圾、无脏杂物、无明显积尘，花草盆侧面及槽边无污迹、无积尘、无积水和异物；</w:t>
      </w:r>
    </w:p>
    <w:p w14:paraId="6263EE11">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1.2阶梯：无污迹、无水泥迹、无口香糖胶迹、无积水、无堆放杂物；</w:t>
      </w:r>
    </w:p>
    <w:p w14:paraId="38EBC2B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1.3扶手：无污迹、无水迹；</w:t>
      </w:r>
    </w:p>
    <w:p w14:paraId="1AF006B7">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1.4墙面：无污迹、无乱张贴物；</w:t>
      </w:r>
    </w:p>
    <w:p w14:paraId="30A28DCE">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1.5门户：无污迹、无积尘、无乱张贴物；</w:t>
      </w:r>
    </w:p>
    <w:p w14:paraId="1BBDD965">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1.6指示牌：无污迹、无积尘；</w:t>
      </w:r>
    </w:p>
    <w:p w14:paraId="539E90D1">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1.7消防栓：无污迹、无积尘；</w:t>
      </w:r>
    </w:p>
    <w:p w14:paraId="219D72D0">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1.8出入口栏杆：无污迹、无堵塞。</w:t>
      </w:r>
    </w:p>
    <w:p w14:paraId="5168ECC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(2)、洗手间内</w:t>
      </w:r>
    </w:p>
    <w:p w14:paraId="156CE6A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2.1地面：无污迹、无水泥迹、无口香糖胶迹、无积水、无堆放杂物；</w:t>
      </w:r>
    </w:p>
    <w:p w14:paraId="1D04E9F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2.2墙面：无污迹、无乱张贴物；</w:t>
      </w:r>
    </w:p>
    <w:p w14:paraId="2B62DD53">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2.3天花：无污迹、无积尘、无蜘蛛网、无霉迹；</w:t>
      </w:r>
    </w:p>
    <w:p w14:paraId="699FB126">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2.4光管罩：无污迹、无积尘、无乱张贴物；</w:t>
      </w:r>
    </w:p>
    <w:p w14:paraId="7FE7419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2.5窗户：无污迹、无积尘、无乱张贴物；</w:t>
      </w:r>
    </w:p>
    <w:p w14:paraId="67413DE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2.6镜台：无污迹、无积尘、无乱张贴物；</w:t>
      </w:r>
    </w:p>
    <w:p w14:paraId="6AA67336">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2.7洗手盆：表面光洁、无污迹；</w:t>
      </w:r>
    </w:p>
    <w:p w14:paraId="24610940">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2.8镜面：无污迹、无积尘、无乱张贴物；</w:t>
      </w:r>
    </w:p>
    <w:p w14:paraId="22C4727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2.9排水口：无污迹、无蜘蛛网、无霉迹；</w:t>
      </w:r>
    </w:p>
    <w:p w14:paraId="69DFB4B6">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2.10尿槽：表面光洁、无尿迹、无污迹、无水透迹、无烟头、无杂物、无异物；</w:t>
      </w:r>
    </w:p>
    <w:p w14:paraId="505E50E8">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2.11厕座：厕盖及厕体风外表光洁、其内无尿迹、无污迹、无水透迹、无阻塞；</w:t>
      </w:r>
    </w:p>
    <w:p w14:paraId="191E12BE">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2.12厕纸箱：无污迹、无积尘、无蜘蛛网、无霉迹；</w:t>
      </w:r>
    </w:p>
    <w:p w14:paraId="7F1D3550">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2.13手纸箱：无污迹、无积尘、无蜘蛛网、无霉迹；</w:t>
      </w:r>
    </w:p>
    <w:p w14:paraId="17E62D9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2.14门户：无污迹、无积尘、无乱张贴物；</w:t>
      </w:r>
    </w:p>
    <w:p w14:paraId="2543509D">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2.15地漏及水沟：无污物积聚、无堵塞。</w:t>
      </w:r>
    </w:p>
    <w:p w14:paraId="6B19148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(3)、门厅和走廊</w:t>
      </w:r>
    </w:p>
    <w:p w14:paraId="144D7EE7">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3.1地面：无脚印、无污迹、无水泥迹、无口香糖胶迹、无积水、无堆放杂物、无垃圾；</w:t>
      </w:r>
    </w:p>
    <w:p w14:paraId="4DF3673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3.2天花：无污迹、无积尘、无蜘蛛网、无霉迹；</w:t>
      </w:r>
    </w:p>
    <w:p w14:paraId="756C9C67">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3.3光管罩：无污迹、无积尘、无蜘蛛网、无霉迹；</w:t>
      </w:r>
    </w:p>
    <w:p w14:paraId="0E072DC1">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3.4墙面及玻璃：无污迹、无乱张贴物；</w:t>
      </w:r>
    </w:p>
    <w:p w14:paraId="022712D8">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3.5铜牌：无污迹、无积尘、无铜油迹；</w:t>
      </w:r>
    </w:p>
    <w:p w14:paraId="5D77FBF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3.6水牌及指示牌：无污迹、无积尘、无乱张贴物；</w:t>
      </w:r>
    </w:p>
    <w:p w14:paraId="0411313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3.7门户（管井门、隔烟门、厕所门）：无污迹、无积尘、无乱张贴物；</w:t>
      </w:r>
    </w:p>
    <w:p w14:paraId="75A91479">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3.8垃圾桶：桶体光洁无污迹、无痰迹；烟灰缸盖上无烟头、杂物，桶内垃圾不得超过桶口；</w:t>
      </w:r>
    </w:p>
    <w:p w14:paraId="683E072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3.9消防栓：户：无污迹、无积尘、无乱张贴物；</w:t>
      </w:r>
    </w:p>
    <w:p w14:paraId="1934E53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（4）、垃圾放置点</w:t>
      </w:r>
    </w:p>
    <w:p w14:paraId="659CC3F3">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4.1做到无堆积垃圾；</w:t>
      </w:r>
    </w:p>
    <w:p w14:paraId="47EF43C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4.2垃圾日产日清；</w:t>
      </w:r>
    </w:p>
    <w:p w14:paraId="4A0446E3">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4.3做好垃圾袋装化，将所有垃圾集中堆放在堆放点，做到合理、卫生、四周无散放垃圾；</w:t>
      </w:r>
    </w:p>
    <w:p w14:paraId="1CACF82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4.4可做废品回收的垃圾，要另行放置；</w:t>
      </w:r>
    </w:p>
    <w:p w14:paraId="553ADF2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4.5垃圾间保持清洁、无异味，经常喷洒药水，防止发生虫害；</w:t>
      </w:r>
    </w:p>
    <w:p w14:paraId="32ED68C8">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4.6消杀、无蝇、少蚊、少虫；</w:t>
      </w:r>
    </w:p>
    <w:p w14:paraId="6973DA9E">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4.7灭鼠、灭蟑螂。</w:t>
      </w:r>
    </w:p>
    <w:p w14:paraId="105916D4">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（5）、化粪池清理</w:t>
      </w:r>
    </w:p>
    <w:p w14:paraId="4AAC610A">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5.1清掏化粪池每年清理化粪池不少于2次（6月和12月各一次）。</w:t>
      </w:r>
    </w:p>
    <w:p w14:paraId="2E3E5B26">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5.2清掏时不得泄漏、遗撒；</w:t>
      </w:r>
    </w:p>
    <w:p w14:paraId="635D23B5">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5.3清掏的废物应按照规定运往粪便无害化处理部门进行无害化处理，并向甲方出示有关无害化处理单据证明，不得乱排乱倒。</w:t>
      </w:r>
    </w:p>
    <w:p w14:paraId="7C51726A">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12、行政村垃圾收集作业规范</w:t>
      </w:r>
    </w:p>
    <w:p w14:paraId="5EEF7605">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作业时遵守交通管理法规，确保车辆整洁，设施完好，密闭运输，如有破损及时修复，并建立车容车貌检查档案。所属的垃圾运输车辆（含机动车、非机动车）应印有编号、监督电话、责任单位等信息。发生各种意外事故由中标方自行解决。</w:t>
      </w:r>
    </w:p>
    <w:p w14:paraId="0358F89F">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其他垃圾和易腐垃圾清运做到分类运输、日产日清，垃圾清运后，垃圾房、桶、箱周围2米内清扫干净，关好门，做到车走地洁；垃圾收集点做到科学有序收集，收集过程中，不漏收、跳收甚至拒收，不任意撤点。</w:t>
      </w:r>
    </w:p>
    <w:p w14:paraId="66149848">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（3）车辆行驶中严禁垃圾沿途散落、吊挂，压缩车后栏板关好，下班后污水箱里污水放净。</w:t>
      </w:r>
    </w:p>
    <w:p w14:paraId="67C123BB">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（4）车辆不得私自出车，如造成事故和发生不可预见事情，一切损失由当事人承担。作业期间发生交通事故由交通部门处理，并将处理结果按照公司相关制度执行。</w:t>
      </w:r>
    </w:p>
    <w:p w14:paraId="40722B82">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（5）驾驶员必须做好车辆出车前和下班后的日常保养工作及安全自查工作，做到文明出行，严禁酒后开车、疲劳开车和无证驾驶。</w:t>
      </w:r>
    </w:p>
    <w:p w14:paraId="0A0A70FD">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13、镇属垃圾中转站运营管理（生活垃圾压缩及外运除外）</w:t>
      </w:r>
    </w:p>
    <w:p w14:paraId="3C5288F6">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（1）每天及时进行易腐垃圾的二次分拣、处理、成肥作业，防止污水和臭气溢出，结束后对设备进行清洗和保养。（如设备需要维修时，中标方做好必要的沟通、协调和监督，维修所产生的费用由业主方承担）</w:t>
      </w:r>
    </w:p>
    <w:p w14:paraId="11A1DFC3">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（2）站内日常卫生保洁，熟练掌握设备操作和用电安全，并做好相关台账。</w:t>
      </w:r>
    </w:p>
    <w:p w14:paraId="3FCF42B5">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（3）每日对各工作间定时进行巡查，防止一切事故发生。</w:t>
      </w:r>
    </w:p>
    <w:p w14:paraId="546F269C">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（4）处理站运营产生的水电等能耗费用由承包方承担。</w:t>
      </w:r>
    </w:p>
    <w:p w14:paraId="395AC1E3">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w:t>
      </w:r>
      <w:r>
        <w:rPr>
          <w:rFonts w:hint="eastAsia" w:ascii="仿宋" w:hAnsi="仿宋" w:eastAsia="仿宋"/>
          <w:bCs/>
          <w:sz w:val="24"/>
          <w:highlight w:val="none"/>
          <w:lang w:val="en-US" w:eastAsia="zh-CN"/>
        </w:rPr>
        <w:t>5</w:t>
      </w:r>
      <w:r>
        <w:rPr>
          <w:rFonts w:hint="eastAsia" w:ascii="仿宋" w:hAnsi="仿宋" w:eastAsia="仿宋"/>
          <w:bCs/>
          <w:sz w:val="24"/>
          <w:highlight w:val="none"/>
          <w:lang w:eastAsia="zh-CN"/>
        </w:rPr>
        <w:t>）垃圾中转站渗滤液预处理及达标排放管理工作。</w:t>
      </w:r>
    </w:p>
    <w:p w14:paraId="22D7B0EE">
      <w:pPr>
        <w:keepNext w:val="0"/>
        <w:keepLines w:val="0"/>
        <w:pageBreakBefore w:val="0"/>
        <w:widowControl w:val="0"/>
        <w:kinsoku/>
        <w:wordWrap/>
        <w:overflowPunct/>
        <w:topLinePunct w:val="0"/>
        <w:bidi w:val="0"/>
        <w:adjustRightInd w:val="0"/>
        <w:spacing w:line="4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四</w:t>
      </w:r>
      <w:r>
        <w:rPr>
          <w:rFonts w:hint="eastAsia" w:ascii="仿宋" w:hAnsi="仿宋" w:eastAsia="仿宋" w:cs="仿宋"/>
          <w:b/>
          <w:sz w:val="24"/>
          <w:szCs w:val="24"/>
          <w:highlight w:val="none"/>
        </w:rPr>
        <w:t>、督查考核种类和方法</w:t>
      </w:r>
    </w:p>
    <w:p w14:paraId="1B677E17">
      <w:pPr>
        <w:pStyle w:val="23"/>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1、考核种类：日常巡查、月度考核、年度综合考核</w:t>
      </w:r>
    </w:p>
    <w:p w14:paraId="00ADAB45">
      <w:pPr>
        <w:pStyle w:val="23"/>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2、考核办法执行：</w:t>
      </w:r>
    </w:p>
    <w:p w14:paraId="7D1FB8AA">
      <w:pPr>
        <w:pStyle w:val="23"/>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级月度考核：日常巡查由采购人组织和实施，巡查时间与道路清扫保洁作业时间段相同，巡查中发现的问题按《杭州市临安区道路保洁作业标准、细则》扣除相应分值，并督促中标单位在规定时间内整改，逾期未整改的加倍扣分，相关结果纳入每月考核总得分。</w:t>
      </w:r>
    </w:p>
    <w:p w14:paraId="22A3F8A7">
      <w:pPr>
        <w:pStyle w:val="23"/>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上级月度考核：美丽杭州创建由区城管局、区保障中心等日常考核检查评比，另外结合重大活动保障及行业管理要求，增加重大活动保障、安全生产、宣传等专项考核，涉及当月上级检查中存在扣分情况的，</w:t>
      </w:r>
      <w:r>
        <w:rPr>
          <w:rFonts w:hint="eastAsia" w:ascii="仿宋" w:hAnsi="仿宋" w:eastAsia="仿宋" w:cs="仿宋"/>
          <w:kern w:val="0"/>
          <w:sz w:val="24"/>
          <w:szCs w:val="24"/>
          <w:highlight w:val="none"/>
          <w:lang w:eastAsia="zh-CN"/>
        </w:rPr>
        <w:t>扣除分值加倍</w:t>
      </w:r>
      <w:r>
        <w:rPr>
          <w:rFonts w:hint="eastAsia" w:ascii="仿宋" w:hAnsi="仿宋" w:eastAsia="仿宋" w:cs="仿宋"/>
          <w:sz w:val="24"/>
          <w:szCs w:val="24"/>
          <w:highlight w:val="none"/>
        </w:rPr>
        <w:t>计入每月考核总得分。</w:t>
      </w:r>
    </w:p>
    <w:p w14:paraId="0BF088CD">
      <w:pPr>
        <w:pStyle w:val="23"/>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（3）根据每月考核情况实施扣罚措施，具体为：</w:t>
      </w:r>
    </w:p>
    <w:p w14:paraId="29084570">
      <w:pPr>
        <w:pStyle w:val="23"/>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本级考核：</w:t>
      </w:r>
    </w:p>
    <w:p w14:paraId="22537BD6">
      <w:pPr>
        <w:pStyle w:val="23"/>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①每月考核扣分达到200分及以下的，每分扣罚100元。</w:t>
      </w:r>
    </w:p>
    <w:p w14:paraId="4BE9E569">
      <w:pPr>
        <w:pStyle w:val="23"/>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②每月考核扣分达到250分及以下的，200分以上部分每分扣300元。</w:t>
      </w:r>
    </w:p>
    <w:p w14:paraId="3D720EE0">
      <w:pPr>
        <w:pStyle w:val="23"/>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③每月考核扣分达到300分及以下的，250分以上部分每分扣500元。</w:t>
      </w:r>
    </w:p>
    <w:p w14:paraId="5F1CF35B">
      <w:pPr>
        <w:pStyle w:val="23"/>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④每月考核扣分超过300分（不含）的，300分以上部分每分扣1000元。</w:t>
      </w:r>
    </w:p>
    <w:p w14:paraId="0848FDF0">
      <w:pPr>
        <w:pStyle w:val="23"/>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上级考核</w:t>
      </w:r>
      <w:r>
        <w:rPr>
          <w:rFonts w:hint="eastAsia" w:ascii="仿宋" w:hAnsi="仿宋" w:eastAsia="仿宋" w:cs="仿宋"/>
          <w:sz w:val="24"/>
          <w:szCs w:val="24"/>
          <w:highlight w:val="none"/>
          <w:lang w:eastAsia="zh-CN"/>
        </w:rPr>
        <w:t>附加条款</w:t>
      </w:r>
      <w:r>
        <w:rPr>
          <w:rFonts w:hint="eastAsia" w:ascii="仿宋" w:hAnsi="仿宋" w:eastAsia="仿宋" w:cs="仿宋"/>
          <w:sz w:val="24"/>
          <w:szCs w:val="24"/>
          <w:highlight w:val="none"/>
        </w:rPr>
        <w:t>：</w:t>
      </w:r>
    </w:p>
    <w:p w14:paraId="588EFC6B">
      <w:pPr>
        <w:pStyle w:val="23"/>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w:t>
      </w:r>
      <w:r>
        <w:rPr>
          <w:rFonts w:hint="eastAsia" w:ascii="仿宋" w:hAnsi="仿宋" w:eastAsia="仿宋" w:cs="仿宋"/>
          <w:sz w:val="24"/>
          <w:szCs w:val="24"/>
          <w:highlight w:val="none"/>
          <w:lang w:eastAsia="zh-CN"/>
        </w:rPr>
        <w:t>上级检查中</w:t>
      </w:r>
      <w:r>
        <w:rPr>
          <w:rFonts w:hint="eastAsia" w:ascii="仿宋" w:hAnsi="仿宋" w:eastAsia="仿宋" w:cs="仿宋"/>
          <w:sz w:val="24"/>
          <w:szCs w:val="24"/>
          <w:highlight w:val="none"/>
        </w:rPr>
        <w:t xml:space="preserve">每发生一次有责媒体通报、领导批评或问题投诉扣2000元； </w:t>
      </w:r>
    </w:p>
    <w:p w14:paraId="5DE70030">
      <w:pPr>
        <w:pStyle w:val="23"/>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②上级有关部门发出整改通知书且不整改或整改不力的，一次扣1000元，累计达到三次的，采购人可单方面可终止合同。</w:t>
      </w:r>
    </w:p>
    <w:p w14:paraId="0E92D1D8">
      <w:pPr>
        <w:pStyle w:val="23"/>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（4）年度综合考核：履约期限结束后，采购单位对承包单位进行年度综合考核，如考核优秀的，双方协商同意后，可续签1年，如考核非优秀的，采购单位根据实际情况扣除相应的保洁经费。</w:t>
      </w:r>
    </w:p>
    <w:p w14:paraId="0BAA7A2C">
      <w:pPr>
        <w:pStyle w:val="23"/>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3、对于考核的具体情况，采购人有义务将考核情况通知中标人。</w:t>
      </w:r>
    </w:p>
    <w:p w14:paraId="0A8C9FF4">
      <w:pPr>
        <w:pStyle w:val="23"/>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本级考核细则及扣分办法参照杭州每年考核细则并结合我镇实际情况制定具体考核实施方案。附件：《杭州市临安区道路保洁作业标准、细则》（该方案仅供参考，具体考核办法以杭州最新考核办法及临安实际情况具体制定）。</w:t>
      </w:r>
    </w:p>
    <w:p w14:paraId="131A45F0">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其他</w:t>
      </w:r>
    </w:p>
    <w:p w14:paraId="6B0A74A8">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、严格按照合同要求配置人员，每月保洁经费根据监管部门统计的各保洁区域实际作业人数统计结果进行拨付，并扣除当月各保洁区域内的作业质量考核结果对应的金额。</w:t>
      </w:r>
    </w:p>
    <w:p w14:paraId="6B53BC29">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、监管部门采取各种形式对配置人员、车辆设备进行查实，承包方以任何方式瞒报、虚报、规避作业等情况的，发现人员车辆设备不符合招标需求的，每次扣3000元，</w:t>
      </w:r>
      <w:r>
        <w:rPr>
          <w:rFonts w:hint="eastAsia" w:ascii="仿宋" w:hAnsi="仿宋" w:eastAsia="仿宋" w:cs="仿宋"/>
          <w:kern w:val="0"/>
          <w:sz w:val="24"/>
          <w:szCs w:val="24"/>
          <w:highlight w:val="none"/>
          <w:lang w:eastAsia="zh-CN"/>
        </w:rPr>
        <w:t>并对缺少的人员数量以</w:t>
      </w:r>
      <w:r>
        <w:rPr>
          <w:rFonts w:hint="eastAsia" w:ascii="仿宋" w:hAnsi="仿宋" w:eastAsia="仿宋" w:cs="仿宋"/>
          <w:kern w:val="0"/>
          <w:sz w:val="24"/>
          <w:szCs w:val="24"/>
          <w:highlight w:val="none"/>
          <w:lang w:val="en-US" w:eastAsia="zh-CN"/>
        </w:rPr>
        <w:t>3000元/人/月扣除，且</w:t>
      </w:r>
      <w:r>
        <w:rPr>
          <w:rFonts w:hint="eastAsia" w:ascii="仿宋" w:hAnsi="仿宋" w:eastAsia="仿宋" w:cs="仿宋"/>
          <w:kern w:val="0"/>
          <w:sz w:val="24"/>
          <w:szCs w:val="24"/>
          <w:highlight w:val="none"/>
        </w:rPr>
        <w:t>纳入考核。</w:t>
      </w:r>
    </w:p>
    <w:p w14:paraId="51F6A98F">
      <w:pPr>
        <w:pStyle w:val="24"/>
        <w:rPr>
          <w:rFonts w:hint="eastAsia"/>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遇到突发事件、自然灾害或天气影响，必须服从上级部门、监管部门指挥调度，遇到抗雪防冻、抗台防汛、路面交通事故等，承包单位须在第一时间内迅速组织人员、机具将道路清理干净。如发现接到指令后，未采取措施或者按规定完成任务的，每次扣1万元至3万元。</w:t>
      </w:r>
    </w:p>
    <w:p w14:paraId="0A6D5D52">
      <w:pPr>
        <w:pStyle w:val="24"/>
        <w:rPr>
          <w:rFonts w:hint="eastAsia" w:ascii="仿宋" w:hAnsi="仿宋" w:eastAsia="仿宋" w:cs="仿宋"/>
          <w:sz w:val="24"/>
          <w:szCs w:val="24"/>
          <w:highlight w:val="none"/>
        </w:rPr>
      </w:pPr>
    </w:p>
    <w:p w14:paraId="720A1144">
      <w:pPr>
        <w:spacing w:line="500" w:lineRule="atLeast"/>
        <w:ind w:firstLine="0" w:firstLineChars="0"/>
        <w:jc w:val="center"/>
        <w:rPr>
          <w:rFonts w:hint="eastAsia" w:ascii="仿宋" w:hAnsi="仿宋" w:eastAsia="仿宋" w:cs="仿宋"/>
          <w:b/>
          <w:bCs w:val="0"/>
          <w:sz w:val="30"/>
          <w:szCs w:val="30"/>
        </w:rPr>
      </w:pPr>
      <w:r>
        <w:rPr>
          <w:rFonts w:hint="eastAsia" w:ascii="仿宋" w:hAnsi="仿宋" w:eastAsia="仿宋" w:cs="仿宋"/>
          <w:b/>
          <w:bCs w:val="0"/>
          <w:sz w:val="30"/>
          <w:szCs w:val="30"/>
        </w:rPr>
        <w:t>中转站生活垃圾清运服务</w:t>
      </w:r>
    </w:p>
    <w:p w14:paraId="49BD0436">
      <w:pPr>
        <w:spacing w:line="500" w:lineRule="atLeast"/>
        <w:ind w:firstLine="360" w:firstLineChars="150"/>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1</w:t>
      </w:r>
      <w:r>
        <w:rPr>
          <w:rFonts w:hint="eastAsia" w:ascii="仿宋" w:hAnsi="仿宋" w:eastAsia="仿宋" w:cs="仿宋"/>
          <w:bCs/>
          <w:sz w:val="24"/>
          <w:szCs w:val="24"/>
        </w:rPr>
        <w:t>）质量依据及要求：《杭州市城市市容和环境卫生管理条例》、《杭州市城市环境卫生作业规范》、《临安区街镇生活垃圾清运管理考核细则》；</w:t>
      </w:r>
    </w:p>
    <w:p w14:paraId="4ADA6F0B">
      <w:pPr>
        <w:spacing w:line="500" w:lineRule="atLeast"/>
        <w:ind w:firstLine="360" w:firstLineChars="150"/>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eastAsia="zh-CN"/>
        </w:rPr>
        <w:t>服务</w:t>
      </w:r>
      <w:r>
        <w:rPr>
          <w:rFonts w:hint="eastAsia" w:ascii="仿宋" w:hAnsi="仿宋" w:eastAsia="仿宋" w:cs="仿宋"/>
          <w:bCs/>
          <w:sz w:val="24"/>
          <w:szCs w:val="24"/>
        </w:rPr>
        <w:t>内容</w:t>
      </w:r>
    </w:p>
    <w:p w14:paraId="465A1C44">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①於潜镇生活垃圾中转站管理及中转站到临安区绿能环保发电有限公司或其他焚烧厂的生活垃圾清运服务，必须配合市区两级主管部门垃圾的调度指令，结算时按实际运输量计算（注：以垃圾焚烧厂的数据为准）</w:t>
      </w:r>
      <w:r>
        <w:rPr>
          <w:rFonts w:hint="eastAsia" w:ascii="仿宋" w:hAnsi="仿宋" w:eastAsia="仿宋" w:cs="仿宋"/>
          <w:sz w:val="24"/>
          <w:szCs w:val="24"/>
        </w:rPr>
        <w:t>；</w:t>
      </w:r>
    </w:p>
    <w:p w14:paraId="1761CBC5">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②</w:t>
      </w:r>
      <w:r>
        <w:rPr>
          <w:rFonts w:hint="eastAsia" w:ascii="仿宋" w:hAnsi="仿宋" w:eastAsia="仿宋" w:cs="仿宋"/>
          <w:sz w:val="24"/>
          <w:szCs w:val="24"/>
        </w:rPr>
        <w:t>於潜垃圾转运站垃圾压缩、转运运营管理；</w:t>
      </w:r>
    </w:p>
    <w:p w14:paraId="5723BA93">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在考核作业质量的同时，考核作业人员落实（到位）情况，劳动纪律（规定）执行情况以及其他如综合治理等情况。建立随机抽查考核，日常巡查考核制度；建立考核台帐，按月公布成绩。</w:t>
      </w:r>
    </w:p>
    <w:p w14:paraId="465FFBA7">
      <w:pPr>
        <w:spacing w:line="500" w:lineRule="atLeast"/>
        <w:ind w:firstLine="480"/>
        <w:rPr>
          <w:rFonts w:hint="eastAsia" w:ascii="仿宋" w:hAnsi="仿宋" w:eastAsia="仿宋" w:cs="仿宋"/>
          <w:b/>
          <w:sz w:val="24"/>
          <w:szCs w:val="24"/>
        </w:rPr>
      </w:pPr>
      <w:r>
        <w:rPr>
          <w:rFonts w:hint="eastAsia" w:ascii="仿宋" w:hAnsi="仿宋" w:eastAsia="仿宋" w:cs="仿宋"/>
          <w:b/>
          <w:sz w:val="24"/>
          <w:szCs w:val="24"/>
        </w:rPr>
        <w:t>2、项目要求</w:t>
      </w:r>
    </w:p>
    <w:p w14:paraId="72246462">
      <w:pPr>
        <w:spacing w:line="500" w:lineRule="atLeast"/>
        <w:ind w:firstLine="480"/>
        <w:rPr>
          <w:rFonts w:hint="eastAsia" w:ascii="仿宋" w:hAnsi="仿宋" w:eastAsia="仿宋" w:cs="仿宋"/>
          <w:bCs/>
          <w:sz w:val="24"/>
          <w:szCs w:val="24"/>
        </w:rPr>
      </w:pPr>
      <w:r>
        <w:rPr>
          <w:rFonts w:hint="eastAsia" w:ascii="仿宋" w:hAnsi="仿宋" w:eastAsia="仿宋" w:cs="仿宋"/>
          <w:bCs/>
          <w:sz w:val="24"/>
          <w:szCs w:val="24"/>
          <w:lang w:eastAsia="zh-CN"/>
        </w:rPr>
        <w:t>乙</w:t>
      </w:r>
      <w:r>
        <w:rPr>
          <w:rFonts w:hint="eastAsia" w:ascii="仿宋" w:hAnsi="仿宋" w:eastAsia="仿宋" w:cs="仿宋"/>
          <w:bCs/>
          <w:sz w:val="24"/>
          <w:szCs w:val="24"/>
        </w:rPr>
        <w:t>方应确保合同签订之日后7日内作业车辆、设备及人员到位。</w:t>
      </w:r>
      <w:r>
        <w:rPr>
          <w:rFonts w:hint="eastAsia" w:ascii="仿宋" w:hAnsi="仿宋" w:eastAsia="仿宋" w:cs="仿宋"/>
          <w:bCs/>
          <w:sz w:val="24"/>
          <w:szCs w:val="24"/>
          <w:lang w:eastAsia="zh-CN"/>
        </w:rPr>
        <w:t>乙</w:t>
      </w:r>
      <w:r>
        <w:rPr>
          <w:rFonts w:hint="eastAsia" w:ascii="仿宋" w:hAnsi="仿宋" w:eastAsia="仿宋" w:cs="仿宋"/>
          <w:bCs/>
          <w:sz w:val="24"/>
          <w:szCs w:val="24"/>
        </w:rPr>
        <w:t>方必须按照作业规范标准执行，服从管理部门的各项考核及检查并积极配合各项临时性任务。</w:t>
      </w:r>
    </w:p>
    <w:p w14:paraId="0BCE8668">
      <w:pPr>
        <w:numPr>
          <w:ilvl w:val="0"/>
          <w:numId w:val="1"/>
        </w:numPr>
        <w:spacing w:line="500" w:lineRule="atLeas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配置车辆、设施设备、人员数量要求：</w:t>
      </w:r>
    </w:p>
    <w:p w14:paraId="1D320423">
      <w:pPr>
        <w:numPr>
          <w:ilvl w:val="0"/>
          <w:numId w:val="0"/>
        </w:numPr>
        <w:spacing w:line="500" w:lineRule="atLeas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a、配置车辆及设施设备要求：</w:t>
      </w:r>
      <w:r>
        <w:rPr>
          <w:rFonts w:hint="eastAsia" w:ascii="仿宋" w:hAnsi="仿宋" w:eastAsia="仿宋" w:cs="仿宋"/>
          <w:b/>
          <w:bCs w:val="0"/>
          <w:color w:val="000000"/>
          <w:spacing w:val="-6"/>
          <w:kern w:val="0"/>
          <w:sz w:val="24"/>
          <w:szCs w:val="24"/>
          <w:lang w:bidi="ar"/>
        </w:rPr>
        <w:t>总质量25吨勾臂车1辆，总质量25吨的压缩车1辆，</w:t>
      </w:r>
      <w:r>
        <w:rPr>
          <w:rFonts w:hint="eastAsia" w:ascii="仿宋" w:hAnsi="仿宋" w:eastAsia="仿宋" w:cs="仿宋"/>
          <w:b/>
          <w:bCs w:val="0"/>
          <w:color w:val="000000"/>
          <w:spacing w:val="-6"/>
          <w:kern w:val="0"/>
          <w:sz w:val="24"/>
          <w:szCs w:val="24"/>
          <w:lang w:eastAsia="zh-CN" w:bidi="ar"/>
        </w:rPr>
        <w:t>登高</w:t>
      </w:r>
      <w:r>
        <w:rPr>
          <w:rFonts w:hint="eastAsia" w:ascii="仿宋" w:hAnsi="仿宋" w:eastAsia="仿宋" w:cs="仿宋"/>
          <w:b/>
          <w:bCs w:val="0"/>
          <w:color w:val="000000"/>
          <w:spacing w:val="-6"/>
          <w:kern w:val="0"/>
          <w:sz w:val="24"/>
          <w:szCs w:val="24"/>
          <w:lang w:bidi="ar"/>
        </w:rPr>
        <w:t>车1辆，运输车辆上需安装GPS定位装</w:t>
      </w:r>
      <w:r>
        <w:rPr>
          <w:rFonts w:hint="eastAsia" w:ascii="仿宋" w:hAnsi="仿宋" w:eastAsia="仿宋" w:cs="仿宋"/>
          <w:b/>
          <w:bCs w:val="0"/>
          <w:color w:val="auto"/>
          <w:spacing w:val="-6"/>
          <w:kern w:val="0"/>
          <w:sz w:val="24"/>
          <w:szCs w:val="24"/>
          <w:lang w:bidi="ar"/>
        </w:rPr>
        <w:t>置(接入</w:t>
      </w:r>
      <w:r>
        <w:rPr>
          <w:rFonts w:hint="eastAsia" w:ascii="仿宋" w:hAnsi="仿宋" w:eastAsia="仿宋" w:cs="仿宋"/>
          <w:b/>
          <w:bCs w:val="0"/>
          <w:color w:val="auto"/>
          <w:spacing w:val="-6"/>
          <w:kern w:val="0"/>
          <w:sz w:val="24"/>
          <w:szCs w:val="24"/>
          <w:lang w:eastAsia="zh-CN" w:bidi="ar"/>
        </w:rPr>
        <w:t>於潜镇环卫所</w:t>
      </w:r>
      <w:r>
        <w:rPr>
          <w:rFonts w:hint="eastAsia" w:ascii="仿宋" w:hAnsi="仿宋" w:eastAsia="仿宋" w:cs="仿宋"/>
          <w:b/>
          <w:bCs w:val="0"/>
          <w:color w:val="auto"/>
          <w:spacing w:val="-6"/>
          <w:kern w:val="0"/>
          <w:sz w:val="24"/>
          <w:szCs w:val="24"/>
          <w:lang w:val="en-US" w:eastAsia="zh-CN" w:bidi="ar"/>
        </w:rPr>
        <w:t>APP平台、</w:t>
      </w:r>
      <w:r>
        <w:rPr>
          <w:rFonts w:hint="eastAsia" w:ascii="仿宋" w:hAnsi="仿宋" w:eastAsia="仿宋" w:cs="仿宋"/>
          <w:b/>
          <w:bCs w:val="0"/>
          <w:color w:val="auto"/>
          <w:spacing w:val="-6"/>
          <w:kern w:val="0"/>
          <w:sz w:val="24"/>
          <w:szCs w:val="24"/>
          <w:lang w:bidi="ar"/>
        </w:rPr>
        <w:t>区市政公用和市容环境卫生保障中心</w:t>
      </w:r>
      <w:r>
        <w:rPr>
          <w:rFonts w:hint="eastAsia" w:ascii="仿宋" w:hAnsi="仿宋" w:eastAsia="仿宋" w:cs="仿宋"/>
          <w:b/>
          <w:bCs w:val="0"/>
          <w:color w:val="auto"/>
          <w:spacing w:val="-6"/>
          <w:kern w:val="0"/>
          <w:sz w:val="24"/>
          <w:szCs w:val="24"/>
          <w:lang w:eastAsia="zh-CN" w:bidi="ar"/>
        </w:rPr>
        <w:t>等</w:t>
      </w:r>
      <w:r>
        <w:rPr>
          <w:rFonts w:hint="eastAsia" w:ascii="仿宋" w:hAnsi="仿宋" w:eastAsia="仿宋" w:cs="仿宋"/>
          <w:b/>
          <w:bCs w:val="0"/>
          <w:color w:val="auto"/>
          <w:spacing w:val="-6"/>
          <w:kern w:val="0"/>
          <w:sz w:val="24"/>
          <w:szCs w:val="24"/>
          <w:lang w:bidi="ar"/>
        </w:rPr>
        <w:t>相关监管平台)；</w:t>
      </w:r>
      <w:r>
        <w:rPr>
          <w:rFonts w:hint="eastAsia" w:ascii="仿宋" w:hAnsi="仿宋" w:eastAsia="仿宋" w:cs="仿宋"/>
          <w:b/>
          <w:bCs w:val="0"/>
          <w:color w:val="auto"/>
          <w:sz w:val="24"/>
          <w:szCs w:val="24"/>
        </w:rPr>
        <w:t>冲洗设备1套；固定式水平</w:t>
      </w:r>
      <w:r>
        <w:rPr>
          <w:rFonts w:hint="eastAsia" w:ascii="仿宋" w:hAnsi="仿宋" w:eastAsia="仿宋" w:cs="仿宋"/>
          <w:b/>
          <w:bCs w:val="0"/>
          <w:sz w:val="24"/>
          <w:szCs w:val="24"/>
        </w:rPr>
        <w:t>压缩站成套设备2套（含固定式压缩机2组，清运箱体3只），移动式垃圾箱2个。</w:t>
      </w:r>
    </w:p>
    <w:p w14:paraId="6633B25C">
      <w:pPr>
        <w:numPr>
          <w:ilvl w:val="0"/>
          <w:numId w:val="0"/>
        </w:numPr>
        <w:spacing w:line="500" w:lineRule="atLeas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b、配置人员数量要求：驾驶员1人、操作员</w:t>
      </w:r>
      <w:r>
        <w:rPr>
          <w:rFonts w:hint="eastAsia" w:ascii="仿宋" w:hAnsi="仿宋" w:eastAsia="仿宋" w:cs="仿宋"/>
          <w:b/>
          <w:bCs w:val="0"/>
          <w:sz w:val="24"/>
          <w:szCs w:val="24"/>
          <w:lang w:val="en-US" w:eastAsia="zh-CN"/>
        </w:rPr>
        <w:t>1</w:t>
      </w:r>
      <w:r>
        <w:rPr>
          <w:rFonts w:hint="eastAsia" w:ascii="仿宋" w:hAnsi="仿宋" w:eastAsia="仿宋" w:cs="仿宋"/>
          <w:b/>
          <w:bCs w:val="0"/>
          <w:sz w:val="24"/>
          <w:szCs w:val="24"/>
        </w:rPr>
        <w:t>人，共计项目部人员</w:t>
      </w:r>
      <w:r>
        <w:rPr>
          <w:rFonts w:hint="eastAsia" w:ascii="仿宋" w:hAnsi="仿宋" w:eastAsia="仿宋" w:cs="仿宋"/>
          <w:b/>
          <w:bCs w:val="0"/>
          <w:sz w:val="24"/>
          <w:szCs w:val="24"/>
          <w:lang w:val="en-US" w:eastAsia="zh-CN"/>
        </w:rPr>
        <w:t>2</w:t>
      </w:r>
      <w:r>
        <w:rPr>
          <w:rFonts w:hint="eastAsia" w:ascii="仿宋" w:hAnsi="仿宋" w:eastAsia="仿宋" w:cs="仿宋"/>
          <w:b/>
          <w:bCs w:val="0"/>
          <w:sz w:val="24"/>
          <w:szCs w:val="24"/>
        </w:rPr>
        <w:t>人。</w:t>
      </w:r>
    </w:p>
    <w:p w14:paraId="5D95AA6C">
      <w:pPr>
        <w:numPr>
          <w:ilvl w:val="0"/>
          <w:numId w:val="0"/>
        </w:num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② 本项目所需的车辆及中转站设备由</w:t>
      </w:r>
      <w:r>
        <w:rPr>
          <w:rFonts w:hint="eastAsia" w:ascii="仿宋" w:hAnsi="仿宋" w:eastAsia="仿宋" w:cs="仿宋"/>
          <w:bCs/>
          <w:sz w:val="24"/>
          <w:szCs w:val="24"/>
          <w:lang w:eastAsia="zh-CN"/>
        </w:rPr>
        <w:t>乙</w:t>
      </w:r>
      <w:r>
        <w:rPr>
          <w:rFonts w:hint="eastAsia" w:ascii="仿宋" w:hAnsi="仿宋" w:eastAsia="仿宋" w:cs="仿宋"/>
          <w:bCs/>
          <w:sz w:val="24"/>
          <w:szCs w:val="24"/>
        </w:rPr>
        <w:t xml:space="preserve">方自行购置。承包期限内中转站运行、车辆运输、作业工具等相关费用包含在本项目内。 </w:t>
      </w:r>
    </w:p>
    <w:p w14:paraId="10C7F675">
      <w:pPr>
        <w:numPr>
          <w:ilvl w:val="0"/>
          <w:numId w:val="0"/>
        </w:numPr>
        <w:spacing w:line="500" w:lineRule="atLeast"/>
        <w:ind w:firstLine="240" w:firstLineChars="100"/>
        <w:rPr>
          <w:rFonts w:hint="eastAsia" w:ascii="仿宋" w:hAnsi="仿宋" w:eastAsia="仿宋" w:cs="仿宋"/>
          <w:bCs/>
          <w:sz w:val="24"/>
          <w:szCs w:val="24"/>
        </w:rPr>
      </w:pPr>
      <w:r>
        <w:rPr>
          <w:rFonts w:hint="eastAsia" w:ascii="仿宋" w:hAnsi="仿宋" w:eastAsia="仿宋" w:cs="仿宋"/>
          <w:bCs/>
          <w:sz w:val="24"/>
          <w:szCs w:val="24"/>
        </w:rPr>
        <w:t xml:space="preserve"> ③ 垃圾中转站内必须有专职管理人员24小时实行值班管理，规章制度、操作规程、应急预案及时上墙；垃圾要及时压缩清运，并保持站内卫生整洁，并对站内道路及时进行冲洗，同时定期对站内进行消杀、污水沟清理，严禁站内焚烧垃圾。</w:t>
      </w:r>
    </w:p>
    <w:p w14:paraId="12E694A2">
      <w:pPr>
        <w:spacing w:line="500" w:lineRule="atLeast"/>
        <w:ind w:firstLine="480"/>
        <w:rPr>
          <w:rFonts w:hint="eastAsia" w:ascii="仿宋" w:hAnsi="仿宋" w:eastAsia="仿宋" w:cs="仿宋"/>
          <w:bCs/>
          <w:sz w:val="24"/>
          <w:szCs w:val="24"/>
        </w:rPr>
      </w:pPr>
      <w:r>
        <w:rPr>
          <w:rFonts w:hint="eastAsia" w:ascii="仿宋" w:hAnsi="仿宋" w:eastAsia="仿宋" w:cs="仿宋"/>
          <w:bCs/>
          <w:sz w:val="24"/>
          <w:szCs w:val="24"/>
        </w:rPr>
        <w:t xml:space="preserve">④ 垃圾中转站管理人员对进入中转站倾倒垃圾的农村垃圾收集运输车辆应进行管理（外观整洁，实行密闭化运输，无破损、无油污、无吊挂，无抛洒滴漏）。    </w:t>
      </w:r>
    </w:p>
    <w:p w14:paraId="7FD0874D">
      <w:pPr>
        <w:spacing w:line="500" w:lineRule="atLeast"/>
        <w:ind w:firstLine="480"/>
        <w:rPr>
          <w:rFonts w:hint="eastAsia" w:ascii="仿宋" w:hAnsi="仿宋" w:eastAsia="仿宋" w:cs="仿宋"/>
          <w:bCs/>
          <w:sz w:val="24"/>
          <w:szCs w:val="24"/>
        </w:rPr>
      </w:pPr>
      <w:r>
        <w:rPr>
          <w:rFonts w:hint="eastAsia" w:ascii="仿宋" w:hAnsi="仿宋" w:eastAsia="仿宋" w:cs="仿宋"/>
          <w:bCs/>
          <w:sz w:val="24"/>
          <w:szCs w:val="24"/>
        </w:rPr>
        <w:t>⑤ 垃圾清运车辆应印有编号、监督电话、责任单位等信息，清运垃圾的车辆要按规定的路线行驶，规定地点停放，确保运行安全。</w:t>
      </w:r>
    </w:p>
    <w:p w14:paraId="61B1AAB7">
      <w:pPr>
        <w:pStyle w:val="26"/>
        <w:spacing w:line="500" w:lineRule="atLeast"/>
        <w:ind w:firstLine="480" w:firstLineChars="200"/>
        <w:rPr>
          <w:rFonts w:hint="eastAsia" w:ascii="仿宋" w:hAnsi="仿宋" w:eastAsia="仿宋" w:cs="仿宋"/>
          <w:bCs/>
          <w:spacing w:val="0"/>
          <w:sz w:val="24"/>
          <w:szCs w:val="24"/>
        </w:rPr>
      </w:pPr>
      <w:r>
        <w:rPr>
          <w:rFonts w:hint="eastAsia" w:ascii="仿宋" w:hAnsi="仿宋" w:eastAsia="仿宋" w:cs="仿宋"/>
          <w:bCs/>
          <w:sz w:val="24"/>
          <w:szCs w:val="24"/>
        </w:rPr>
        <w:t xml:space="preserve">⑥ </w:t>
      </w:r>
      <w:r>
        <w:rPr>
          <w:rFonts w:hint="eastAsia" w:ascii="仿宋" w:hAnsi="仿宋" w:eastAsia="仿宋" w:cs="仿宋"/>
          <w:bCs/>
          <w:spacing w:val="0"/>
          <w:sz w:val="24"/>
          <w:szCs w:val="24"/>
        </w:rPr>
        <w:t>垃圾清运车辆车容车貌整洁，无破损，运输过程中应密闭运输，无吊挂，无抛、撒垃圾现象。垃圾应倾倒在指定地点，不得随处乱倒和焚烧垃圾，垃圾清运车辆作业完毕后应冲洗干净，做到车厢无积存垃圾、无污垢、无油污，底盘无垃圾、无污物、无油污、无泥浆。</w:t>
      </w:r>
    </w:p>
    <w:p w14:paraId="5423816B">
      <w:pPr>
        <w:pStyle w:val="26"/>
        <w:spacing w:line="500" w:lineRule="atLeast"/>
        <w:ind w:firstLine="480" w:firstLineChars="200"/>
        <w:rPr>
          <w:rFonts w:hint="eastAsia" w:ascii="仿宋" w:hAnsi="仿宋" w:eastAsia="仿宋" w:cs="仿宋"/>
          <w:bCs/>
          <w:spacing w:val="0"/>
          <w:sz w:val="24"/>
          <w:szCs w:val="24"/>
        </w:rPr>
      </w:pPr>
      <w:r>
        <w:rPr>
          <w:rFonts w:hint="eastAsia" w:ascii="仿宋" w:hAnsi="仿宋" w:eastAsia="仿宋" w:cs="仿宋"/>
          <w:bCs/>
          <w:spacing w:val="0"/>
          <w:sz w:val="24"/>
          <w:szCs w:val="24"/>
        </w:rPr>
        <w:t>⑦</w:t>
      </w:r>
      <w:r>
        <w:rPr>
          <w:rFonts w:hint="eastAsia" w:ascii="仿宋" w:hAnsi="仿宋" w:eastAsia="仿宋" w:cs="仿宋"/>
          <w:bCs/>
          <w:spacing w:val="0"/>
          <w:sz w:val="24"/>
          <w:szCs w:val="24"/>
          <w:lang w:val="en-US" w:eastAsia="zh-CN"/>
        </w:rPr>
        <w:t xml:space="preserve"> </w:t>
      </w:r>
      <w:r>
        <w:rPr>
          <w:rFonts w:hint="eastAsia" w:ascii="仿宋" w:hAnsi="仿宋" w:eastAsia="仿宋" w:cs="仿宋"/>
          <w:bCs/>
          <w:spacing w:val="0"/>
          <w:sz w:val="24"/>
          <w:szCs w:val="24"/>
        </w:rPr>
        <w:t>垃圾清运车辆运输过程中不得滴漏污水。车辆应匀速行驶，不得急停急起，防止污水外溢。垃圾运输车在垃圾焚烧发电厂倾倒垃圾后须及时排空污水箱中的污水，并将污水排水口密闭。</w:t>
      </w:r>
    </w:p>
    <w:p w14:paraId="3225B0D2">
      <w:pPr>
        <w:pStyle w:val="26"/>
        <w:spacing w:line="500" w:lineRule="atLeast"/>
        <w:ind w:firstLine="482" w:firstLineChars="200"/>
        <w:rPr>
          <w:rFonts w:hint="eastAsia" w:ascii="仿宋" w:hAnsi="仿宋" w:eastAsia="仿宋" w:cs="仿宋"/>
          <w:b/>
          <w:spacing w:val="0"/>
          <w:sz w:val="24"/>
          <w:szCs w:val="24"/>
        </w:rPr>
      </w:pPr>
      <w:r>
        <w:rPr>
          <w:rFonts w:hint="eastAsia" w:ascii="仿宋" w:hAnsi="仿宋" w:eastAsia="仿宋" w:cs="仿宋"/>
          <w:b/>
          <w:spacing w:val="0"/>
          <w:sz w:val="24"/>
          <w:szCs w:val="24"/>
        </w:rPr>
        <w:t>3、台帐资料管理</w:t>
      </w:r>
    </w:p>
    <w:p w14:paraId="00A832DC">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①垃圾清运企业年度、季度、月度有报表、工作计划，年终有总结。</w:t>
      </w:r>
    </w:p>
    <w:p w14:paraId="41AFD391">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②垃圾清运企业与主管单位有工作联系单制度和工作落实情况记录。</w:t>
      </w:r>
    </w:p>
    <w:p w14:paraId="7AD6F1E3">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③垃圾清运企业本着该项目达到优良的标准进行管理，应建立相应管理系统、健全的业务管理制度和标准作业规范，加强对作业队伍和作业机械的管理，分工明确，认真落实质量岗位责任制，各项基础设施台帐资料齐全，真实可信，并如实上报。</w:t>
      </w:r>
    </w:p>
    <w:p w14:paraId="33DDF472">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④垃圾清运企业要建立巡查制度，完善巡查日报，建立月报制度。</w:t>
      </w:r>
    </w:p>
    <w:p w14:paraId="6D2DF7E0">
      <w:pPr>
        <w:spacing w:line="500" w:lineRule="atLeast"/>
        <w:ind w:firstLine="482" w:firstLineChars="200"/>
        <w:rPr>
          <w:rFonts w:hint="eastAsia" w:ascii="仿宋" w:hAnsi="仿宋" w:eastAsia="仿宋" w:cs="仿宋"/>
          <w:b/>
          <w:sz w:val="24"/>
          <w:szCs w:val="24"/>
        </w:rPr>
      </w:pPr>
      <w:r>
        <w:rPr>
          <w:rFonts w:hint="eastAsia" w:ascii="仿宋" w:hAnsi="仿宋" w:eastAsia="仿宋" w:cs="仿宋"/>
          <w:b/>
          <w:sz w:val="24"/>
          <w:szCs w:val="24"/>
        </w:rPr>
        <w:t>4、组织管理</w:t>
      </w:r>
    </w:p>
    <w:p w14:paraId="0492F4A3">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①城管局和於潜负责垃圾清运工作的牵头管理、业务指导、随机检查等。</w:t>
      </w:r>
    </w:p>
    <w:p w14:paraId="2B87EE2E">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②各街镇对垃圾清运工作负责每月监管考核评定，并协助企业做好清运工作。</w:t>
      </w:r>
    </w:p>
    <w:p w14:paraId="0116A517">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③垃圾清运企业应强化内部作业和管理制度，加强对内部人员的安全和责任教育，建立完善的作业和巡查登记制度，强化责任考核和整改制度，自觉接受政府、媒体和社会团体的监督。</w:t>
      </w:r>
    </w:p>
    <w:p w14:paraId="75FA70FB">
      <w:pPr>
        <w:tabs>
          <w:tab w:val="left" w:pos="1050"/>
        </w:tabs>
        <w:spacing w:line="500" w:lineRule="atLeast"/>
        <w:ind w:left="600"/>
        <w:rPr>
          <w:rFonts w:hint="eastAsia" w:ascii="仿宋" w:hAnsi="仿宋" w:eastAsia="仿宋" w:cs="仿宋"/>
          <w:b/>
          <w:sz w:val="24"/>
          <w:szCs w:val="24"/>
        </w:rPr>
      </w:pPr>
      <w:r>
        <w:rPr>
          <w:rFonts w:hint="eastAsia" w:ascii="仿宋" w:hAnsi="仿宋" w:eastAsia="仿宋" w:cs="仿宋"/>
          <w:b/>
          <w:sz w:val="24"/>
          <w:szCs w:val="24"/>
        </w:rPr>
        <w:t>5、其他：</w:t>
      </w:r>
    </w:p>
    <w:p w14:paraId="0B4A0D4B">
      <w:pPr>
        <w:tabs>
          <w:tab w:val="left" w:pos="1050"/>
        </w:tabs>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①承包方必须按照《杭州市城市市容和环境卫生管理条例》、《杭州市城市环境卫生作业规范》和本招标文件进行作业。如在合同期内，行业主管部门颁发新的检查考核标准则以最新文件标准作业为准。</w:t>
      </w:r>
    </w:p>
    <w:p w14:paraId="1775014B">
      <w:pPr>
        <w:pStyle w:val="38"/>
        <w:spacing w:line="500" w:lineRule="atLeast"/>
        <w:ind w:firstLine="360" w:firstLineChars="150"/>
        <w:rPr>
          <w:rFonts w:hint="eastAsia" w:ascii="仿宋" w:hAnsi="仿宋" w:eastAsia="仿宋" w:cs="仿宋"/>
          <w:b w:val="0"/>
          <w:color w:val="auto"/>
          <w:sz w:val="24"/>
          <w:szCs w:val="24"/>
        </w:rPr>
      </w:pPr>
      <w:r>
        <w:rPr>
          <w:rFonts w:hint="eastAsia" w:ascii="仿宋" w:hAnsi="仿宋" w:eastAsia="仿宋" w:cs="仿宋"/>
          <w:b w:val="0"/>
          <w:color w:val="auto"/>
          <w:sz w:val="24"/>
          <w:szCs w:val="24"/>
        </w:rPr>
        <w:t>②作业人员须参加人身意外等保险。其中人身意外险必须在签订合同后一个月内办理完毕并提交招标人审核，否则招标人有权终止合同。</w:t>
      </w:r>
    </w:p>
    <w:p w14:paraId="3A4C7ADB">
      <w:pPr>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③作业人员的收入待遇应按《杭州市人民政府办公厅关于进一步解决环卫工人实际困难保障其合法权益的意见》[2008]14号文件执行。足额发放人员工资、法定假日加班工资、夏季高温补贴。不得苛扣、拖延、漏发。</w:t>
      </w:r>
    </w:p>
    <w:p w14:paraId="4A46E0ED">
      <w:pPr>
        <w:tabs>
          <w:tab w:val="left" w:pos="1050"/>
        </w:tabs>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④作业时遵守交通管理法规，保证安全。确保车辆整洁，设施完好，密闭运输，如有破损及时修复。发生各种事故由承包方自行解决，所产生的费用全部由承包方自行承担。</w:t>
      </w:r>
    </w:p>
    <w:p w14:paraId="52B67F01">
      <w:pPr>
        <w:tabs>
          <w:tab w:val="left" w:pos="1050"/>
        </w:tabs>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⑤规范管理，文明作业，自觉接受各级领导的检查和社会舆论的监督。</w:t>
      </w:r>
    </w:p>
    <w:p w14:paraId="64AD1936">
      <w:pPr>
        <w:tabs>
          <w:tab w:val="left" w:pos="1050"/>
        </w:tabs>
        <w:spacing w:line="500" w:lineRule="atLeast"/>
        <w:ind w:firstLine="480" w:firstLineChars="200"/>
        <w:rPr>
          <w:rFonts w:hint="eastAsia" w:ascii="仿宋" w:hAnsi="仿宋" w:eastAsia="仿宋" w:cs="仿宋"/>
          <w:bCs/>
          <w:sz w:val="24"/>
          <w:szCs w:val="24"/>
        </w:rPr>
      </w:pPr>
      <w:r>
        <w:rPr>
          <w:rFonts w:hint="eastAsia" w:ascii="仿宋" w:hAnsi="仿宋" w:eastAsia="仿宋" w:cs="仿宋"/>
          <w:bCs/>
          <w:sz w:val="24"/>
          <w:szCs w:val="24"/>
        </w:rPr>
        <w:t>（7）重要宾客来访及上级检查，要确保车辆设备整洁。如造成不良后果的视情给予通报批评立即作出相应处罚。</w:t>
      </w:r>
    </w:p>
    <w:p w14:paraId="40536B55">
      <w:pPr>
        <w:tabs>
          <w:tab w:val="left" w:pos="1050"/>
        </w:tabs>
        <w:spacing w:afterLines="0"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（8）中标单价调整方式：服务期限内中标单价不予调整。</w:t>
      </w:r>
    </w:p>
    <w:p w14:paraId="2A1752D9">
      <w:pPr>
        <w:spacing w:after="0" w:afterLines="0" w:line="480" w:lineRule="exact"/>
        <w:ind w:firstLine="480" w:firstLineChars="200"/>
        <w:rPr>
          <w:rFonts w:hint="eastAsia" w:ascii="宋体" w:hAnsi="宋体"/>
          <w:b/>
          <w:bCs/>
          <w:sz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9</w:t>
      </w:r>
      <w:r>
        <w:rPr>
          <w:rFonts w:hint="eastAsia" w:ascii="仿宋" w:hAnsi="仿宋" w:eastAsia="仿宋" w:cs="仿宋"/>
          <w:bCs/>
          <w:sz w:val="24"/>
          <w:szCs w:val="24"/>
        </w:rPr>
        <w:t>）</w:t>
      </w:r>
      <w:r>
        <w:rPr>
          <w:rFonts w:hint="eastAsia" w:ascii="宋体" w:hAnsi="宋体"/>
          <w:b w:val="0"/>
          <w:bCs w:val="0"/>
          <w:sz w:val="24"/>
        </w:rPr>
        <w:t>考核办法及奖惩措施</w:t>
      </w:r>
    </w:p>
    <w:p w14:paraId="30D0E4A7">
      <w:pPr>
        <w:spacing w:afterLines="0" w:line="480" w:lineRule="exact"/>
        <w:ind w:firstLine="540" w:firstLineChars="225"/>
        <w:rPr>
          <w:rFonts w:hint="eastAsia" w:ascii="仿宋" w:hAnsi="仿宋" w:eastAsia="仿宋" w:cs="仿宋"/>
          <w:sz w:val="24"/>
        </w:rPr>
      </w:pPr>
      <w:r>
        <w:rPr>
          <w:rFonts w:hint="eastAsia" w:ascii="仿宋" w:hAnsi="仿宋" w:eastAsia="仿宋" w:cs="仿宋"/>
          <w:sz w:val="24"/>
        </w:rPr>
        <w:t>1、自查。清运公司每月进行一次自查，自行打分，每月10日前将自查情况上报环卫处。</w:t>
      </w:r>
    </w:p>
    <w:p w14:paraId="4EAEFC00">
      <w:pPr>
        <w:spacing w:line="480" w:lineRule="exact"/>
        <w:ind w:firstLine="540" w:firstLineChars="225"/>
        <w:rPr>
          <w:rFonts w:hint="eastAsia" w:ascii="仿宋" w:hAnsi="仿宋" w:eastAsia="仿宋" w:cs="仿宋"/>
          <w:sz w:val="24"/>
        </w:rPr>
      </w:pPr>
      <w:r>
        <w:rPr>
          <w:rFonts w:hint="eastAsia" w:ascii="仿宋" w:hAnsi="仿宋" w:eastAsia="仿宋" w:cs="仿宋"/>
          <w:sz w:val="24"/>
        </w:rPr>
        <w:t>2、抽查。抽查考核由环卫处牵头组织实施，相关街、镇共同参与，每季度抽查1-2次。抽查考核分值由环卫处汇总统计。</w:t>
      </w:r>
    </w:p>
    <w:p w14:paraId="7C69BD54">
      <w:pPr>
        <w:spacing w:line="480" w:lineRule="exact"/>
        <w:ind w:firstLine="480" w:firstLineChars="200"/>
        <w:rPr>
          <w:rFonts w:hint="eastAsia" w:ascii="仿宋" w:hAnsi="仿宋" w:eastAsia="仿宋" w:cs="仿宋"/>
          <w:sz w:val="24"/>
        </w:rPr>
      </w:pPr>
      <w:r>
        <w:rPr>
          <w:rFonts w:hint="eastAsia" w:ascii="仿宋" w:hAnsi="仿宋" w:eastAsia="仿宋" w:cs="仿宋"/>
          <w:sz w:val="24"/>
        </w:rPr>
        <w:t>3、奖惩措施</w:t>
      </w:r>
    </w:p>
    <w:p w14:paraId="407960CA">
      <w:pPr>
        <w:spacing w:line="480" w:lineRule="exact"/>
        <w:ind w:firstLine="480" w:firstLineChars="200"/>
        <w:rPr>
          <w:rFonts w:hint="eastAsia" w:ascii="仿宋" w:hAnsi="仿宋" w:eastAsia="仿宋" w:cs="仿宋"/>
          <w:sz w:val="24"/>
        </w:rPr>
      </w:pPr>
      <w:r>
        <w:rPr>
          <w:rFonts w:hint="eastAsia" w:ascii="仿宋" w:hAnsi="仿宋" w:eastAsia="仿宋" w:cs="仿宋"/>
          <w:sz w:val="24"/>
        </w:rPr>
        <w:t>①每月自查考核总分为100分，考核分低于90分（不含90分），少一分扣500元。</w:t>
      </w:r>
    </w:p>
    <w:p w14:paraId="07A0CA55">
      <w:pPr>
        <w:spacing w:line="480" w:lineRule="exact"/>
        <w:ind w:firstLine="480" w:firstLineChars="200"/>
        <w:rPr>
          <w:rFonts w:hint="eastAsia" w:ascii="仿宋" w:hAnsi="仿宋" w:eastAsia="仿宋" w:cs="仿宋"/>
          <w:sz w:val="24"/>
        </w:rPr>
      </w:pPr>
      <w:r>
        <w:rPr>
          <w:rFonts w:hint="eastAsia" w:ascii="仿宋" w:hAnsi="仿宋" w:eastAsia="仿宋" w:cs="仿宋"/>
          <w:sz w:val="24"/>
        </w:rPr>
        <w:t>②每次抽查考核总分为100分，考核分高于95分，根据情况适合予以奖励。</w:t>
      </w:r>
    </w:p>
    <w:p w14:paraId="18941A29">
      <w:pPr>
        <w:pStyle w:val="79"/>
        <w:spacing w:line="440" w:lineRule="exact"/>
        <w:ind w:firstLine="480" w:firstLineChars="200"/>
        <w:rPr>
          <w:rFonts w:hint="eastAsia" w:ascii="仿宋" w:hAnsi="仿宋" w:eastAsia="仿宋" w:cs="仿宋"/>
        </w:rPr>
      </w:pPr>
      <w:r>
        <w:rPr>
          <w:rFonts w:hint="eastAsia" w:ascii="仿宋" w:hAnsi="仿宋" w:eastAsia="仿宋" w:cs="仿宋"/>
        </w:rPr>
        <w:t>③每次抽查考核分低于90分（不含90分），少一分扣500元；一次抽查考核分低于80分，对清运公司扣款5000-10000元；连续二次抽查考核分低于80分，给予警告，并与清运企业负责人进行约谈；连续三次抽查考核分低于80分，对清运公司扣款</w:t>
      </w:r>
      <w:r>
        <w:rPr>
          <w:rFonts w:hint="eastAsia" w:ascii="仿宋" w:hAnsi="仿宋" w:eastAsia="仿宋" w:cs="仿宋"/>
          <w:lang w:val="en-US" w:eastAsia="zh-CN"/>
        </w:rPr>
        <w:t>5</w:t>
      </w:r>
      <w:r>
        <w:rPr>
          <w:rFonts w:hint="eastAsia" w:ascii="仿宋" w:hAnsi="仿宋" w:eastAsia="仿宋" w:cs="仿宋"/>
        </w:rPr>
        <w:t>0000元。</w:t>
      </w:r>
    </w:p>
    <w:p w14:paraId="30F68D4F">
      <w:pPr>
        <w:tabs>
          <w:tab w:val="left" w:pos="1050"/>
        </w:tabs>
        <w:spacing w:line="500" w:lineRule="atLeast"/>
        <w:ind w:firstLine="480" w:firstLineChars="200"/>
        <w:rPr>
          <w:rFonts w:hint="eastAsia" w:ascii="仿宋" w:hAnsi="仿宋" w:eastAsia="仿宋" w:cs="仿宋"/>
          <w:bCs/>
          <w:sz w:val="24"/>
          <w:szCs w:val="24"/>
        </w:rPr>
      </w:pPr>
    </w:p>
    <w:p w14:paraId="1C355922">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六</w:t>
      </w:r>
      <w:r>
        <w:rPr>
          <w:rFonts w:hint="eastAsia" w:ascii="仿宋" w:hAnsi="仿宋" w:eastAsia="仿宋" w:cs="仿宋"/>
          <w:b/>
          <w:bCs/>
          <w:sz w:val="24"/>
          <w:szCs w:val="24"/>
          <w:highlight w:val="none"/>
        </w:rPr>
        <w:t>、双方权责</w:t>
      </w:r>
    </w:p>
    <w:p w14:paraId="4145A285">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（一）甲方权责：</w:t>
      </w:r>
    </w:p>
    <w:p w14:paraId="4056DADF">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1、组织有关人员对乙方提供的清扫保洁、清运计划进行审定确认；</w:t>
      </w:r>
    </w:p>
    <w:p w14:paraId="2574B932">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2、协助乙方办理进场的相关手续；</w:t>
      </w:r>
    </w:p>
    <w:p w14:paraId="6E6044C2">
      <w:pPr>
        <w:keepNext w:val="0"/>
        <w:keepLines w:val="0"/>
        <w:pageBreakBefore w:val="0"/>
        <w:widowControl w:val="0"/>
        <w:kinsoku/>
        <w:wordWrap/>
        <w:overflowPunct/>
        <w:topLinePunct w:val="0"/>
        <w:bidi w:val="0"/>
        <w:adjustRightInd w:val="0"/>
        <w:spacing w:line="4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3、甲方有权利对乙方的作业过程全程监督、检查以及定期和不定期考核</w:t>
      </w:r>
      <w:r>
        <w:rPr>
          <w:rFonts w:hint="eastAsia" w:ascii="仿宋" w:hAnsi="仿宋" w:eastAsia="仿宋" w:cs="仿宋"/>
          <w:sz w:val="24"/>
          <w:szCs w:val="24"/>
          <w:highlight w:val="none"/>
          <w:lang w:eastAsia="zh-CN"/>
        </w:rPr>
        <w:t>；</w:t>
      </w:r>
    </w:p>
    <w:p w14:paraId="75A17AAF">
      <w:pPr>
        <w:keepNext w:val="0"/>
        <w:keepLines w:val="0"/>
        <w:pageBreakBefore w:val="0"/>
        <w:widowControl w:val="0"/>
        <w:kinsoku/>
        <w:wordWrap/>
        <w:overflowPunct/>
        <w:topLinePunct w:val="0"/>
        <w:bidi w:val="0"/>
        <w:adjustRightIn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4、甲方按照合同约定支付承包款。在承包期满时，甲方有权延长乙方在下一承包单位招标进场前的使用期限，费用以本次招标合同费用为准，按日计算</w:t>
      </w:r>
      <w:r>
        <w:rPr>
          <w:rFonts w:hint="eastAsia" w:ascii="仿宋" w:hAnsi="仿宋" w:eastAsia="仿宋" w:cs="仿宋"/>
          <w:sz w:val="24"/>
          <w:szCs w:val="24"/>
          <w:highlight w:val="none"/>
          <w:lang w:eastAsia="zh-CN"/>
        </w:rPr>
        <w:t>；</w:t>
      </w:r>
    </w:p>
    <w:p w14:paraId="3A1BB31D">
      <w:pPr>
        <w:keepNext w:val="0"/>
        <w:keepLines w:val="0"/>
        <w:pageBreakBefore w:val="0"/>
        <w:widowControl w:val="0"/>
        <w:kinsoku/>
        <w:wordWrap/>
        <w:overflowPunct/>
        <w:topLinePunct w:val="0"/>
        <w:bidi w:val="0"/>
        <w:adjustRightInd w:val="0"/>
        <w:spacing w:line="4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5、协助乙方办理进场的相关手续及工作对接</w:t>
      </w:r>
      <w:r>
        <w:rPr>
          <w:rFonts w:hint="eastAsia" w:ascii="仿宋" w:hAnsi="仿宋" w:eastAsia="仿宋" w:cs="仿宋"/>
          <w:sz w:val="24"/>
          <w:szCs w:val="24"/>
          <w:highlight w:val="none"/>
          <w:lang w:eastAsia="zh-CN"/>
        </w:rPr>
        <w:t>；</w:t>
      </w:r>
    </w:p>
    <w:p w14:paraId="4EC4FEC7">
      <w:pPr>
        <w:keepNext w:val="0"/>
        <w:keepLines w:val="0"/>
        <w:pageBreakBefore w:val="0"/>
        <w:widowControl w:val="0"/>
        <w:kinsoku/>
        <w:wordWrap/>
        <w:overflowPunct/>
        <w:topLinePunct w:val="0"/>
        <w:bidi w:val="0"/>
        <w:adjustRightIn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6、双方约定甲方应承担的其他工作。</w:t>
      </w:r>
    </w:p>
    <w:p w14:paraId="05378CD7">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（二）乙方权责：</w:t>
      </w:r>
    </w:p>
    <w:p w14:paraId="0BDDE431">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1、乙方必须严格遵守国家安全生产的有关规定，接受甲方及行业安全检查人员依法实施的监督检查。乙方自身施工人员的安全责任及因此发生的费用，由乙方承担。</w:t>
      </w:r>
    </w:p>
    <w:p w14:paraId="0EEC603C">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2、保证清运场所整洁符合环境管理的有关规定，完工前清运现场应达到甲方要求，如乙方达不到要求，甲方有权通知乙方再次进行清运，直至符合甲方要求为止。</w:t>
      </w:r>
    </w:p>
    <w:p w14:paraId="313D71B3">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3、若乙方不按镇政府、镇环卫管理人员的要求进行道路保洁、垃圾分类清运，由此造成的一切后果由乙方自行承担。</w:t>
      </w:r>
    </w:p>
    <w:p w14:paraId="73068761">
      <w:pPr>
        <w:pStyle w:val="24"/>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4、若乙方中标后承诺未达到原投标文件要求的，甲方有权解除合同，没收履约保证金并追究乙方的违约责任。</w:t>
      </w:r>
    </w:p>
    <w:p w14:paraId="61DE0F5D">
      <w:pPr>
        <w:pStyle w:val="24"/>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5、作业人员须参加养老、人身意外等保险，乙方自身的安全责任及因此发生的费用，由乙方承担。</w:t>
      </w:r>
    </w:p>
    <w:p w14:paraId="112802D1">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6、双方约定乙方应承担的其他工作。</w:t>
      </w:r>
    </w:p>
    <w:p w14:paraId="28E0737E">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七</w:t>
      </w:r>
      <w:r>
        <w:rPr>
          <w:rFonts w:hint="eastAsia" w:ascii="仿宋" w:hAnsi="仿宋" w:eastAsia="仿宋" w:cs="仿宋"/>
          <w:b/>
          <w:bCs/>
          <w:sz w:val="24"/>
          <w:szCs w:val="24"/>
          <w:highlight w:val="none"/>
        </w:rPr>
        <w:t>、违约责任</w:t>
      </w:r>
    </w:p>
    <w:p w14:paraId="152D06ED">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1、甲方在乙方存在如下违约情况时，有权单方面终止全部或部分合同，并保留进一步追究乙方责任的权利（包括经济赔偿）：</w:t>
      </w:r>
    </w:p>
    <w:p w14:paraId="74E65B54">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不得以任何形式对本项目进行分包或转包，否则视为违约，并将</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不良情况通报行业主管部门</w:t>
      </w:r>
      <w:r>
        <w:rPr>
          <w:rFonts w:hint="eastAsia" w:ascii="仿宋" w:hAnsi="仿宋" w:eastAsia="仿宋" w:cs="仿宋"/>
          <w:sz w:val="24"/>
          <w:szCs w:val="24"/>
          <w:highlight w:val="none"/>
        </w:rPr>
        <w:t>；</w:t>
      </w:r>
    </w:p>
    <w:p w14:paraId="1DE48894">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必须接收录用原有保洁人员，且在3个月内不得无故辞退，但除下列情况例外：违反劳动纪律，工作质量差，体弱多病不适合从事岗位工作，不服从工作安排等原因，否则视为违约</w:t>
      </w:r>
      <w:r>
        <w:rPr>
          <w:rFonts w:hint="eastAsia" w:ascii="仿宋" w:hAnsi="仿宋" w:eastAsia="仿宋" w:cs="仿宋"/>
          <w:sz w:val="24"/>
          <w:szCs w:val="24"/>
          <w:highlight w:val="none"/>
        </w:rPr>
        <w:t>。</w:t>
      </w:r>
    </w:p>
    <w:p w14:paraId="6BB80138">
      <w:pPr>
        <w:pStyle w:val="79"/>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lang w:val="en-US" w:eastAsia="zh-CN"/>
        </w:rPr>
        <w:t xml:space="preserve">1.3 </w:t>
      </w:r>
      <w:r>
        <w:rPr>
          <w:rFonts w:hint="eastAsia" w:ascii="仿宋" w:hAnsi="仿宋" w:eastAsia="仿宋" w:cs="仿宋"/>
          <w:color w:val="auto"/>
          <w:kern w:val="0"/>
          <w:sz w:val="24"/>
          <w:szCs w:val="24"/>
          <w:highlight w:val="none"/>
          <w:lang w:val="en-US" w:eastAsia="zh-CN" w:bidi="ar-SA"/>
        </w:rPr>
        <w:t>根据本项目保洁工作移交时间节点，乙方必须按投标文件中所明确的车辆等机械设备为采购人提供服务，由采购人进行现场验收与审核，乙方如不能在约定的时间节点提供投标文件中相符的车辆等机械设备及各类凭证（提供车辆行驶证，购置发票复印件）的视为违约。</w:t>
      </w:r>
    </w:p>
    <w:p w14:paraId="1C12201A">
      <w:pPr>
        <w:pStyle w:val="79"/>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hint="eastAsia" w:ascii="仿宋" w:hAnsi="仿宋" w:eastAsia="仿宋" w:cs="仿宋"/>
          <w:kern w:val="0"/>
          <w:sz w:val="24"/>
          <w:szCs w:val="24"/>
          <w:highlight w:val="none"/>
          <w:lang w:eastAsia="zh-CN"/>
        </w:rPr>
      </w:pPr>
      <w:r>
        <w:rPr>
          <w:rFonts w:hint="eastAsia" w:ascii="仿宋" w:hAnsi="仿宋" w:eastAsia="仿宋" w:cs="仿宋"/>
          <w:color w:val="auto"/>
          <w:kern w:val="0"/>
          <w:sz w:val="24"/>
          <w:szCs w:val="24"/>
          <w:highlight w:val="none"/>
          <w:lang w:val="en-US" w:eastAsia="zh-CN" w:bidi="ar-SA"/>
        </w:rPr>
        <w:t xml:space="preserve">1.4 </w:t>
      </w:r>
      <w:r>
        <w:rPr>
          <w:rFonts w:hint="eastAsia" w:ascii="仿宋" w:hAnsi="仿宋" w:eastAsia="仿宋" w:cs="仿宋"/>
          <w:kern w:val="0"/>
          <w:sz w:val="24"/>
          <w:szCs w:val="24"/>
          <w:highlight w:val="none"/>
        </w:rPr>
        <w:t>在合同履行期间，因中标人保洁服务质量不到位，管理不善等其他原因而引发问题，造成严重的负面影响，给采购人的正常工作与形象等造成不良后果的，采购人可单方面可终止合同</w:t>
      </w:r>
      <w:r>
        <w:rPr>
          <w:rFonts w:hint="eastAsia" w:ascii="仿宋" w:hAnsi="仿宋" w:eastAsia="仿宋" w:cs="仿宋"/>
          <w:kern w:val="0"/>
          <w:sz w:val="24"/>
          <w:szCs w:val="24"/>
          <w:highlight w:val="none"/>
          <w:lang w:eastAsia="zh-CN"/>
        </w:rPr>
        <w:t>。</w:t>
      </w:r>
    </w:p>
    <w:p w14:paraId="41234AA2">
      <w:pPr>
        <w:pStyle w:val="79"/>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1.5 乙方在合同履行期间，在各类检查、考核、各类迎检、重要活动保障等工作中，存在保洁服务质量不符合相应的标准，对整改措施落实不到位，成绩较差（连续三个月，排名倒数第一，且月扣分达到或超过700分的），经采购人综合测评认为乙方已不能履行合同约定的内容，采购人可单方面终止合同。</w:t>
      </w:r>
    </w:p>
    <w:p w14:paraId="663C976F">
      <w:pPr>
        <w:pStyle w:val="79"/>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1.6 乙方</w:t>
      </w:r>
      <w:r>
        <w:rPr>
          <w:rFonts w:hint="eastAsia" w:ascii="仿宋" w:hAnsi="仿宋" w:eastAsia="仿宋" w:cs="仿宋"/>
          <w:kern w:val="0"/>
          <w:sz w:val="24"/>
          <w:szCs w:val="24"/>
          <w:highlight w:val="none"/>
        </w:rPr>
        <w:t>在合同履行期间，存在未能按投标书明确的要求，有效落实人员与车辆等服务承诺的，采购人要求期限期整改而不落实、不到位的，或者对采购人的检查与考核进行推诿不配合的，采购人视情节，可对</w:t>
      </w:r>
      <w:r>
        <w:rPr>
          <w:rFonts w:hint="eastAsia" w:ascii="仿宋" w:hAnsi="仿宋" w:eastAsia="仿宋" w:cs="仿宋"/>
          <w:kern w:val="0"/>
          <w:sz w:val="24"/>
          <w:szCs w:val="24"/>
          <w:highlight w:val="none"/>
          <w:lang w:val="en-US" w:eastAsia="zh-CN"/>
        </w:rPr>
        <w:t>乙方</w:t>
      </w:r>
      <w:r>
        <w:rPr>
          <w:rFonts w:hint="eastAsia" w:ascii="仿宋" w:hAnsi="仿宋" w:eastAsia="仿宋" w:cs="仿宋"/>
          <w:kern w:val="0"/>
          <w:sz w:val="24"/>
          <w:szCs w:val="24"/>
          <w:highlight w:val="none"/>
        </w:rPr>
        <w:t>进行抄告、约谈、扣罚，情节严重的可终止合同</w:t>
      </w:r>
      <w:r>
        <w:rPr>
          <w:rFonts w:hint="eastAsia" w:ascii="仿宋" w:hAnsi="仿宋" w:eastAsia="仿宋" w:cs="仿宋"/>
          <w:kern w:val="0"/>
          <w:sz w:val="24"/>
          <w:szCs w:val="24"/>
          <w:highlight w:val="none"/>
          <w:lang w:eastAsia="zh-CN"/>
        </w:rPr>
        <w:t>。</w:t>
      </w:r>
    </w:p>
    <w:p w14:paraId="496BA318">
      <w:pPr>
        <w:pStyle w:val="79"/>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1.7 </w:t>
      </w:r>
      <w:r>
        <w:rPr>
          <w:rFonts w:hint="eastAsia" w:ascii="仿宋" w:hAnsi="仿宋" w:eastAsia="仿宋" w:cs="仿宋"/>
          <w:kern w:val="0"/>
          <w:sz w:val="24"/>
          <w:szCs w:val="24"/>
          <w:highlight w:val="none"/>
        </w:rPr>
        <w:t>在其他方面，因</w:t>
      </w:r>
      <w:r>
        <w:rPr>
          <w:rFonts w:hint="eastAsia" w:ascii="仿宋" w:hAnsi="仿宋" w:eastAsia="仿宋" w:cs="仿宋"/>
          <w:kern w:val="0"/>
          <w:sz w:val="24"/>
          <w:szCs w:val="24"/>
          <w:highlight w:val="none"/>
          <w:lang w:val="en-US" w:eastAsia="zh-CN"/>
        </w:rPr>
        <w:t>乙方</w:t>
      </w:r>
      <w:r>
        <w:rPr>
          <w:rFonts w:hint="eastAsia" w:ascii="仿宋" w:hAnsi="仿宋" w:eastAsia="仿宋" w:cs="仿宋"/>
          <w:kern w:val="0"/>
          <w:sz w:val="24"/>
          <w:szCs w:val="24"/>
          <w:highlight w:val="none"/>
        </w:rPr>
        <w:t>单方原因，造成不良后果，采购人认为已不适合继续履行合同的，可单方面终止合同</w:t>
      </w:r>
      <w:r>
        <w:rPr>
          <w:rFonts w:hint="eastAsia" w:ascii="仿宋" w:hAnsi="仿宋" w:eastAsia="仿宋" w:cs="仿宋"/>
          <w:kern w:val="0"/>
          <w:sz w:val="24"/>
          <w:szCs w:val="24"/>
          <w:highlight w:val="none"/>
          <w:lang w:eastAsia="zh-CN"/>
        </w:rPr>
        <w:t>。</w:t>
      </w:r>
    </w:p>
    <w:p w14:paraId="39B81D0D">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、与招标文件不符合的做法，或不履行其投标文件的承诺。</w:t>
      </w:r>
    </w:p>
    <w:p w14:paraId="03A0A671">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2、如发生乙方不能履行合同义务，或甲方发生中途终止合同等情况，应及时以书面形式通知对方。甲乙双方应本着友好的态度进行协商，妥善解决。</w:t>
      </w:r>
    </w:p>
    <w:p w14:paraId="7D120CC9">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3、如遇不可抗力原因导致本合同无法履行，双方互不承担责任。</w:t>
      </w:r>
    </w:p>
    <w:p w14:paraId="0ACA5D89">
      <w:pPr>
        <w:keepNext w:val="0"/>
        <w:keepLines w:val="0"/>
        <w:pageBreakBefore w:val="0"/>
        <w:widowControl w:val="0"/>
        <w:kinsoku/>
        <w:wordWrap/>
        <w:overflowPunct/>
        <w:topLinePunct w:val="0"/>
        <w:bidi w:val="0"/>
        <w:adjustRightInd w:val="0"/>
        <w:spacing w:line="460" w:lineRule="exact"/>
        <w:ind w:firstLine="472" w:firstLineChars="196"/>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八</w:t>
      </w:r>
      <w:r>
        <w:rPr>
          <w:rFonts w:hint="eastAsia" w:ascii="仿宋" w:hAnsi="仿宋" w:eastAsia="仿宋" w:cs="仿宋"/>
          <w:b/>
          <w:sz w:val="24"/>
          <w:szCs w:val="24"/>
          <w:highlight w:val="none"/>
        </w:rPr>
        <w:t>、转让和分包</w:t>
      </w:r>
    </w:p>
    <w:p w14:paraId="3CF24FAA">
      <w:pPr>
        <w:keepNext w:val="0"/>
        <w:keepLines w:val="0"/>
        <w:pageBreakBefore w:val="0"/>
        <w:widowControl w:val="0"/>
        <w:kinsoku/>
        <w:wordWrap/>
        <w:overflowPunct/>
        <w:topLinePunct w:val="0"/>
        <w:bidi w:val="0"/>
        <w:adjustRightIn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本项目不允许转包或分包，若中标人转包或变相转包其应履行的合同义务，采购单位有权终止合同并没收全部履约保证金。</w:t>
      </w:r>
    </w:p>
    <w:p w14:paraId="7771E010">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九</w:t>
      </w:r>
      <w:r>
        <w:rPr>
          <w:rFonts w:hint="eastAsia" w:ascii="仿宋" w:hAnsi="仿宋" w:eastAsia="仿宋" w:cs="仿宋"/>
          <w:b/>
          <w:bCs/>
          <w:sz w:val="24"/>
          <w:szCs w:val="24"/>
          <w:highlight w:val="none"/>
        </w:rPr>
        <w:t>、其他</w:t>
      </w:r>
    </w:p>
    <w:p w14:paraId="01164B6A">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1、双方在执行合同中所发生的一切争议，应通过协商解决。如协商不成，应向甲方法定地址所在仲裁机构提交仲裁，也可向甲方法定地址所在地人民法院起诉。</w:t>
      </w:r>
    </w:p>
    <w:p w14:paraId="773A4281">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2、在仲裁期间，除正在进行仲裁的部份外，本合同其他部份应继续执行。</w:t>
      </w:r>
    </w:p>
    <w:p w14:paraId="421443DF">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3、仲裁费用除仲裁机构另行有裁决外，由败诉方承担。</w:t>
      </w:r>
    </w:p>
    <w:p w14:paraId="0BA19A19">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4、合同执行中，如需修改或补充合同内容，经协商，双方应签署书面修改或补充协议，该协议将作为合同不可分割的一部分，具有法律效应。</w:t>
      </w:r>
    </w:p>
    <w:p w14:paraId="7F290441">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5、本合同一式伍份，双方各执二份，鉴证单位一份，双方签字盖章后生效。</w:t>
      </w:r>
    </w:p>
    <w:tbl>
      <w:tblPr>
        <w:tblStyle w:val="63"/>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0"/>
        <w:gridCol w:w="4250"/>
      </w:tblGrid>
      <w:tr w14:paraId="40EC1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4250" w:type="dxa"/>
          </w:tcPr>
          <w:p w14:paraId="3F810820">
            <w:pPr>
              <w:keepNext w:val="0"/>
              <w:keepLines w:val="0"/>
              <w:pageBreakBefore w:val="0"/>
              <w:widowControl w:val="0"/>
              <w:kinsoku/>
              <w:wordWrap/>
              <w:overflowPunct/>
              <w:topLinePunct w:val="0"/>
              <w:autoSpaceDE/>
              <w:autoSpaceDN/>
              <w:bidi w:val="0"/>
              <w:adjustRightInd w:val="0"/>
              <w:snapToGrid w:val="0"/>
              <w:spacing w:line="400" w:lineRule="exact"/>
              <w:ind w:left="1680" w:hanging="1680" w:hangingChars="7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甲方（盖章）： </w:t>
            </w:r>
          </w:p>
          <w:p w14:paraId="05AECC9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法定（授权）代表人：</w:t>
            </w:r>
          </w:p>
          <w:p w14:paraId="213CB83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p w14:paraId="57B5068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4250" w:type="dxa"/>
          </w:tcPr>
          <w:p w14:paraId="0ADB958E">
            <w:pPr>
              <w:keepNext w:val="0"/>
              <w:keepLines w:val="0"/>
              <w:pageBreakBefore w:val="0"/>
              <w:widowControl w:val="0"/>
              <w:kinsoku/>
              <w:wordWrap/>
              <w:overflowPunct/>
              <w:topLinePunct w:val="0"/>
              <w:autoSpaceDE/>
              <w:autoSpaceDN/>
              <w:bidi w:val="0"/>
              <w:adjustRightInd w:val="0"/>
              <w:snapToGrid w:val="0"/>
              <w:spacing w:line="400" w:lineRule="exact"/>
              <w:ind w:left="1680" w:hanging="1680" w:hangingChars="7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乙方（盖章）： </w:t>
            </w:r>
          </w:p>
          <w:p w14:paraId="4FBA603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法定（授权）代表人：</w:t>
            </w:r>
          </w:p>
          <w:p w14:paraId="14EFE87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联系电话： </w:t>
            </w:r>
          </w:p>
          <w:p w14:paraId="224640A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帐    号： </w:t>
            </w:r>
          </w:p>
        </w:tc>
      </w:tr>
    </w:tbl>
    <w:p w14:paraId="15790AA1">
      <w:pPr>
        <w:keepNext w:val="0"/>
        <w:keepLines w:val="0"/>
        <w:pageBreakBefore w:val="0"/>
        <w:widowControl w:val="0"/>
        <w:kinsoku/>
        <w:wordWrap/>
        <w:overflowPunct/>
        <w:topLinePunct w:val="0"/>
        <w:bidi w:val="0"/>
        <w:adjustRightInd w:val="0"/>
        <w:snapToGrid w:val="0"/>
        <w:spacing w:line="460" w:lineRule="exact"/>
        <w:ind w:firstLine="480" w:firstLineChars="200"/>
        <w:jc w:val="righ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签订时间：    年    月    日</w:t>
      </w:r>
    </w:p>
    <w:p w14:paraId="6AE12073">
      <w:pPr>
        <w:keepNext w:val="0"/>
        <w:keepLines w:val="0"/>
        <w:pageBreakBefore w:val="0"/>
        <w:widowControl w:val="0"/>
        <w:kinsoku/>
        <w:wordWrap/>
        <w:overflowPunct/>
        <w:topLinePunct w:val="0"/>
        <w:bidi w:val="0"/>
        <w:adjustRightInd w:val="0"/>
        <w:spacing w:line="460" w:lineRule="exact"/>
        <w:ind w:left="-420" w:leftChars="-200" w:right="-420" w:rightChars="-200"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备注：合同签订前，甲方有权根据实际情况进行补充、调整</w:t>
      </w:r>
      <w:r>
        <w:rPr>
          <w:rFonts w:hint="eastAsia" w:ascii="仿宋" w:hAnsi="仿宋" w:eastAsia="仿宋" w:cs="仿宋"/>
          <w:sz w:val="24"/>
          <w:szCs w:val="24"/>
          <w:highlight w:val="none"/>
        </w:rPr>
        <w:t>。</w:t>
      </w:r>
    </w:p>
    <w:p w14:paraId="0A04150C">
      <w:pPr>
        <w:rPr>
          <w:highlight w:val="none"/>
        </w:rPr>
      </w:pPr>
    </w:p>
    <w:p w14:paraId="05B4AF0D">
      <w:pPr>
        <w:spacing w:line="360" w:lineRule="auto"/>
        <w:jc w:val="center"/>
        <w:outlineLvl w:val="0"/>
        <w:rPr>
          <w:rFonts w:hint="eastAsia" w:ascii="仿宋" w:hAnsi="仿宋" w:eastAsia="仿宋" w:cs="仿宋_GB2312"/>
          <w:b/>
          <w:sz w:val="36"/>
          <w:szCs w:val="20"/>
          <w:highlight w:val="none"/>
        </w:rPr>
      </w:pPr>
    </w:p>
    <w:p w14:paraId="2552F30F">
      <w:pPr>
        <w:spacing w:line="360" w:lineRule="auto"/>
        <w:jc w:val="center"/>
        <w:outlineLvl w:val="0"/>
        <w:rPr>
          <w:rFonts w:hint="eastAsia" w:ascii="仿宋" w:hAnsi="仿宋" w:eastAsia="仿宋" w:cs="仿宋_GB2312"/>
          <w:b/>
          <w:sz w:val="36"/>
          <w:szCs w:val="20"/>
          <w:highlight w:val="none"/>
        </w:rPr>
      </w:pPr>
    </w:p>
    <w:p w14:paraId="4D57E1C6">
      <w:pPr>
        <w:spacing w:line="360" w:lineRule="auto"/>
        <w:jc w:val="center"/>
        <w:outlineLvl w:val="0"/>
        <w:rPr>
          <w:rFonts w:hint="eastAsia" w:ascii="仿宋" w:hAnsi="仿宋" w:eastAsia="仿宋" w:cs="仿宋_GB2312"/>
          <w:b/>
          <w:sz w:val="36"/>
          <w:szCs w:val="20"/>
          <w:highlight w:val="none"/>
        </w:rPr>
      </w:pPr>
    </w:p>
    <w:p w14:paraId="76428094">
      <w:pPr>
        <w:spacing w:line="360" w:lineRule="auto"/>
        <w:jc w:val="center"/>
        <w:outlineLvl w:val="0"/>
        <w:rPr>
          <w:rFonts w:hint="eastAsia" w:ascii="仿宋" w:hAnsi="仿宋" w:eastAsia="仿宋" w:cs="仿宋_GB2312"/>
          <w:b/>
          <w:sz w:val="36"/>
          <w:szCs w:val="20"/>
          <w:highlight w:val="none"/>
        </w:rPr>
      </w:pPr>
    </w:p>
    <w:p w14:paraId="375D0C2A">
      <w:pPr>
        <w:spacing w:line="360" w:lineRule="auto"/>
        <w:jc w:val="center"/>
        <w:outlineLvl w:val="0"/>
        <w:rPr>
          <w:rFonts w:hint="eastAsia" w:ascii="仿宋" w:hAnsi="仿宋" w:eastAsia="仿宋" w:cs="仿宋_GB2312"/>
          <w:b/>
          <w:sz w:val="36"/>
          <w:szCs w:val="20"/>
          <w:highlight w:val="none"/>
        </w:rPr>
      </w:pPr>
    </w:p>
    <w:p w14:paraId="0BA40C6E">
      <w:pPr>
        <w:spacing w:line="360" w:lineRule="auto"/>
        <w:jc w:val="center"/>
        <w:outlineLvl w:val="0"/>
        <w:rPr>
          <w:rFonts w:hint="eastAsia" w:ascii="仿宋" w:hAnsi="仿宋" w:eastAsia="仿宋" w:cs="仿宋_GB2312"/>
          <w:b/>
          <w:sz w:val="36"/>
          <w:szCs w:val="20"/>
          <w:highlight w:val="none"/>
        </w:rPr>
      </w:pPr>
    </w:p>
    <w:p w14:paraId="390999B7">
      <w:pPr>
        <w:spacing w:line="360" w:lineRule="auto"/>
        <w:jc w:val="center"/>
        <w:outlineLvl w:val="0"/>
        <w:rPr>
          <w:rFonts w:hint="eastAsia" w:ascii="仿宋" w:hAnsi="仿宋" w:eastAsia="仿宋" w:cs="仿宋_GB2312"/>
          <w:b/>
          <w:sz w:val="36"/>
          <w:szCs w:val="20"/>
          <w:highlight w:val="none"/>
        </w:rPr>
      </w:pPr>
    </w:p>
    <w:p w14:paraId="6B7A9F7E">
      <w:pPr>
        <w:spacing w:line="360" w:lineRule="auto"/>
        <w:jc w:val="center"/>
        <w:outlineLvl w:val="0"/>
        <w:rPr>
          <w:rFonts w:hint="eastAsia" w:ascii="仿宋" w:hAnsi="仿宋" w:eastAsia="仿宋" w:cs="仿宋_GB2312"/>
          <w:b/>
          <w:sz w:val="36"/>
          <w:szCs w:val="20"/>
          <w:highlight w:val="none"/>
        </w:rPr>
      </w:pPr>
    </w:p>
    <w:p w14:paraId="33FADC6A">
      <w:pPr>
        <w:spacing w:line="360" w:lineRule="auto"/>
        <w:jc w:val="center"/>
        <w:outlineLvl w:val="0"/>
        <w:rPr>
          <w:rFonts w:hint="eastAsia" w:ascii="仿宋" w:hAnsi="仿宋" w:eastAsia="仿宋" w:cs="仿宋_GB2312"/>
          <w:b/>
          <w:sz w:val="36"/>
          <w:szCs w:val="20"/>
          <w:highlight w:val="none"/>
        </w:rPr>
      </w:pPr>
    </w:p>
    <w:p w14:paraId="47C3625C">
      <w:pPr>
        <w:spacing w:line="360" w:lineRule="auto"/>
        <w:jc w:val="center"/>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391"/>
      <w:r>
        <w:rPr>
          <w:rFonts w:ascii="仿宋" w:hAnsi="仿宋" w:eastAsia="仿宋" w:cs="仿宋_GB2312"/>
          <w:b/>
          <w:sz w:val="36"/>
          <w:szCs w:val="20"/>
          <w:highlight w:val="none"/>
        </w:rPr>
        <w:t xml:space="preserve"> </w:t>
      </w:r>
      <w:bookmarkEnd w:id="392"/>
      <w:r>
        <w:rPr>
          <w:rFonts w:hint="eastAsia" w:ascii="仿宋" w:hAnsi="仿宋" w:eastAsia="仿宋" w:cs="仿宋_GB2312"/>
          <w:b/>
          <w:sz w:val="36"/>
          <w:szCs w:val="20"/>
          <w:highlight w:val="none"/>
        </w:rPr>
        <w:t>应提交的有关格式范例</w:t>
      </w:r>
    </w:p>
    <w:p w14:paraId="1F6615D4">
      <w:pPr>
        <w:spacing w:line="360" w:lineRule="auto"/>
        <w:jc w:val="left"/>
        <w:outlineLvl w:val="0"/>
        <w:rPr>
          <w:rFonts w:hint="eastAsia" w:ascii="仿宋" w:hAnsi="仿宋" w:eastAsia="仿宋" w:cs="仿宋"/>
          <w:sz w:val="24"/>
          <w:highlight w:val="none"/>
        </w:rPr>
      </w:pPr>
      <w:r>
        <w:rPr>
          <w:rFonts w:hint="eastAsia" w:ascii="仿宋" w:hAnsi="仿宋" w:eastAsia="仿宋" w:cs="仿宋"/>
          <w:sz w:val="24"/>
          <w:highlight w:val="none"/>
        </w:rPr>
        <w:t>投标人按照以下格式编制投标文件</w:t>
      </w:r>
    </w:p>
    <w:p w14:paraId="60079066">
      <w:pPr>
        <w:pStyle w:val="44"/>
        <w:rPr>
          <w:highlight w:val="none"/>
        </w:rPr>
      </w:pPr>
    </w:p>
    <w:p w14:paraId="4FE35F7F">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14:paraId="49AD5C28">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14:paraId="0FE7D008">
      <w:pPr>
        <w:spacing w:line="360" w:lineRule="auto"/>
        <w:jc w:val="center"/>
        <w:outlineLvl w:val="0"/>
        <w:rPr>
          <w:rFonts w:ascii="仿宋_GB2312" w:hAnsi="仿宋" w:eastAsia="仿宋_GB2312" w:cs="仿宋_GB2312"/>
          <w:b/>
          <w:kern w:val="0"/>
          <w:sz w:val="36"/>
          <w:szCs w:val="36"/>
          <w:highlight w:val="none"/>
        </w:rPr>
      </w:pPr>
    </w:p>
    <w:p w14:paraId="094FED1A">
      <w:pPr>
        <w:snapToGrid w:val="0"/>
        <w:spacing w:line="480" w:lineRule="auto"/>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_GB2312" w:hAnsi="仿宋" w:eastAsia="仿宋_GB2312" w:cs="仿宋_GB2312"/>
          <w:sz w:val="24"/>
          <w:highlight w:val="none"/>
        </w:rPr>
        <w:t>符合参加政府采购活动应当具备的一般条件的承诺函</w:t>
      </w:r>
      <w:r>
        <w:rPr>
          <w:rFonts w:hint="eastAsia" w:ascii="仿宋" w:hAnsi="仿宋" w:eastAsia="仿宋" w:cs="仿宋"/>
          <w:sz w:val="24"/>
          <w:highlight w:val="none"/>
        </w:rPr>
        <w:t>………………………（页码）</w:t>
      </w:r>
    </w:p>
    <w:p w14:paraId="5B33D8FB">
      <w:pPr>
        <w:snapToGrid w:val="0"/>
        <w:spacing w:line="480" w:lineRule="auto"/>
        <w:rPr>
          <w:rFonts w:hint="eastAsia" w:ascii="仿宋" w:hAnsi="仿宋" w:eastAsia="仿宋" w:cs="仿宋"/>
          <w:sz w:val="24"/>
          <w:highlight w:val="none"/>
        </w:rPr>
      </w:pPr>
      <w:r>
        <w:rPr>
          <w:rFonts w:hint="eastAsia" w:ascii="仿宋" w:hAnsi="仿宋" w:eastAsia="仿宋" w:cs="仿宋"/>
          <w:sz w:val="24"/>
          <w:highlight w:val="none"/>
        </w:rPr>
        <w:t>（2）</w:t>
      </w:r>
      <w:r>
        <w:rPr>
          <w:rFonts w:ascii="仿宋_GB2312" w:hAnsi="仿宋" w:eastAsia="仿宋_GB2312" w:cs="仿宋_GB2312"/>
          <w:sz w:val="24"/>
          <w:highlight w:val="none"/>
        </w:rPr>
        <w:t>落实政府采购政策需满足的资格要求</w:t>
      </w:r>
      <w:r>
        <w:rPr>
          <w:rFonts w:hint="eastAsia" w:ascii="仿宋" w:hAnsi="仿宋" w:eastAsia="仿宋" w:cs="仿宋"/>
          <w:sz w:val="24"/>
          <w:highlight w:val="none"/>
        </w:rPr>
        <w:t>…………………………………………（页码）</w:t>
      </w:r>
    </w:p>
    <w:p w14:paraId="4971DDCE">
      <w:pPr>
        <w:snapToGrid w:val="0"/>
        <w:spacing w:line="480" w:lineRule="auto"/>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_GB2312" w:hAnsi="仿宋" w:eastAsia="仿宋_GB2312" w:cs="仿宋_GB2312"/>
          <w:sz w:val="24"/>
          <w:highlight w:val="none"/>
        </w:rPr>
        <w:t>本项目的特定资格要求</w:t>
      </w:r>
      <w:r>
        <w:rPr>
          <w:rFonts w:hint="eastAsia" w:ascii="仿宋" w:hAnsi="仿宋" w:eastAsia="仿宋" w:cs="仿宋"/>
          <w:sz w:val="24"/>
          <w:highlight w:val="none"/>
        </w:rPr>
        <w:t>…………………………………………………………（页码）</w:t>
      </w:r>
    </w:p>
    <w:p w14:paraId="4FF40BED">
      <w:pPr>
        <w:rPr>
          <w:highlight w:val="none"/>
        </w:rPr>
      </w:pPr>
    </w:p>
    <w:p w14:paraId="351D0215">
      <w:pPr>
        <w:snapToGrid w:val="0"/>
        <w:spacing w:line="360" w:lineRule="auto"/>
        <w:ind w:firstLine="480" w:firstLineChars="200"/>
        <w:rPr>
          <w:rFonts w:ascii="仿宋_GB2312" w:hAnsi="仿宋" w:eastAsia="仿宋_GB2312" w:cs="仿宋_GB2312"/>
          <w:sz w:val="24"/>
          <w:highlight w:val="none"/>
        </w:rPr>
      </w:pPr>
    </w:p>
    <w:p w14:paraId="39E971F9">
      <w:pPr>
        <w:spacing w:line="360" w:lineRule="auto"/>
        <w:ind w:firstLine="480" w:firstLineChars="200"/>
        <w:rPr>
          <w:rFonts w:ascii="仿宋_GB2312" w:hAnsi="仿宋" w:eastAsia="仿宋_GB2312" w:cs="仿宋_GB2312"/>
          <w:sz w:val="24"/>
          <w:highlight w:val="none"/>
        </w:rPr>
      </w:pPr>
    </w:p>
    <w:p w14:paraId="5AE28BBA">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hint="eastAsia" w:ascii="仿宋_GB2312" w:hAnsi="仿宋" w:eastAsia="仿宋_GB2312" w:cs="仿宋_GB2312"/>
          <w:b/>
          <w:kern w:val="0"/>
          <w:sz w:val="32"/>
          <w:szCs w:val="32"/>
          <w:highlight w:val="none"/>
          <w:lang w:eastAsia="zh-CN"/>
        </w:rPr>
        <w:t>一、</w:t>
      </w:r>
      <w:r>
        <w:rPr>
          <w:rFonts w:hint="eastAsia" w:ascii="仿宋_GB2312" w:hAnsi="仿宋" w:eastAsia="仿宋_GB2312" w:cs="仿宋_GB2312"/>
          <w:b/>
          <w:kern w:val="0"/>
          <w:sz w:val="32"/>
          <w:szCs w:val="32"/>
          <w:highlight w:val="none"/>
        </w:rPr>
        <w:t xml:space="preserve"> </w:t>
      </w:r>
      <w:r>
        <w:rPr>
          <w:rFonts w:ascii="仿宋_GB2312" w:hAnsi="仿宋" w:eastAsia="仿宋_GB2312" w:cs="仿宋_GB2312"/>
          <w:b/>
          <w:kern w:val="0"/>
          <w:sz w:val="32"/>
          <w:szCs w:val="32"/>
          <w:highlight w:val="none"/>
        </w:rPr>
        <w:t>符合参加政府采购活动应当具备的一般条件的承诺函</w:t>
      </w:r>
    </w:p>
    <w:p w14:paraId="6DAE105A">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14:paraId="691F8CD0">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w:t>
      </w:r>
      <w:r>
        <w:rPr>
          <w:rFonts w:hint="eastAsia" w:ascii="仿宋_GB2312" w:hAnsi="仿宋" w:eastAsia="仿宋_GB2312" w:cs="仿宋_GB2312"/>
          <w:sz w:val="24"/>
          <w:highlight w:val="none"/>
          <w:u w:val="single"/>
        </w:rPr>
        <w:t>（项目名称）</w:t>
      </w:r>
      <w:r>
        <w:rPr>
          <w:rFonts w:hint="eastAsia" w:ascii="仿宋_GB2312" w:hAnsi="仿宋" w:eastAsia="仿宋_GB2312" w:cs="仿宋_GB2312"/>
          <w:sz w:val="24"/>
          <w:highlight w:val="none"/>
        </w:rPr>
        <w:t>【招标编号：</w:t>
      </w:r>
      <w:r>
        <w:rPr>
          <w:rFonts w:hint="eastAsia" w:ascii="仿宋_GB2312" w:hAnsi="仿宋" w:eastAsia="仿宋_GB2312"/>
          <w:sz w:val="24"/>
          <w:highlight w:val="none"/>
          <w:u w:val="single"/>
        </w:rPr>
        <w:t>（采购编号）</w:t>
      </w:r>
      <w:r>
        <w:rPr>
          <w:rFonts w:hint="eastAsia" w:ascii="仿宋_GB2312" w:hAnsi="仿宋" w:eastAsia="仿宋_GB2312" w:cs="仿宋_GB2312"/>
          <w:sz w:val="24"/>
          <w:highlight w:val="none"/>
        </w:rPr>
        <w:t>】政府采购活动，郑重承诺：</w:t>
      </w:r>
    </w:p>
    <w:p w14:paraId="54548471">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14:paraId="5522B04C">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14:paraId="4A60C201">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14:paraId="70032C92">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14:paraId="047F6BF4">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14:paraId="02418E36">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14:paraId="2CC53227">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14:paraId="21470C7D">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14:paraId="4227F8D6">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14:paraId="6C34DA48">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14:paraId="4A6396D1">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14:paraId="567A31E6">
      <w:pPr>
        <w:pStyle w:val="3"/>
        <w:rPr>
          <w:highlight w:val="none"/>
        </w:rPr>
      </w:pPr>
    </w:p>
    <w:p w14:paraId="05AD28F3">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14:paraId="6212748C">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1E985221">
      <w:pPr>
        <w:snapToGrid w:val="0"/>
        <w:spacing w:line="360" w:lineRule="auto"/>
        <w:ind w:right="480"/>
        <w:jc w:val="center"/>
        <w:rPr>
          <w:rFonts w:ascii="仿宋_GB2312" w:hAnsi="仿宋" w:eastAsia="仿宋_GB2312" w:cs="仿宋_GB2312"/>
          <w:b/>
          <w:kern w:val="0"/>
          <w:sz w:val="32"/>
          <w:szCs w:val="32"/>
          <w:highlight w:val="none"/>
        </w:rPr>
      </w:pPr>
    </w:p>
    <w:p w14:paraId="3F31D1CB">
      <w:pPr>
        <w:pStyle w:val="44"/>
        <w:jc w:val="center"/>
        <w:rPr>
          <w:rFonts w:hint="eastAsia" w:eastAsia="仿宋"/>
          <w:sz w:val="28"/>
          <w:szCs w:val="28"/>
          <w:highlight w:val="none"/>
          <w:lang w:eastAsia="zh-CN"/>
        </w:rPr>
      </w:pPr>
    </w:p>
    <w:p w14:paraId="7BAA8ABA">
      <w:pPr>
        <w:snapToGrid w:val="0"/>
        <w:spacing w:line="360" w:lineRule="auto"/>
        <w:ind w:right="480"/>
        <w:jc w:val="center"/>
        <w:rPr>
          <w:rFonts w:ascii="仿宋_GB2312" w:hAnsi="仿宋" w:eastAsia="仿宋_GB2312" w:cs="仿宋_GB2312"/>
          <w:b/>
          <w:kern w:val="0"/>
          <w:sz w:val="32"/>
          <w:szCs w:val="32"/>
          <w:highlight w:val="none"/>
        </w:rPr>
      </w:pPr>
    </w:p>
    <w:p w14:paraId="2531FFFD">
      <w:pPr>
        <w:pStyle w:val="3"/>
        <w:rPr>
          <w:rFonts w:ascii="仿宋_GB2312" w:hAnsi="仿宋" w:eastAsia="仿宋_GB2312" w:cs="仿宋_GB2312"/>
          <w:b/>
          <w:kern w:val="0"/>
          <w:sz w:val="32"/>
          <w:szCs w:val="32"/>
          <w:highlight w:val="none"/>
        </w:rPr>
      </w:pPr>
    </w:p>
    <w:p w14:paraId="65F37A3F">
      <w:pPr>
        <w:rPr>
          <w:rFonts w:ascii="仿宋_GB2312" w:hAnsi="仿宋" w:eastAsia="仿宋_GB2312" w:cs="仿宋_GB2312"/>
          <w:b/>
          <w:kern w:val="0"/>
          <w:sz w:val="32"/>
          <w:szCs w:val="32"/>
          <w:highlight w:val="none"/>
        </w:rPr>
      </w:pPr>
    </w:p>
    <w:p w14:paraId="09470DAB">
      <w:pPr>
        <w:pStyle w:val="3"/>
        <w:rPr>
          <w:rFonts w:ascii="仿宋_GB2312" w:hAnsi="仿宋" w:eastAsia="仿宋_GB2312" w:cs="仿宋_GB2312"/>
          <w:b/>
          <w:kern w:val="0"/>
          <w:sz w:val="32"/>
          <w:szCs w:val="32"/>
          <w:highlight w:val="none"/>
        </w:rPr>
      </w:pPr>
    </w:p>
    <w:p w14:paraId="5E305AFD">
      <w:pPr>
        <w:rPr>
          <w:rFonts w:ascii="仿宋_GB2312" w:hAnsi="仿宋" w:eastAsia="仿宋_GB2312" w:cs="仿宋_GB2312"/>
          <w:b/>
          <w:kern w:val="0"/>
          <w:sz w:val="32"/>
          <w:szCs w:val="32"/>
          <w:highlight w:val="none"/>
        </w:rPr>
      </w:pPr>
    </w:p>
    <w:p w14:paraId="2BCCF491">
      <w:pPr>
        <w:rPr>
          <w:highlight w:val="none"/>
        </w:rPr>
      </w:pPr>
    </w:p>
    <w:p w14:paraId="5C57252E">
      <w:pPr>
        <w:snapToGrid w:val="0"/>
        <w:spacing w:line="360" w:lineRule="auto"/>
        <w:ind w:right="480"/>
        <w:jc w:val="center"/>
        <w:rPr>
          <w:rFonts w:hint="eastAsia" w:ascii="仿宋_GB2312" w:hAnsi="仿宋" w:eastAsia="仿宋_GB2312" w:cs="仿宋_GB2312"/>
          <w:b/>
          <w:kern w:val="0"/>
          <w:sz w:val="32"/>
          <w:szCs w:val="32"/>
          <w:highlight w:val="none"/>
          <w:lang w:eastAsia="zh-CN"/>
        </w:rPr>
      </w:pPr>
      <w:r>
        <w:rPr>
          <w:rFonts w:hint="eastAsia" w:ascii="仿宋_GB2312" w:hAnsi="仿宋" w:eastAsia="仿宋_GB2312" w:cs="仿宋_GB2312"/>
          <w:b/>
          <w:kern w:val="0"/>
          <w:sz w:val="32"/>
          <w:szCs w:val="32"/>
          <w:highlight w:val="none"/>
          <w:lang w:eastAsia="zh-CN"/>
        </w:rPr>
        <w:t>二、</w:t>
      </w:r>
      <w:r>
        <w:rPr>
          <w:rFonts w:hint="eastAsia" w:ascii="仿宋_GB2312" w:hAnsi="仿宋" w:eastAsia="仿宋_GB2312" w:cs="仿宋_GB2312"/>
          <w:b/>
          <w:kern w:val="0"/>
          <w:sz w:val="32"/>
          <w:szCs w:val="32"/>
          <w:highlight w:val="none"/>
        </w:rPr>
        <w:t>落实政府采购政策需满足的资格要求</w:t>
      </w:r>
    </w:p>
    <w:p w14:paraId="3813FD5D">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14:paraId="0A6CC845">
      <w:pPr>
        <w:snapToGrid w:val="0"/>
        <w:spacing w:before="50" w:after="50"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A</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14:paraId="62AD829D">
      <w:pPr>
        <w:widowControl/>
        <w:spacing w:line="360" w:lineRule="auto"/>
        <w:ind w:firstLine="480"/>
        <w:jc w:val="left"/>
        <w:rPr>
          <w:rFonts w:ascii="仿宋_GB2312" w:hAnsi="宋体" w:eastAsia="仿宋_GB2312"/>
          <w:sz w:val="24"/>
          <w:highlight w:val="none"/>
        </w:rPr>
      </w:pPr>
    </w:p>
    <w:p w14:paraId="736DFB0F">
      <w:pPr>
        <w:widowControl/>
        <w:spacing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B.</w:t>
      </w:r>
      <w:r>
        <w:rPr>
          <w:rFonts w:hint="eastAsia" w:ascii="仿宋_GB2312" w:hAnsi="仿宋" w:eastAsia="仿宋_GB2312" w:cs="仿宋_GB2312"/>
          <w:sz w:val="24"/>
          <w:highlight w:val="none"/>
        </w:rPr>
        <w:t>要求以联合体形式参加的，提供联合协议和中小企业声明函（附件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6CDD138">
      <w:pPr>
        <w:snapToGrid w:val="0"/>
        <w:spacing w:before="50" w:after="50" w:line="360" w:lineRule="auto"/>
        <w:jc w:val="center"/>
        <w:rPr>
          <w:rFonts w:ascii="仿宋_GB2312" w:hAnsi="仿宋" w:eastAsia="仿宋_GB2312" w:cs="仿宋_GB2312"/>
          <w:b/>
          <w:kern w:val="0"/>
          <w:sz w:val="32"/>
          <w:szCs w:val="32"/>
          <w:highlight w:val="none"/>
          <w:lang w:val="zh-CN"/>
        </w:rPr>
      </w:pPr>
      <w:r>
        <w:rPr>
          <w:rFonts w:ascii="仿宋_GB2312" w:hAnsi="仿宋" w:eastAsia="仿宋_GB2312" w:cs="仿宋_GB2312"/>
          <w:b/>
          <w:sz w:val="24"/>
          <w:highlight w:val="none"/>
        </w:rPr>
        <w:t xml:space="preserve">    </w:t>
      </w:r>
      <w:r>
        <w:rPr>
          <w:rFonts w:hint="eastAsia" w:ascii="仿宋_GB2312" w:hAnsi="仿宋" w:eastAsia="仿宋_GB2312" w:cs="仿宋_GB2312"/>
          <w:b/>
          <w:kern w:val="0"/>
          <w:sz w:val="32"/>
          <w:szCs w:val="32"/>
          <w:highlight w:val="none"/>
          <w:lang w:val="zh-CN"/>
        </w:rPr>
        <w:t>联合协议</w:t>
      </w:r>
    </w:p>
    <w:p w14:paraId="2B07A05E">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14:paraId="34C18253">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14:paraId="49A47CD2">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14:paraId="4B61E0C4">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ascii="仿宋_GB2312" w:hAnsi="仿宋" w:eastAsia="仿宋_GB2312" w:cs="仿宋_GB2312"/>
          <w:kern w:val="0"/>
          <w:sz w:val="24"/>
          <w:highlight w:val="none"/>
          <w:lang w:val="zh-CN"/>
        </w:rPr>
        <w:t xml:space="preserve"> ；……。</w:t>
      </w:r>
    </w:p>
    <w:p w14:paraId="32022A67">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14:paraId="0512B410">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14:paraId="246D46D7">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14:paraId="56202396">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14:paraId="40C1E465">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14:paraId="221DDEE3">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14:paraId="6D8974F6">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79341D2D">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02F3D522">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0C9A600B">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163C2528">
      <w:pPr>
        <w:spacing w:line="360" w:lineRule="auto"/>
        <w:ind w:firstLine="480" w:firstLineChars="200"/>
        <w:rPr>
          <w:rFonts w:ascii="仿宋_GB2312" w:hAnsi="仿宋" w:eastAsia="仿宋_GB2312" w:cs="仿宋_GB2312"/>
          <w:sz w:val="24"/>
          <w:highlight w:val="none"/>
        </w:rPr>
      </w:pPr>
    </w:p>
    <w:p w14:paraId="7E4E0010">
      <w:pPr>
        <w:spacing w:line="360" w:lineRule="auto"/>
        <w:ind w:firstLine="482" w:firstLineChars="200"/>
        <w:rPr>
          <w:rFonts w:ascii="仿宋" w:hAnsi="仿宋" w:eastAsia="仿宋"/>
          <w:sz w:val="24"/>
          <w:highlight w:val="none"/>
        </w:rPr>
      </w:pPr>
      <w:r>
        <w:rPr>
          <w:rFonts w:ascii="仿宋_GB2312" w:hAnsi="仿宋" w:eastAsia="仿宋_GB2312" w:cs="仿宋_GB2312"/>
          <w:b/>
          <w:sz w:val="24"/>
          <w:highlight w:val="none"/>
        </w:rPr>
        <w:t>C、</w:t>
      </w:r>
      <w:r>
        <w:rPr>
          <w:rFonts w:hint="eastAsia" w:ascii="仿宋_GB2312" w:hAnsi="仿宋" w:eastAsia="仿宋_GB2312" w:cs="仿宋_GB2312"/>
          <w:sz w:val="24"/>
          <w:highlight w:val="none"/>
        </w:rPr>
        <w:t>要求合同分包的，提供分包意向协议和中小企业声明函（附件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616F8262">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分包意向协议</w:t>
      </w:r>
    </w:p>
    <w:p w14:paraId="58192CBC">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14:paraId="4288B9E1">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14:paraId="2E485E3A">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14:paraId="003BE8D6">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14:paraId="3DD7C75D">
      <w:pPr>
        <w:pStyle w:val="3"/>
        <w:ind w:left="664" w:leftChars="316" w:firstLine="229" w:firstLineChars="95"/>
        <w:rPr>
          <w:highlight w:val="none"/>
        </w:rPr>
      </w:pPr>
      <w:r>
        <w:rPr>
          <w:rFonts w:hint="eastAsia" w:cs="仿宋_GB2312"/>
          <w:kern w:val="0"/>
          <w:sz w:val="24"/>
          <w:szCs w:val="24"/>
          <w:highlight w:val="none"/>
        </w:rPr>
        <w:t>……</w:t>
      </w:r>
    </w:p>
    <w:p w14:paraId="066C4381">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14:paraId="3968A0E6">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14:paraId="374A5D6F">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14:paraId="598474D7">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132527B1">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14:paraId="4E652F93">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1F4A7334">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14:paraId="4033E988">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16A28D59">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14:paraId="1C7BD5DA">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78FA8695">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14:paraId="43968C6B">
      <w:pPr>
        <w:snapToGrid w:val="0"/>
        <w:spacing w:line="360" w:lineRule="auto"/>
        <w:ind w:left="5758" w:leftChars="342" w:hanging="5040" w:hangingChars="2100"/>
        <w:rPr>
          <w:rFonts w:ascii="仿宋_GB2312" w:hAnsi="仿宋" w:eastAsia="仿宋_GB2312" w:cs="仿宋_GB2312"/>
          <w:kern w:val="0"/>
          <w:sz w:val="24"/>
          <w:highlight w:val="none"/>
          <w:lang w:val="zh-CN"/>
        </w:rPr>
      </w:pP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ascii="仿宋_GB2312" w:hAnsi="仿宋" w:eastAsia="仿宋_GB2312" w:cs="仿宋_GB2312"/>
          <w:kern w:val="0"/>
          <w:sz w:val="24"/>
          <w:highlight w:val="none"/>
          <w:lang w:val="zh-CN"/>
        </w:rPr>
        <w:t xml:space="preserve">  。                                           投标人名称(电子签名)：</w:t>
      </w:r>
    </w:p>
    <w:p w14:paraId="4B4F339B">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14:paraId="1BDE19DE">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6A716A4F">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lang w:val="zh-CN"/>
        </w:rPr>
        <w:t xml:space="preserve">                                        日期：  年  月   日</w:t>
      </w:r>
    </w:p>
    <w:p w14:paraId="2631761A">
      <w:pPr>
        <w:pStyle w:val="44"/>
        <w:rPr>
          <w:rFonts w:hint="eastAsia" w:ascii="仿宋" w:hAnsi="仿宋" w:eastAsia="仿宋" w:cs="仿宋"/>
          <w:kern w:val="2"/>
          <w:sz w:val="28"/>
          <w:szCs w:val="28"/>
          <w:highlight w:val="none"/>
          <w:lang w:val="en-US" w:eastAsia="zh-CN" w:bidi="ar-SA"/>
        </w:rPr>
      </w:pPr>
    </w:p>
    <w:p w14:paraId="67089A73">
      <w:pPr>
        <w:rPr>
          <w:rFonts w:hint="eastAsia" w:ascii="仿宋" w:hAnsi="仿宋" w:eastAsia="仿宋" w:cs="仿宋"/>
          <w:kern w:val="2"/>
          <w:sz w:val="28"/>
          <w:szCs w:val="28"/>
          <w:highlight w:val="none"/>
          <w:lang w:val="en-US" w:eastAsia="zh-CN" w:bidi="ar-SA"/>
        </w:rPr>
      </w:pPr>
    </w:p>
    <w:p w14:paraId="46AC3850">
      <w:pPr>
        <w:pStyle w:val="44"/>
        <w:jc w:val="center"/>
        <w:rPr>
          <w:rFonts w:hint="eastAsia" w:ascii="仿宋_GB2312" w:hAnsi="仿宋" w:eastAsia="仿宋_GB2312" w:cs="仿宋_GB2312"/>
          <w:b/>
          <w:kern w:val="0"/>
          <w:sz w:val="32"/>
          <w:szCs w:val="32"/>
          <w:highlight w:val="none"/>
          <w:lang w:val="en-US" w:eastAsia="zh-CN" w:bidi="ar-SA"/>
        </w:rPr>
      </w:pPr>
      <w:r>
        <w:rPr>
          <w:rFonts w:hint="eastAsia" w:ascii="仿宋_GB2312" w:hAnsi="仿宋" w:eastAsia="仿宋_GB2312" w:cs="仿宋_GB2312"/>
          <w:b/>
          <w:kern w:val="0"/>
          <w:sz w:val="32"/>
          <w:szCs w:val="32"/>
          <w:highlight w:val="none"/>
          <w:lang w:val="en-US" w:eastAsia="zh-CN" w:bidi="ar-SA"/>
        </w:rPr>
        <w:t>三、</w:t>
      </w:r>
      <w:r>
        <w:rPr>
          <w:rFonts w:hint="eastAsia" w:ascii="仿宋_GB2312" w:hAnsi="仿宋" w:eastAsia="仿宋_GB2312" w:cs="仿宋_GB2312"/>
          <w:b/>
          <w:kern w:val="0"/>
          <w:sz w:val="32"/>
          <w:szCs w:val="32"/>
          <w:highlight w:val="none"/>
        </w:rPr>
        <w:t>本项目的特定资格要求</w:t>
      </w:r>
    </w:p>
    <w:p w14:paraId="5BF4BA90">
      <w:pPr>
        <w:rPr>
          <w:rFonts w:hint="eastAsia" w:ascii="仿宋" w:hAnsi="仿宋" w:eastAsia="仿宋" w:cs="仿宋"/>
          <w:kern w:val="2"/>
          <w:sz w:val="28"/>
          <w:szCs w:val="28"/>
          <w:highlight w:val="none"/>
          <w:lang w:val="en-US" w:eastAsia="zh-CN" w:bidi="ar-SA"/>
        </w:rPr>
      </w:pPr>
    </w:p>
    <w:p w14:paraId="13FE870C">
      <w:pPr>
        <w:pStyle w:val="44"/>
        <w:rPr>
          <w:rFonts w:hint="eastAsia" w:ascii="仿宋" w:hAnsi="仿宋" w:eastAsia="仿宋" w:cs="仿宋"/>
          <w:kern w:val="2"/>
          <w:sz w:val="28"/>
          <w:szCs w:val="28"/>
          <w:highlight w:val="none"/>
          <w:lang w:val="en-US" w:eastAsia="zh-CN" w:bidi="ar-SA"/>
        </w:rPr>
      </w:pPr>
    </w:p>
    <w:p w14:paraId="5F73B02E">
      <w:pPr>
        <w:spacing w:line="360" w:lineRule="auto"/>
        <w:jc w:val="center"/>
        <w:rPr>
          <w:rFonts w:ascii="仿宋_GB2312" w:hAnsi="仿宋" w:eastAsia="仿宋_GB2312"/>
          <w:sz w:val="24"/>
          <w:highlight w:val="none"/>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提供相应的材料；未要求的，无需提供</w:t>
      </w:r>
      <w:r>
        <w:rPr>
          <w:rFonts w:hint="eastAsia" w:ascii="仿宋_GB2312" w:hAnsi="仿宋" w:eastAsia="仿宋_GB2312" w:cs="仿宋_GB2312"/>
          <w:sz w:val="24"/>
          <w:highlight w:val="none"/>
        </w:rPr>
        <w:t>）</w:t>
      </w:r>
    </w:p>
    <w:p w14:paraId="1F1555D0">
      <w:pPr>
        <w:snapToGrid w:val="0"/>
        <w:spacing w:line="360" w:lineRule="auto"/>
        <w:ind w:firstLine="560" w:firstLineChars="200"/>
        <w:rPr>
          <w:rFonts w:hint="eastAsia" w:ascii="仿宋" w:hAnsi="仿宋" w:eastAsia="仿宋" w:cs="仿宋"/>
          <w:sz w:val="28"/>
          <w:szCs w:val="28"/>
          <w:highlight w:val="none"/>
        </w:rPr>
      </w:pPr>
    </w:p>
    <w:p w14:paraId="2831F843">
      <w:pPr>
        <w:snapToGrid w:val="0"/>
        <w:spacing w:line="360" w:lineRule="auto"/>
        <w:rPr>
          <w:rFonts w:hint="eastAsia" w:ascii="仿宋" w:hAnsi="仿宋" w:eastAsia="仿宋" w:cs="仿宋"/>
          <w:kern w:val="0"/>
          <w:sz w:val="28"/>
          <w:szCs w:val="28"/>
          <w:highlight w:val="none"/>
          <w:lang w:val="zh-CN"/>
        </w:rPr>
      </w:pPr>
    </w:p>
    <w:p w14:paraId="4B215121">
      <w:pPr>
        <w:jc w:val="righ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 xml:space="preserve"> </w:t>
      </w:r>
    </w:p>
    <w:p w14:paraId="3DFB7500">
      <w:pPr>
        <w:pStyle w:val="79"/>
        <w:rPr>
          <w:rFonts w:hint="eastAsia" w:ascii="仿宋" w:hAnsi="仿宋" w:eastAsia="仿宋" w:cs="仿宋"/>
          <w:kern w:val="0"/>
          <w:sz w:val="28"/>
          <w:szCs w:val="28"/>
          <w:highlight w:val="none"/>
          <w:lang w:val="zh-CN"/>
        </w:rPr>
      </w:pPr>
    </w:p>
    <w:p w14:paraId="03A89716">
      <w:pPr>
        <w:pStyle w:val="79"/>
        <w:rPr>
          <w:rFonts w:hint="eastAsia" w:ascii="仿宋" w:hAnsi="仿宋" w:eastAsia="仿宋" w:cs="仿宋"/>
          <w:kern w:val="0"/>
          <w:sz w:val="28"/>
          <w:szCs w:val="28"/>
          <w:highlight w:val="none"/>
          <w:lang w:val="zh-CN"/>
        </w:rPr>
      </w:pPr>
    </w:p>
    <w:p w14:paraId="163161E6">
      <w:pPr>
        <w:snapToGrid w:val="0"/>
        <w:spacing w:line="360" w:lineRule="auto"/>
        <w:ind w:right="480"/>
        <w:jc w:val="center"/>
        <w:rPr>
          <w:rFonts w:ascii="仿宋_GB2312" w:hAnsi="仿宋" w:eastAsia="仿宋_GB2312" w:cs="仿宋_GB2312"/>
          <w:b/>
          <w:kern w:val="0"/>
          <w:sz w:val="32"/>
          <w:szCs w:val="32"/>
          <w:highlight w:val="none"/>
        </w:rPr>
      </w:pPr>
    </w:p>
    <w:p w14:paraId="6DA8C513">
      <w:pPr>
        <w:snapToGrid w:val="0"/>
        <w:spacing w:line="360" w:lineRule="auto"/>
        <w:ind w:right="480"/>
        <w:jc w:val="center"/>
        <w:rPr>
          <w:rFonts w:ascii="仿宋_GB2312" w:hAnsi="仿宋" w:eastAsia="仿宋_GB2312" w:cs="仿宋_GB2312"/>
          <w:b/>
          <w:kern w:val="0"/>
          <w:sz w:val="32"/>
          <w:szCs w:val="32"/>
          <w:highlight w:val="none"/>
        </w:rPr>
      </w:pPr>
    </w:p>
    <w:p w14:paraId="348B9DBD">
      <w:pPr>
        <w:snapToGrid w:val="0"/>
        <w:spacing w:line="360" w:lineRule="auto"/>
        <w:ind w:right="480"/>
        <w:jc w:val="center"/>
        <w:rPr>
          <w:rFonts w:ascii="仿宋_GB2312" w:hAnsi="仿宋" w:eastAsia="仿宋_GB2312" w:cs="仿宋_GB2312"/>
          <w:b/>
          <w:kern w:val="0"/>
          <w:sz w:val="32"/>
          <w:szCs w:val="32"/>
          <w:highlight w:val="none"/>
        </w:rPr>
      </w:pPr>
    </w:p>
    <w:p w14:paraId="54835EF9">
      <w:pPr>
        <w:rPr>
          <w:highlight w:val="none"/>
        </w:rPr>
      </w:pPr>
    </w:p>
    <w:p w14:paraId="1AE32647">
      <w:pPr>
        <w:snapToGrid w:val="0"/>
        <w:spacing w:line="360" w:lineRule="auto"/>
        <w:ind w:right="480"/>
        <w:jc w:val="center"/>
        <w:rPr>
          <w:rFonts w:ascii="仿宋_GB2312" w:hAnsi="仿宋" w:eastAsia="仿宋_GB2312" w:cs="仿宋_GB2312"/>
          <w:b/>
          <w:kern w:val="0"/>
          <w:sz w:val="32"/>
          <w:szCs w:val="32"/>
          <w:highlight w:val="none"/>
        </w:rPr>
      </w:pPr>
    </w:p>
    <w:p w14:paraId="742B36AB">
      <w:pPr>
        <w:snapToGrid w:val="0"/>
        <w:spacing w:line="360" w:lineRule="auto"/>
        <w:ind w:right="480"/>
        <w:jc w:val="center"/>
        <w:rPr>
          <w:rFonts w:ascii="仿宋_GB2312" w:hAnsi="仿宋" w:eastAsia="仿宋_GB2312" w:cs="仿宋_GB2312"/>
          <w:b/>
          <w:kern w:val="0"/>
          <w:sz w:val="32"/>
          <w:szCs w:val="32"/>
          <w:highlight w:val="none"/>
        </w:rPr>
      </w:pPr>
    </w:p>
    <w:p w14:paraId="66618938">
      <w:pPr>
        <w:snapToGrid w:val="0"/>
        <w:spacing w:line="360" w:lineRule="auto"/>
        <w:ind w:right="480"/>
        <w:jc w:val="center"/>
        <w:rPr>
          <w:rFonts w:ascii="仿宋_GB2312" w:hAnsi="仿宋" w:eastAsia="仿宋_GB2312" w:cs="仿宋_GB2312"/>
          <w:b/>
          <w:kern w:val="0"/>
          <w:sz w:val="32"/>
          <w:szCs w:val="32"/>
          <w:highlight w:val="none"/>
        </w:rPr>
      </w:pPr>
    </w:p>
    <w:p w14:paraId="3B668E8F">
      <w:pPr>
        <w:pStyle w:val="79"/>
        <w:rPr>
          <w:rFonts w:ascii="仿宋_GB2312" w:hAnsi="仿宋" w:eastAsia="仿宋_GB2312" w:cs="仿宋_GB2312"/>
          <w:b/>
          <w:kern w:val="0"/>
          <w:sz w:val="32"/>
          <w:szCs w:val="32"/>
          <w:highlight w:val="none"/>
        </w:rPr>
      </w:pPr>
    </w:p>
    <w:p w14:paraId="3E2B09AC">
      <w:pPr>
        <w:pStyle w:val="79"/>
        <w:rPr>
          <w:rFonts w:ascii="仿宋_GB2312" w:hAnsi="仿宋" w:eastAsia="仿宋_GB2312" w:cs="仿宋_GB2312"/>
          <w:b/>
          <w:kern w:val="0"/>
          <w:sz w:val="32"/>
          <w:szCs w:val="32"/>
          <w:highlight w:val="none"/>
        </w:rPr>
      </w:pPr>
    </w:p>
    <w:p w14:paraId="24D27378">
      <w:pPr>
        <w:pStyle w:val="79"/>
        <w:rPr>
          <w:rFonts w:ascii="仿宋_GB2312" w:hAnsi="仿宋" w:eastAsia="仿宋_GB2312" w:cs="仿宋_GB2312"/>
          <w:b/>
          <w:kern w:val="0"/>
          <w:sz w:val="32"/>
          <w:szCs w:val="32"/>
          <w:highlight w:val="none"/>
        </w:rPr>
      </w:pPr>
    </w:p>
    <w:p w14:paraId="24115E1C">
      <w:pPr>
        <w:pStyle w:val="79"/>
        <w:rPr>
          <w:rFonts w:ascii="仿宋_GB2312" w:hAnsi="仿宋" w:eastAsia="仿宋_GB2312" w:cs="仿宋_GB2312"/>
          <w:b/>
          <w:kern w:val="0"/>
          <w:sz w:val="32"/>
          <w:szCs w:val="32"/>
          <w:highlight w:val="none"/>
        </w:rPr>
      </w:pPr>
    </w:p>
    <w:p w14:paraId="2EA6B264">
      <w:pPr>
        <w:pStyle w:val="79"/>
        <w:rPr>
          <w:rFonts w:ascii="仿宋_GB2312" w:hAnsi="仿宋" w:eastAsia="仿宋_GB2312" w:cs="仿宋_GB2312"/>
          <w:b/>
          <w:kern w:val="0"/>
          <w:sz w:val="32"/>
          <w:szCs w:val="32"/>
          <w:highlight w:val="none"/>
        </w:rPr>
      </w:pPr>
    </w:p>
    <w:p w14:paraId="49E70FE8">
      <w:pPr>
        <w:spacing w:line="360" w:lineRule="auto"/>
        <w:ind w:right="420"/>
        <w:jc w:val="center"/>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14:paraId="2C75D97D">
      <w:pPr>
        <w:spacing w:line="360" w:lineRule="auto"/>
        <w:jc w:val="center"/>
        <w:outlineLvl w:val="0"/>
        <w:rPr>
          <w:rFonts w:ascii="仿宋_GB2312" w:hAnsi="仿宋" w:eastAsia="仿宋_GB2312" w:cs="仿宋_GB2312"/>
          <w:b/>
          <w:kern w:val="0"/>
          <w:sz w:val="24"/>
          <w:highlight w:val="none"/>
        </w:rPr>
      </w:pPr>
    </w:p>
    <w:p w14:paraId="78F56535">
      <w:pPr>
        <w:spacing w:line="360" w:lineRule="auto"/>
        <w:jc w:val="center"/>
        <w:outlineLvl w:val="0"/>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14:paraId="0F9AC3F5">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14:paraId="6B6CD311">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3）联合协议</w:t>
      </w:r>
      <w:r>
        <w:rPr>
          <w:rFonts w:hint="eastAsia" w:ascii="仿宋_GB2312" w:hAnsi="仿宋" w:eastAsia="仿宋_GB2312" w:cs="仿宋_GB2312"/>
          <w:sz w:val="24"/>
          <w:highlight w:val="none"/>
        </w:rPr>
        <w:t>（如果有）</w:t>
      </w:r>
      <w:r>
        <w:rPr>
          <w:rFonts w:hint="eastAsia" w:cs="仿宋_GB2312"/>
          <w:highlight w:val="none"/>
        </w:rPr>
        <w:t>…………………………………………………………………（页码）</w:t>
      </w:r>
    </w:p>
    <w:p w14:paraId="23B007B7">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4）分包意向协议</w:t>
      </w:r>
      <w:r>
        <w:rPr>
          <w:rFonts w:hint="eastAsia" w:ascii="仿宋_GB2312" w:hAnsi="仿宋" w:eastAsia="仿宋_GB2312" w:cs="仿宋_GB2312"/>
          <w:sz w:val="24"/>
          <w:highlight w:val="none"/>
        </w:rPr>
        <w:t>（如果有）</w:t>
      </w:r>
      <w:r>
        <w:rPr>
          <w:rFonts w:hint="eastAsia" w:cs="仿宋_GB2312"/>
          <w:highlight w:val="none"/>
        </w:rPr>
        <w:t>…………………………………………………………（页码）</w:t>
      </w:r>
    </w:p>
    <w:p w14:paraId="0E41F09A">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5）符合性审查资料</w:t>
      </w:r>
      <w:r>
        <w:rPr>
          <w:rFonts w:hint="eastAsia" w:cs="仿宋_GB2312"/>
          <w:highlight w:val="none"/>
        </w:rPr>
        <w:t>………………………………………………………………………（页码）</w:t>
      </w:r>
    </w:p>
    <w:p w14:paraId="77DDEBE3">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6）评标标准相应的商务技术资料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14:paraId="606EABB9">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7）商务技术偏离表</w:t>
      </w:r>
      <w:r>
        <w:rPr>
          <w:rFonts w:hint="eastAsia" w:cs="仿宋_GB2312"/>
          <w:highlight w:val="none"/>
        </w:rPr>
        <w:t>………………………………………………………………………（页码）</w:t>
      </w:r>
    </w:p>
    <w:p w14:paraId="620683E4">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14:paraId="03D1178F">
      <w:pPr>
        <w:pStyle w:val="44"/>
        <w:rPr>
          <w:rFonts w:hint="eastAsia"/>
          <w:highlight w:val="none"/>
        </w:rPr>
      </w:pPr>
    </w:p>
    <w:p w14:paraId="7808CDB1">
      <w:pPr>
        <w:snapToGrid w:val="0"/>
        <w:spacing w:line="360" w:lineRule="auto"/>
        <w:jc w:val="center"/>
        <w:rPr>
          <w:rFonts w:ascii="仿宋_GB2312" w:hAnsi="仿宋" w:eastAsia="仿宋_GB2312" w:cs="仿宋_GB2312"/>
          <w:b/>
          <w:kern w:val="0"/>
          <w:sz w:val="32"/>
          <w:szCs w:val="32"/>
          <w:highlight w:val="none"/>
          <w:lang w:val="zh-CN"/>
        </w:rPr>
      </w:pPr>
    </w:p>
    <w:p w14:paraId="07D3CCAD">
      <w:pPr>
        <w:snapToGrid w:val="0"/>
        <w:spacing w:line="360" w:lineRule="auto"/>
        <w:jc w:val="center"/>
        <w:rPr>
          <w:rFonts w:ascii="仿宋_GB2312" w:hAnsi="仿宋" w:eastAsia="仿宋_GB2312" w:cs="仿宋_GB2312"/>
          <w:b/>
          <w:kern w:val="0"/>
          <w:sz w:val="32"/>
          <w:szCs w:val="32"/>
          <w:highlight w:val="none"/>
          <w:lang w:val="zh-CN"/>
        </w:rPr>
      </w:pPr>
    </w:p>
    <w:p w14:paraId="0DF67436">
      <w:pPr>
        <w:snapToGrid w:val="0"/>
        <w:spacing w:line="360" w:lineRule="auto"/>
        <w:jc w:val="center"/>
        <w:rPr>
          <w:rFonts w:ascii="仿宋_GB2312" w:hAnsi="仿宋" w:eastAsia="仿宋_GB2312" w:cs="仿宋_GB2312"/>
          <w:b/>
          <w:kern w:val="0"/>
          <w:sz w:val="32"/>
          <w:szCs w:val="32"/>
          <w:highlight w:val="none"/>
          <w:lang w:val="zh-CN"/>
        </w:rPr>
      </w:pPr>
    </w:p>
    <w:p w14:paraId="5E6614FB">
      <w:pPr>
        <w:snapToGrid w:val="0"/>
        <w:spacing w:line="360" w:lineRule="auto"/>
        <w:jc w:val="center"/>
        <w:rPr>
          <w:rFonts w:ascii="仿宋_GB2312" w:hAnsi="仿宋" w:eastAsia="仿宋_GB2312" w:cs="仿宋_GB2312"/>
          <w:b/>
          <w:kern w:val="0"/>
          <w:sz w:val="32"/>
          <w:szCs w:val="32"/>
          <w:highlight w:val="none"/>
          <w:lang w:val="zh-CN"/>
        </w:rPr>
      </w:pPr>
    </w:p>
    <w:p w14:paraId="3BEBFF2D">
      <w:pPr>
        <w:snapToGrid w:val="0"/>
        <w:spacing w:line="360" w:lineRule="auto"/>
        <w:jc w:val="center"/>
        <w:rPr>
          <w:rFonts w:ascii="仿宋_GB2312" w:hAnsi="仿宋" w:eastAsia="仿宋_GB2312" w:cs="仿宋_GB2312"/>
          <w:b/>
          <w:kern w:val="0"/>
          <w:sz w:val="32"/>
          <w:szCs w:val="32"/>
          <w:highlight w:val="none"/>
          <w:lang w:val="zh-CN"/>
        </w:rPr>
      </w:pPr>
    </w:p>
    <w:p w14:paraId="24A04154">
      <w:pPr>
        <w:snapToGrid w:val="0"/>
        <w:spacing w:line="360" w:lineRule="auto"/>
        <w:jc w:val="center"/>
        <w:outlineLvl w:val="0"/>
        <w:rPr>
          <w:rFonts w:ascii="仿宋_GB2312" w:hAnsi="仿宋" w:eastAsia="仿宋_GB2312" w:cs="仿宋_GB2312"/>
          <w:b/>
          <w:kern w:val="0"/>
          <w:sz w:val="32"/>
          <w:szCs w:val="32"/>
          <w:highlight w:val="none"/>
        </w:rPr>
      </w:pPr>
    </w:p>
    <w:p w14:paraId="2DD8B3D9">
      <w:pPr>
        <w:snapToGrid w:val="0"/>
        <w:spacing w:line="360" w:lineRule="auto"/>
        <w:jc w:val="center"/>
        <w:outlineLvl w:val="0"/>
        <w:rPr>
          <w:rFonts w:ascii="仿宋_GB2312" w:hAnsi="仿宋" w:eastAsia="仿宋_GB2312" w:cs="仿宋_GB2312"/>
          <w:b/>
          <w:kern w:val="0"/>
          <w:sz w:val="32"/>
          <w:szCs w:val="32"/>
          <w:highlight w:val="none"/>
        </w:rPr>
      </w:pPr>
    </w:p>
    <w:p w14:paraId="6FD9DA86">
      <w:pPr>
        <w:rPr>
          <w:highlight w:val="none"/>
        </w:rPr>
      </w:pPr>
    </w:p>
    <w:p w14:paraId="119020C5">
      <w:pPr>
        <w:snapToGrid w:val="0"/>
        <w:spacing w:line="360" w:lineRule="auto"/>
        <w:jc w:val="center"/>
        <w:outlineLvl w:val="0"/>
        <w:rPr>
          <w:rFonts w:ascii="仿宋_GB2312" w:hAnsi="仿宋" w:eastAsia="仿宋_GB2312" w:cs="仿宋_GB2312"/>
          <w:b/>
          <w:kern w:val="0"/>
          <w:sz w:val="32"/>
          <w:szCs w:val="32"/>
          <w:highlight w:val="none"/>
        </w:rPr>
      </w:pPr>
    </w:p>
    <w:p w14:paraId="10072197">
      <w:pPr>
        <w:snapToGrid w:val="0"/>
        <w:spacing w:line="360" w:lineRule="auto"/>
        <w:jc w:val="center"/>
        <w:outlineLvl w:val="0"/>
        <w:rPr>
          <w:rFonts w:ascii="仿宋_GB2312" w:hAnsi="仿宋" w:eastAsia="仿宋_GB2312" w:cs="仿宋_GB2312"/>
          <w:b/>
          <w:kern w:val="0"/>
          <w:sz w:val="32"/>
          <w:szCs w:val="32"/>
          <w:highlight w:val="none"/>
        </w:rPr>
      </w:pPr>
    </w:p>
    <w:p w14:paraId="67D78D5C">
      <w:pPr>
        <w:pStyle w:val="79"/>
        <w:rPr>
          <w:rFonts w:ascii="仿宋_GB2312" w:hAnsi="仿宋" w:eastAsia="仿宋_GB2312" w:cs="仿宋_GB2312"/>
          <w:b/>
          <w:kern w:val="0"/>
          <w:sz w:val="32"/>
          <w:szCs w:val="32"/>
          <w:highlight w:val="none"/>
        </w:rPr>
      </w:pPr>
    </w:p>
    <w:p w14:paraId="448AB71F">
      <w:pPr>
        <w:pStyle w:val="79"/>
        <w:rPr>
          <w:rFonts w:ascii="仿宋_GB2312" w:hAnsi="仿宋" w:eastAsia="仿宋_GB2312" w:cs="仿宋_GB2312"/>
          <w:b/>
          <w:kern w:val="0"/>
          <w:sz w:val="32"/>
          <w:szCs w:val="32"/>
          <w:highlight w:val="none"/>
        </w:rPr>
      </w:pPr>
    </w:p>
    <w:p w14:paraId="0A472D75">
      <w:pPr>
        <w:snapToGrid w:val="0"/>
        <w:spacing w:line="360" w:lineRule="auto"/>
        <w:jc w:val="center"/>
        <w:outlineLvl w:val="0"/>
        <w:rPr>
          <w:rFonts w:ascii="仿宋_GB2312" w:hAnsi="仿宋" w:eastAsia="仿宋_GB2312" w:cs="仿宋_GB2312"/>
          <w:b/>
          <w:kern w:val="0"/>
          <w:sz w:val="32"/>
          <w:szCs w:val="32"/>
          <w:highlight w:val="none"/>
        </w:rPr>
      </w:pPr>
    </w:p>
    <w:p w14:paraId="4E1EC65F">
      <w:pPr>
        <w:snapToGrid w:val="0"/>
        <w:spacing w:line="360" w:lineRule="auto"/>
        <w:jc w:val="center"/>
        <w:outlineLvl w:val="0"/>
        <w:rPr>
          <w:rFonts w:ascii="仿宋_GB2312" w:hAnsi="仿宋" w:eastAsia="仿宋_GB2312" w:cs="仿宋_GB2312"/>
          <w:b/>
          <w:kern w:val="0"/>
          <w:sz w:val="32"/>
          <w:szCs w:val="32"/>
          <w:highlight w:val="none"/>
        </w:rPr>
      </w:pPr>
    </w:p>
    <w:p w14:paraId="75ED63EB">
      <w:pPr>
        <w:snapToGrid w:val="0"/>
        <w:spacing w:line="360" w:lineRule="auto"/>
        <w:jc w:val="center"/>
        <w:outlineLvl w:val="0"/>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14:paraId="65F3C59A">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14:paraId="76D6978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w:t>
      </w:r>
      <w:r>
        <w:rPr>
          <w:rFonts w:hint="eastAsia" w:ascii="仿宋_GB2312" w:hAnsi="仿宋" w:eastAsia="仿宋_GB2312" w:cs="仿宋_GB2312"/>
          <w:sz w:val="24"/>
          <w:highlight w:val="none"/>
          <w:u w:val="single"/>
        </w:rPr>
        <w:t>（项目名称）</w:t>
      </w:r>
      <w:r>
        <w:rPr>
          <w:rFonts w:hint="eastAsia" w:ascii="仿宋_GB2312" w:hAnsi="仿宋" w:eastAsia="仿宋_GB2312" w:cs="仿宋_GB2312"/>
          <w:sz w:val="24"/>
          <w:highlight w:val="none"/>
        </w:rPr>
        <w:t>【招标编号：</w:t>
      </w:r>
      <w:r>
        <w:rPr>
          <w:rFonts w:hint="eastAsia" w:ascii="仿宋_GB2312" w:hAnsi="仿宋" w:eastAsia="仿宋_GB2312"/>
          <w:sz w:val="24"/>
          <w:highlight w:val="none"/>
          <w:u w:val="single"/>
        </w:rPr>
        <w:t>（采购编号）</w:t>
      </w:r>
      <w:r>
        <w:rPr>
          <w:rFonts w:hint="eastAsia" w:ascii="仿宋_GB2312" w:hAnsi="仿宋" w:eastAsia="仿宋_GB2312" w:cs="仿宋_GB2312"/>
          <w:sz w:val="24"/>
          <w:highlight w:val="none"/>
        </w:rPr>
        <w:t>】招标的有关活动，并对此项目进行投标。为此：</w:t>
      </w:r>
    </w:p>
    <w:p w14:paraId="6997253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14:paraId="0A8DC22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14:paraId="4C1D41D9">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14:paraId="3F3C576F">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14:paraId="0BA12758">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（如果有）；</w:t>
      </w:r>
    </w:p>
    <w:p w14:paraId="19008C5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14:paraId="71B702C3">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14:paraId="5E933ACD">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14:paraId="61D594B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14:paraId="356D8B0F">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14:paraId="71D62F1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14:paraId="34A8DBC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2.2.5符合性审查资料；</w:t>
      </w:r>
    </w:p>
    <w:p w14:paraId="43F07FC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14:paraId="024E0FAD">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2.2.7商务技术偏离表；</w:t>
      </w:r>
    </w:p>
    <w:p w14:paraId="3EF2945F">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14:paraId="685DEA9D">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14:paraId="731ECB26">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14:paraId="61437E8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2.3.2中小企业声明函</w:t>
      </w:r>
      <w:r>
        <w:rPr>
          <w:rFonts w:hint="eastAsia" w:ascii="仿宋_GB2312" w:hAnsi="仿宋" w:eastAsia="仿宋_GB2312" w:cs="仿宋_GB2312"/>
          <w:sz w:val="24"/>
          <w:highlight w:val="none"/>
        </w:rPr>
        <w:t>（如果有）。</w:t>
      </w:r>
    </w:p>
    <w:p w14:paraId="10CC222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14:paraId="6DD3A31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14:paraId="06CD45A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14:paraId="3C14A94A">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14:paraId="795F7CF9">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14:paraId="1A292854">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14:paraId="6AA8F00F">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14:paraId="3654B823">
      <w:pPr>
        <w:keepNext w:val="0"/>
        <w:keepLines w:val="0"/>
        <w:pageBreakBefore w:val="0"/>
        <w:widowControl w:val="0"/>
        <w:kinsoku/>
        <w:wordWrap/>
        <w:overflowPunct/>
        <w:topLinePunct w:val="0"/>
        <w:autoSpaceDE/>
        <w:autoSpaceDN/>
        <w:bidi w:val="0"/>
        <w:adjustRightInd w:val="0"/>
        <w:spacing w:line="420" w:lineRule="exact"/>
        <w:ind w:firstLine="3600" w:firstLineChars="15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14:paraId="207227DC">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14:paraId="6162AACE">
      <w:pPr>
        <w:snapToGrid w:val="0"/>
        <w:spacing w:line="360" w:lineRule="auto"/>
        <w:ind w:left="420" w:leftChars="200" w:firstLine="4200" w:firstLineChars="1750"/>
        <w:rPr>
          <w:rFonts w:ascii="仿宋_GB2312" w:hAnsi="仿宋" w:eastAsia="仿宋_GB2312" w:cs="仿宋_GB2312"/>
          <w:kern w:val="0"/>
          <w:sz w:val="24"/>
          <w:highlight w:val="none"/>
          <w:u w:val="single"/>
          <w:lang w:val="zh-CN"/>
        </w:rPr>
      </w:pPr>
    </w:p>
    <w:p w14:paraId="4FA6DADC">
      <w:pPr>
        <w:jc w:val="center"/>
        <w:rPr>
          <w:rFonts w:ascii="仿宋_GB2312" w:hAnsi="仿宋" w:eastAsia="仿宋_GB2312" w:cs="仿宋_GB2312"/>
          <w:b/>
          <w:kern w:val="0"/>
          <w:sz w:val="32"/>
          <w:szCs w:val="32"/>
          <w:highlight w:val="none"/>
          <w:lang w:val="zh-CN"/>
        </w:rPr>
      </w:pPr>
    </w:p>
    <w:p w14:paraId="60C2A68F">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授权委托书或法定代表人（单位负责人、自然人本人）身份证明</w:t>
      </w:r>
    </w:p>
    <w:p w14:paraId="2744CB0B">
      <w:pPr>
        <w:snapToGrid w:val="0"/>
        <w:spacing w:line="360" w:lineRule="auto"/>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14:paraId="42B335DA">
      <w:pPr>
        <w:snapToGrid w:val="0"/>
        <w:spacing w:line="360" w:lineRule="auto"/>
        <w:ind w:firstLine="2872" w:firstLineChars="894"/>
        <w:rPr>
          <w:highlight w:val="none"/>
        </w:rPr>
      </w:pPr>
      <w:r>
        <w:rPr>
          <w:rFonts w:hint="eastAsia" w:ascii="仿宋_GB2312" w:hAnsi="仿宋" w:eastAsia="仿宋_GB2312" w:cs="仿宋_GB2312"/>
          <w:b/>
          <w:kern w:val="0"/>
          <w:sz w:val="32"/>
          <w:szCs w:val="32"/>
          <w:highlight w:val="none"/>
          <w:lang w:val="zh-CN"/>
        </w:rPr>
        <w:t>授权委托书（适用于非联合体投标）</w:t>
      </w:r>
      <w:r>
        <w:rPr>
          <w:highlight w:val="none"/>
        </w:rPr>
        <w:t xml:space="preserve">                               </w:t>
      </w:r>
    </w:p>
    <w:p w14:paraId="472543F7">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14:paraId="280B4100">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14:paraId="042371DA">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14:paraId="52F201C2">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14:paraId="3AEF2545">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投标人名称(电子签名)：</w:t>
      </w:r>
    </w:p>
    <w:p w14:paraId="1B2A70BC">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14:paraId="4240E78C">
      <w:pPr>
        <w:snapToGrid w:val="0"/>
        <w:spacing w:line="360" w:lineRule="auto"/>
        <w:rPr>
          <w:rFonts w:ascii="仿宋_GB2312" w:hAnsi="仿宋" w:eastAsia="仿宋_GB2312" w:cs="仿宋_GB2312"/>
          <w:sz w:val="24"/>
          <w:highlight w:val="none"/>
        </w:rPr>
      </w:pPr>
    </w:p>
    <w:p w14:paraId="1D0D5613">
      <w:pPr>
        <w:snapToGrid w:val="0"/>
        <w:spacing w:line="360" w:lineRule="auto"/>
        <w:rPr>
          <w:rFonts w:ascii="仿宋_GB2312" w:hAnsi="仿宋" w:eastAsia="仿宋_GB2312" w:cs="仿宋_GB2312"/>
          <w:sz w:val="24"/>
          <w:highlight w:val="none"/>
        </w:rPr>
      </w:pPr>
    </w:p>
    <w:p w14:paraId="5B371FD6">
      <w:pPr>
        <w:snapToGrid w:val="0"/>
        <w:spacing w:line="360" w:lineRule="auto"/>
        <w:rPr>
          <w:rFonts w:ascii="仿宋_GB2312" w:hAnsi="仿宋" w:eastAsia="仿宋_GB2312" w:cs="仿宋_GB2312"/>
          <w:sz w:val="24"/>
          <w:highlight w:val="none"/>
        </w:rPr>
      </w:pPr>
    </w:p>
    <w:p w14:paraId="58C586BB">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lang w:val="zh-CN"/>
        </w:rPr>
        <w:t xml:space="preserve">      </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授权委托书（适用于联合体投标）</w:t>
      </w:r>
    </w:p>
    <w:p w14:paraId="30E22210">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14:paraId="101FA213">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14:paraId="566FB79E">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14:paraId="1D349CC0">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14:paraId="4E809F5D">
      <w:pPr>
        <w:jc w:val="center"/>
        <w:rPr>
          <w:rFonts w:ascii="仿宋_GB2312" w:hAnsi="仿宋" w:eastAsia="仿宋_GB2312" w:cs="仿宋_GB2312"/>
          <w:b/>
          <w:kern w:val="0"/>
          <w:sz w:val="32"/>
          <w:szCs w:val="32"/>
          <w:highlight w:val="none"/>
        </w:rPr>
      </w:pPr>
    </w:p>
    <w:p w14:paraId="580B2D49">
      <w:pPr>
        <w:jc w:val="center"/>
        <w:rPr>
          <w:rFonts w:ascii="仿宋_GB2312" w:hAnsi="仿宋" w:eastAsia="仿宋_GB2312" w:cs="仿宋_GB2312"/>
          <w:b/>
          <w:kern w:val="0"/>
          <w:sz w:val="32"/>
          <w:szCs w:val="32"/>
          <w:highlight w:val="none"/>
        </w:rPr>
      </w:pPr>
    </w:p>
    <w:p w14:paraId="0A320BD0">
      <w:pPr>
        <w:jc w:val="center"/>
        <w:rPr>
          <w:rFonts w:ascii="仿宋_GB2312" w:hAnsi="仿宋" w:eastAsia="仿宋_GB2312" w:cs="仿宋_GB2312"/>
          <w:b/>
          <w:kern w:val="0"/>
          <w:sz w:val="32"/>
          <w:szCs w:val="32"/>
          <w:highlight w:val="none"/>
        </w:rPr>
      </w:pPr>
    </w:p>
    <w:p w14:paraId="37CAF925">
      <w:pPr>
        <w:rPr>
          <w:highlight w:val="none"/>
        </w:rPr>
      </w:pPr>
    </w:p>
    <w:p w14:paraId="2A258968">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5546E613">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3F526241">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538F8AEC">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1BEACEAF">
      <w:pPr>
        <w:pStyle w:val="3"/>
        <w:rPr>
          <w:highlight w:val="none"/>
          <w:lang w:val="zh-CN"/>
        </w:rPr>
      </w:pPr>
    </w:p>
    <w:p w14:paraId="09540F1C">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14:paraId="750E3076">
      <w:pPr>
        <w:pStyle w:val="147"/>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FD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51081B">
            <w:pPr>
              <w:pStyle w:val="147"/>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14:paraId="75BC9F78">
            <w:pPr>
              <w:pStyle w:val="147"/>
              <w:adjustRightInd w:val="0"/>
              <w:spacing w:line="360" w:lineRule="auto"/>
              <w:rPr>
                <w:rFonts w:ascii="仿宋_GB2312" w:hAnsi="仿宋" w:eastAsia="仿宋_GB2312"/>
                <w:bCs/>
                <w:sz w:val="24"/>
                <w:highlight w:val="none"/>
              </w:rPr>
            </w:pPr>
          </w:p>
        </w:tc>
      </w:tr>
    </w:tbl>
    <w:p w14:paraId="724D882A">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14:paraId="6742C7FB">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14:paraId="4C138D35">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31C07854">
      <w:pPr>
        <w:jc w:val="center"/>
        <w:rPr>
          <w:rFonts w:ascii="仿宋_GB2312" w:hAnsi="仿宋" w:eastAsia="仿宋_GB2312" w:cs="仿宋_GB2312"/>
          <w:b/>
          <w:kern w:val="0"/>
          <w:sz w:val="32"/>
          <w:szCs w:val="32"/>
          <w:highlight w:val="none"/>
        </w:rPr>
      </w:pPr>
    </w:p>
    <w:p w14:paraId="7A344717">
      <w:pPr>
        <w:jc w:val="center"/>
        <w:rPr>
          <w:rFonts w:ascii="仿宋_GB2312" w:hAnsi="仿宋" w:eastAsia="仿宋_GB2312" w:cs="仿宋_GB2312"/>
          <w:b/>
          <w:kern w:val="0"/>
          <w:sz w:val="32"/>
          <w:szCs w:val="32"/>
          <w:highlight w:val="none"/>
        </w:rPr>
      </w:pPr>
    </w:p>
    <w:p w14:paraId="4DB1C623">
      <w:pPr>
        <w:jc w:val="center"/>
        <w:rPr>
          <w:rFonts w:ascii="仿宋_GB2312" w:hAnsi="仿宋" w:eastAsia="仿宋_GB2312" w:cs="仿宋_GB2312"/>
          <w:b/>
          <w:kern w:val="0"/>
          <w:sz w:val="32"/>
          <w:szCs w:val="32"/>
          <w:highlight w:val="none"/>
        </w:rPr>
      </w:pPr>
    </w:p>
    <w:p w14:paraId="0540829E">
      <w:pPr>
        <w:jc w:val="center"/>
        <w:rPr>
          <w:rFonts w:ascii="仿宋_GB2312" w:hAnsi="仿宋" w:eastAsia="仿宋_GB2312" w:cs="仿宋_GB2312"/>
          <w:b/>
          <w:kern w:val="0"/>
          <w:sz w:val="32"/>
          <w:szCs w:val="32"/>
          <w:highlight w:val="none"/>
        </w:rPr>
      </w:pPr>
    </w:p>
    <w:p w14:paraId="36AF73E3">
      <w:pPr>
        <w:jc w:val="center"/>
        <w:rPr>
          <w:rFonts w:ascii="仿宋_GB2312" w:hAnsi="仿宋" w:eastAsia="仿宋_GB2312" w:cs="仿宋_GB2312"/>
          <w:b/>
          <w:kern w:val="0"/>
          <w:sz w:val="32"/>
          <w:szCs w:val="32"/>
          <w:highlight w:val="none"/>
        </w:rPr>
      </w:pPr>
    </w:p>
    <w:p w14:paraId="1E67C776">
      <w:pPr>
        <w:jc w:val="center"/>
        <w:rPr>
          <w:rFonts w:ascii="仿宋_GB2312" w:hAnsi="仿宋" w:eastAsia="仿宋_GB2312" w:cs="仿宋_GB2312"/>
          <w:b/>
          <w:kern w:val="0"/>
          <w:sz w:val="32"/>
          <w:szCs w:val="32"/>
          <w:highlight w:val="none"/>
        </w:rPr>
      </w:pPr>
    </w:p>
    <w:p w14:paraId="1D4B1E5E">
      <w:pPr>
        <w:jc w:val="center"/>
        <w:rPr>
          <w:rFonts w:ascii="仿宋_GB2312" w:hAnsi="仿宋" w:eastAsia="仿宋_GB2312" w:cs="仿宋_GB2312"/>
          <w:b/>
          <w:kern w:val="0"/>
          <w:sz w:val="32"/>
          <w:szCs w:val="32"/>
          <w:highlight w:val="none"/>
        </w:rPr>
      </w:pPr>
    </w:p>
    <w:p w14:paraId="73C1E847">
      <w:pPr>
        <w:jc w:val="center"/>
        <w:rPr>
          <w:rFonts w:ascii="仿宋_GB2312" w:hAnsi="仿宋" w:eastAsia="仿宋_GB2312" w:cs="仿宋_GB2312"/>
          <w:b/>
          <w:kern w:val="0"/>
          <w:sz w:val="32"/>
          <w:szCs w:val="32"/>
          <w:highlight w:val="none"/>
        </w:rPr>
      </w:pPr>
    </w:p>
    <w:p w14:paraId="7FF624BC">
      <w:pPr>
        <w:jc w:val="center"/>
        <w:rPr>
          <w:rFonts w:ascii="仿宋_GB2312" w:hAnsi="仿宋" w:eastAsia="仿宋_GB2312" w:cs="仿宋_GB2312"/>
          <w:b/>
          <w:kern w:val="0"/>
          <w:sz w:val="32"/>
          <w:szCs w:val="32"/>
          <w:highlight w:val="none"/>
        </w:rPr>
      </w:pPr>
    </w:p>
    <w:p w14:paraId="445A8139">
      <w:pPr>
        <w:jc w:val="center"/>
        <w:rPr>
          <w:rFonts w:ascii="仿宋_GB2312" w:hAnsi="仿宋" w:eastAsia="仿宋_GB2312" w:cs="仿宋_GB2312"/>
          <w:b/>
          <w:kern w:val="0"/>
          <w:sz w:val="32"/>
          <w:szCs w:val="32"/>
          <w:highlight w:val="none"/>
        </w:rPr>
      </w:pPr>
    </w:p>
    <w:p w14:paraId="01375B37">
      <w:pPr>
        <w:jc w:val="center"/>
        <w:rPr>
          <w:rFonts w:ascii="仿宋_GB2312" w:hAnsi="仿宋" w:eastAsia="仿宋_GB2312" w:cs="仿宋_GB2312"/>
          <w:b/>
          <w:kern w:val="0"/>
          <w:sz w:val="32"/>
          <w:szCs w:val="32"/>
          <w:highlight w:val="none"/>
        </w:rPr>
      </w:pPr>
    </w:p>
    <w:p w14:paraId="3C1341EA">
      <w:pPr>
        <w:jc w:val="center"/>
        <w:rPr>
          <w:rFonts w:ascii="仿宋_GB2312" w:hAnsi="仿宋" w:eastAsia="仿宋_GB2312" w:cs="仿宋_GB2312"/>
          <w:b/>
          <w:kern w:val="0"/>
          <w:sz w:val="32"/>
          <w:szCs w:val="32"/>
          <w:highlight w:val="none"/>
        </w:rPr>
      </w:pPr>
    </w:p>
    <w:p w14:paraId="46E516D9">
      <w:pPr>
        <w:jc w:val="center"/>
        <w:rPr>
          <w:rFonts w:ascii="仿宋_GB2312" w:hAnsi="仿宋" w:eastAsia="仿宋_GB2312" w:cs="仿宋_GB2312"/>
          <w:b/>
          <w:kern w:val="0"/>
          <w:sz w:val="32"/>
          <w:szCs w:val="32"/>
          <w:highlight w:val="none"/>
        </w:rPr>
      </w:pPr>
    </w:p>
    <w:p w14:paraId="3EC1C94B">
      <w:pPr>
        <w:jc w:val="center"/>
        <w:rPr>
          <w:rFonts w:ascii="仿宋_GB2312" w:hAnsi="仿宋" w:eastAsia="仿宋_GB2312" w:cs="仿宋_GB2312"/>
          <w:b/>
          <w:kern w:val="0"/>
          <w:sz w:val="32"/>
          <w:szCs w:val="32"/>
          <w:highlight w:val="none"/>
        </w:rPr>
      </w:pPr>
    </w:p>
    <w:p w14:paraId="09B8AC10">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rPr>
        <w:t>三、</w:t>
      </w:r>
      <w:r>
        <w:rPr>
          <w:rFonts w:hint="eastAsia" w:ascii="仿宋_GB2312" w:hAnsi="仿宋" w:eastAsia="仿宋_GB2312" w:cs="仿宋_GB2312"/>
          <w:b/>
          <w:kern w:val="0"/>
          <w:sz w:val="32"/>
          <w:szCs w:val="32"/>
          <w:highlight w:val="none"/>
          <w:lang w:val="zh-CN"/>
        </w:rPr>
        <w:t>联合协议</w:t>
      </w:r>
    </w:p>
    <w:p w14:paraId="7FE56897">
      <w:pPr>
        <w:widowControl/>
        <w:spacing w:line="360" w:lineRule="auto"/>
        <w:ind w:firstLine="482" w:firstLineChars="20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14:paraId="616470E2">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14:paraId="545B736C">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14:paraId="58C6940C">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14:paraId="7482A7CB">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14:paraId="48004B2C">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rPr>
        <w:t>提供的全部货物由小微企业制造，其合同份额占到合同总金额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14:paraId="526F971C">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14:paraId="2754BC11">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14:paraId="4D5448B8">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14:paraId="10FFE618">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14:paraId="6B7A2863">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14:paraId="2F9FC28C">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72BC5E8A">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24ECB9A3">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75865C88">
      <w:pPr>
        <w:snapToGrid w:val="0"/>
        <w:spacing w:line="360" w:lineRule="auto"/>
        <w:ind w:right="480"/>
        <w:rPr>
          <w:rFonts w:ascii="仿宋_GB2312" w:hAnsi="仿宋" w:eastAsia="仿宋_GB2312" w:cs="仿宋_GB2312"/>
          <w:b/>
          <w:kern w:val="0"/>
          <w:sz w:val="32"/>
          <w:szCs w:val="32"/>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1BDB658D">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四、分包意向协议</w:t>
      </w:r>
    </w:p>
    <w:p w14:paraId="4D4DD915">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14:paraId="770F0409">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14:paraId="6971D604">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14:paraId="55BED091">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14:paraId="7224529F">
      <w:pPr>
        <w:pStyle w:val="3"/>
        <w:ind w:left="664" w:leftChars="316" w:firstLine="229" w:firstLineChars="95"/>
        <w:rPr>
          <w:highlight w:val="none"/>
        </w:rPr>
      </w:pPr>
      <w:r>
        <w:rPr>
          <w:rFonts w:hint="eastAsia" w:cs="仿宋_GB2312"/>
          <w:kern w:val="0"/>
          <w:sz w:val="24"/>
          <w:szCs w:val="24"/>
          <w:highlight w:val="none"/>
        </w:rPr>
        <w:t>……</w:t>
      </w:r>
    </w:p>
    <w:p w14:paraId="3BD3C6B4">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14:paraId="3C568648">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14:paraId="5059B6F7">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14:paraId="357B1CA6">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72C0DAE2">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14:paraId="6B692A5B">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4D9587C0">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14:paraId="27553501">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5D8769D1">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14:paraId="6EA14A30">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3BACE8D8">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14:paraId="39CFE8F1">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u w:val="single"/>
        </w:rPr>
        <w:t>（分包供应商名称）提供的货物全部由小微企业制造，</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highlight w:val="none"/>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14:paraId="1FE3D9E4">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w:t>
      </w:r>
    </w:p>
    <w:p w14:paraId="22A36C2B">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14:paraId="10567A91">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46AB4EC7">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1756A9D7">
      <w:pPr>
        <w:pStyle w:val="3"/>
        <w:rPr>
          <w:highlight w:val="none"/>
          <w:lang w:val="zh-CN"/>
        </w:rPr>
      </w:pPr>
    </w:p>
    <w:p w14:paraId="2F7AFD63">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五、符合性审查资料</w:t>
      </w:r>
    </w:p>
    <w:p w14:paraId="4CE9DF4F">
      <w:pPr>
        <w:jc w:val="center"/>
        <w:rPr>
          <w:rFonts w:ascii="仿宋_GB2312" w:hAnsi="仿宋" w:eastAsia="仿宋_GB2312" w:cs="仿宋_GB2312"/>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860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67CEAC5">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vAlign w:val="center"/>
          </w:tcPr>
          <w:p w14:paraId="4D820B66">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14:paraId="30C5C093">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14:paraId="4EF898D0">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14:paraId="1C9F2488">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14:paraId="6B38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37D85F">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991" w:type="dxa"/>
            <w:vAlign w:val="center"/>
          </w:tcPr>
          <w:p w14:paraId="6F9AE65E">
            <w:pPr>
              <w:keepNext w:val="0"/>
              <w:keepLines w:val="0"/>
              <w:pageBreakBefore w:val="0"/>
              <w:widowControl w:val="0"/>
              <w:kinsoku/>
              <w:wordWrap/>
              <w:overflowPunct/>
              <w:topLinePunct w:val="0"/>
              <w:autoSpaceDE/>
              <w:autoSpaceDN/>
              <w:bidi w:val="0"/>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投标文件按照招标文件要求签署、盖章。</w:t>
            </w:r>
          </w:p>
        </w:tc>
        <w:tc>
          <w:tcPr>
            <w:tcW w:w="2551" w:type="dxa"/>
            <w:vAlign w:val="center"/>
          </w:tcPr>
          <w:p w14:paraId="4D93C3B0">
            <w:pPr>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需要使用电子签名或者签字盖章的投标文件的组成部分</w:t>
            </w:r>
          </w:p>
        </w:tc>
        <w:tc>
          <w:tcPr>
            <w:tcW w:w="1418" w:type="dxa"/>
            <w:vAlign w:val="center"/>
          </w:tcPr>
          <w:p w14:paraId="76F07313">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2AB3961F">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38D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F64AD7">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991" w:type="dxa"/>
            <w:vAlign w:val="center"/>
          </w:tcPr>
          <w:p w14:paraId="2E2D45E2">
            <w:pPr>
              <w:keepNext w:val="0"/>
              <w:keepLines w:val="0"/>
              <w:pageBreakBefore w:val="0"/>
              <w:widowControl w:val="0"/>
              <w:kinsoku/>
              <w:wordWrap/>
              <w:overflowPunct/>
              <w:topLinePunct w:val="0"/>
              <w:autoSpaceDE/>
              <w:autoSpaceDN/>
              <w:bidi w:val="0"/>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198A41A8">
            <w:pPr>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节能产品认证证书（本项目拟采购的产品不属于政府强制采购的节能产品品目清单范围的，无需提供）</w:t>
            </w:r>
          </w:p>
        </w:tc>
        <w:tc>
          <w:tcPr>
            <w:tcW w:w="1418" w:type="dxa"/>
            <w:vAlign w:val="center"/>
          </w:tcPr>
          <w:p w14:paraId="33D6DF81">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37D28F3">
            <w:pPr>
              <w:pStyle w:val="3"/>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sz w:val="24"/>
                <w:szCs w:val="24"/>
                <w:highlight w:val="none"/>
                <w:lang w:val="en-US"/>
              </w:rPr>
            </w:pPr>
            <w:r>
              <w:rPr>
                <w:rFonts w:hint="eastAsia" w:ascii="仿宋" w:hAnsi="仿宋" w:eastAsia="仿宋" w:cs="仿宋"/>
                <w:b w:val="0"/>
                <w:bCs w:val="0"/>
                <w:sz w:val="24"/>
                <w:szCs w:val="24"/>
                <w:highlight w:val="none"/>
                <w:lang w:val="en-US"/>
              </w:rPr>
              <w:t>第</w:t>
            </w:r>
            <w:r>
              <w:rPr>
                <w:rFonts w:hint="eastAsia" w:ascii="仿宋" w:hAnsi="仿宋" w:eastAsia="仿宋" w:cs="仿宋"/>
                <w:b w:val="0"/>
                <w:bCs w:val="0"/>
                <w:sz w:val="24"/>
                <w:szCs w:val="24"/>
                <w:highlight w:val="none"/>
                <w:u w:val="single"/>
                <w:lang w:val="en-US"/>
              </w:rPr>
              <w:t xml:space="preserve">  </w:t>
            </w:r>
            <w:r>
              <w:rPr>
                <w:rFonts w:hint="eastAsia" w:ascii="仿宋" w:hAnsi="仿宋" w:eastAsia="仿宋" w:cs="仿宋"/>
                <w:b w:val="0"/>
                <w:bCs w:val="0"/>
                <w:sz w:val="24"/>
                <w:szCs w:val="24"/>
                <w:highlight w:val="none"/>
                <w:lang w:val="en-US"/>
              </w:rPr>
              <w:t>页</w:t>
            </w:r>
          </w:p>
        </w:tc>
      </w:tr>
      <w:tr w14:paraId="7686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D44F87">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4991" w:type="dxa"/>
            <w:vAlign w:val="center"/>
          </w:tcPr>
          <w:p w14:paraId="3E868B2B">
            <w:pPr>
              <w:keepNext w:val="0"/>
              <w:keepLines w:val="0"/>
              <w:pageBreakBefore w:val="0"/>
              <w:widowControl w:val="0"/>
              <w:kinsoku/>
              <w:wordWrap/>
              <w:overflowPunct/>
              <w:topLinePunct w:val="0"/>
              <w:autoSpaceDE/>
              <w:autoSpaceDN/>
              <w:bidi w:val="0"/>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投标文件中承诺的投标有效期不少于招标文件中载明的投标有效期。</w:t>
            </w:r>
          </w:p>
        </w:tc>
        <w:tc>
          <w:tcPr>
            <w:tcW w:w="2551" w:type="dxa"/>
            <w:vAlign w:val="center"/>
          </w:tcPr>
          <w:p w14:paraId="084587F0">
            <w:pPr>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投标函</w:t>
            </w:r>
          </w:p>
        </w:tc>
        <w:tc>
          <w:tcPr>
            <w:tcW w:w="1418" w:type="dxa"/>
            <w:vAlign w:val="center"/>
          </w:tcPr>
          <w:p w14:paraId="567C22CD">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6121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242420">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4991" w:type="dxa"/>
            <w:vAlign w:val="center"/>
          </w:tcPr>
          <w:p w14:paraId="4B644114">
            <w:pPr>
              <w:keepNext w:val="0"/>
              <w:keepLines w:val="0"/>
              <w:pageBreakBefore w:val="0"/>
              <w:widowControl w:val="0"/>
              <w:kinsoku/>
              <w:wordWrap/>
              <w:overflowPunct/>
              <w:topLinePunct w:val="0"/>
              <w:autoSpaceDE/>
              <w:autoSpaceDN/>
              <w:bidi w:val="0"/>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投标文件满足招标文件的其它实质性要求。</w:t>
            </w:r>
          </w:p>
        </w:tc>
        <w:tc>
          <w:tcPr>
            <w:tcW w:w="2551" w:type="dxa"/>
            <w:vAlign w:val="center"/>
          </w:tcPr>
          <w:p w14:paraId="4826EC3D">
            <w:pPr>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招标文件其它实质性要求相应的材料（“▲” 系指实质性要求条款，招标文件无其它实质性要求的，无需提供）</w:t>
            </w:r>
          </w:p>
        </w:tc>
        <w:tc>
          <w:tcPr>
            <w:tcW w:w="1418" w:type="dxa"/>
            <w:vAlign w:val="center"/>
          </w:tcPr>
          <w:p w14:paraId="0F0E90FB">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24A69158">
      <w:pPr>
        <w:jc w:val="center"/>
        <w:rPr>
          <w:rFonts w:ascii="仿宋_GB2312" w:hAnsi="仿宋" w:eastAsia="仿宋_GB2312" w:cs="仿宋_GB2312"/>
          <w:b/>
          <w:kern w:val="0"/>
          <w:sz w:val="32"/>
          <w:szCs w:val="32"/>
          <w:highlight w:val="none"/>
        </w:rPr>
      </w:pPr>
    </w:p>
    <w:p w14:paraId="21B2FE31">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14:paraId="6F11B7BA">
      <w:pPr>
        <w:jc w:val="center"/>
        <w:rPr>
          <w:rFonts w:ascii="仿宋_GB2312" w:hAnsi="仿宋" w:eastAsia="仿宋_GB2312" w:cs="仿宋_GB2312"/>
          <w:b/>
          <w:kern w:val="0"/>
          <w:sz w:val="32"/>
          <w:szCs w:val="32"/>
          <w:highlight w:val="none"/>
        </w:rPr>
      </w:pPr>
    </w:p>
    <w:p w14:paraId="202B4C98">
      <w:pPr>
        <w:jc w:val="center"/>
        <w:rPr>
          <w:rFonts w:ascii="仿宋_GB2312" w:hAnsi="仿宋" w:eastAsia="仿宋_GB2312" w:cs="仿宋_GB2312"/>
          <w:b/>
          <w:kern w:val="0"/>
          <w:sz w:val="32"/>
          <w:szCs w:val="32"/>
          <w:highlight w:val="none"/>
        </w:rPr>
      </w:pPr>
    </w:p>
    <w:p w14:paraId="16085D07">
      <w:pPr>
        <w:jc w:val="center"/>
        <w:rPr>
          <w:rFonts w:ascii="仿宋_GB2312" w:hAnsi="仿宋" w:eastAsia="仿宋_GB2312" w:cs="仿宋_GB2312"/>
          <w:b/>
          <w:kern w:val="0"/>
          <w:sz w:val="32"/>
          <w:szCs w:val="32"/>
          <w:highlight w:val="none"/>
        </w:rPr>
      </w:pPr>
    </w:p>
    <w:p w14:paraId="2510717F">
      <w:pPr>
        <w:jc w:val="center"/>
        <w:rPr>
          <w:rFonts w:ascii="仿宋_GB2312" w:hAnsi="仿宋" w:eastAsia="仿宋_GB2312" w:cs="仿宋_GB2312"/>
          <w:b/>
          <w:kern w:val="0"/>
          <w:sz w:val="32"/>
          <w:szCs w:val="32"/>
          <w:highlight w:val="none"/>
        </w:rPr>
      </w:pPr>
    </w:p>
    <w:p w14:paraId="426E000C">
      <w:pPr>
        <w:jc w:val="center"/>
        <w:rPr>
          <w:rFonts w:ascii="仿宋_GB2312" w:hAnsi="仿宋" w:eastAsia="仿宋_GB2312" w:cs="仿宋_GB2312"/>
          <w:b/>
          <w:kern w:val="0"/>
          <w:sz w:val="32"/>
          <w:szCs w:val="32"/>
          <w:highlight w:val="none"/>
        </w:rPr>
      </w:pPr>
    </w:p>
    <w:p w14:paraId="699AE383">
      <w:pPr>
        <w:jc w:val="center"/>
        <w:rPr>
          <w:rFonts w:ascii="仿宋_GB2312" w:hAnsi="仿宋" w:eastAsia="仿宋_GB2312" w:cs="仿宋_GB2312"/>
          <w:b/>
          <w:kern w:val="0"/>
          <w:sz w:val="32"/>
          <w:szCs w:val="32"/>
          <w:highlight w:val="none"/>
        </w:rPr>
      </w:pPr>
    </w:p>
    <w:p w14:paraId="440C33F8">
      <w:pPr>
        <w:jc w:val="center"/>
        <w:rPr>
          <w:rFonts w:ascii="仿宋_GB2312" w:hAnsi="仿宋" w:eastAsia="仿宋_GB2312" w:cs="仿宋_GB2312"/>
          <w:b/>
          <w:kern w:val="0"/>
          <w:sz w:val="32"/>
          <w:szCs w:val="32"/>
          <w:highlight w:val="none"/>
        </w:rPr>
      </w:pPr>
    </w:p>
    <w:p w14:paraId="7E345E08">
      <w:pPr>
        <w:jc w:val="center"/>
        <w:rPr>
          <w:rFonts w:ascii="仿宋_GB2312" w:hAnsi="仿宋" w:eastAsia="仿宋_GB2312" w:cs="仿宋_GB2312"/>
          <w:b/>
          <w:kern w:val="0"/>
          <w:sz w:val="32"/>
          <w:szCs w:val="32"/>
          <w:highlight w:val="none"/>
        </w:rPr>
      </w:pPr>
    </w:p>
    <w:p w14:paraId="47A878DC">
      <w:pPr>
        <w:jc w:val="center"/>
        <w:rPr>
          <w:rFonts w:ascii="仿宋_GB2312" w:hAnsi="仿宋" w:eastAsia="仿宋_GB2312" w:cs="仿宋_GB2312"/>
          <w:b/>
          <w:kern w:val="0"/>
          <w:sz w:val="32"/>
          <w:szCs w:val="32"/>
          <w:highlight w:val="none"/>
        </w:rPr>
      </w:pPr>
    </w:p>
    <w:p w14:paraId="2A169CEE">
      <w:pPr>
        <w:jc w:val="center"/>
        <w:rPr>
          <w:rFonts w:ascii="仿宋_GB2312" w:hAnsi="仿宋" w:eastAsia="仿宋_GB2312" w:cs="仿宋_GB2312"/>
          <w:b/>
          <w:kern w:val="0"/>
          <w:sz w:val="32"/>
          <w:szCs w:val="32"/>
          <w:highlight w:val="none"/>
        </w:rPr>
      </w:pPr>
    </w:p>
    <w:p w14:paraId="131CF6E1">
      <w:pPr>
        <w:jc w:val="center"/>
        <w:rPr>
          <w:rFonts w:ascii="仿宋_GB2312" w:hAnsi="仿宋" w:eastAsia="仿宋_GB2312" w:cs="仿宋_GB2312"/>
          <w:b/>
          <w:kern w:val="0"/>
          <w:sz w:val="32"/>
          <w:szCs w:val="32"/>
          <w:highlight w:val="none"/>
        </w:rPr>
      </w:pPr>
    </w:p>
    <w:p w14:paraId="1F6D33FD">
      <w:pPr>
        <w:jc w:val="center"/>
        <w:rPr>
          <w:rFonts w:ascii="仿宋_GB2312" w:hAnsi="仿宋" w:eastAsia="仿宋_GB2312" w:cs="仿宋_GB2312"/>
          <w:b/>
          <w:kern w:val="0"/>
          <w:sz w:val="32"/>
          <w:szCs w:val="32"/>
          <w:highlight w:val="none"/>
        </w:rPr>
      </w:pPr>
    </w:p>
    <w:p w14:paraId="70F92F31">
      <w:pPr>
        <w:jc w:val="center"/>
        <w:rPr>
          <w:rFonts w:ascii="仿宋_GB2312" w:hAnsi="仿宋" w:eastAsia="仿宋_GB2312" w:cs="仿宋_GB2312"/>
          <w:b/>
          <w:kern w:val="0"/>
          <w:sz w:val="32"/>
          <w:szCs w:val="32"/>
          <w:highlight w:val="none"/>
        </w:rPr>
      </w:pPr>
    </w:p>
    <w:p w14:paraId="7823E14B">
      <w:pPr>
        <w:numPr>
          <w:ilvl w:val="0"/>
          <w:numId w:val="2"/>
        </w:numPr>
        <w:jc w:val="cente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评标标准相应的商务技术资料</w:t>
      </w:r>
    </w:p>
    <w:p w14:paraId="453BDDFC">
      <w:pPr>
        <w:pStyle w:val="3"/>
        <w:numPr>
          <w:ilvl w:val="0"/>
          <w:numId w:val="0"/>
        </w:numPr>
        <w:ind w:leftChars="0"/>
        <w:rPr>
          <w:highlight w:val="none"/>
        </w:rPr>
      </w:pPr>
    </w:p>
    <w:p w14:paraId="663DB3DE">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14:paraId="39CEEB2C">
      <w:pPr>
        <w:jc w:val="center"/>
        <w:rPr>
          <w:rFonts w:ascii="仿宋_GB2312" w:hAnsi="仿宋" w:eastAsia="仿宋_GB2312" w:cs="仿宋_GB2312"/>
          <w:b/>
          <w:kern w:val="0"/>
          <w:sz w:val="32"/>
          <w:szCs w:val="32"/>
          <w:highlight w:val="none"/>
        </w:rPr>
      </w:pPr>
    </w:p>
    <w:p w14:paraId="28D71A4D">
      <w:pPr>
        <w:jc w:val="center"/>
        <w:rPr>
          <w:rFonts w:ascii="仿宋_GB2312" w:hAnsi="仿宋" w:eastAsia="仿宋_GB2312" w:cs="仿宋_GB2312"/>
          <w:b/>
          <w:kern w:val="0"/>
          <w:sz w:val="32"/>
          <w:szCs w:val="32"/>
          <w:highlight w:val="none"/>
        </w:rPr>
      </w:pPr>
    </w:p>
    <w:p w14:paraId="053C9C61">
      <w:pPr>
        <w:jc w:val="center"/>
        <w:rPr>
          <w:rFonts w:ascii="仿宋_GB2312" w:hAnsi="仿宋" w:eastAsia="仿宋_GB2312" w:cs="仿宋_GB2312"/>
          <w:b/>
          <w:kern w:val="0"/>
          <w:sz w:val="32"/>
          <w:szCs w:val="32"/>
          <w:highlight w:val="none"/>
        </w:rPr>
      </w:pPr>
    </w:p>
    <w:p w14:paraId="32809ABB">
      <w:pPr>
        <w:jc w:val="center"/>
        <w:rPr>
          <w:rFonts w:ascii="仿宋_GB2312" w:hAnsi="仿宋" w:eastAsia="仿宋_GB2312" w:cs="仿宋_GB2312"/>
          <w:b/>
          <w:kern w:val="0"/>
          <w:sz w:val="32"/>
          <w:szCs w:val="32"/>
          <w:highlight w:val="none"/>
        </w:rPr>
      </w:pPr>
    </w:p>
    <w:p w14:paraId="2428026B">
      <w:pPr>
        <w:jc w:val="center"/>
        <w:rPr>
          <w:rFonts w:ascii="仿宋_GB2312" w:hAnsi="仿宋" w:eastAsia="仿宋_GB2312" w:cs="仿宋_GB2312"/>
          <w:b/>
          <w:kern w:val="0"/>
          <w:sz w:val="32"/>
          <w:szCs w:val="32"/>
          <w:highlight w:val="none"/>
        </w:rPr>
      </w:pPr>
    </w:p>
    <w:p w14:paraId="38B47667">
      <w:pPr>
        <w:jc w:val="center"/>
        <w:rPr>
          <w:rFonts w:ascii="仿宋_GB2312" w:hAnsi="仿宋" w:eastAsia="仿宋_GB2312" w:cs="仿宋_GB2312"/>
          <w:b/>
          <w:kern w:val="0"/>
          <w:sz w:val="32"/>
          <w:szCs w:val="32"/>
          <w:highlight w:val="none"/>
        </w:rPr>
      </w:pPr>
    </w:p>
    <w:p w14:paraId="77CF175F">
      <w:pPr>
        <w:jc w:val="center"/>
        <w:rPr>
          <w:rFonts w:ascii="仿宋_GB2312" w:hAnsi="仿宋" w:eastAsia="仿宋_GB2312" w:cs="仿宋_GB2312"/>
          <w:b/>
          <w:kern w:val="0"/>
          <w:sz w:val="32"/>
          <w:szCs w:val="32"/>
          <w:highlight w:val="none"/>
        </w:rPr>
      </w:pPr>
    </w:p>
    <w:p w14:paraId="3814ECC1">
      <w:pPr>
        <w:jc w:val="center"/>
        <w:rPr>
          <w:rFonts w:ascii="仿宋_GB2312" w:hAnsi="仿宋" w:eastAsia="仿宋_GB2312" w:cs="仿宋_GB2312"/>
          <w:b/>
          <w:kern w:val="0"/>
          <w:sz w:val="32"/>
          <w:szCs w:val="32"/>
          <w:highlight w:val="none"/>
        </w:rPr>
      </w:pPr>
    </w:p>
    <w:p w14:paraId="7703E0DC">
      <w:pPr>
        <w:jc w:val="center"/>
        <w:rPr>
          <w:rFonts w:ascii="仿宋_GB2312" w:hAnsi="仿宋" w:eastAsia="仿宋_GB2312" w:cs="仿宋_GB2312"/>
          <w:b/>
          <w:kern w:val="0"/>
          <w:sz w:val="32"/>
          <w:szCs w:val="32"/>
          <w:highlight w:val="none"/>
        </w:rPr>
      </w:pPr>
    </w:p>
    <w:p w14:paraId="1A886120">
      <w:pPr>
        <w:jc w:val="center"/>
        <w:rPr>
          <w:rFonts w:ascii="仿宋_GB2312" w:hAnsi="仿宋" w:eastAsia="仿宋_GB2312" w:cs="仿宋_GB2312"/>
          <w:b/>
          <w:kern w:val="0"/>
          <w:sz w:val="32"/>
          <w:szCs w:val="32"/>
          <w:highlight w:val="none"/>
        </w:rPr>
      </w:pPr>
    </w:p>
    <w:p w14:paraId="2EB72A12">
      <w:pPr>
        <w:jc w:val="center"/>
        <w:rPr>
          <w:rFonts w:ascii="仿宋_GB2312" w:hAnsi="仿宋" w:eastAsia="仿宋_GB2312" w:cs="仿宋_GB2312"/>
          <w:b/>
          <w:kern w:val="0"/>
          <w:sz w:val="32"/>
          <w:szCs w:val="32"/>
          <w:highlight w:val="none"/>
        </w:rPr>
      </w:pPr>
    </w:p>
    <w:p w14:paraId="57F29649">
      <w:pPr>
        <w:jc w:val="center"/>
        <w:rPr>
          <w:rFonts w:ascii="仿宋_GB2312" w:hAnsi="仿宋" w:eastAsia="仿宋_GB2312" w:cs="仿宋_GB2312"/>
          <w:b/>
          <w:kern w:val="0"/>
          <w:sz w:val="32"/>
          <w:szCs w:val="32"/>
          <w:highlight w:val="none"/>
        </w:rPr>
      </w:pPr>
    </w:p>
    <w:p w14:paraId="34417DDB">
      <w:pPr>
        <w:jc w:val="center"/>
        <w:rPr>
          <w:rFonts w:ascii="仿宋_GB2312" w:hAnsi="仿宋" w:eastAsia="仿宋_GB2312" w:cs="仿宋_GB2312"/>
          <w:b/>
          <w:kern w:val="0"/>
          <w:sz w:val="32"/>
          <w:szCs w:val="32"/>
          <w:highlight w:val="none"/>
        </w:rPr>
      </w:pPr>
    </w:p>
    <w:p w14:paraId="5C564BAD">
      <w:pPr>
        <w:jc w:val="center"/>
        <w:rPr>
          <w:rFonts w:ascii="仿宋_GB2312" w:hAnsi="仿宋" w:eastAsia="仿宋_GB2312" w:cs="仿宋_GB2312"/>
          <w:b/>
          <w:kern w:val="0"/>
          <w:sz w:val="32"/>
          <w:szCs w:val="32"/>
          <w:highlight w:val="none"/>
        </w:rPr>
      </w:pPr>
    </w:p>
    <w:p w14:paraId="72BBAC16">
      <w:pPr>
        <w:jc w:val="center"/>
        <w:rPr>
          <w:rFonts w:ascii="仿宋_GB2312" w:hAnsi="仿宋" w:eastAsia="仿宋_GB2312" w:cs="仿宋_GB2312"/>
          <w:b/>
          <w:kern w:val="0"/>
          <w:sz w:val="32"/>
          <w:szCs w:val="32"/>
          <w:highlight w:val="none"/>
        </w:rPr>
      </w:pPr>
    </w:p>
    <w:p w14:paraId="22BB0AF7">
      <w:pPr>
        <w:jc w:val="center"/>
        <w:rPr>
          <w:rFonts w:ascii="仿宋_GB2312" w:hAnsi="仿宋" w:eastAsia="仿宋_GB2312" w:cs="仿宋_GB2312"/>
          <w:b/>
          <w:kern w:val="0"/>
          <w:sz w:val="32"/>
          <w:szCs w:val="32"/>
          <w:highlight w:val="none"/>
        </w:rPr>
      </w:pPr>
    </w:p>
    <w:p w14:paraId="4245BD3E">
      <w:pPr>
        <w:jc w:val="center"/>
        <w:rPr>
          <w:rFonts w:ascii="仿宋_GB2312" w:hAnsi="仿宋" w:eastAsia="仿宋_GB2312" w:cs="仿宋_GB2312"/>
          <w:b/>
          <w:kern w:val="0"/>
          <w:sz w:val="32"/>
          <w:szCs w:val="32"/>
          <w:highlight w:val="none"/>
        </w:rPr>
      </w:pPr>
    </w:p>
    <w:p w14:paraId="5D678184">
      <w:pPr>
        <w:jc w:val="center"/>
        <w:rPr>
          <w:rFonts w:ascii="仿宋_GB2312" w:hAnsi="仿宋" w:eastAsia="仿宋_GB2312" w:cs="仿宋_GB2312"/>
          <w:b/>
          <w:kern w:val="0"/>
          <w:sz w:val="32"/>
          <w:szCs w:val="32"/>
          <w:highlight w:val="none"/>
        </w:rPr>
      </w:pPr>
    </w:p>
    <w:p w14:paraId="7A8A4EA5">
      <w:pPr>
        <w:jc w:val="center"/>
        <w:rPr>
          <w:rFonts w:ascii="仿宋_GB2312" w:hAnsi="仿宋" w:eastAsia="仿宋_GB2312" w:cs="仿宋_GB2312"/>
          <w:b/>
          <w:kern w:val="0"/>
          <w:sz w:val="32"/>
          <w:szCs w:val="32"/>
          <w:highlight w:val="none"/>
        </w:rPr>
      </w:pPr>
    </w:p>
    <w:p w14:paraId="26F39FE2">
      <w:pPr>
        <w:jc w:val="center"/>
        <w:rPr>
          <w:rFonts w:ascii="仿宋_GB2312" w:hAnsi="仿宋" w:eastAsia="仿宋_GB2312" w:cs="仿宋_GB2312"/>
          <w:b/>
          <w:kern w:val="0"/>
          <w:sz w:val="32"/>
          <w:szCs w:val="32"/>
          <w:highlight w:val="none"/>
        </w:rPr>
      </w:pPr>
    </w:p>
    <w:p w14:paraId="2DF83574">
      <w:pPr>
        <w:jc w:val="center"/>
        <w:rPr>
          <w:rFonts w:ascii="仿宋_GB2312" w:hAnsi="仿宋" w:eastAsia="仿宋_GB2312" w:cs="仿宋_GB2312"/>
          <w:b/>
          <w:kern w:val="0"/>
          <w:sz w:val="32"/>
          <w:szCs w:val="32"/>
          <w:highlight w:val="none"/>
        </w:rPr>
      </w:pPr>
    </w:p>
    <w:p w14:paraId="79E72DDC">
      <w:pPr>
        <w:jc w:val="center"/>
        <w:rPr>
          <w:rFonts w:ascii="仿宋_GB2312" w:hAnsi="仿宋" w:eastAsia="仿宋_GB2312" w:cs="仿宋_GB2312"/>
          <w:b/>
          <w:kern w:val="0"/>
          <w:sz w:val="32"/>
          <w:szCs w:val="32"/>
          <w:highlight w:val="none"/>
        </w:rPr>
      </w:pPr>
    </w:p>
    <w:p w14:paraId="22E180BE">
      <w:pPr>
        <w:jc w:val="center"/>
        <w:rPr>
          <w:rFonts w:ascii="仿宋_GB2312" w:hAnsi="仿宋" w:eastAsia="仿宋_GB2312" w:cs="仿宋_GB2312"/>
          <w:b/>
          <w:kern w:val="0"/>
          <w:sz w:val="32"/>
          <w:szCs w:val="32"/>
          <w:highlight w:val="none"/>
        </w:rPr>
      </w:pPr>
    </w:p>
    <w:p w14:paraId="34B1A005">
      <w:pPr>
        <w:jc w:val="center"/>
        <w:rPr>
          <w:rFonts w:ascii="仿宋_GB2312" w:hAnsi="仿宋" w:eastAsia="仿宋_GB2312" w:cs="仿宋_GB2312"/>
          <w:b/>
          <w:kern w:val="0"/>
          <w:sz w:val="32"/>
          <w:szCs w:val="32"/>
          <w:highlight w:val="none"/>
        </w:rPr>
      </w:pPr>
    </w:p>
    <w:p w14:paraId="0B6DF21A">
      <w:pPr>
        <w:jc w:val="center"/>
        <w:rPr>
          <w:rFonts w:ascii="仿宋_GB2312" w:hAnsi="仿宋" w:eastAsia="仿宋_GB2312" w:cs="仿宋_GB2312"/>
          <w:b/>
          <w:kern w:val="0"/>
          <w:sz w:val="32"/>
          <w:szCs w:val="32"/>
          <w:highlight w:val="none"/>
        </w:rPr>
      </w:pPr>
    </w:p>
    <w:p w14:paraId="3FBA3F15">
      <w:pPr>
        <w:jc w:val="center"/>
        <w:rPr>
          <w:rFonts w:ascii="仿宋_GB2312" w:hAnsi="仿宋" w:eastAsia="仿宋_GB2312" w:cs="仿宋_GB2312"/>
          <w:b/>
          <w:kern w:val="0"/>
          <w:sz w:val="32"/>
          <w:szCs w:val="32"/>
          <w:highlight w:val="none"/>
        </w:rPr>
      </w:pPr>
    </w:p>
    <w:p w14:paraId="0AA75908">
      <w:pPr>
        <w:jc w:val="center"/>
        <w:rPr>
          <w:rFonts w:ascii="仿宋_GB2312" w:hAnsi="仿宋" w:eastAsia="仿宋_GB2312" w:cs="仿宋_GB2312"/>
          <w:b/>
          <w:kern w:val="0"/>
          <w:sz w:val="32"/>
          <w:szCs w:val="32"/>
          <w:highlight w:val="none"/>
        </w:rPr>
      </w:pPr>
    </w:p>
    <w:p w14:paraId="28FAE1A1">
      <w:pPr>
        <w:jc w:val="center"/>
        <w:rPr>
          <w:rFonts w:ascii="仿宋_GB2312" w:hAnsi="仿宋" w:eastAsia="仿宋_GB2312" w:cs="仿宋_GB2312"/>
          <w:b/>
          <w:kern w:val="0"/>
          <w:sz w:val="32"/>
          <w:szCs w:val="32"/>
          <w:highlight w:val="none"/>
        </w:rPr>
      </w:pPr>
    </w:p>
    <w:p w14:paraId="0C8750D3">
      <w:pPr>
        <w:numPr>
          <w:ilvl w:val="0"/>
          <w:numId w:val="2"/>
        </w:numPr>
        <w:ind w:left="0" w:leftChars="0" w:firstLine="0" w:firstLineChars="0"/>
        <w:jc w:val="cente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商务技术偏离表</w:t>
      </w:r>
    </w:p>
    <w:p w14:paraId="69C81912">
      <w:pPr>
        <w:pStyle w:val="3"/>
        <w:numPr>
          <w:ilvl w:val="0"/>
          <w:numId w:val="0"/>
        </w:numPr>
        <w:ind w:leftChars="0"/>
        <w:rPr>
          <w:highlight w:val="none"/>
        </w:rPr>
      </w:pPr>
    </w:p>
    <w:tbl>
      <w:tblPr>
        <w:tblStyle w:val="63"/>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3681"/>
        <w:gridCol w:w="3544"/>
        <w:gridCol w:w="1275"/>
      </w:tblGrid>
      <w:tr w14:paraId="14B1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58" w:type="dxa"/>
            <w:vAlign w:val="center"/>
          </w:tcPr>
          <w:p w14:paraId="64E52F10">
            <w:pPr>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1" w:type="dxa"/>
            <w:vAlign w:val="center"/>
          </w:tcPr>
          <w:p w14:paraId="32795A1F">
            <w:pPr>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4" w:type="dxa"/>
            <w:vAlign w:val="center"/>
          </w:tcPr>
          <w:p w14:paraId="5204A490">
            <w:pPr>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5" w:type="dxa"/>
            <w:vAlign w:val="center"/>
          </w:tcPr>
          <w:p w14:paraId="70A014EC">
            <w:pPr>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14:paraId="394B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58" w:type="dxa"/>
            <w:vAlign w:val="center"/>
          </w:tcPr>
          <w:p w14:paraId="424BE27A">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1" w:type="dxa"/>
            <w:vAlign w:val="center"/>
          </w:tcPr>
          <w:p w14:paraId="6482473F">
            <w:pPr>
              <w:jc w:val="center"/>
              <w:rPr>
                <w:rFonts w:ascii="仿宋_GB2312" w:hAnsi="仿宋" w:eastAsia="仿宋_GB2312" w:cs="仿宋_GB2312"/>
                <w:b/>
                <w:kern w:val="0"/>
                <w:sz w:val="32"/>
                <w:szCs w:val="32"/>
                <w:highlight w:val="none"/>
              </w:rPr>
            </w:pPr>
          </w:p>
        </w:tc>
        <w:tc>
          <w:tcPr>
            <w:tcW w:w="3544" w:type="dxa"/>
            <w:vAlign w:val="center"/>
          </w:tcPr>
          <w:p w14:paraId="3B75E9E8">
            <w:pPr>
              <w:jc w:val="center"/>
              <w:rPr>
                <w:rFonts w:ascii="仿宋_GB2312" w:hAnsi="仿宋" w:eastAsia="仿宋_GB2312" w:cs="仿宋_GB2312"/>
                <w:b/>
                <w:kern w:val="0"/>
                <w:sz w:val="32"/>
                <w:szCs w:val="32"/>
                <w:highlight w:val="none"/>
              </w:rPr>
            </w:pPr>
          </w:p>
        </w:tc>
        <w:tc>
          <w:tcPr>
            <w:tcW w:w="1275" w:type="dxa"/>
            <w:vAlign w:val="center"/>
          </w:tcPr>
          <w:p w14:paraId="62B016C7">
            <w:pPr>
              <w:jc w:val="center"/>
              <w:rPr>
                <w:rFonts w:ascii="仿宋_GB2312" w:hAnsi="仿宋" w:eastAsia="仿宋_GB2312" w:cs="仿宋_GB2312"/>
                <w:b/>
                <w:kern w:val="0"/>
                <w:sz w:val="32"/>
                <w:szCs w:val="32"/>
                <w:highlight w:val="none"/>
              </w:rPr>
            </w:pPr>
          </w:p>
        </w:tc>
      </w:tr>
      <w:tr w14:paraId="1B97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58" w:type="dxa"/>
            <w:vAlign w:val="center"/>
          </w:tcPr>
          <w:p w14:paraId="74C8F723">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1" w:type="dxa"/>
            <w:vAlign w:val="center"/>
          </w:tcPr>
          <w:p w14:paraId="44F7B33A">
            <w:pPr>
              <w:jc w:val="center"/>
              <w:rPr>
                <w:rFonts w:ascii="仿宋_GB2312" w:hAnsi="仿宋" w:eastAsia="仿宋_GB2312" w:cs="仿宋_GB2312"/>
                <w:b/>
                <w:kern w:val="0"/>
                <w:sz w:val="32"/>
                <w:szCs w:val="32"/>
                <w:highlight w:val="none"/>
              </w:rPr>
            </w:pPr>
          </w:p>
        </w:tc>
        <w:tc>
          <w:tcPr>
            <w:tcW w:w="3544" w:type="dxa"/>
            <w:vAlign w:val="center"/>
          </w:tcPr>
          <w:p w14:paraId="5203756E">
            <w:pPr>
              <w:jc w:val="center"/>
              <w:rPr>
                <w:rFonts w:ascii="仿宋_GB2312" w:hAnsi="仿宋" w:eastAsia="仿宋_GB2312" w:cs="仿宋_GB2312"/>
                <w:b/>
                <w:kern w:val="0"/>
                <w:sz w:val="32"/>
                <w:szCs w:val="32"/>
                <w:highlight w:val="none"/>
              </w:rPr>
            </w:pPr>
          </w:p>
        </w:tc>
        <w:tc>
          <w:tcPr>
            <w:tcW w:w="1275" w:type="dxa"/>
            <w:vAlign w:val="center"/>
          </w:tcPr>
          <w:p w14:paraId="11779B8C">
            <w:pPr>
              <w:jc w:val="center"/>
              <w:rPr>
                <w:rFonts w:ascii="仿宋_GB2312" w:hAnsi="仿宋" w:eastAsia="仿宋_GB2312" w:cs="仿宋_GB2312"/>
                <w:b/>
                <w:kern w:val="0"/>
                <w:sz w:val="32"/>
                <w:szCs w:val="32"/>
                <w:highlight w:val="none"/>
              </w:rPr>
            </w:pPr>
          </w:p>
        </w:tc>
      </w:tr>
      <w:tr w14:paraId="0FDD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58" w:type="dxa"/>
            <w:vAlign w:val="center"/>
          </w:tcPr>
          <w:p w14:paraId="39C7F431">
            <w:pPr>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1" w:type="dxa"/>
            <w:vAlign w:val="center"/>
          </w:tcPr>
          <w:p w14:paraId="01FC3596">
            <w:pPr>
              <w:jc w:val="center"/>
              <w:rPr>
                <w:rFonts w:ascii="仿宋_GB2312" w:hAnsi="仿宋" w:eastAsia="仿宋_GB2312" w:cs="仿宋_GB2312"/>
                <w:b/>
                <w:kern w:val="0"/>
                <w:sz w:val="32"/>
                <w:szCs w:val="32"/>
                <w:highlight w:val="none"/>
              </w:rPr>
            </w:pPr>
          </w:p>
        </w:tc>
        <w:tc>
          <w:tcPr>
            <w:tcW w:w="3544" w:type="dxa"/>
            <w:vAlign w:val="center"/>
          </w:tcPr>
          <w:p w14:paraId="2FF2ED51">
            <w:pPr>
              <w:jc w:val="center"/>
              <w:rPr>
                <w:rFonts w:ascii="仿宋_GB2312" w:hAnsi="仿宋" w:eastAsia="仿宋_GB2312" w:cs="仿宋_GB2312"/>
                <w:b/>
                <w:kern w:val="0"/>
                <w:sz w:val="32"/>
                <w:szCs w:val="32"/>
                <w:highlight w:val="none"/>
              </w:rPr>
            </w:pPr>
          </w:p>
        </w:tc>
        <w:tc>
          <w:tcPr>
            <w:tcW w:w="1275" w:type="dxa"/>
            <w:vAlign w:val="center"/>
          </w:tcPr>
          <w:p w14:paraId="7B74A6AE">
            <w:pPr>
              <w:jc w:val="center"/>
              <w:rPr>
                <w:rFonts w:ascii="仿宋_GB2312" w:hAnsi="仿宋" w:eastAsia="仿宋_GB2312" w:cs="仿宋_GB2312"/>
                <w:b/>
                <w:kern w:val="0"/>
                <w:sz w:val="32"/>
                <w:szCs w:val="32"/>
                <w:highlight w:val="none"/>
              </w:rPr>
            </w:pPr>
          </w:p>
        </w:tc>
      </w:tr>
    </w:tbl>
    <w:p w14:paraId="3482934F">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14:paraId="68D2981C">
      <w:pPr>
        <w:jc w:val="center"/>
        <w:rPr>
          <w:rFonts w:ascii="仿宋_GB2312" w:hAnsi="仿宋" w:eastAsia="仿宋_GB2312" w:cs="仿宋_GB2312"/>
          <w:b/>
          <w:kern w:val="0"/>
          <w:sz w:val="32"/>
          <w:szCs w:val="32"/>
          <w:highlight w:val="none"/>
        </w:rPr>
      </w:pPr>
    </w:p>
    <w:p w14:paraId="58B2859F">
      <w:pPr>
        <w:jc w:val="center"/>
        <w:rPr>
          <w:rFonts w:ascii="仿宋_GB2312" w:hAnsi="仿宋" w:eastAsia="仿宋_GB2312" w:cs="仿宋_GB2312"/>
          <w:b/>
          <w:kern w:val="0"/>
          <w:sz w:val="32"/>
          <w:szCs w:val="32"/>
          <w:highlight w:val="none"/>
        </w:rPr>
      </w:pPr>
    </w:p>
    <w:p w14:paraId="35A4BE82">
      <w:pPr>
        <w:jc w:val="center"/>
        <w:rPr>
          <w:rFonts w:ascii="仿宋_GB2312" w:hAnsi="仿宋" w:eastAsia="仿宋_GB2312" w:cs="仿宋_GB2312"/>
          <w:b/>
          <w:kern w:val="0"/>
          <w:sz w:val="32"/>
          <w:szCs w:val="32"/>
          <w:highlight w:val="none"/>
        </w:rPr>
      </w:pPr>
    </w:p>
    <w:p w14:paraId="6A1408D0">
      <w:pPr>
        <w:jc w:val="center"/>
        <w:rPr>
          <w:rFonts w:ascii="仿宋_GB2312" w:hAnsi="仿宋" w:eastAsia="仿宋_GB2312" w:cs="仿宋_GB2312"/>
          <w:b/>
          <w:kern w:val="0"/>
          <w:sz w:val="32"/>
          <w:szCs w:val="32"/>
          <w:highlight w:val="none"/>
        </w:rPr>
      </w:pPr>
    </w:p>
    <w:p w14:paraId="0F06249C">
      <w:pPr>
        <w:jc w:val="center"/>
        <w:rPr>
          <w:rFonts w:ascii="仿宋_GB2312" w:hAnsi="仿宋" w:eastAsia="仿宋_GB2312" w:cs="仿宋_GB2312"/>
          <w:b/>
          <w:kern w:val="0"/>
          <w:sz w:val="32"/>
          <w:szCs w:val="32"/>
          <w:highlight w:val="none"/>
        </w:rPr>
      </w:pPr>
    </w:p>
    <w:p w14:paraId="3D59D5F7">
      <w:pPr>
        <w:jc w:val="center"/>
        <w:rPr>
          <w:rFonts w:ascii="仿宋_GB2312" w:hAnsi="仿宋" w:eastAsia="仿宋_GB2312" w:cs="仿宋_GB2312"/>
          <w:b/>
          <w:kern w:val="0"/>
          <w:sz w:val="32"/>
          <w:szCs w:val="32"/>
          <w:highlight w:val="none"/>
        </w:rPr>
      </w:pPr>
    </w:p>
    <w:p w14:paraId="1073F328">
      <w:pPr>
        <w:jc w:val="center"/>
        <w:rPr>
          <w:rFonts w:ascii="仿宋_GB2312" w:hAnsi="仿宋" w:eastAsia="仿宋_GB2312" w:cs="仿宋_GB2312"/>
          <w:b/>
          <w:kern w:val="0"/>
          <w:sz w:val="32"/>
          <w:szCs w:val="32"/>
          <w:highlight w:val="none"/>
        </w:rPr>
      </w:pPr>
    </w:p>
    <w:p w14:paraId="5F85AAD0">
      <w:pPr>
        <w:jc w:val="center"/>
        <w:rPr>
          <w:rFonts w:ascii="仿宋_GB2312" w:hAnsi="仿宋" w:eastAsia="仿宋_GB2312" w:cs="仿宋_GB2312"/>
          <w:b/>
          <w:kern w:val="0"/>
          <w:sz w:val="32"/>
          <w:szCs w:val="32"/>
          <w:highlight w:val="none"/>
        </w:rPr>
      </w:pPr>
    </w:p>
    <w:p w14:paraId="5F204463">
      <w:pPr>
        <w:jc w:val="center"/>
        <w:rPr>
          <w:rFonts w:ascii="仿宋_GB2312" w:hAnsi="仿宋" w:eastAsia="仿宋_GB2312" w:cs="仿宋_GB2312"/>
          <w:b/>
          <w:kern w:val="0"/>
          <w:sz w:val="32"/>
          <w:szCs w:val="32"/>
          <w:highlight w:val="none"/>
        </w:rPr>
      </w:pPr>
    </w:p>
    <w:p w14:paraId="7464FEA3">
      <w:pPr>
        <w:jc w:val="center"/>
        <w:rPr>
          <w:rFonts w:ascii="仿宋_GB2312" w:hAnsi="仿宋" w:eastAsia="仿宋_GB2312" w:cs="仿宋_GB2312"/>
          <w:b/>
          <w:kern w:val="0"/>
          <w:sz w:val="32"/>
          <w:szCs w:val="32"/>
          <w:highlight w:val="none"/>
        </w:rPr>
      </w:pPr>
    </w:p>
    <w:p w14:paraId="33F05DC8">
      <w:pPr>
        <w:jc w:val="center"/>
        <w:rPr>
          <w:rFonts w:ascii="仿宋_GB2312" w:hAnsi="仿宋" w:eastAsia="仿宋_GB2312" w:cs="仿宋_GB2312"/>
          <w:b/>
          <w:kern w:val="0"/>
          <w:sz w:val="32"/>
          <w:szCs w:val="32"/>
          <w:highlight w:val="none"/>
        </w:rPr>
      </w:pPr>
    </w:p>
    <w:p w14:paraId="049B087E">
      <w:pPr>
        <w:jc w:val="center"/>
        <w:rPr>
          <w:rFonts w:ascii="仿宋_GB2312" w:hAnsi="仿宋" w:eastAsia="仿宋_GB2312" w:cs="仿宋_GB2312"/>
          <w:b/>
          <w:kern w:val="0"/>
          <w:sz w:val="32"/>
          <w:szCs w:val="32"/>
          <w:highlight w:val="none"/>
        </w:rPr>
      </w:pPr>
    </w:p>
    <w:p w14:paraId="16230CA1">
      <w:pPr>
        <w:ind w:firstLine="2891" w:firstLineChars="900"/>
        <w:rPr>
          <w:rFonts w:ascii="仿宋_GB2312" w:hAnsi="仿宋" w:eastAsia="仿宋_GB2312"/>
          <w:b/>
          <w:bCs/>
          <w:sz w:val="32"/>
          <w:szCs w:val="32"/>
          <w:highlight w:val="none"/>
        </w:rPr>
      </w:pPr>
    </w:p>
    <w:p w14:paraId="6DE9A356">
      <w:pPr>
        <w:ind w:firstLine="2891" w:firstLineChars="900"/>
        <w:rPr>
          <w:rFonts w:ascii="仿宋_GB2312" w:hAnsi="仿宋" w:eastAsia="仿宋_GB2312"/>
          <w:b/>
          <w:bCs/>
          <w:sz w:val="32"/>
          <w:szCs w:val="32"/>
          <w:highlight w:val="none"/>
        </w:rPr>
      </w:pPr>
    </w:p>
    <w:p w14:paraId="785CF51E">
      <w:pPr>
        <w:ind w:firstLine="2891" w:firstLineChars="900"/>
        <w:rPr>
          <w:rFonts w:ascii="仿宋_GB2312" w:hAnsi="仿宋" w:eastAsia="仿宋_GB2312"/>
          <w:b/>
          <w:bCs/>
          <w:sz w:val="32"/>
          <w:szCs w:val="32"/>
          <w:highlight w:val="none"/>
        </w:rPr>
      </w:pPr>
    </w:p>
    <w:p w14:paraId="415C68B7">
      <w:pPr>
        <w:ind w:firstLine="2891" w:firstLineChars="900"/>
        <w:rPr>
          <w:rFonts w:ascii="仿宋_GB2312" w:hAnsi="仿宋" w:eastAsia="仿宋_GB2312"/>
          <w:b/>
          <w:bCs/>
          <w:sz w:val="32"/>
          <w:szCs w:val="32"/>
          <w:highlight w:val="none"/>
        </w:rPr>
      </w:pPr>
    </w:p>
    <w:p w14:paraId="7B2BB2B9">
      <w:pPr>
        <w:ind w:firstLine="2891" w:firstLineChars="900"/>
        <w:rPr>
          <w:rFonts w:ascii="仿宋_GB2312" w:hAnsi="仿宋" w:eastAsia="仿宋_GB2312"/>
          <w:b/>
          <w:bCs/>
          <w:sz w:val="32"/>
          <w:szCs w:val="32"/>
          <w:highlight w:val="none"/>
        </w:rPr>
      </w:pPr>
    </w:p>
    <w:p w14:paraId="73A4579D">
      <w:pPr>
        <w:ind w:firstLine="2891" w:firstLineChars="900"/>
        <w:rPr>
          <w:rFonts w:ascii="仿宋_GB2312" w:hAnsi="仿宋" w:eastAsia="仿宋_GB2312"/>
          <w:b/>
          <w:bCs/>
          <w:sz w:val="32"/>
          <w:szCs w:val="32"/>
          <w:highlight w:val="none"/>
        </w:rPr>
      </w:pPr>
    </w:p>
    <w:p w14:paraId="0CAE83DA">
      <w:pPr>
        <w:ind w:firstLine="2891" w:firstLineChars="900"/>
        <w:rPr>
          <w:rFonts w:ascii="仿宋_GB2312" w:hAnsi="仿宋" w:eastAsia="仿宋_GB2312" w:cs="仿宋_GB2312"/>
          <w:b/>
          <w:kern w:val="0"/>
          <w:sz w:val="32"/>
          <w:szCs w:val="32"/>
          <w:highlight w:val="none"/>
        </w:rPr>
      </w:pPr>
    </w:p>
    <w:p w14:paraId="7C4DCBD0">
      <w:pPr>
        <w:ind w:firstLine="2891" w:firstLineChars="900"/>
        <w:rPr>
          <w:rFonts w:ascii="仿宋_GB2312" w:hAnsi="仿宋" w:eastAsia="仿宋_GB2312" w:cs="仿宋_GB2312"/>
          <w:b/>
          <w:kern w:val="0"/>
          <w:sz w:val="32"/>
          <w:szCs w:val="32"/>
          <w:highlight w:val="none"/>
        </w:rPr>
      </w:pPr>
    </w:p>
    <w:p w14:paraId="13F5F9FF">
      <w:pPr>
        <w:ind w:firstLine="2891" w:firstLineChars="900"/>
        <w:rPr>
          <w:rFonts w:ascii="仿宋_GB2312" w:hAnsi="仿宋" w:eastAsia="仿宋_GB2312" w:cs="仿宋_GB2312"/>
          <w:b/>
          <w:kern w:val="0"/>
          <w:sz w:val="32"/>
          <w:szCs w:val="32"/>
          <w:highlight w:val="none"/>
        </w:rPr>
      </w:pPr>
    </w:p>
    <w:p w14:paraId="0F0B85CA">
      <w:pPr>
        <w:ind w:firstLine="2891" w:firstLineChars="900"/>
        <w:rPr>
          <w:rFonts w:ascii="仿宋_GB2312" w:hAnsi="仿宋" w:eastAsia="仿宋_GB2312" w:cs="仿宋_GB2312"/>
          <w:b/>
          <w:kern w:val="0"/>
          <w:sz w:val="32"/>
          <w:szCs w:val="32"/>
          <w:highlight w:val="none"/>
        </w:rPr>
      </w:pPr>
    </w:p>
    <w:p w14:paraId="1DB6BD9B">
      <w:pPr>
        <w:ind w:firstLine="2891" w:firstLineChars="900"/>
        <w:rPr>
          <w:rFonts w:ascii="仿宋_GB2312" w:hAnsi="仿宋" w:eastAsia="仿宋_GB2312" w:cs="仿宋_GB2312"/>
          <w:b/>
          <w:kern w:val="0"/>
          <w:sz w:val="32"/>
          <w:szCs w:val="32"/>
          <w:highlight w:val="none"/>
        </w:rPr>
      </w:pPr>
    </w:p>
    <w:p w14:paraId="24A52B55">
      <w:pPr>
        <w:ind w:firstLine="2891" w:firstLineChars="900"/>
        <w:rPr>
          <w:rFonts w:ascii="仿宋_GB2312" w:hAnsi="仿宋" w:eastAsia="仿宋_GB2312" w:cs="仿宋_GB2312"/>
          <w:b/>
          <w:kern w:val="0"/>
          <w:sz w:val="32"/>
          <w:szCs w:val="32"/>
          <w:highlight w:val="none"/>
        </w:rPr>
      </w:pPr>
    </w:p>
    <w:p w14:paraId="0BC684A8">
      <w:pPr>
        <w:ind w:firstLine="2891" w:firstLineChars="900"/>
        <w:rPr>
          <w:rFonts w:ascii="仿宋_GB2312" w:hAnsi="仿宋" w:eastAsia="仿宋_GB2312" w:cs="仿宋_GB2312"/>
          <w:b/>
          <w:kern w:val="0"/>
          <w:sz w:val="32"/>
          <w:szCs w:val="32"/>
          <w:highlight w:val="none"/>
        </w:rPr>
      </w:pPr>
    </w:p>
    <w:p w14:paraId="3362B449">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八、</w:t>
      </w:r>
      <w:r>
        <w:rPr>
          <w:rFonts w:hint="eastAsia" w:ascii="仿宋_GB2312" w:hAnsi="仿宋" w:eastAsia="仿宋_GB2312" w:cs="仿宋_GB2312"/>
          <w:b/>
          <w:kern w:val="0"/>
          <w:sz w:val="32"/>
          <w:szCs w:val="32"/>
          <w:highlight w:val="none"/>
          <w:lang w:val="zh-CN"/>
        </w:rPr>
        <w:t>政府采购供应商廉洁自律承诺书</w:t>
      </w:r>
    </w:p>
    <w:p w14:paraId="489C9C7E">
      <w:pPr>
        <w:snapToGrid w:val="0"/>
        <w:spacing w:line="360" w:lineRule="auto"/>
        <w:rPr>
          <w:rFonts w:ascii="仿宋_GB2312" w:hAnsi="仿宋" w:eastAsia="仿宋_GB2312" w:cs="仿宋_GB2312"/>
          <w:sz w:val="24"/>
          <w:highlight w:val="none"/>
        </w:rPr>
      </w:pPr>
    </w:p>
    <w:p w14:paraId="67E09786">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14:paraId="5250DE90">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14:paraId="36426BE9">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14:paraId="16BD3B1D">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14:paraId="44F61340">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14:paraId="49D8CD58">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14:paraId="1465178B">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14:paraId="4E0E9B02">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14:paraId="46CC9084">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14:paraId="4489AFBC">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14:paraId="4F05C0B9">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14:paraId="6E4E8DFB">
      <w:pPr>
        <w:autoSpaceDE w:val="0"/>
        <w:autoSpaceDN w:val="0"/>
        <w:spacing w:line="360" w:lineRule="auto"/>
        <w:ind w:left="2"/>
        <w:jc w:val="left"/>
        <w:rPr>
          <w:rFonts w:ascii="仿宋_GB2312" w:hAnsi="仿宋_GB2312" w:eastAsia="仿宋_GB2312" w:cs="仿宋_GB2312"/>
          <w:kern w:val="0"/>
          <w:sz w:val="24"/>
          <w:highlight w:val="none"/>
          <w:lang w:val="zh-CN"/>
        </w:rPr>
      </w:pPr>
    </w:p>
    <w:p w14:paraId="33D114A3">
      <w:pPr>
        <w:autoSpaceDE w:val="0"/>
        <w:autoSpaceDN w:val="0"/>
        <w:spacing w:line="360" w:lineRule="auto"/>
        <w:ind w:left="2"/>
        <w:jc w:val="left"/>
        <w:rPr>
          <w:rFonts w:ascii="仿宋_GB2312" w:hAnsi="仿宋_GB2312" w:eastAsia="仿宋_GB2312" w:cs="仿宋_GB2312"/>
          <w:kern w:val="0"/>
          <w:sz w:val="24"/>
          <w:highlight w:val="none"/>
          <w:lang w:val="zh-CN"/>
        </w:rPr>
      </w:pPr>
    </w:p>
    <w:p w14:paraId="64C701C7">
      <w:pPr>
        <w:autoSpaceDE w:val="0"/>
        <w:autoSpaceDN w:val="0"/>
        <w:spacing w:line="360" w:lineRule="auto"/>
        <w:ind w:left="2"/>
        <w:jc w:val="left"/>
        <w:rPr>
          <w:rFonts w:ascii="仿宋_GB2312" w:hAnsi="仿宋_GB2312" w:eastAsia="仿宋_GB2312" w:cs="仿宋_GB2312"/>
          <w:kern w:val="0"/>
          <w:sz w:val="24"/>
          <w:highlight w:val="none"/>
          <w:lang w:val="zh-CN"/>
        </w:rPr>
      </w:pPr>
    </w:p>
    <w:p w14:paraId="722DEBE5">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14:paraId="6CB98B19">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14:paraId="4CB4DB1A">
      <w:pPr>
        <w:spacing w:line="360" w:lineRule="auto"/>
        <w:ind w:left="4620" w:leftChars="2200"/>
        <w:rPr>
          <w:sz w:val="24"/>
          <w:highlight w:val="none"/>
        </w:rPr>
      </w:pPr>
    </w:p>
    <w:p w14:paraId="10CEA14B">
      <w:pPr>
        <w:spacing w:line="360" w:lineRule="auto"/>
        <w:jc w:val="center"/>
        <w:rPr>
          <w:rFonts w:ascii="仿宋_GB2312" w:hAnsi="仿宋" w:eastAsia="仿宋_GB2312" w:cs="仿宋_GB2312"/>
          <w:b/>
          <w:bCs/>
          <w:sz w:val="24"/>
          <w:highlight w:val="none"/>
        </w:rPr>
      </w:pPr>
    </w:p>
    <w:p w14:paraId="05D6E6BC">
      <w:pPr>
        <w:spacing w:line="360" w:lineRule="auto"/>
        <w:jc w:val="center"/>
        <w:rPr>
          <w:rFonts w:ascii="仿宋_GB2312" w:hAnsi="仿宋" w:eastAsia="仿宋_GB2312" w:cs="仿宋_GB2312"/>
          <w:b/>
          <w:bCs/>
          <w:sz w:val="24"/>
          <w:highlight w:val="none"/>
        </w:rPr>
      </w:pPr>
    </w:p>
    <w:p w14:paraId="3E6382BA">
      <w:pPr>
        <w:pStyle w:val="79"/>
        <w:rPr>
          <w:rFonts w:ascii="仿宋_GB2312" w:hAnsi="仿宋" w:eastAsia="仿宋_GB2312" w:cs="仿宋_GB2312"/>
          <w:b/>
          <w:bCs/>
          <w:sz w:val="24"/>
          <w:highlight w:val="none"/>
        </w:rPr>
      </w:pPr>
    </w:p>
    <w:p w14:paraId="20B1B7A7">
      <w:pPr>
        <w:pStyle w:val="79"/>
        <w:rPr>
          <w:rFonts w:ascii="仿宋_GB2312" w:hAnsi="仿宋" w:eastAsia="仿宋_GB2312" w:cs="仿宋_GB2312"/>
          <w:b/>
          <w:bCs/>
          <w:sz w:val="24"/>
          <w:highlight w:val="none"/>
        </w:rPr>
      </w:pPr>
    </w:p>
    <w:p w14:paraId="37FA8704">
      <w:pPr>
        <w:pStyle w:val="79"/>
        <w:rPr>
          <w:rFonts w:ascii="仿宋_GB2312" w:hAnsi="仿宋" w:eastAsia="仿宋_GB2312" w:cs="仿宋_GB2312"/>
          <w:b/>
          <w:bCs/>
          <w:sz w:val="24"/>
          <w:highlight w:val="none"/>
        </w:rPr>
      </w:pPr>
    </w:p>
    <w:p w14:paraId="2BD924CB">
      <w:pPr>
        <w:pStyle w:val="79"/>
        <w:rPr>
          <w:rFonts w:ascii="仿宋_GB2312" w:hAnsi="仿宋" w:eastAsia="仿宋_GB2312" w:cs="仿宋_GB2312"/>
          <w:b/>
          <w:bCs/>
          <w:sz w:val="24"/>
          <w:highlight w:val="none"/>
        </w:rPr>
      </w:pPr>
    </w:p>
    <w:p w14:paraId="5EF636B3">
      <w:pPr>
        <w:pStyle w:val="79"/>
        <w:rPr>
          <w:rFonts w:ascii="仿宋_GB2312" w:hAnsi="仿宋" w:eastAsia="仿宋_GB2312" w:cs="仿宋_GB2312"/>
          <w:b/>
          <w:bCs/>
          <w:sz w:val="24"/>
          <w:highlight w:val="none"/>
        </w:rPr>
      </w:pPr>
    </w:p>
    <w:p w14:paraId="77DE1FC8">
      <w:pPr>
        <w:pStyle w:val="79"/>
        <w:rPr>
          <w:rFonts w:ascii="仿宋_GB2312" w:hAnsi="仿宋" w:eastAsia="仿宋_GB2312" w:cs="仿宋_GB2312"/>
          <w:b/>
          <w:bCs/>
          <w:sz w:val="24"/>
          <w:highlight w:val="none"/>
        </w:rPr>
      </w:pPr>
    </w:p>
    <w:p w14:paraId="346517D0">
      <w:pPr>
        <w:pStyle w:val="79"/>
        <w:rPr>
          <w:rFonts w:ascii="仿宋_GB2312" w:hAnsi="仿宋" w:eastAsia="仿宋_GB2312" w:cs="仿宋_GB2312"/>
          <w:b/>
          <w:bCs/>
          <w:sz w:val="24"/>
          <w:highlight w:val="none"/>
        </w:rPr>
      </w:pPr>
    </w:p>
    <w:p w14:paraId="33951D33">
      <w:pPr>
        <w:pStyle w:val="79"/>
        <w:jc w:val="center"/>
        <w:rPr>
          <w:rFonts w:hint="eastAsia" w:ascii="仿宋_GB2312" w:hAnsi="仿宋" w:eastAsia="仿宋_GB2312" w:cs="仿宋_GB2312"/>
          <w:b/>
          <w:color w:val="auto"/>
          <w:kern w:val="0"/>
          <w:sz w:val="32"/>
          <w:szCs w:val="32"/>
          <w:highlight w:val="none"/>
          <w:lang w:val="zh-CN" w:eastAsia="zh-CN" w:bidi="ar-SA"/>
        </w:rPr>
      </w:pPr>
    </w:p>
    <w:p w14:paraId="46D584E5">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14:paraId="3D30ADFA">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14:paraId="324A83EC">
      <w:pPr>
        <w:spacing w:line="360" w:lineRule="auto"/>
        <w:jc w:val="center"/>
        <w:outlineLvl w:val="0"/>
        <w:rPr>
          <w:rFonts w:ascii="仿宋_GB2312" w:hAnsi="仿宋" w:eastAsia="仿宋_GB2312" w:cs="仿宋_GB2312"/>
          <w:b/>
          <w:kern w:val="0"/>
          <w:sz w:val="36"/>
          <w:szCs w:val="36"/>
          <w:highlight w:val="none"/>
        </w:rPr>
      </w:pPr>
    </w:p>
    <w:p w14:paraId="2F9F86DE">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14:paraId="5E5A3085">
      <w:pPr>
        <w:snapToGrid w:val="0"/>
        <w:spacing w:line="360" w:lineRule="auto"/>
        <w:ind w:right="480"/>
        <w:jc w:val="center"/>
        <w:rPr>
          <w:rFonts w:ascii="仿宋_GB2312" w:hAnsi="仿宋" w:eastAsia="仿宋_GB2312" w:cs="仿宋_GB2312"/>
          <w:b/>
          <w:kern w:val="0"/>
          <w:sz w:val="32"/>
          <w:szCs w:val="32"/>
          <w:highlight w:val="none"/>
        </w:rPr>
      </w:pPr>
    </w:p>
    <w:p w14:paraId="63F2F982">
      <w:pPr>
        <w:snapToGrid w:val="0"/>
        <w:spacing w:line="360" w:lineRule="auto"/>
        <w:ind w:right="480"/>
        <w:jc w:val="center"/>
        <w:rPr>
          <w:rFonts w:ascii="仿宋_GB2312" w:hAnsi="仿宋" w:eastAsia="仿宋_GB2312" w:cs="仿宋_GB2312"/>
          <w:b/>
          <w:kern w:val="0"/>
          <w:sz w:val="32"/>
          <w:szCs w:val="32"/>
          <w:highlight w:val="none"/>
        </w:rPr>
      </w:pPr>
    </w:p>
    <w:p w14:paraId="07A2ECD0">
      <w:pPr>
        <w:snapToGrid w:val="0"/>
        <w:spacing w:line="360" w:lineRule="auto"/>
        <w:ind w:right="480"/>
        <w:jc w:val="center"/>
        <w:rPr>
          <w:rFonts w:ascii="仿宋_GB2312" w:hAnsi="仿宋" w:eastAsia="仿宋_GB2312" w:cs="仿宋_GB2312"/>
          <w:b/>
          <w:kern w:val="0"/>
          <w:sz w:val="32"/>
          <w:szCs w:val="32"/>
          <w:highlight w:val="none"/>
        </w:rPr>
      </w:pPr>
    </w:p>
    <w:p w14:paraId="7C7F1E09">
      <w:pPr>
        <w:snapToGrid w:val="0"/>
        <w:spacing w:line="360" w:lineRule="auto"/>
        <w:ind w:right="480"/>
        <w:jc w:val="center"/>
        <w:rPr>
          <w:rFonts w:ascii="仿宋_GB2312" w:hAnsi="仿宋" w:eastAsia="仿宋_GB2312" w:cs="仿宋_GB2312"/>
          <w:b/>
          <w:kern w:val="0"/>
          <w:sz w:val="32"/>
          <w:szCs w:val="32"/>
          <w:highlight w:val="none"/>
        </w:rPr>
      </w:pPr>
    </w:p>
    <w:p w14:paraId="7AB6E285">
      <w:pPr>
        <w:snapToGrid w:val="0"/>
        <w:spacing w:line="360" w:lineRule="auto"/>
        <w:ind w:right="480"/>
        <w:jc w:val="center"/>
        <w:rPr>
          <w:rFonts w:ascii="仿宋_GB2312" w:hAnsi="仿宋" w:eastAsia="仿宋_GB2312" w:cs="仿宋_GB2312"/>
          <w:b/>
          <w:kern w:val="0"/>
          <w:sz w:val="32"/>
          <w:szCs w:val="32"/>
          <w:highlight w:val="none"/>
        </w:rPr>
      </w:pPr>
    </w:p>
    <w:p w14:paraId="2585B08E">
      <w:pPr>
        <w:snapToGrid w:val="0"/>
        <w:spacing w:line="360" w:lineRule="auto"/>
        <w:ind w:right="480"/>
        <w:jc w:val="center"/>
        <w:rPr>
          <w:rFonts w:ascii="仿宋_GB2312" w:hAnsi="仿宋" w:eastAsia="仿宋_GB2312" w:cs="仿宋_GB2312"/>
          <w:b/>
          <w:kern w:val="0"/>
          <w:sz w:val="32"/>
          <w:szCs w:val="32"/>
          <w:highlight w:val="none"/>
        </w:rPr>
      </w:pPr>
    </w:p>
    <w:p w14:paraId="79E24B4A">
      <w:pPr>
        <w:snapToGrid w:val="0"/>
        <w:spacing w:line="360" w:lineRule="auto"/>
        <w:ind w:right="480"/>
        <w:jc w:val="center"/>
        <w:rPr>
          <w:rFonts w:ascii="仿宋_GB2312" w:hAnsi="仿宋" w:eastAsia="仿宋_GB2312" w:cs="仿宋_GB2312"/>
          <w:b/>
          <w:kern w:val="0"/>
          <w:sz w:val="32"/>
          <w:szCs w:val="32"/>
          <w:highlight w:val="none"/>
        </w:rPr>
      </w:pPr>
    </w:p>
    <w:p w14:paraId="16CE3B83">
      <w:pPr>
        <w:snapToGrid w:val="0"/>
        <w:spacing w:line="360" w:lineRule="auto"/>
        <w:ind w:right="480"/>
        <w:jc w:val="center"/>
        <w:rPr>
          <w:rFonts w:ascii="仿宋_GB2312" w:hAnsi="仿宋" w:eastAsia="仿宋_GB2312" w:cs="仿宋_GB2312"/>
          <w:b/>
          <w:kern w:val="0"/>
          <w:sz w:val="32"/>
          <w:szCs w:val="32"/>
          <w:highlight w:val="none"/>
        </w:rPr>
      </w:pPr>
    </w:p>
    <w:p w14:paraId="050F14D5">
      <w:pPr>
        <w:snapToGrid w:val="0"/>
        <w:spacing w:line="360" w:lineRule="auto"/>
        <w:ind w:right="480"/>
        <w:jc w:val="center"/>
        <w:rPr>
          <w:rFonts w:ascii="仿宋_GB2312" w:hAnsi="仿宋" w:eastAsia="仿宋_GB2312" w:cs="仿宋_GB2312"/>
          <w:b/>
          <w:kern w:val="0"/>
          <w:sz w:val="32"/>
          <w:szCs w:val="32"/>
          <w:highlight w:val="none"/>
        </w:rPr>
      </w:pPr>
    </w:p>
    <w:p w14:paraId="469C0C2A">
      <w:pPr>
        <w:snapToGrid w:val="0"/>
        <w:spacing w:line="360" w:lineRule="auto"/>
        <w:ind w:right="480"/>
        <w:jc w:val="center"/>
        <w:rPr>
          <w:rFonts w:ascii="仿宋_GB2312" w:hAnsi="仿宋" w:eastAsia="仿宋_GB2312" w:cs="仿宋_GB2312"/>
          <w:b/>
          <w:kern w:val="0"/>
          <w:sz w:val="32"/>
          <w:szCs w:val="32"/>
          <w:highlight w:val="none"/>
        </w:rPr>
      </w:pPr>
    </w:p>
    <w:p w14:paraId="1D1065E5">
      <w:pPr>
        <w:snapToGrid w:val="0"/>
        <w:spacing w:line="360" w:lineRule="auto"/>
        <w:ind w:right="480"/>
        <w:jc w:val="center"/>
        <w:rPr>
          <w:rFonts w:ascii="仿宋_GB2312" w:hAnsi="仿宋" w:eastAsia="仿宋_GB2312" w:cs="仿宋_GB2312"/>
          <w:b/>
          <w:kern w:val="0"/>
          <w:sz w:val="32"/>
          <w:szCs w:val="32"/>
          <w:highlight w:val="none"/>
        </w:rPr>
      </w:pPr>
    </w:p>
    <w:p w14:paraId="0820BE5D">
      <w:pPr>
        <w:snapToGrid w:val="0"/>
        <w:spacing w:line="360" w:lineRule="auto"/>
        <w:ind w:right="480"/>
        <w:jc w:val="center"/>
        <w:rPr>
          <w:rFonts w:ascii="仿宋_GB2312" w:hAnsi="仿宋" w:eastAsia="仿宋_GB2312" w:cs="仿宋_GB2312"/>
          <w:b/>
          <w:kern w:val="0"/>
          <w:sz w:val="32"/>
          <w:szCs w:val="32"/>
          <w:highlight w:val="none"/>
        </w:rPr>
      </w:pPr>
    </w:p>
    <w:p w14:paraId="790C14B2">
      <w:pPr>
        <w:snapToGrid w:val="0"/>
        <w:spacing w:line="360" w:lineRule="auto"/>
        <w:ind w:right="480"/>
        <w:jc w:val="center"/>
        <w:rPr>
          <w:rFonts w:ascii="仿宋_GB2312" w:hAnsi="仿宋" w:eastAsia="仿宋_GB2312" w:cs="仿宋_GB2312"/>
          <w:b/>
          <w:kern w:val="0"/>
          <w:sz w:val="32"/>
          <w:szCs w:val="32"/>
          <w:highlight w:val="none"/>
        </w:rPr>
      </w:pPr>
    </w:p>
    <w:p w14:paraId="7A8F96AF">
      <w:pPr>
        <w:snapToGrid w:val="0"/>
        <w:spacing w:line="360" w:lineRule="auto"/>
        <w:ind w:right="480"/>
        <w:jc w:val="center"/>
        <w:rPr>
          <w:rFonts w:ascii="仿宋_GB2312" w:hAnsi="仿宋" w:eastAsia="仿宋_GB2312" w:cs="仿宋_GB2312"/>
          <w:b/>
          <w:kern w:val="0"/>
          <w:sz w:val="32"/>
          <w:szCs w:val="32"/>
          <w:highlight w:val="none"/>
        </w:rPr>
      </w:pPr>
    </w:p>
    <w:p w14:paraId="193D3A03">
      <w:pPr>
        <w:snapToGrid w:val="0"/>
        <w:spacing w:line="360" w:lineRule="auto"/>
        <w:ind w:right="480"/>
        <w:jc w:val="center"/>
        <w:rPr>
          <w:rFonts w:ascii="仿宋_GB2312" w:hAnsi="仿宋" w:eastAsia="仿宋_GB2312" w:cs="仿宋_GB2312"/>
          <w:b/>
          <w:kern w:val="0"/>
          <w:sz w:val="32"/>
          <w:szCs w:val="32"/>
          <w:highlight w:val="none"/>
        </w:rPr>
      </w:pPr>
    </w:p>
    <w:p w14:paraId="79323B8B">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05544DA0">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14:paraId="45E20D56">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14:paraId="189F40B5">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（项目名称）</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14:paraId="0748291C">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开标一览表（报价表）</w:t>
      </w:r>
      <w:r>
        <w:rPr>
          <w:rFonts w:ascii="仿宋_GB2312" w:hAnsi="仿宋" w:eastAsia="仿宋_GB2312" w:cs="仿宋_GB2312"/>
          <w:b/>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612"/>
        <w:gridCol w:w="1164"/>
        <w:gridCol w:w="1764"/>
        <w:gridCol w:w="1932"/>
        <w:gridCol w:w="2088"/>
        <w:gridCol w:w="3248"/>
      </w:tblGrid>
      <w:tr w14:paraId="6F17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59" w:type="dxa"/>
            <w:vAlign w:val="center"/>
          </w:tcPr>
          <w:p w14:paraId="43DA4020">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3612" w:type="dxa"/>
            <w:vAlign w:val="center"/>
          </w:tcPr>
          <w:p w14:paraId="5DDE9013">
            <w:pPr>
              <w:spacing w:line="360" w:lineRule="auto"/>
              <w:jc w:val="center"/>
              <w:rPr>
                <w:rFonts w:hint="eastAsia" w:ascii="仿宋_GB2312" w:hAnsi="仿宋" w:eastAsia="仿宋_GB2312" w:cs="仿宋_GB2312"/>
                <w:b/>
                <w:sz w:val="24"/>
                <w:highlight w:val="none"/>
                <w:lang w:val="en-US" w:eastAsia="zh-CN"/>
              </w:rPr>
            </w:pPr>
            <w:r>
              <w:rPr>
                <w:rFonts w:hint="eastAsia" w:ascii="仿宋_GB2312" w:hAnsi="仿宋" w:eastAsia="仿宋_GB2312"/>
                <w:b/>
                <w:sz w:val="24"/>
                <w:highlight w:val="none"/>
              </w:rPr>
              <w:t>名称</w:t>
            </w:r>
          </w:p>
        </w:tc>
        <w:tc>
          <w:tcPr>
            <w:tcW w:w="1164" w:type="dxa"/>
            <w:vAlign w:val="center"/>
          </w:tcPr>
          <w:p w14:paraId="7BD92F86">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lang w:val="en-US" w:eastAsia="zh-CN"/>
              </w:rPr>
              <w:t>单位</w:t>
            </w:r>
          </w:p>
        </w:tc>
        <w:tc>
          <w:tcPr>
            <w:tcW w:w="1764" w:type="dxa"/>
            <w:vAlign w:val="center"/>
          </w:tcPr>
          <w:p w14:paraId="311CC7B0">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数量</w:t>
            </w:r>
          </w:p>
        </w:tc>
        <w:tc>
          <w:tcPr>
            <w:tcW w:w="1932" w:type="dxa"/>
            <w:vAlign w:val="center"/>
          </w:tcPr>
          <w:p w14:paraId="36ED112E">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lang w:eastAsia="zh-CN"/>
              </w:rPr>
              <w:t>投标</w:t>
            </w:r>
            <w:r>
              <w:rPr>
                <w:rFonts w:hint="eastAsia" w:ascii="仿宋_GB2312" w:hAnsi="仿宋" w:eastAsia="仿宋_GB2312"/>
                <w:b/>
                <w:sz w:val="24"/>
                <w:highlight w:val="none"/>
              </w:rPr>
              <w:t>单价</w:t>
            </w:r>
          </w:p>
        </w:tc>
        <w:tc>
          <w:tcPr>
            <w:tcW w:w="2088" w:type="dxa"/>
            <w:vAlign w:val="center"/>
          </w:tcPr>
          <w:p w14:paraId="671DBB6A">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lang w:eastAsia="zh-CN"/>
              </w:rPr>
              <w:t>合价</w:t>
            </w:r>
          </w:p>
        </w:tc>
        <w:tc>
          <w:tcPr>
            <w:tcW w:w="3248" w:type="dxa"/>
            <w:vAlign w:val="center"/>
          </w:tcPr>
          <w:p w14:paraId="45B16AAF">
            <w:pPr>
              <w:spacing w:line="360" w:lineRule="auto"/>
              <w:jc w:val="center"/>
              <w:rPr>
                <w:rFonts w:ascii="仿宋_GB2312" w:hAnsi="仿宋" w:eastAsia="仿宋_GB2312"/>
                <w:b/>
                <w:sz w:val="24"/>
                <w:highlight w:val="none"/>
              </w:rPr>
            </w:pPr>
          </w:p>
          <w:p w14:paraId="69D0FE56">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服务要求（年限）</w:t>
            </w:r>
          </w:p>
          <w:p w14:paraId="2A5BA9EE">
            <w:pPr>
              <w:spacing w:line="360" w:lineRule="auto"/>
              <w:jc w:val="center"/>
              <w:rPr>
                <w:rFonts w:ascii="仿宋_GB2312" w:hAnsi="仿宋" w:eastAsia="仿宋_GB2312"/>
                <w:b/>
                <w:sz w:val="24"/>
                <w:highlight w:val="none"/>
              </w:rPr>
            </w:pPr>
          </w:p>
        </w:tc>
      </w:tr>
      <w:tr w14:paraId="0DDB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9" w:type="dxa"/>
            <w:vAlign w:val="center"/>
          </w:tcPr>
          <w:p w14:paraId="65B06F7B">
            <w:pPr>
              <w:spacing w:line="500" w:lineRule="exact"/>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3612" w:type="dxa"/>
            <w:vAlign w:val="center"/>
          </w:tcPr>
          <w:p w14:paraId="57807C6E">
            <w:pPr>
              <w:snapToGrid w:val="0"/>
              <w:spacing w:line="500" w:lineRule="exact"/>
              <w:jc w:val="center"/>
              <w:rPr>
                <w:rFonts w:ascii="仿宋_GB2312" w:hAnsi="仿宋" w:eastAsia="仿宋_GB2312" w:cs="仿宋_GB2312"/>
                <w:sz w:val="24"/>
                <w:highlight w:val="none"/>
              </w:rPr>
            </w:pPr>
            <w:r>
              <w:rPr>
                <w:rFonts w:hint="eastAsia" w:ascii="仿宋" w:hAnsi="仿宋" w:eastAsia="仿宋" w:cs="仿宋"/>
                <w:color w:val="auto"/>
                <w:sz w:val="24"/>
                <w:szCs w:val="24"/>
                <w:highlight w:val="none"/>
                <w:lang w:eastAsia="zh-CN"/>
              </w:rPr>
              <w:t>综合保洁</w:t>
            </w:r>
          </w:p>
        </w:tc>
        <w:tc>
          <w:tcPr>
            <w:tcW w:w="1164" w:type="dxa"/>
            <w:vAlign w:val="center"/>
          </w:tcPr>
          <w:p w14:paraId="4E2EBE3D">
            <w:pPr>
              <w:snapToGrid w:val="0"/>
              <w:spacing w:line="500" w:lineRule="exact"/>
              <w:jc w:val="center"/>
              <w:rPr>
                <w:rFonts w:ascii="仿宋_GB2312" w:hAnsi="仿宋" w:eastAsia="仿宋_GB2312" w:cs="仿宋_GB2312"/>
                <w:sz w:val="24"/>
                <w:highlight w:val="none"/>
              </w:rPr>
            </w:pPr>
            <w:r>
              <w:rPr>
                <w:rFonts w:hint="eastAsia" w:ascii="仿宋" w:hAnsi="仿宋" w:eastAsia="仿宋" w:cs="仿宋"/>
                <w:b w:val="0"/>
                <w:bCs w:val="0"/>
                <w:color w:val="auto"/>
                <w:sz w:val="24"/>
                <w:szCs w:val="24"/>
                <w:highlight w:val="none"/>
                <w:lang w:val="en-US" w:eastAsia="zh-CN"/>
              </w:rPr>
              <w:t>项</w:t>
            </w:r>
          </w:p>
        </w:tc>
        <w:tc>
          <w:tcPr>
            <w:tcW w:w="1764" w:type="dxa"/>
            <w:vAlign w:val="center"/>
          </w:tcPr>
          <w:p w14:paraId="1323F534">
            <w:pPr>
              <w:snapToGrid w:val="0"/>
              <w:spacing w:line="500" w:lineRule="exact"/>
              <w:jc w:val="center"/>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1</w:t>
            </w:r>
          </w:p>
        </w:tc>
        <w:tc>
          <w:tcPr>
            <w:tcW w:w="1932" w:type="dxa"/>
            <w:vAlign w:val="center"/>
          </w:tcPr>
          <w:p w14:paraId="068C71C6">
            <w:pPr>
              <w:spacing w:line="500" w:lineRule="exact"/>
              <w:jc w:val="center"/>
              <w:rPr>
                <w:rFonts w:ascii="仿宋_GB2312" w:hAnsi="仿宋" w:eastAsia="仿宋_GB2312" w:cs="仿宋_GB2312"/>
                <w:sz w:val="24"/>
                <w:highlight w:val="none"/>
              </w:rPr>
            </w:pPr>
          </w:p>
        </w:tc>
        <w:tc>
          <w:tcPr>
            <w:tcW w:w="2088" w:type="dxa"/>
            <w:vAlign w:val="center"/>
          </w:tcPr>
          <w:p w14:paraId="7B7E6B01">
            <w:pPr>
              <w:spacing w:line="500" w:lineRule="exact"/>
              <w:jc w:val="center"/>
              <w:rPr>
                <w:rFonts w:ascii="仿宋_GB2312" w:hAnsi="仿宋" w:eastAsia="仿宋_GB2312" w:cs="仿宋_GB2312"/>
                <w:sz w:val="24"/>
                <w:highlight w:val="none"/>
              </w:rPr>
            </w:pPr>
          </w:p>
        </w:tc>
        <w:tc>
          <w:tcPr>
            <w:tcW w:w="3248" w:type="dxa"/>
            <w:vAlign w:val="center"/>
          </w:tcPr>
          <w:p w14:paraId="53C12D46">
            <w:pPr>
              <w:spacing w:line="500" w:lineRule="exact"/>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合同签订之日起贰年</w:t>
            </w:r>
          </w:p>
        </w:tc>
      </w:tr>
      <w:tr w14:paraId="2522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59" w:type="dxa"/>
            <w:vAlign w:val="center"/>
          </w:tcPr>
          <w:p w14:paraId="3EB744E4">
            <w:pPr>
              <w:spacing w:line="500" w:lineRule="exact"/>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3612" w:type="dxa"/>
            <w:vAlign w:val="center"/>
          </w:tcPr>
          <w:p w14:paraId="23403FD9">
            <w:pPr>
              <w:snapToGrid w:val="0"/>
              <w:spacing w:line="500" w:lineRule="exact"/>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中转站生活垃圾清运服务</w:t>
            </w:r>
          </w:p>
        </w:tc>
        <w:tc>
          <w:tcPr>
            <w:tcW w:w="1164" w:type="dxa"/>
            <w:vAlign w:val="center"/>
          </w:tcPr>
          <w:p w14:paraId="641C1D23">
            <w:pPr>
              <w:snapToGrid w:val="0"/>
              <w:spacing w:line="500" w:lineRule="exact"/>
              <w:jc w:val="center"/>
              <w:rPr>
                <w:rFonts w:ascii="仿宋_GB2312" w:hAnsi="仿宋" w:eastAsia="仿宋_GB2312" w:cs="仿宋_GB2312"/>
                <w:sz w:val="24"/>
                <w:highlight w:val="none"/>
              </w:rPr>
            </w:pPr>
            <w:r>
              <w:rPr>
                <w:rFonts w:hint="eastAsia" w:ascii="仿宋" w:hAnsi="仿宋" w:eastAsia="仿宋" w:cs="仿宋"/>
                <w:color w:val="auto"/>
                <w:sz w:val="24"/>
                <w:szCs w:val="24"/>
                <w:highlight w:val="none"/>
                <w:lang w:val="en-US" w:eastAsia="zh-CN"/>
              </w:rPr>
              <w:t>吨</w:t>
            </w:r>
          </w:p>
        </w:tc>
        <w:tc>
          <w:tcPr>
            <w:tcW w:w="1764" w:type="dxa"/>
            <w:vAlign w:val="center"/>
          </w:tcPr>
          <w:p w14:paraId="47F33BA5">
            <w:pPr>
              <w:snapToGrid w:val="0"/>
              <w:spacing w:line="500" w:lineRule="exact"/>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22995</w:t>
            </w:r>
          </w:p>
        </w:tc>
        <w:tc>
          <w:tcPr>
            <w:tcW w:w="1932" w:type="dxa"/>
            <w:vAlign w:val="center"/>
          </w:tcPr>
          <w:p w14:paraId="6EF9768D">
            <w:pPr>
              <w:spacing w:line="500" w:lineRule="exact"/>
              <w:jc w:val="center"/>
              <w:rPr>
                <w:rFonts w:ascii="仿宋_GB2312" w:hAnsi="仿宋" w:eastAsia="仿宋_GB2312" w:cs="仿宋_GB2312"/>
                <w:sz w:val="24"/>
                <w:highlight w:val="none"/>
              </w:rPr>
            </w:pPr>
          </w:p>
        </w:tc>
        <w:tc>
          <w:tcPr>
            <w:tcW w:w="2088" w:type="dxa"/>
            <w:vAlign w:val="center"/>
          </w:tcPr>
          <w:p w14:paraId="1E59F8EE">
            <w:pPr>
              <w:spacing w:line="500" w:lineRule="exact"/>
              <w:jc w:val="center"/>
              <w:rPr>
                <w:rFonts w:ascii="仿宋_GB2312" w:hAnsi="仿宋" w:eastAsia="仿宋_GB2312" w:cs="仿宋_GB2312"/>
                <w:sz w:val="24"/>
                <w:highlight w:val="none"/>
              </w:rPr>
            </w:pPr>
          </w:p>
        </w:tc>
        <w:tc>
          <w:tcPr>
            <w:tcW w:w="3248" w:type="dxa"/>
            <w:vAlign w:val="center"/>
          </w:tcPr>
          <w:p w14:paraId="3E974E0E">
            <w:pPr>
              <w:spacing w:line="500" w:lineRule="exact"/>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2025年2月1日起至本项目服务期限止</w:t>
            </w:r>
          </w:p>
        </w:tc>
      </w:tr>
      <w:tr w14:paraId="629A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535" w:type="dxa"/>
            <w:gridSpan w:val="3"/>
            <w:vAlign w:val="center"/>
          </w:tcPr>
          <w:p w14:paraId="3D4A0FD1">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w:t>
            </w:r>
            <w:r>
              <w:rPr>
                <w:rFonts w:hint="eastAsia" w:ascii="仿宋_GB2312" w:hAnsi="仿宋" w:eastAsia="仿宋_GB2312" w:cs="仿宋_GB2312"/>
                <w:b/>
                <w:sz w:val="24"/>
                <w:highlight w:val="none"/>
                <w:lang w:eastAsia="zh-CN"/>
              </w:rPr>
              <w:t>总</w:t>
            </w:r>
            <w:r>
              <w:rPr>
                <w:rFonts w:hint="eastAsia" w:ascii="仿宋_GB2312" w:hAnsi="仿宋" w:eastAsia="仿宋_GB2312" w:cs="仿宋_GB2312"/>
                <w:b/>
                <w:sz w:val="24"/>
                <w:highlight w:val="none"/>
              </w:rPr>
              <w:t>报价（小写）</w:t>
            </w:r>
          </w:p>
        </w:tc>
        <w:tc>
          <w:tcPr>
            <w:tcW w:w="9032" w:type="dxa"/>
            <w:gridSpan w:val="4"/>
            <w:vAlign w:val="center"/>
          </w:tcPr>
          <w:p w14:paraId="3DA3F91A">
            <w:pPr>
              <w:spacing w:line="360" w:lineRule="auto"/>
              <w:jc w:val="center"/>
              <w:rPr>
                <w:rFonts w:ascii="仿宋_GB2312" w:hAnsi="仿宋" w:eastAsia="仿宋_GB2312" w:cs="仿宋_GB2312"/>
                <w:sz w:val="24"/>
                <w:highlight w:val="none"/>
              </w:rPr>
            </w:pPr>
          </w:p>
        </w:tc>
      </w:tr>
      <w:tr w14:paraId="3698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535" w:type="dxa"/>
            <w:gridSpan w:val="3"/>
            <w:vAlign w:val="center"/>
          </w:tcPr>
          <w:p w14:paraId="57EDB5E6">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w:t>
            </w:r>
            <w:r>
              <w:rPr>
                <w:rFonts w:hint="eastAsia" w:ascii="仿宋_GB2312" w:hAnsi="仿宋" w:eastAsia="仿宋_GB2312" w:cs="仿宋_GB2312"/>
                <w:b/>
                <w:sz w:val="24"/>
                <w:highlight w:val="none"/>
                <w:lang w:eastAsia="zh-CN"/>
              </w:rPr>
              <w:t>总</w:t>
            </w:r>
            <w:r>
              <w:rPr>
                <w:rFonts w:hint="eastAsia" w:ascii="仿宋_GB2312" w:hAnsi="仿宋" w:eastAsia="仿宋_GB2312" w:cs="仿宋_GB2312"/>
                <w:b/>
                <w:sz w:val="24"/>
                <w:highlight w:val="none"/>
              </w:rPr>
              <w:t>报价（大写）</w:t>
            </w:r>
          </w:p>
        </w:tc>
        <w:tc>
          <w:tcPr>
            <w:tcW w:w="9032" w:type="dxa"/>
            <w:gridSpan w:val="4"/>
            <w:vAlign w:val="center"/>
          </w:tcPr>
          <w:p w14:paraId="42F64083">
            <w:pPr>
              <w:spacing w:line="360" w:lineRule="auto"/>
              <w:jc w:val="center"/>
              <w:rPr>
                <w:rFonts w:ascii="仿宋_GB2312" w:hAnsi="仿宋" w:eastAsia="仿宋_GB2312" w:cs="仿宋_GB2312"/>
                <w:sz w:val="24"/>
                <w:highlight w:val="none"/>
              </w:rPr>
            </w:pPr>
          </w:p>
        </w:tc>
      </w:tr>
    </w:tbl>
    <w:p w14:paraId="5B87656B">
      <w:pPr>
        <w:snapToGrid w:val="0"/>
        <w:spacing w:line="360" w:lineRule="auto"/>
        <w:ind w:left="480"/>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14:paraId="028211F3">
      <w:pPr>
        <w:spacing w:line="360" w:lineRule="auto"/>
        <w:ind w:left="-2" w:leftChars="-1"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14:paraId="2CCE9A19">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14:paraId="50D05576">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3、以上表格要求细分项目及报价，在“规格型号（或具体服务）”一栏中，货物类项目填写规格型号，服务类项目填写具体服务。</w:t>
      </w:r>
    </w:p>
    <w:p w14:paraId="0A9CACC1">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14:paraId="0F4620D1">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14:paraId="2A30C3AC">
      <w:pPr>
        <w:spacing w:line="360" w:lineRule="auto"/>
        <w:ind w:firstLine="482" w:firstLineChars="200"/>
        <w:rPr>
          <w:rFonts w:ascii="仿宋_GB2312" w:hAnsi="仿宋" w:eastAsia="仿宋_GB2312"/>
          <w:b/>
          <w:kern w:val="0"/>
          <w:sz w:val="24"/>
          <w:highlight w:val="none"/>
        </w:rPr>
      </w:pPr>
    </w:p>
    <w:p w14:paraId="526A9D61">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p>
    <w:p w14:paraId="46E4D489">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7DC674A7">
      <w:pPr>
        <w:spacing w:line="360" w:lineRule="auto"/>
        <w:ind w:right="420" w:firstLine="3614" w:firstLineChars="1000"/>
        <w:rPr>
          <w:rFonts w:ascii="仿宋_GB2312" w:hAnsi="仿宋" w:eastAsia="仿宋_GB2312" w:cs="仿宋_GB2312"/>
          <w:b/>
          <w:kern w:val="0"/>
          <w:sz w:val="36"/>
          <w:szCs w:val="36"/>
          <w:highlight w:val="none"/>
        </w:rPr>
      </w:pPr>
    </w:p>
    <w:p w14:paraId="5EC42562">
      <w:pPr>
        <w:tabs>
          <w:tab w:val="left" w:pos="8085"/>
        </w:tabs>
        <w:spacing w:line="360" w:lineRule="auto"/>
        <w:ind w:firstLine="1285" w:firstLineChars="400"/>
        <w:jc w:val="left"/>
        <w:rPr>
          <w:rFonts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政府采购支持中小企业信用融资相关事项通知</w:t>
      </w:r>
    </w:p>
    <w:p w14:paraId="2369EAFE">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59328218">
      <w:pPr>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中国银保监会浙江监管局、杭州市地方金融监督管理局、杭州市经济和信息化局制定《杭州市政府采购支持中小企业信用融资管理办法》。相关事项通知如下：</w:t>
      </w:r>
    </w:p>
    <w:p w14:paraId="266F86FA">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一、适用对象</w:t>
      </w:r>
    </w:p>
    <w:p w14:paraId="2D049372">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凡已在浙江政府采购网上注册入库，并取得杭州市政府采购合同的中小企业供应商（以下简称“供应商”），均可申请政府采购信用融资。</w:t>
      </w:r>
    </w:p>
    <w:p w14:paraId="37F132B3">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二、相关信息获取方式</w:t>
      </w:r>
    </w:p>
    <w:p w14:paraId="52CC0F31">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633A0FF6">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三、　政府采购信用融资操作流程：</w:t>
      </w:r>
    </w:p>
    <w:p w14:paraId="5AE146FD">
      <w:pPr>
        <w:spacing w:line="360" w:lineRule="auto"/>
        <w:ind w:firstLine="960" w:firstLineChars="400"/>
        <w:rPr>
          <w:rFonts w:ascii="仿宋" w:hAnsi="仿宋" w:eastAsia="仿宋"/>
          <w:sz w:val="24"/>
          <w:highlight w:val="none"/>
        </w:rPr>
      </w:pPr>
      <w:r>
        <w:rPr>
          <w:rFonts w:hint="eastAsia" w:ascii="仿宋" w:hAnsi="仿宋" w:eastAsia="仿宋"/>
          <w:sz w:val="24"/>
          <w:highlight w:val="none"/>
        </w:rPr>
        <w:t>（一）线上融资模式：</w:t>
      </w:r>
    </w:p>
    <w:p w14:paraId="5B0A3EBE">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1.供应商根据合作银行提供的方案，自行选择金融产品，并办理开户等手续；</w:t>
      </w:r>
    </w:p>
    <w:p w14:paraId="6786E639">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2.供应商中标后，可通过杭州市政府采购网或“浙里办”测算授信额度；</w:t>
      </w:r>
    </w:p>
    <w:p w14:paraId="42693F19">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3.采购合同签订后，供应商在杭州市政府采购网或“浙里办”向合作银行发出融资申请；</w:t>
      </w:r>
    </w:p>
    <w:p w14:paraId="75011D34">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4.审批通过后，在线办理放贷手续。</w:t>
      </w:r>
    </w:p>
    <w:p w14:paraId="59A51E2F">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（二）线下融资模式：</w:t>
      </w:r>
    </w:p>
    <w:p w14:paraId="5CC9D2F3">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1.供应商根据合作银行提供的方案，自行选择金融产品，向合作银行提出信用资格预审，并办理开户等手续；</w:t>
      </w:r>
    </w:p>
    <w:p w14:paraId="1126DA8F">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2.采购合同签订后，供应商在杭州市政府采购网或“浙里办”向合作银行发出融资申请；</w:t>
      </w:r>
    </w:p>
    <w:p w14:paraId="13B7D5D3">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3.合作银行在信用融资模块受理申请后，供应商提供审批材料。合作银行应对申请信用融资的供应商及备案的政府采购合同信息进行核对和审查；</w:t>
      </w:r>
    </w:p>
    <w:p w14:paraId="6CD6928A">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4.审批通过后，合作银行应按照合作备忘录中约定的审批放款期限和优惠利率及时予以放款。</w:t>
      </w:r>
    </w:p>
    <w:p w14:paraId="26E86ADF">
      <w:pPr>
        <w:pStyle w:val="3"/>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（三）杭州e融平台申请融资</w:t>
      </w:r>
    </w:p>
    <w:p w14:paraId="100F365B">
      <w:pPr>
        <w:pStyle w:val="3"/>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供应商通过杭州e融平台政采贷专区，自行选择金融产品，按规定手续办理贷款流程。</w:t>
      </w:r>
    </w:p>
    <w:p w14:paraId="72D6C343">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四、注意事项</w:t>
      </w:r>
    </w:p>
    <w:p w14:paraId="4007AE64">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对拟用于信用融资的政府采购合同，供应商在签订合同时应当在合同中注明融资银行名称及账号，作为在该银行的唯一收款账号。</w:t>
      </w:r>
    </w:p>
    <w:p w14:paraId="375E7F0F">
      <w:pPr>
        <w:spacing w:line="360" w:lineRule="auto"/>
        <w:ind w:firstLine="480" w:firstLineChars="200"/>
        <w:rPr>
          <w:rFonts w:ascii="仿宋_GB2312" w:hAnsi="仿宋" w:eastAsia="仿宋_GB2312" w:cs="仿宋_GB2312"/>
          <w:sz w:val="24"/>
          <w:highlight w:val="none"/>
        </w:rPr>
      </w:pPr>
      <w:r>
        <w:rPr>
          <w:rFonts w:ascii="仿宋" w:hAnsi="仿宋" w:eastAsia="仿宋"/>
          <w:sz w:val="24"/>
          <w:highlight w:val="none"/>
        </w:rPr>
        <w:t>2</w:t>
      </w:r>
      <w:r>
        <w:rPr>
          <w:rFonts w:hint="eastAsia" w:ascii="仿宋" w:hAnsi="仿宋" w:eastAsia="仿宋"/>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highlight w:val="none"/>
        </w:rPr>
        <w:t>。</w:t>
      </w:r>
    </w:p>
    <w:p w14:paraId="6D8BE051">
      <w:pPr>
        <w:spacing w:line="360" w:lineRule="auto"/>
        <w:ind w:left="5060" w:hanging="5060" w:hangingChars="2100"/>
        <w:rPr>
          <w:rFonts w:ascii="仿宋_GB2312" w:hAnsi="仿宋" w:eastAsia="仿宋_GB2312" w:cs="仿宋_GB2312"/>
          <w:b/>
          <w:bCs/>
          <w:kern w:val="0"/>
          <w:sz w:val="24"/>
          <w:highlight w:val="none"/>
        </w:rPr>
      </w:pPr>
    </w:p>
    <w:p w14:paraId="658BD89C">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highlight w:val="none"/>
        </w:rPr>
      </w:pPr>
      <w:bookmarkStart w:id="393" w:name="_Toc465665161"/>
      <w:r>
        <w:rPr>
          <w:rFonts w:hint="eastAsia" w:ascii="仿宋_GB2312" w:hAnsi="仿宋" w:eastAsia="仿宋_GB2312"/>
          <w:highlight w:val="none"/>
        </w:rPr>
        <w:t>附件</w:t>
      </w:r>
      <w:bookmarkEnd w:id="393"/>
    </w:p>
    <w:p w14:paraId="2A8EBFAA">
      <w:pPr>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14:paraId="1FBAB108">
      <w:pPr>
        <w:spacing w:line="360" w:lineRule="auto"/>
        <w:jc w:val="center"/>
        <w:rPr>
          <w:rFonts w:ascii="仿宋_GB2312" w:hAnsi="仿宋" w:eastAsia="仿宋_GB2312"/>
          <w:b/>
          <w:spacing w:val="6"/>
          <w:sz w:val="32"/>
          <w:szCs w:val="32"/>
          <w:highlight w:val="none"/>
        </w:rPr>
      </w:pPr>
      <w:bookmarkStart w:id="394" w:name="OLE_LINK14"/>
      <w:bookmarkStart w:id="395" w:name="OLE_LINK13"/>
      <w:r>
        <w:rPr>
          <w:rFonts w:hint="eastAsia" w:ascii="仿宋_GB2312" w:hAnsi="仿宋" w:eastAsia="仿宋_GB2312"/>
          <w:b/>
          <w:spacing w:val="6"/>
          <w:sz w:val="32"/>
          <w:szCs w:val="32"/>
          <w:highlight w:val="none"/>
        </w:rPr>
        <w:t>残疾人福利性单位声明函</w:t>
      </w:r>
    </w:p>
    <w:bookmarkEnd w:id="394"/>
    <w:bookmarkEnd w:id="395"/>
    <w:p w14:paraId="601601AB">
      <w:pPr>
        <w:spacing w:line="360" w:lineRule="auto"/>
        <w:rPr>
          <w:rFonts w:ascii="仿宋_GB2312" w:hAnsi="仿宋" w:eastAsia="仿宋_GB2312"/>
          <w:b/>
          <w:spacing w:val="6"/>
          <w:sz w:val="30"/>
          <w:szCs w:val="30"/>
          <w:highlight w:val="none"/>
        </w:rPr>
      </w:pPr>
    </w:p>
    <w:p w14:paraId="0A97C093">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EA12CA">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14:paraId="72564C49">
      <w:pPr>
        <w:spacing w:line="360" w:lineRule="auto"/>
        <w:ind w:firstLine="480" w:firstLineChars="200"/>
        <w:rPr>
          <w:rFonts w:ascii="仿宋_GB2312" w:hAnsi="仿宋" w:eastAsia="仿宋_GB2312" w:cs="仿宋_GB2312"/>
          <w:sz w:val="24"/>
          <w:highlight w:val="none"/>
        </w:rPr>
      </w:pPr>
    </w:p>
    <w:p w14:paraId="67E6536D">
      <w:pPr>
        <w:spacing w:line="360" w:lineRule="auto"/>
        <w:ind w:firstLine="480" w:firstLineChars="200"/>
        <w:rPr>
          <w:rFonts w:ascii="仿宋_GB2312" w:hAnsi="仿宋" w:eastAsia="仿宋_GB2312" w:cs="仿宋_GB2312"/>
          <w:sz w:val="24"/>
          <w:highlight w:val="none"/>
        </w:rPr>
      </w:pPr>
    </w:p>
    <w:p w14:paraId="3B9A1241">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14:paraId="0128CCB5">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14:paraId="77DA5F69">
      <w:pPr>
        <w:spacing w:line="360" w:lineRule="auto"/>
        <w:ind w:firstLine="480" w:firstLineChars="200"/>
        <w:rPr>
          <w:rFonts w:ascii="仿宋_GB2312" w:hAnsi="仿宋" w:eastAsia="仿宋_GB2312" w:cs="仿宋_GB2312"/>
          <w:sz w:val="24"/>
          <w:highlight w:val="none"/>
        </w:rPr>
      </w:pPr>
    </w:p>
    <w:p w14:paraId="0538B483">
      <w:pPr>
        <w:spacing w:line="360" w:lineRule="auto"/>
        <w:ind w:firstLine="420" w:firstLineChars="200"/>
        <w:rPr>
          <w:rFonts w:ascii="仿宋_GB2312" w:hAnsi="仿宋" w:eastAsia="仿宋_GB2312"/>
          <w:highlight w:val="none"/>
        </w:rPr>
      </w:pPr>
    </w:p>
    <w:p w14:paraId="44C2A65C">
      <w:pPr>
        <w:spacing w:line="360" w:lineRule="auto"/>
        <w:ind w:firstLine="420" w:firstLineChars="200"/>
        <w:rPr>
          <w:rFonts w:ascii="仿宋_GB2312" w:hAnsi="仿宋" w:eastAsia="仿宋_GB2312"/>
          <w:highlight w:val="none"/>
        </w:rPr>
      </w:pPr>
    </w:p>
    <w:p w14:paraId="19695D06">
      <w:pPr>
        <w:spacing w:line="360" w:lineRule="auto"/>
        <w:ind w:firstLine="420" w:firstLineChars="200"/>
        <w:rPr>
          <w:rFonts w:ascii="仿宋_GB2312" w:hAnsi="仿宋" w:eastAsia="仿宋_GB2312"/>
          <w:highlight w:val="none"/>
        </w:rPr>
      </w:pPr>
    </w:p>
    <w:p w14:paraId="6249934D">
      <w:pPr>
        <w:spacing w:line="360" w:lineRule="auto"/>
        <w:ind w:firstLine="420" w:firstLineChars="200"/>
        <w:rPr>
          <w:rFonts w:ascii="仿宋_GB2312" w:hAnsi="仿宋" w:eastAsia="仿宋_GB2312"/>
          <w:highlight w:val="none"/>
        </w:rPr>
      </w:pPr>
    </w:p>
    <w:p w14:paraId="63D3C0A2">
      <w:pPr>
        <w:spacing w:line="360" w:lineRule="auto"/>
        <w:rPr>
          <w:rFonts w:ascii="仿宋_GB2312" w:hAnsi="仿宋" w:eastAsia="仿宋_GB2312" w:cs="仿宋_GB2312"/>
          <w:b/>
          <w:sz w:val="24"/>
          <w:highlight w:val="none"/>
        </w:rPr>
      </w:pPr>
    </w:p>
    <w:p w14:paraId="43FA4789">
      <w:pPr>
        <w:spacing w:line="360" w:lineRule="auto"/>
        <w:rPr>
          <w:rFonts w:ascii="仿宋_GB2312" w:hAnsi="仿宋" w:eastAsia="仿宋_GB2312" w:cs="仿宋_GB2312"/>
          <w:b/>
          <w:sz w:val="24"/>
          <w:highlight w:val="none"/>
        </w:rPr>
      </w:pPr>
    </w:p>
    <w:p w14:paraId="0C6ABD46">
      <w:pPr>
        <w:spacing w:line="360" w:lineRule="auto"/>
        <w:rPr>
          <w:rFonts w:ascii="仿宋_GB2312" w:hAnsi="仿宋" w:eastAsia="仿宋_GB2312" w:cs="仿宋_GB2312"/>
          <w:b/>
          <w:sz w:val="24"/>
          <w:highlight w:val="none"/>
        </w:rPr>
      </w:pPr>
    </w:p>
    <w:p w14:paraId="07C0FE27">
      <w:pPr>
        <w:spacing w:line="360" w:lineRule="auto"/>
        <w:rPr>
          <w:rFonts w:ascii="仿宋_GB2312" w:hAnsi="仿宋" w:eastAsia="仿宋_GB2312" w:cs="仿宋_GB2312"/>
          <w:b/>
          <w:sz w:val="24"/>
          <w:highlight w:val="none"/>
        </w:rPr>
      </w:pPr>
    </w:p>
    <w:p w14:paraId="4429F6C5">
      <w:pPr>
        <w:spacing w:line="360" w:lineRule="auto"/>
        <w:rPr>
          <w:rFonts w:ascii="仿宋_GB2312" w:hAnsi="仿宋" w:eastAsia="仿宋_GB2312" w:cs="仿宋_GB2312"/>
          <w:b/>
          <w:sz w:val="24"/>
          <w:highlight w:val="none"/>
        </w:rPr>
      </w:pPr>
    </w:p>
    <w:p w14:paraId="630321F1">
      <w:pPr>
        <w:spacing w:line="360" w:lineRule="auto"/>
        <w:rPr>
          <w:rFonts w:ascii="仿宋_GB2312" w:hAnsi="仿宋" w:eastAsia="仿宋_GB2312" w:cs="仿宋_GB2312"/>
          <w:b/>
          <w:sz w:val="24"/>
          <w:highlight w:val="none"/>
        </w:rPr>
      </w:pPr>
    </w:p>
    <w:p w14:paraId="6FB923AF">
      <w:pPr>
        <w:spacing w:line="360" w:lineRule="auto"/>
        <w:rPr>
          <w:rFonts w:ascii="仿宋_GB2312" w:hAnsi="仿宋" w:eastAsia="仿宋_GB2312" w:cs="仿宋_GB2312"/>
          <w:b/>
          <w:sz w:val="24"/>
          <w:highlight w:val="none"/>
        </w:rPr>
      </w:pPr>
    </w:p>
    <w:p w14:paraId="31FB886D">
      <w:pPr>
        <w:spacing w:line="360" w:lineRule="auto"/>
        <w:rPr>
          <w:rFonts w:ascii="仿宋_GB2312" w:hAnsi="仿宋" w:eastAsia="仿宋_GB2312" w:cs="仿宋_GB2312"/>
          <w:b/>
          <w:sz w:val="24"/>
          <w:highlight w:val="none"/>
        </w:rPr>
      </w:pPr>
    </w:p>
    <w:p w14:paraId="170DB94D">
      <w:pPr>
        <w:spacing w:line="360" w:lineRule="auto"/>
        <w:rPr>
          <w:rFonts w:ascii="仿宋_GB2312" w:hAnsi="仿宋" w:eastAsia="仿宋_GB2312" w:cs="仿宋_GB2312"/>
          <w:b/>
          <w:sz w:val="24"/>
          <w:highlight w:val="none"/>
        </w:rPr>
      </w:pPr>
    </w:p>
    <w:p w14:paraId="73359AEF">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14:paraId="7F6644D2">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14:paraId="1F0EA524">
      <w:pPr>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14:paraId="1497E917">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r>
        <w:rPr>
          <w:rFonts w:ascii="仿宋_GB2312" w:hAnsi="仿宋" w:eastAsia="仿宋_GB2312" w:cs="仿宋"/>
          <w:sz w:val="24"/>
          <w:highlight w:val="none"/>
          <w:u w:val="dotted"/>
        </w:rPr>
        <w:t xml:space="preserve">                                        </w:t>
      </w:r>
    </w:p>
    <w:p w14:paraId="6F52B077">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14:paraId="67433D29">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p>
    <w:p w14:paraId="61FE3D1F">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r>
        <w:rPr>
          <w:rFonts w:ascii="仿宋_GB2312" w:hAnsi="仿宋" w:eastAsia="仿宋_GB2312" w:cs="仿宋"/>
          <w:sz w:val="24"/>
          <w:highlight w:val="none"/>
          <w:u w:val="dotted"/>
        </w:rPr>
        <w:t xml:space="preserve">                                          </w:t>
      </w:r>
    </w:p>
    <w:p w14:paraId="28895949">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r>
        <w:rPr>
          <w:rFonts w:ascii="仿宋_GB2312" w:hAnsi="仿宋" w:eastAsia="仿宋_GB2312" w:cs="仿宋"/>
          <w:sz w:val="24"/>
          <w:highlight w:val="none"/>
        </w:rPr>
        <w:t xml:space="preserve"> </w:t>
      </w:r>
    </w:p>
    <w:p w14:paraId="5D74EFD1">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rPr>
        <w:t xml:space="preserve"> </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14:paraId="50E086B4">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14:paraId="27913F47">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r>
        <w:rPr>
          <w:rFonts w:ascii="仿宋_GB2312" w:hAnsi="仿宋" w:eastAsia="仿宋_GB2312" w:cs="仿宋"/>
          <w:sz w:val="24"/>
          <w:highlight w:val="none"/>
          <w:u w:val="dotted"/>
        </w:rPr>
        <w:t xml:space="preserve">                                      </w:t>
      </w:r>
    </w:p>
    <w:p w14:paraId="0D6EBC59">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包号：</w:t>
      </w:r>
      <w:r>
        <w:rPr>
          <w:rFonts w:ascii="仿宋_GB2312" w:hAnsi="仿宋" w:eastAsia="仿宋_GB2312" w:cs="仿宋"/>
          <w:sz w:val="24"/>
          <w:highlight w:val="none"/>
          <w:u w:val="dotted"/>
        </w:rPr>
        <w:t xml:space="preserve">                 </w:t>
      </w:r>
    </w:p>
    <w:p w14:paraId="40429FE2">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r>
        <w:rPr>
          <w:rFonts w:ascii="仿宋_GB2312" w:hAnsi="仿宋" w:eastAsia="仿宋_GB2312" w:cs="仿宋"/>
          <w:sz w:val="24"/>
          <w:highlight w:val="none"/>
          <w:u w:val="dotted"/>
        </w:rPr>
        <w:t xml:space="preserve">                                         </w:t>
      </w:r>
    </w:p>
    <w:p w14:paraId="74E9F9F5">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r>
        <w:rPr>
          <w:rFonts w:ascii="仿宋_GB2312" w:hAnsi="仿宋" w:eastAsia="仿宋_GB2312" w:cs="仿宋"/>
          <w:sz w:val="24"/>
          <w:highlight w:val="none"/>
          <w:u w:val="dotted"/>
        </w:rPr>
        <w:t xml:space="preserve">                                           </w:t>
      </w:r>
    </w:p>
    <w:p w14:paraId="610C0346">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14:paraId="442E98E0">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r>
        <w:rPr>
          <w:rFonts w:ascii="仿宋_GB2312" w:hAnsi="仿宋" w:eastAsia="仿宋_GB2312" w:cs="仿宋"/>
          <w:sz w:val="24"/>
          <w:highlight w:val="none"/>
          <w:u w:val="dotted"/>
        </w:rPr>
        <w:t xml:space="preserve">                                         </w:t>
      </w:r>
    </w:p>
    <w:p w14:paraId="1A8ADB73">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r>
        <w:rPr>
          <w:rFonts w:ascii="仿宋_GB2312" w:hAnsi="仿宋" w:eastAsia="仿宋_GB2312" w:cs="仿宋"/>
          <w:sz w:val="24"/>
          <w:highlight w:val="none"/>
          <w:u w:val="dotted"/>
        </w:rPr>
        <w:t xml:space="preserve">                                          </w:t>
      </w:r>
    </w:p>
    <w:p w14:paraId="4999C010">
      <w:pPr>
        <w:snapToGrid w:val="0"/>
        <w:spacing w:line="360" w:lineRule="auto"/>
        <w:rPr>
          <w:rFonts w:ascii="仿宋_GB2312" w:hAnsi="仿宋" w:eastAsia="仿宋_GB2312" w:cs="仿宋"/>
          <w:sz w:val="24"/>
          <w:highlight w:val="none"/>
        </w:rPr>
      </w:pPr>
      <w:r>
        <w:rPr>
          <w:rFonts w:ascii="仿宋_GB2312" w:hAnsi="仿宋" w:eastAsia="仿宋_GB2312" w:cs="仿宋"/>
          <w:sz w:val="24"/>
          <w:highlight w:val="none"/>
          <w:u w:val="dotted"/>
        </w:rPr>
        <w:t xml:space="preserve">                                                       </w:t>
      </w:r>
    </w:p>
    <w:p w14:paraId="66A04620">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r>
        <w:rPr>
          <w:rFonts w:ascii="仿宋_GB2312" w:hAnsi="仿宋" w:eastAsia="仿宋_GB2312" w:cs="仿宋"/>
          <w:sz w:val="24"/>
          <w:highlight w:val="none"/>
          <w:u w:val="dotted"/>
        </w:rPr>
        <w:t xml:space="preserve">                                          </w:t>
      </w:r>
    </w:p>
    <w:p w14:paraId="27C0624B">
      <w:pPr>
        <w:snapToGrid w:val="0"/>
        <w:spacing w:line="360" w:lineRule="auto"/>
        <w:rPr>
          <w:rFonts w:ascii="仿宋_GB2312" w:hAnsi="仿宋" w:eastAsia="仿宋_GB2312" w:cs="仿宋"/>
          <w:sz w:val="24"/>
          <w:highlight w:val="none"/>
          <w:u w:val="dotted"/>
        </w:rPr>
      </w:pPr>
      <w:r>
        <w:rPr>
          <w:rFonts w:ascii="仿宋_GB2312" w:hAnsi="仿宋" w:eastAsia="仿宋_GB2312" w:cs="仿宋"/>
          <w:sz w:val="24"/>
          <w:highlight w:val="none"/>
          <w:u w:val="dotted"/>
        </w:rPr>
        <w:t xml:space="preserve">                                                     </w:t>
      </w:r>
    </w:p>
    <w:p w14:paraId="12B44641">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14:paraId="530D496F">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14:paraId="6E4FE014">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14:paraId="5B2FA6F0">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r>
        <w:rPr>
          <w:rFonts w:ascii="仿宋_GB2312" w:hAnsi="仿宋" w:eastAsia="仿宋_GB2312" w:cs="仿宋"/>
          <w:sz w:val="24"/>
          <w:highlight w:val="none"/>
          <w:u w:val="dotted"/>
        </w:rPr>
        <w:t xml:space="preserve">                                               </w:t>
      </w:r>
    </w:p>
    <w:p w14:paraId="44AF518A">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14:paraId="033A1F5F">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14:paraId="3D00F867">
      <w:pPr>
        <w:spacing w:line="360" w:lineRule="auto"/>
        <w:jc w:val="center"/>
        <w:rPr>
          <w:rFonts w:ascii="仿宋_GB2312" w:hAnsi="仿宋" w:eastAsia="仿宋_GB2312" w:cs="仿宋"/>
          <w:b/>
          <w:bCs/>
          <w:sz w:val="24"/>
          <w:highlight w:val="none"/>
        </w:rPr>
      </w:pPr>
    </w:p>
    <w:p w14:paraId="08531AF3">
      <w:pPr>
        <w:spacing w:line="360" w:lineRule="auto"/>
        <w:rPr>
          <w:rFonts w:ascii="仿宋_GB2312" w:hAnsi="仿宋" w:eastAsia="仿宋_GB2312"/>
          <w:b/>
          <w:sz w:val="24"/>
          <w:highlight w:val="none"/>
        </w:rPr>
      </w:pPr>
    </w:p>
    <w:p w14:paraId="0DA721F0">
      <w:pPr>
        <w:spacing w:line="360" w:lineRule="auto"/>
        <w:rPr>
          <w:rFonts w:ascii="仿宋_GB2312" w:hAnsi="仿宋" w:eastAsia="仿宋_GB2312"/>
          <w:b/>
          <w:sz w:val="24"/>
          <w:highlight w:val="none"/>
        </w:rPr>
      </w:pPr>
    </w:p>
    <w:p w14:paraId="5458F3AA">
      <w:pPr>
        <w:spacing w:line="360" w:lineRule="auto"/>
        <w:rPr>
          <w:rFonts w:ascii="仿宋_GB2312" w:hAnsi="仿宋" w:eastAsia="仿宋_GB2312"/>
          <w:b/>
          <w:sz w:val="24"/>
          <w:highlight w:val="none"/>
        </w:rPr>
      </w:pPr>
    </w:p>
    <w:p w14:paraId="7D225E71">
      <w:pPr>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14:paraId="7258D137">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14:paraId="0164DBFB">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14:paraId="6824D2B5">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14:paraId="2FB3AC41">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14:paraId="25CD3903">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14:paraId="0A38701D">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14:paraId="6BF0BF94">
      <w:pPr>
        <w:widowControl/>
        <w:spacing w:line="360" w:lineRule="auto"/>
        <w:ind w:firstLine="600" w:firstLineChars="200"/>
        <w:jc w:val="left"/>
        <w:rPr>
          <w:rFonts w:ascii="仿宋_GB2312" w:hAnsi="仿宋" w:eastAsia="仿宋_GB2312"/>
          <w:sz w:val="30"/>
          <w:szCs w:val="30"/>
          <w:highlight w:val="none"/>
        </w:rPr>
      </w:pPr>
    </w:p>
    <w:p w14:paraId="0E3AB4FC">
      <w:pPr>
        <w:spacing w:line="360" w:lineRule="auto"/>
        <w:jc w:val="center"/>
        <w:rPr>
          <w:rFonts w:ascii="仿宋_GB2312" w:hAnsi="仿宋" w:eastAsia="仿宋_GB2312"/>
          <w:b/>
          <w:spacing w:val="6"/>
          <w:sz w:val="32"/>
          <w:szCs w:val="32"/>
          <w:highlight w:val="none"/>
        </w:rPr>
      </w:pPr>
    </w:p>
    <w:p w14:paraId="079E87EC">
      <w:pPr>
        <w:spacing w:line="360" w:lineRule="auto"/>
        <w:jc w:val="center"/>
        <w:rPr>
          <w:rFonts w:ascii="仿宋_GB2312" w:hAnsi="仿宋" w:eastAsia="仿宋_GB2312"/>
          <w:b/>
          <w:spacing w:val="6"/>
          <w:sz w:val="32"/>
          <w:szCs w:val="32"/>
          <w:highlight w:val="none"/>
        </w:rPr>
      </w:pPr>
    </w:p>
    <w:p w14:paraId="45053BAF">
      <w:pPr>
        <w:spacing w:line="360" w:lineRule="auto"/>
        <w:jc w:val="center"/>
        <w:rPr>
          <w:rFonts w:ascii="仿宋_GB2312" w:hAnsi="仿宋" w:eastAsia="仿宋_GB2312"/>
          <w:b/>
          <w:spacing w:val="6"/>
          <w:sz w:val="32"/>
          <w:szCs w:val="32"/>
          <w:highlight w:val="none"/>
        </w:rPr>
      </w:pPr>
    </w:p>
    <w:p w14:paraId="43CA711C">
      <w:pPr>
        <w:spacing w:line="360" w:lineRule="auto"/>
        <w:jc w:val="center"/>
        <w:rPr>
          <w:rFonts w:ascii="仿宋_GB2312" w:hAnsi="仿宋" w:eastAsia="仿宋_GB2312"/>
          <w:b/>
          <w:spacing w:val="6"/>
          <w:sz w:val="32"/>
          <w:szCs w:val="32"/>
          <w:highlight w:val="none"/>
        </w:rPr>
      </w:pPr>
    </w:p>
    <w:p w14:paraId="5049D133">
      <w:pPr>
        <w:spacing w:line="360" w:lineRule="auto"/>
        <w:jc w:val="center"/>
        <w:rPr>
          <w:rFonts w:ascii="仿宋_GB2312" w:hAnsi="仿宋" w:eastAsia="仿宋_GB2312"/>
          <w:b/>
          <w:spacing w:val="6"/>
          <w:sz w:val="32"/>
          <w:szCs w:val="32"/>
          <w:highlight w:val="none"/>
        </w:rPr>
      </w:pPr>
    </w:p>
    <w:p w14:paraId="58C34495">
      <w:pPr>
        <w:spacing w:line="360" w:lineRule="auto"/>
        <w:jc w:val="center"/>
        <w:rPr>
          <w:rFonts w:ascii="仿宋_GB2312" w:hAnsi="仿宋" w:eastAsia="仿宋_GB2312"/>
          <w:b/>
          <w:spacing w:val="6"/>
          <w:sz w:val="32"/>
          <w:szCs w:val="32"/>
          <w:highlight w:val="none"/>
        </w:rPr>
      </w:pPr>
    </w:p>
    <w:p w14:paraId="5B6C33E8">
      <w:pPr>
        <w:spacing w:line="360" w:lineRule="auto"/>
        <w:jc w:val="center"/>
        <w:rPr>
          <w:rFonts w:ascii="仿宋_GB2312" w:hAnsi="仿宋" w:eastAsia="仿宋_GB2312"/>
          <w:b/>
          <w:spacing w:val="6"/>
          <w:sz w:val="32"/>
          <w:szCs w:val="32"/>
          <w:highlight w:val="none"/>
        </w:rPr>
      </w:pPr>
    </w:p>
    <w:p w14:paraId="3322387E">
      <w:pPr>
        <w:spacing w:line="360" w:lineRule="auto"/>
        <w:jc w:val="center"/>
        <w:rPr>
          <w:rFonts w:ascii="仿宋_GB2312" w:hAnsi="仿宋" w:eastAsia="仿宋_GB2312"/>
          <w:b/>
          <w:spacing w:val="6"/>
          <w:sz w:val="32"/>
          <w:szCs w:val="32"/>
          <w:highlight w:val="none"/>
        </w:rPr>
      </w:pPr>
    </w:p>
    <w:p w14:paraId="524006A2">
      <w:pPr>
        <w:spacing w:line="360" w:lineRule="auto"/>
        <w:jc w:val="center"/>
        <w:rPr>
          <w:rFonts w:ascii="仿宋_GB2312" w:hAnsi="仿宋" w:eastAsia="仿宋_GB2312"/>
          <w:b/>
          <w:spacing w:val="6"/>
          <w:sz w:val="32"/>
          <w:szCs w:val="32"/>
          <w:highlight w:val="none"/>
        </w:rPr>
      </w:pPr>
    </w:p>
    <w:p w14:paraId="4F6185FB">
      <w:pPr>
        <w:spacing w:line="360" w:lineRule="auto"/>
        <w:jc w:val="center"/>
        <w:rPr>
          <w:rFonts w:ascii="仿宋_GB2312" w:hAnsi="仿宋" w:eastAsia="仿宋_GB2312"/>
          <w:b/>
          <w:spacing w:val="6"/>
          <w:sz w:val="32"/>
          <w:szCs w:val="32"/>
          <w:highlight w:val="none"/>
        </w:rPr>
      </w:pPr>
    </w:p>
    <w:p w14:paraId="71A2C2CF">
      <w:pPr>
        <w:spacing w:line="360" w:lineRule="auto"/>
        <w:jc w:val="center"/>
        <w:rPr>
          <w:rFonts w:ascii="仿宋_GB2312" w:hAnsi="仿宋" w:eastAsia="仿宋_GB2312"/>
          <w:b/>
          <w:spacing w:val="6"/>
          <w:sz w:val="32"/>
          <w:szCs w:val="32"/>
          <w:highlight w:val="none"/>
        </w:rPr>
      </w:pPr>
    </w:p>
    <w:p w14:paraId="7314FD40">
      <w:pPr>
        <w:spacing w:line="360" w:lineRule="auto"/>
        <w:jc w:val="center"/>
        <w:rPr>
          <w:rFonts w:ascii="仿宋_GB2312" w:hAnsi="仿宋" w:eastAsia="仿宋_GB2312"/>
          <w:b/>
          <w:spacing w:val="6"/>
          <w:sz w:val="32"/>
          <w:szCs w:val="32"/>
          <w:highlight w:val="none"/>
        </w:rPr>
      </w:pPr>
    </w:p>
    <w:p w14:paraId="626F607E">
      <w:pPr>
        <w:spacing w:line="360" w:lineRule="auto"/>
        <w:jc w:val="left"/>
        <w:rPr>
          <w:rFonts w:ascii="仿宋_GB2312" w:hAnsi="仿宋" w:eastAsia="仿宋_GB2312"/>
          <w:b/>
          <w:spacing w:val="6"/>
          <w:sz w:val="32"/>
          <w:szCs w:val="32"/>
          <w:highlight w:val="none"/>
        </w:rPr>
      </w:pPr>
    </w:p>
    <w:p w14:paraId="50F32FCF">
      <w:pPr>
        <w:spacing w:line="360" w:lineRule="auto"/>
        <w:jc w:val="left"/>
        <w:rPr>
          <w:rFonts w:ascii="仿宋_GB2312" w:hAnsi="仿宋" w:eastAsia="仿宋_GB2312"/>
          <w:b/>
          <w:spacing w:val="6"/>
          <w:sz w:val="32"/>
          <w:szCs w:val="32"/>
          <w:highlight w:val="none"/>
        </w:rPr>
      </w:pPr>
    </w:p>
    <w:p w14:paraId="123D72B6">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14:paraId="037FFC07">
      <w:pPr>
        <w:spacing w:line="360" w:lineRule="auto"/>
        <w:jc w:val="center"/>
        <w:rPr>
          <w:rFonts w:ascii="仿宋_GB2312" w:hAnsi="仿宋" w:eastAsia="仿宋_GB2312"/>
          <w:b/>
          <w:sz w:val="24"/>
          <w:highlight w:val="none"/>
        </w:rPr>
      </w:pPr>
    </w:p>
    <w:p w14:paraId="7FCF3D44">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14:paraId="2FB3FB91">
      <w:pPr>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14:paraId="1C8732CE">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r>
        <w:rPr>
          <w:rFonts w:ascii="仿宋_GB2312" w:hAnsi="仿宋" w:eastAsia="仿宋_GB2312"/>
          <w:sz w:val="24"/>
          <w:highlight w:val="none"/>
          <w:u w:val="dotted"/>
        </w:rPr>
        <w:t xml:space="preserve">                                               </w:t>
      </w:r>
    </w:p>
    <w:p w14:paraId="71EB850E">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30B26A39">
      <w:pPr>
        <w:tabs>
          <w:tab w:val="left" w:pos="6510"/>
        </w:tabs>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33B52A52">
      <w:pPr>
        <w:tabs>
          <w:tab w:val="left" w:pos="6510"/>
        </w:tabs>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p>
    <w:p w14:paraId="1D398FA9">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hint="eastAsia" w:ascii="仿宋_GB2312" w:hAnsi="仿宋" w:eastAsia="仿宋_GB2312"/>
          <w:sz w:val="24"/>
          <w:highlight w:val="none"/>
          <w:u w:val="dotted"/>
        </w:rPr>
        <w:t>：</w:t>
      </w:r>
      <w:r>
        <w:rPr>
          <w:rFonts w:ascii="仿宋_GB2312" w:hAnsi="仿宋" w:eastAsia="仿宋_GB2312"/>
          <w:sz w:val="24"/>
          <w:highlight w:val="none"/>
          <w:u w:val="dotted"/>
        </w:rPr>
        <w:t xml:space="preserve">                  </w:t>
      </w:r>
    </w:p>
    <w:p w14:paraId="014F78EE">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u w:val="dotted"/>
        </w:rPr>
        <w:t xml:space="preserve">                   </w:t>
      </w:r>
    </w:p>
    <w:p w14:paraId="5DCCFFEB">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1D1223ED">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13201AAF">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23AB5298">
      <w:pPr>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14:paraId="58CAB858">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14:paraId="043E29F1">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547BB490">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490DDF9F">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7CDCED68">
      <w:pPr>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14:paraId="70FFF9F8">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采购项目名称：</w:t>
      </w:r>
      <w:r>
        <w:rPr>
          <w:rFonts w:ascii="仿宋_GB2312" w:hAnsi="仿宋" w:eastAsia="仿宋_GB2312"/>
          <w:sz w:val="24"/>
          <w:highlight w:val="none"/>
          <w:u w:val="dotted"/>
        </w:rPr>
        <w:t xml:space="preserve">                                        </w:t>
      </w:r>
    </w:p>
    <w:p w14:paraId="265D127B">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w:t>
      </w:r>
      <w:r>
        <w:rPr>
          <w:rFonts w:ascii="仿宋_GB2312" w:hAnsi="仿宋" w:eastAsia="仿宋_GB2312"/>
          <w:sz w:val="24"/>
          <w:highlight w:val="none"/>
          <w:u w:val="dotted"/>
        </w:rPr>
        <w:t xml:space="preserve">                 </w:t>
      </w:r>
      <w:r>
        <w:rPr>
          <w:rFonts w:hint="eastAsia" w:ascii="仿宋_GB2312" w:hAnsi="仿宋" w:eastAsia="仿宋_GB2312"/>
          <w:sz w:val="24"/>
          <w:highlight w:val="none"/>
        </w:rPr>
        <w:t>包号：</w:t>
      </w:r>
      <w:r>
        <w:rPr>
          <w:rFonts w:ascii="仿宋_GB2312" w:hAnsi="仿宋" w:eastAsia="仿宋_GB2312"/>
          <w:sz w:val="24"/>
          <w:highlight w:val="none"/>
          <w:u w:val="dotted"/>
        </w:rPr>
        <w:t xml:space="preserve">              </w:t>
      </w:r>
    </w:p>
    <w:p w14:paraId="00C475A9">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594D022A">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r>
        <w:rPr>
          <w:rFonts w:ascii="仿宋_GB2312" w:hAnsi="仿宋" w:eastAsia="仿宋_GB2312"/>
          <w:sz w:val="24"/>
          <w:highlight w:val="none"/>
          <w:u w:val="dotted"/>
        </w:rPr>
        <w:t xml:space="preserve">                                         </w:t>
      </w:r>
    </w:p>
    <w:p w14:paraId="25C135A8">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14:paraId="31E91050">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14:paraId="71817000">
      <w:pPr>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14:paraId="7D3A014D">
      <w:pPr>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,向</w:t>
      </w:r>
      <w:r>
        <w:rPr>
          <w:rFonts w:ascii="仿宋_GB2312" w:hAnsi="仿宋" w:eastAsia="仿宋_GB2312"/>
          <w:sz w:val="24"/>
          <w:highlight w:val="none"/>
          <w:u w:val="dotted"/>
        </w:rPr>
        <w:t xml:space="preserve">                   </w:t>
      </w:r>
      <w:r>
        <w:rPr>
          <w:rFonts w:hint="eastAsia" w:ascii="仿宋_GB2312" w:hAnsi="仿宋" w:eastAsia="仿宋_GB2312"/>
          <w:sz w:val="24"/>
          <w:highlight w:val="none"/>
        </w:rPr>
        <w:t>提出质疑，质疑事项为：</w:t>
      </w:r>
      <w:r>
        <w:rPr>
          <w:rFonts w:ascii="仿宋_GB2312" w:hAnsi="仿宋" w:eastAsia="仿宋_GB2312"/>
          <w:sz w:val="24"/>
          <w:highlight w:val="none"/>
          <w:u w:val="dotted"/>
        </w:rPr>
        <w:t xml:space="preserve">                                </w:t>
      </w:r>
    </w:p>
    <w:p w14:paraId="1F4B5CDE">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66F4AAEF">
      <w:pPr>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14:paraId="36278F17">
      <w:pPr>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14:paraId="1E646216">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r>
        <w:rPr>
          <w:rFonts w:ascii="仿宋_GB2312" w:hAnsi="仿宋" w:eastAsia="仿宋_GB2312"/>
          <w:sz w:val="24"/>
          <w:highlight w:val="none"/>
          <w:u w:val="dotted"/>
        </w:rPr>
        <w:t xml:space="preserve">                                       </w:t>
      </w:r>
    </w:p>
    <w:p w14:paraId="0416BE4C">
      <w:pPr>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r>
        <w:rPr>
          <w:rFonts w:ascii="仿宋_GB2312" w:hAnsi="仿宋" w:eastAsia="仿宋_GB2312"/>
          <w:sz w:val="24"/>
          <w:highlight w:val="none"/>
          <w:u w:val="dotted"/>
        </w:rPr>
        <w:t xml:space="preserve">                                         </w:t>
      </w:r>
    </w:p>
    <w:p w14:paraId="4A8A14E9">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14:paraId="6355845A">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r>
        <w:rPr>
          <w:rFonts w:ascii="仿宋_GB2312" w:hAnsi="仿宋" w:eastAsia="仿宋_GB2312"/>
          <w:sz w:val="24"/>
          <w:highlight w:val="none"/>
          <w:u w:val="dotted"/>
        </w:rPr>
        <w:t xml:space="preserve">                                          </w:t>
      </w:r>
    </w:p>
    <w:p w14:paraId="7E149713">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14:paraId="1C1C36D7">
      <w:pPr>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14:paraId="2757A2DA">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14:paraId="14AE1A50">
      <w:pPr>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14:paraId="441468EA">
      <w:pPr>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511BF326">
      <w:pPr>
        <w:spacing w:line="360" w:lineRule="auto"/>
        <w:rPr>
          <w:rFonts w:ascii="仿宋_GB2312" w:hAnsi="仿宋" w:eastAsia="仿宋_GB2312"/>
          <w:sz w:val="24"/>
          <w:highlight w:val="none"/>
          <w:u w:val="single"/>
        </w:rPr>
      </w:pPr>
      <w:r>
        <w:rPr>
          <w:rFonts w:ascii="仿宋_GB2312" w:hAnsi="仿宋" w:eastAsia="仿宋_GB2312"/>
          <w:sz w:val="24"/>
          <w:highlight w:val="none"/>
        </w:rPr>
        <w:t xml:space="preserve">                                                                                                    </w:t>
      </w:r>
    </w:p>
    <w:p w14:paraId="2075A47F">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14:paraId="5D01CC83">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14:paraId="4B13477B">
      <w:pPr>
        <w:spacing w:line="360" w:lineRule="auto"/>
        <w:rPr>
          <w:rFonts w:ascii="仿宋_GB2312" w:hAnsi="仿宋" w:eastAsia="仿宋_GB2312"/>
          <w:b/>
          <w:sz w:val="24"/>
          <w:highlight w:val="none"/>
        </w:rPr>
      </w:pPr>
    </w:p>
    <w:p w14:paraId="20225443">
      <w:pPr>
        <w:spacing w:line="360" w:lineRule="auto"/>
        <w:rPr>
          <w:rFonts w:ascii="仿宋_GB2312" w:hAnsi="仿宋" w:eastAsia="仿宋_GB2312"/>
          <w:b/>
          <w:sz w:val="24"/>
          <w:highlight w:val="none"/>
        </w:rPr>
      </w:pPr>
    </w:p>
    <w:p w14:paraId="31FBF3F5">
      <w:pPr>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14:paraId="3B02FE29">
      <w:pPr>
        <w:widowControl/>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14:paraId="7AD4E2F5">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14:paraId="577C4D14">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14:paraId="5EAD8204">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14:paraId="70D16924">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14:paraId="6EBF702F">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14:paraId="4386F37C">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14:paraId="6F5247EF">
      <w:pPr>
        <w:spacing w:line="360" w:lineRule="auto"/>
        <w:rPr>
          <w:rFonts w:ascii="仿宋_GB2312" w:hAnsi="仿宋" w:eastAsia="仿宋_GB2312" w:cs="仿宋_GB2312"/>
          <w:b/>
          <w:sz w:val="24"/>
          <w:highlight w:val="none"/>
        </w:rPr>
      </w:pPr>
    </w:p>
    <w:p w14:paraId="47363E22">
      <w:pPr>
        <w:autoSpaceDE w:val="0"/>
        <w:autoSpaceDN w:val="0"/>
        <w:jc w:val="center"/>
        <w:rPr>
          <w:rFonts w:ascii="仿宋" w:hAnsi="仿宋" w:eastAsia="仿宋"/>
          <w:b/>
          <w:spacing w:val="6"/>
          <w:sz w:val="32"/>
          <w:szCs w:val="32"/>
          <w:highlight w:val="none"/>
        </w:rPr>
      </w:pPr>
    </w:p>
    <w:p w14:paraId="40FC4BC4">
      <w:pPr>
        <w:autoSpaceDE w:val="0"/>
        <w:autoSpaceDN w:val="0"/>
        <w:jc w:val="center"/>
        <w:rPr>
          <w:rFonts w:ascii="仿宋" w:hAnsi="仿宋" w:eastAsia="仿宋"/>
          <w:b/>
          <w:spacing w:val="6"/>
          <w:sz w:val="32"/>
          <w:szCs w:val="32"/>
          <w:highlight w:val="none"/>
        </w:rPr>
      </w:pPr>
    </w:p>
    <w:p w14:paraId="688AC20F">
      <w:pPr>
        <w:autoSpaceDE w:val="0"/>
        <w:autoSpaceDN w:val="0"/>
        <w:jc w:val="both"/>
        <w:rPr>
          <w:rFonts w:hint="eastAsia"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14:paraId="297B6C0E">
      <w:pPr>
        <w:pStyle w:val="3"/>
        <w:rPr>
          <w:highlight w:val="none"/>
        </w:rPr>
      </w:pPr>
    </w:p>
    <w:p w14:paraId="2C14A0D7">
      <w:pPr>
        <w:spacing w:line="360" w:lineRule="auto"/>
        <w:rPr>
          <w:rFonts w:ascii="仿宋" w:hAnsi="仿宋" w:eastAsia="仿宋"/>
          <w:sz w:val="24"/>
          <w:highlight w:val="none"/>
        </w:rPr>
      </w:pPr>
      <w:r>
        <w:rPr>
          <w:rFonts w:hint="eastAsia" w:ascii="仿宋" w:hAnsi="仿宋" w:eastAsia="仿宋" w:cs="仿宋_GB2312"/>
          <w:sz w:val="24"/>
          <w:highlight w:val="none"/>
          <w:u w:val="single"/>
        </w:rPr>
        <w:t>（采购人）、（采购代理机构）</w:t>
      </w:r>
    </w:p>
    <w:p w14:paraId="1F3F2BCD">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kern w:val="0"/>
          <w:sz w:val="24"/>
          <w:highlight w:val="none"/>
          <w:u w:val="single"/>
          <w:lang w:val="zh-CN"/>
        </w:rPr>
        <w:t xml:space="preserve">                         </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rPr>
        <w:t>（项目名称）项目</w:t>
      </w:r>
      <w:r>
        <w:rPr>
          <w:rFonts w:hint="eastAsia" w:ascii="仿宋" w:hAnsi="仿宋" w:eastAsia="仿宋" w:cs="仿宋_GB2312"/>
          <w:sz w:val="24"/>
          <w:highlight w:val="none"/>
        </w:rPr>
        <w:t>【招标编号：（采购编号）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r>
        <w:rPr>
          <w:rFonts w:ascii="仿宋" w:hAnsi="仿宋" w:eastAsia="仿宋" w:cs="宋体"/>
          <w:sz w:val="24"/>
          <w:highlight w:val="none"/>
        </w:rPr>
        <w:t xml:space="preserve">   </w:t>
      </w:r>
    </w:p>
    <w:p w14:paraId="6D5E74C1">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14:paraId="410B2DBE">
      <w:pPr>
        <w:spacing w:line="360" w:lineRule="auto"/>
        <w:ind w:firstLine="494"/>
        <w:rPr>
          <w:rFonts w:ascii="仿宋" w:hAnsi="仿宋" w:eastAsia="仿宋" w:cs="宋体"/>
          <w:sz w:val="24"/>
          <w:highlight w:val="none"/>
        </w:rPr>
      </w:pPr>
    </w:p>
    <w:p w14:paraId="6AE13D5B">
      <w:pPr>
        <w:spacing w:line="360" w:lineRule="auto"/>
        <w:ind w:firstLine="494"/>
        <w:rPr>
          <w:rFonts w:ascii="仿宋" w:hAnsi="仿宋" w:eastAsia="仿宋" w:cs="宋体"/>
          <w:sz w:val="24"/>
          <w:highlight w:val="none"/>
        </w:rPr>
      </w:pPr>
    </w:p>
    <w:p w14:paraId="7C30D0D0">
      <w:pPr>
        <w:spacing w:line="360" w:lineRule="auto"/>
        <w:ind w:firstLine="494"/>
        <w:rPr>
          <w:rFonts w:ascii="仿宋" w:hAnsi="仿宋" w:eastAsia="仿宋" w:cs="宋体"/>
          <w:sz w:val="24"/>
          <w:highlight w:val="none"/>
        </w:rPr>
      </w:pPr>
    </w:p>
    <w:p w14:paraId="6CEEF345">
      <w:pPr>
        <w:spacing w:line="360" w:lineRule="auto"/>
        <w:ind w:firstLine="494"/>
        <w:rPr>
          <w:rFonts w:ascii="仿宋" w:hAnsi="仿宋" w:eastAsia="仿宋" w:cs="宋体"/>
          <w:sz w:val="24"/>
          <w:highlight w:val="none"/>
        </w:rPr>
      </w:pPr>
    </w:p>
    <w:p w14:paraId="6A738440">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14:paraId="5A4CC9AE">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14:paraId="688323BE">
      <w:pPr>
        <w:rPr>
          <w:rFonts w:ascii="仿宋" w:hAnsi="仿宋" w:eastAsia="仿宋" w:cs="宋体"/>
          <w:sz w:val="24"/>
          <w:highlight w:val="none"/>
        </w:rPr>
      </w:pPr>
      <w:r>
        <w:rPr>
          <w:rFonts w:hint="eastAsia" w:ascii="仿宋" w:hAnsi="仿宋" w:eastAsia="仿宋" w:cs="宋体"/>
          <w:b/>
          <w:bCs/>
          <w:sz w:val="24"/>
          <w:highlight w:val="none"/>
        </w:rPr>
        <w:t>附：</w:t>
      </w:r>
    </w:p>
    <w:p w14:paraId="57FF3DFB">
      <w:pPr>
        <w:spacing w:line="360" w:lineRule="auto"/>
        <w:rPr>
          <w:rFonts w:ascii="仿宋" w:hAnsi="仿宋" w:eastAsia="仿宋"/>
          <w:bCs/>
          <w:sz w:val="24"/>
          <w:highlight w:val="none"/>
        </w:rPr>
      </w:pPr>
      <w:r>
        <w:rPr>
          <w:rFonts w:ascii="仿宋" w:hAnsi="仿宋" w:eastAsia="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highlight w:val="none"/>
        </w:rPr>
        <w:t>投标单位法定名称章（印模）</w:t>
      </w:r>
      <w:r>
        <w:rPr>
          <w:rFonts w:ascii="仿宋" w:hAnsi="仿宋" w:eastAsia="仿宋" w:cs="宋体"/>
          <w:sz w:val="24"/>
          <w:highlight w:val="none"/>
        </w:rPr>
        <w:t xml:space="preserve">                </w:t>
      </w:r>
      <w:r>
        <w:rPr>
          <w:rFonts w:hint="eastAsia" w:ascii="仿宋" w:hAnsi="仿宋" w:eastAsia="仿宋" w:cs="宋体"/>
          <w:sz w:val="24"/>
          <w:highlight w:val="none"/>
        </w:rPr>
        <w:t>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14:paraId="37A9DF1E">
      <w:pPr>
        <w:autoSpaceDE w:val="0"/>
        <w:autoSpaceDN w:val="0"/>
        <w:jc w:val="center"/>
        <w:rPr>
          <w:rFonts w:ascii="仿宋" w:hAnsi="仿宋" w:eastAsia="仿宋"/>
          <w:b/>
          <w:spacing w:val="6"/>
          <w:sz w:val="32"/>
          <w:szCs w:val="32"/>
          <w:highlight w:val="none"/>
        </w:rPr>
      </w:pPr>
    </w:p>
    <w:p w14:paraId="18A042F1">
      <w:pPr>
        <w:autoSpaceDE w:val="0"/>
        <w:autoSpaceDN w:val="0"/>
        <w:jc w:val="center"/>
        <w:rPr>
          <w:rFonts w:ascii="仿宋" w:hAnsi="仿宋" w:eastAsia="仿宋"/>
          <w:b/>
          <w:spacing w:val="6"/>
          <w:sz w:val="32"/>
          <w:szCs w:val="32"/>
          <w:highlight w:val="none"/>
        </w:rPr>
      </w:pPr>
    </w:p>
    <w:p w14:paraId="2950D312">
      <w:pPr>
        <w:autoSpaceDE w:val="0"/>
        <w:autoSpaceDN w:val="0"/>
        <w:jc w:val="center"/>
        <w:rPr>
          <w:rFonts w:ascii="仿宋" w:hAnsi="仿宋" w:eastAsia="仿宋"/>
          <w:b/>
          <w:spacing w:val="6"/>
          <w:sz w:val="32"/>
          <w:szCs w:val="32"/>
          <w:highlight w:val="none"/>
        </w:rPr>
      </w:pPr>
    </w:p>
    <w:p w14:paraId="11AAFCA8">
      <w:pPr>
        <w:autoSpaceDE w:val="0"/>
        <w:autoSpaceDN w:val="0"/>
        <w:jc w:val="center"/>
        <w:rPr>
          <w:rFonts w:ascii="仿宋" w:hAnsi="仿宋" w:eastAsia="仿宋"/>
          <w:b/>
          <w:spacing w:val="6"/>
          <w:sz w:val="32"/>
          <w:szCs w:val="32"/>
          <w:highlight w:val="none"/>
        </w:rPr>
      </w:pPr>
    </w:p>
    <w:p w14:paraId="336A8171">
      <w:pPr>
        <w:autoSpaceDE w:val="0"/>
        <w:autoSpaceDN w:val="0"/>
        <w:jc w:val="center"/>
        <w:rPr>
          <w:rFonts w:ascii="仿宋" w:hAnsi="仿宋" w:eastAsia="仿宋"/>
          <w:b/>
          <w:spacing w:val="6"/>
          <w:sz w:val="32"/>
          <w:szCs w:val="32"/>
          <w:highlight w:val="none"/>
        </w:rPr>
      </w:pPr>
    </w:p>
    <w:p w14:paraId="1A2F5BBE">
      <w:pPr>
        <w:autoSpaceDE w:val="0"/>
        <w:autoSpaceDN w:val="0"/>
        <w:jc w:val="center"/>
        <w:rPr>
          <w:rFonts w:ascii="仿宋" w:hAnsi="仿宋" w:eastAsia="仿宋"/>
          <w:b/>
          <w:spacing w:val="6"/>
          <w:sz w:val="32"/>
          <w:szCs w:val="32"/>
          <w:highlight w:val="none"/>
        </w:rPr>
      </w:pPr>
    </w:p>
    <w:p w14:paraId="04C3033A">
      <w:pPr>
        <w:autoSpaceDE w:val="0"/>
        <w:autoSpaceDN w:val="0"/>
        <w:jc w:val="center"/>
        <w:rPr>
          <w:rFonts w:ascii="仿宋" w:hAnsi="仿宋" w:eastAsia="仿宋"/>
          <w:b/>
          <w:spacing w:val="6"/>
          <w:sz w:val="32"/>
          <w:szCs w:val="32"/>
          <w:highlight w:val="none"/>
        </w:rPr>
      </w:pPr>
    </w:p>
    <w:p w14:paraId="705CF7A5">
      <w:pPr>
        <w:autoSpaceDE w:val="0"/>
        <w:autoSpaceDN w:val="0"/>
        <w:jc w:val="center"/>
        <w:rPr>
          <w:rFonts w:ascii="仿宋" w:hAnsi="仿宋" w:eastAsia="仿宋"/>
          <w:b/>
          <w:spacing w:val="6"/>
          <w:sz w:val="32"/>
          <w:szCs w:val="32"/>
          <w:highlight w:val="none"/>
        </w:rPr>
      </w:pPr>
    </w:p>
    <w:p w14:paraId="751F929A">
      <w:pPr>
        <w:autoSpaceDE w:val="0"/>
        <w:autoSpaceDN w:val="0"/>
        <w:jc w:val="center"/>
        <w:rPr>
          <w:rFonts w:ascii="仿宋" w:hAnsi="仿宋" w:eastAsia="仿宋"/>
          <w:b/>
          <w:spacing w:val="6"/>
          <w:sz w:val="32"/>
          <w:szCs w:val="32"/>
          <w:highlight w:val="none"/>
        </w:rPr>
      </w:pPr>
    </w:p>
    <w:p w14:paraId="7D891600">
      <w:pPr>
        <w:autoSpaceDE w:val="0"/>
        <w:autoSpaceDN w:val="0"/>
        <w:jc w:val="center"/>
        <w:rPr>
          <w:rFonts w:ascii="仿宋" w:hAnsi="仿宋" w:eastAsia="仿宋"/>
          <w:b/>
          <w:spacing w:val="6"/>
          <w:sz w:val="32"/>
          <w:szCs w:val="32"/>
          <w:highlight w:val="none"/>
        </w:rPr>
      </w:pPr>
    </w:p>
    <w:p w14:paraId="29DE8795">
      <w:pPr>
        <w:autoSpaceDE w:val="0"/>
        <w:autoSpaceDN w:val="0"/>
        <w:jc w:val="center"/>
        <w:rPr>
          <w:rFonts w:ascii="仿宋" w:hAnsi="仿宋" w:eastAsia="仿宋"/>
          <w:b/>
          <w:spacing w:val="6"/>
          <w:sz w:val="32"/>
          <w:szCs w:val="32"/>
          <w:highlight w:val="none"/>
        </w:rPr>
      </w:pPr>
    </w:p>
    <w:p w14:paraId="18595D6C">
      <w:pPr>
        <w:autoSpaceDE w:val="0"/>
        <w:autoSpaceDN w:val="0"/>
        <w:jc w:val="center"/>
        <w:rPr>
          <w:rFonts w:ascii="仿宋" w:hAnsi="仿宋" w:eastAsia="仿宋"/>
          <w:b/>
          <w:spacing w:val="6"/>
          <w:sz w:val="32"/>
          <w:szCs w:val="32"/>
          <w:highlight w:val="none"/>
        </w:rPr>
      </w:pPr>
    </w:p>
    <w:p w14:paraId="5347354B">
      <w:pPr>
        <w:autoSpaceDE w:val="0"/>
        <w:autoSpaceDN w:val="0"/>
        <w:jc w:val="center"/>
        <w:rPr>
          <w:rFonts w:ascii="仿宋" w:hAnsi="仿宋" w:eastAsia="仿宋"/>
          <w:b/>
          <w:spacing w:val="6"/>
          <w:sz w:val="32"/>
          <w:szCs w:val="32"/>
          <w:highlight w:val="none"/>
        </w:rPr>
      </w:pPr>
    </w:p>
    <w:p w14:paraId="2011B8AC">
      <w:pPr>
        <w:autoSpaceDE w:val="0"/>
        <w:autoSpaceDN w:val="0"/>
        <w:jc w:val="center"/>
        <w:rPr>
          <w:rFonts w:ascii="仿宋" w:hAnsi="仿宋" w:eastAsia="仿宋"/>
          <w:b/>
          <w:spacing w:val="6"/>
          <w:sz w:val="32"/>
          <w:szCs w:val="32"/>
          <w:highlight w:val="none"/>
        </w:rPr>
      </w:pPr>
    </w:p>
    <w:p w14:paraId="0F080D2B">
      <w:pPr>
        <w:autoSpaceDE w:val="0"/>
        <w:autoSpaceDN w:val="0"/>
        <w:jc w:val="center"/>
        <w:rPr>
          <w:rFonts w:ascii="仿宋" w:hAnsi="仿宋" w:eastAsia="仿宋"/>
          <w:b/>
          <w:spacing w:val="6"/>
          <w:sz w:val="32"/>
          <w:szCs w:val="32"/>
          <w:highlight w:val="none"/>
        </w:rPr>
      </w:pPr>
    </w:p>
    <w:p w14:paraId="579B727B">
      <w:pPr>
        <w:autoSpaceDE w:val="0"/>
        <w:autoSpaceDN w:val="0"/>
        <w:jc w:val="center"/>
        <w:rPr>
          <w:rFonts w:ascii="仿宋" w:hAnsi="仿宋" w:eastAsia="仿宋"/>
          <w:b/>
          <w:spacing w:val="6"/>
          <w:sz w:val="32"/>
          <w:szCs w:val="32"/>
          <w:highlight w:val="none"/>
        </w:rPr>
      </w:pPr>
    </w:p>
    <w:p w14:paraId="529C8423">
      <w:pPr>
        <w:autoSpaceDE w:val="0"/>
        <w:autoSpaceDN w:val="0"/>
        <w:jc w:val="center"/>
        <w:rPr>
          <w:rFonts w:hint="eastAsia" w:ascii="仿宋" w:hAnsi="仿宋" w:eastAsia="仿宋"/>
          <w:b/>
          <w:spacing w:val="6"/>
          <w:sz w:val="32"/>
          <w:szCs w:val="32"/>
          <w:highlight w:val="none"/>
        </w:rPr>
      </w:pPr>
    </w:p>
    <w:p w14:paraId="3B8EFD8E">
      <w:pPr>
        <w:autoSpaceDE w:val="0"/>
        <w:autoSpaceDN w:val="0"/>
        <w:jc w:val="both"/>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14:paraId="071B2A00">
      <w:pPr>
        <w:spacing w:line="360" w:lineRule="auto"/>
        <w:jc w:val="center"/>
        <w:rPr>
          <w:rFonts w:ascii="仿宋" w:hAnsi="仿宋" w:eastAsia="仿宋" w:cs="仿宋_GB2312"/>
          <w:sz w:val="24"/>
          <w:highlight w:val="none"/>
          <w:u w:val="single"/>
        </w:rPr>
      </w:pPr>
    </w:p>
    <w:p w14:paraId="1AB9D1AB">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14:paraId="146C619B">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14:paraId="0F6362B6">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14:paraId="0C7327CD">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14:paraId="274C5148">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w:t>
      </w:r>
    </w:p>
    <w:p w14:paraId="3B22BBB6">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14:paraId="05677DA6">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14:paraId="44DF41AD">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14:paraId="5EFD704C">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013BA25B">
      <w:pPr>
        <w:spacing w:line="360" w:lineRule="auto"/>
        <w:jc w:val="left"/>
        <w:rPr>
          <w:rFonts w:ascii="仿宋_GB2312" w:hAnsi="宋体" w:eastAsia="仿宋_GB2312"/>
          <w:sz w:val="24"/>
          <w:szCs w:val="24"/>
          <w:highlight w:val="none"/>
        </w:rPr>
      </w:pPr>
      <w:r>
        <w:rPr>
          <w:rFonts w:hint="eastAsia" w:ascii="仿宋_GB2312" w:hAnsi="宋体" w:eastAsia="仿宋_GB2312"/>
          <w:sz w:val="24"/>
          <w:szCs w:val="24"/>
          <w:highlight w:val="none"/>
        </w:rPr>
        <w:t>从业人员、营业收入、资产总额填报上一年度数据，无上一年度数据的新成立企业可不填报。</w:t>
      </w:r>
    </w:p>
    <w:p w14:paraId="3D265743">
      <w:pPr>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88CB564">
      <w:pPr>
        <w:spacing w:line="360" w:lineRule="auto"/>
        <w:jc w:val="center"/>
        <w:rPr>
          <w:rFonts w:ascii="仿宋_GB2312" w:hAnsi="仿宋" w:eastAsia="仿宋_GB2312" w:cs="仿宋_GB2312"/>
          <w:b/>
          <w:sz w:val="32"/>
          <w:szCs w:val="32"/>
          <w:highlight w:val="none"/>
        </w:rPr>
      </w:pPr>
    </w:p>
    <w:p w14:paraId="261F2E6F">
      <w:pPr>
        <w:spacing w:line="360" w:lineRule="auto"/>
        <w:jc w:val="center"/>
        <w:rPr>
          <w:rFonts w:ascii="仿宋_GB2312" w:hAnsi="仿宋" w:eastAsia="仿宋_GB2312" w:cs="仿宋_GB2312"/>
          <w:b/>
          <w:sz w:val="32"/>
          <w:szCs w:val="32"/>
          <w:highlight w:val="none"/>
        </w:rPr>
      </w:pPr>
    </w:p>
    <w:p w14:paraId="5FA1BA19">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14:paraId="0D83A739">
      <w:pPr>
        <w:spacing w:line="360" w:lineRule="auto"/>
        <w:rPr>
          <w:rFonts w:ascii="仿宋_GB2312" w:hAnsi="仿宋" w:eastAsia="仿宋_GB2312"/>
          <w:highlight w:val="none"/>
        </w:rPr>
      </w:pPr>
    </w:p>
    <w:p w14:paraId="565E5A49">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6FDBAC1">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0B0EC68E">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6AA5D4E8">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14:paraId="152F58C3">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14:paraId="6384A52E">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14:paraId="02290B6E">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14:paraId="3FF7A239">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14:paraId="3F6B7AB7">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14:paraId="5656BEC8">
      <w:pPr>
        <w:spacing w:line="360" w:lineRule="auto"/>
        <w:ind w:right="420"/>
        <w:rPr>
          <w:rFonts w:ascii="仿宋_GB2312" w:hAnsi="仿宋" w:eastAsia="仿宋_GB2312" w:cs="仿宋_GB2312"/>
          <w:sz w:val="24"/>
          <w:highlight w:val="none"/>
        </w:rPr>
      </w:pPr>
    </w:p>
    <w:p w14:paraId="648810A7">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ascii="仿宋_GB2312" w:hAnsi="仿宋" w:eastAsia="仿宋_GB2312"/>
          <w:sz w:val="24"/>
          <w:highlight w:val="none"/>
        </w:rPr>
        <w:t>。</w:t>
      </w:r>
    </w:p>
    <w:p w14:paraId="7D65A994">
      <w:pPr>
        <w:spacing w:line="360" w:lineRule="auto"/>
        <w:rPr>
          <w:rFonts w:ascii="仿宋_GB2312" w:hAnsi="仿宋" w:eastAsia="仿宋_GB2312" w:cs="仿宋_GB2312"/>
          <w:b/>
          <w:sz w:val="24"/>
          <w:highlight w:val="none"/>
        </w:rPr>
      </w:pPr>
    </w:p>
    <w:p w14:paraId="5924870C">
      <w:pPr>
        <w:autoSpaceDE w:val="0"/>
        <w:autoSpaceDN w:val="0"/>
        <w:jc w:val="center"/>
        <w:rPr>
          <w:rFonts w:ascii="仿宋" w:hAnsi="仿宋" w:eastAsia="仿宋"/>
          <w:b/>
          <w:spacing w:val="6"/>
          <w:sz w:val="32"/>
          <w:szCs w:val="32"/>
          <w:highlight w:val="none"/>
        </w:rPr>
      </w:pPr>
    </w:p>
    <w:p w14:paraId="7032424A">
      <w:pPr>
        <w:spacing w:line="360" w:lineRule="auto"/>
        <w:ind w:right="420"/>
        <w:rPr>
          <w:highlight w:val="none"/>
        </w:rPr>
      </w:pPr>
    </w:p>
    <w:p w14:paraId="4CB666C9">
      <w:pPr>
        <w:spacing w:line="360" w:lineRule="auto"/>
        <w:rPr>
          <w:rFonts w:ascii="仿宋" w:hAnsi="仿宋" w:eastAsia="仿宋"/>
          <w:bCs/>
          <w:sz w:val="24"/>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B7B58">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222A6">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22222A6">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1818">
    <w:pPr>
      <w:pStyle w:val="41"/>
      <w:jc w:val="center"/>
      <w:rPr>
        <w:rFonts w:ascii="仿宋_GB2312" w:eastAsia="仿宋_GB2312"/>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20E42">
                          <w:pPr>
                            <w:pStyle w:val="41"/>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9D20E42">
                    <w:pPr>
                      <w:pStyle w:val="41"/>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90E3">
    <w:pPr>
      <w:pStyle w:val="41"/>
      <w:framePr w:wrap="around" w:vAnchor="text" w:hAnchor="margin" w:xAlign="right" w:y="1"/>
      <w:rPr>
        <w:rStyle w:val="72"/>
      </w:rPr>
    </w:pPr>
    <w:r>
      <w:fldChar w:fldCharType="begin"/>
    </w:r>
    <w:r>
      <w:rPr>
        <w:rStyle w:val="72"/>
      </w:rPr>
      <w:instrText xml:space="preserve">PAGE  </w:instrText>
    </w:r>
    <w:r>
      <w:fldChar w:fldCharType="end"/>
    </w:r>
  </w:p>
  <w:p w14:paraId="1E6AA610">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3B1CA">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3EF20">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EA3EF20">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426D0">
    <w:pPr>
      <w:pStyle w:val="41"/>
      <w:framePr w:wrap="around" w:vAnchor="text" w:hAnchor="margin" w:xAlign="right" w:y="1"/>
      <w:rPr>
        <w:rStyle w:val="72"/>
      </w:rPr>
    </w:pPr>
    <w:r>
      <w:fldChar w:fldCharType="begin"/>
    </w:r>
    <w:r>
      <w:rPr>
        <w:rStyle w:val="72"/>
      </w:rPr>
      <w:instrText xml:space="preserve">PAGE  </w:instrText>
    </w:r>
    <w:r>
      <w:fldChar w:fldCharType="end"/>
    </w:r>
  </w:p>
  <w:p w14:paraId="710109E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B71A6">
    <w:pPr>
      <w:pStyle w:val="41"/>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B46AB">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1FB46AB">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7146A">
    <w:pPr>
      <w:pStyle w:val="41"/>
      <w:jc w:val="center"/>
      <w:rPr>
        <w:rFonts w:ascii="仿宋_GB2312" w:eastAsia="仿宋_GB2312"/>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D17F3">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AFD17F3">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F2459">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B562">
    <w:pPr>
      <w:pStyle w:val="41"/>
      <w:jc w:val="center"/>
      <w:rPr>
        <w:rFonts w:ascii="仿宋_GB2312" w:eastAsia="仿宋_GB2312"/>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35A00">
                          <w:pPr>
                            <w:pStyle w:val="41"/>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F535A00">
                    <w:pPr>
                      <w:pStyle w:val="41"/>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D00F9">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F018D">
                          <w:pPr>
                            <w:pStyle w:val="41"/>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AFF018D">
                    <w:pPr>
                      <w:pStyle w:val="41"/>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2C76F">
    <w:pPr>
      <w:pStyle w:val="41"/>
      <w:jc w:val="center"/>
      <w:rPr>
        <w:rFonts w:ascii="仿宋_GB2312" w:eastAsia="仿宋_GB2312"/>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1F9BE">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FD1F9BE">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A5B9A">
    <w:pPr>
      <w:pStyle w:val="41"/>
      <w:jc w:val="center"/>
      <w:rPr>
        <w:rFonts w:ascii="仿宋_GB2312" w:eastAsia="仿宋_GB2312"/>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95C78">
                          <w:pPr>
                            <w:pStyle w:val="41"/>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D595C78">
                    <w:pPr>
                      <w:pStyle w:val="41"/>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C2D69">
    <w:pPr>
      <w:pStyle w:val="42"/>
      <w:pBdr>
        <w:bottom w:val="none" w:color="auto" w:sz="0" w:space="4"/>
      </w:pBdr>
      <w:jc w:val="right"/>
      <w:rPr>
        <w:lang w:val="en-US"/>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ECA1F">
    <w:pPr>
      <w:pStyle w:val="42"/>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5EEFA">
    <w:pPr>
      <w:pStyle w:val="42"/>
      <w:pBdr>
        <w:bottom w:val="none" w:color="auto" w:sz="0" w:space="1"/>
      </w:pBdr>
      <w:rPr>
        <w:rFonts w:ascii="仿宋_GB2312" w:eastAsia="仿宋_GB2312"/>
        <w:b/>
        <w:i/>
        <w:u w:val="single"/>
      </w:rPr>
    </w:pPr>
    <w:r>
      <w:t></w:t>
    </w:r>
  </w:p>
  <w:p w14:paraId="67224AC0">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8ACE0">
    <w:pPr>
      <w:pStyle w:val="42"/>
      <w:pBdr>
        <w:bottom w:val="none" w:color="auto" w:sz="0" w:space="1"/>
      </w:pBd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4D555">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A9A8A">
    <w:pPr>
      <w:pStyle w:val="42"/>
      <w:pBdr>
        <w:bottom w:val="none" w:color="auto" w:sz="0" w:space="1"/>
      </w:pBdr>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EF0EB">
    <w:pPr>
      <w:pStyle w:val="42"/>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5EA1D">
    <w:pPr>
      <w:pStyle w:val="42"/>
      <w:pBdr>
        <w:bottom w:val="none" w:color="auto" w:sz="0" w:space="1"/>
      </w:pBd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8275E"/>
    <w:multiLevelType w:val="singleLevel"/>
    <w:tmpl w:val="EE68275E"/>
    <w:lvl w:ilvl="0" w:tentative="0">
      <w:start w:val="6"/>
      <w:numFmt w:val="chineseCounting"/>
      <w:suff w:val="nothing"/>
      <w:lvlText w:val="%1、"/>
      <w:lvlJc w:val="left"/>
      <w:rPr>
        <w:rFonts w:hint="eastAsia"/>
      </w:rPr>
    </w:lvl>
  </w:abstractNum>
  <w:abstractNum w:abstractNumId="1">
    <w:nsid w:val="58DB2CC3"/>
    <w:multiLevelType w:val="singleLevel"/>
    <w:tmpl w:val="58DB2CC3"/>
    <w:lvl w:ilvl="0" w:tentative="0">
      <w:start w:val="1"/>
      <w:numFmt w:val="decimalEnclosedCircleChinese"/>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NDcxOGVlMjgyYmE0NzViM2QzZmQ0MTY4NzEyO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11D"/>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8DE"/>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8B3"/>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2AE"/>
    <w:rsid w:val="008517A6"/>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687"/>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375FA"/>
    <w:rsid w:val="014A5454"/>
    <w:rsid w:val="019D0CE8"/>
    <w:rsid w:val="019F7441"/>
    <w:rsid w:val="01A4698D"/>
    <w:rsid w:val="01B37585"/>
    <w:rsid w:val="01B92F78"/>
    <w:rsid w:val="01D55165"/>
    <w:rsid w:val="01DF6BF8"/>
    <w:rsid w:val="01EC2C57"/>
    <w:rsid w:val="026B2E25"/>
    <w:rsid w:val="02755D05"/>
    <w:rsid w:val="02824D4D"/>
    <w:rsid w:val="028F2CA9"/>
    <w:rsid w:val="02DC4B10"/>
    <w:rsid w:val="02DD76CE"/>
    <w:rsid w:val="02F36323"/>
    <w:rsid w:val="02F5619C"/>
    <w:rsid w:val="0326446A"/>
    <w:rsid w:val="032D5555"/>
    <w:rsid w:val="036634D2"/>
    <w:rsid w:val="03716D43"/>
    <w:rsid w:val="03DD35E4"/>
    <w:rsid w:val="03F01D62"/>
    <w:rsid w:val="04076900"/>
    <w:rsid w:val="041A5A3B"/>
    <w:rsid w:val="042311BA"/>
    <w:rsid w:val="042B157A"/>
    <w:rsid w:val="048F763B"/>
    <w:rsid w:val="049F330E"/>
    <w:rsid w:val="04AA775C"/>
    <w:rsid w:val="04AE2BB9"/>
    <w:rsid w:val="04AF1889"/>
    <w:rsid w:val="04BB0645"/>
    <w:rsid w:val="04EF3F4D"/>
    <w:rsid w:val="04F66F48"/>
    <w:rsid w:val="05107E95"/>
    <w:rsid w:val="05251E14"/>
    <w:rsid w:val="056E3F04"/>
    <w:rsid w:val="058663AA"/>
    <w:rsid w:val="058A49DD"/>
    <w:rsid w:val="05981372"/>
    <w:rsid w:val="05A16594"/>
    <w:rsid w:val="05A7762D"/>
    <w:rsid w:val="05EA6781"/>
    <w:rsid w:val="05F814A1"/>
    <w:rsid w:val="060E5941"/>
    <w:rsid w:val="06110FAF"/>
    <w:rsid w:val="06172D93"/>
    <w:rsid w:val="061F2081"/>
    <w:rsid w:val="062B4D15"/>
    <w:rsid w:val="063B305F"/>
    <w:rsid w:val="06493CA7"/>
    <w:rsid w:val="06574E26"/>
    <w:rsid w:val="065A6178"/>
    <w:rsid w:val="06681CA0"/>
    <w:rsid w:val="066863CF"/>
    <w:rsid w:val="066F1CF3"/>
    <w:rsid w:val="06774505"/>
    <w:rsid w:val="068B6266"/>
    <w:rsid w:val="06930BB8"/>
    <w:rsid w:val="06CC282E"/>
    <w:rsid w:val="06EE4F00"/>
    <w:rsid w:val="07245D42"/>
    <w:rsid w:val="07264C62"/>
    <w:rsid w:val="076E7848"/>
    <w:rsid w:val="0773068B"/>
    <w:rsid w:val="0779354C"/>
    <w:rsid w:val="07D478A0"/>
    <w:rsid w:val="08061376"/>
    <w:rsid w:val="08184DB8"/>
    <w:rsid w:val="08452D77"/>
    <w:rsid w:val="085D3428"/>
    <w:rsid w:val="086401F8"/>
    <w:rsid w:val="08751CAA"/>
    <w:rsid w:val="087E4C40"/>
    <w:rsid w:val="08D631A4"/>
    <w:rsid w:val="08D64CB4"/>
    <w:rsid w:val="08D66AD6"/>
    <w:rsid w:val="08DA33A3"/>
    <w:rsid w:val="08E80F13"/>
    <w:rsid w:val="08F41D87"/>
    <w:rsid w:val="08F7404E"/>
    <w:rsid w:val="090669BD"/>
    <w:rsid w:val="09335624"/>
    <w:rsid w:val="0944690F"/>
    <w:rsid w:val="09535675"/>
    <w:rsid w:val="095F057D"/>
    <w:rsid w:val="09642282"/>
    <w:rsid w:val="09727547"/>
    <w:rsid w:val="09733572"/>
    <w:rsid w:val="09772C16"/>
    <w:rsid w:val="098353B5"/>
    <w:rsid w:val="099905E7"/>
    <w:rsid w:val="099E7DFD"/>
    <w:rsid w:val="09A92330"/>
    <w:rsid w:val="09AB798B"/>
    <w:rsid w:val="09B06B87"/>
    <w:rsid w:val="09C13146"/>
    <w:rsid w:val="09D800EF"/>
    <w:rsid w:val="09DC1A09"/>
    <w:rsid w:val="09E04166"/>
    <w:rsid w:val="0A1B5312"/>
    <w:rsid w:val="0A1C0718"/>
    <w:rsid w:val="0A3E7710"/>
    <w:rsid w:val="0A5B7E63"/>
    <w:rsid w:val="0AA374A5"/>
    <w:rsid w:val="0AAB7649"/>
    <w:rsid w:val="0ABC5606"/>
    <w:rsid w:val="0AD92DBF"/>
    <w:rsid w:val="0AEF6CE9"/>
    <w:rsid w:val="0B0B5370"/>
    <w:rsid w:val="0B30404E"/>
    <w:rsid w:val="0B4C6C14"/>
    <w:rsid w:val="0B625C3A"/>
    <w:rsid w:val="0B631A88"/>
    <w:rsid w:val="0B683D45"/>
    <w:rsid w:val="0B735F78"/>
    <w:rsid w:val="0B7F3F11"/>
    <w:rsid w:val="0B884417"/>
    <w:rsid w:val="0BF6188C"/>
    <w:rsid w:val="0BF73C91"/>
    <w:rsid w:val="0C170175"/>
    <w:rsid w:val="0C371FE4"/>
    <w:rsid w:val="0C571A41"/>
    <w:rsid w:val="0C5C1171"/>
    <w:rsid w:val="0C5E1CBC"/>
    <w:rsid w:val="0C615B50"/>
    <w:rsid w:val="0C725F3B"/>
    <w:rsid w:val="0C8445DA"/>
    <w:rsid w:val="0C87121B"/>
    <w:rsid w:val="0CC007F7"/>
    <w:rsid w:val="0CDB31C5"/>
    <w:rsid w:val="0CDD2D53"/>
    <w:rsid w:val="0CFE707A"/>
    <w:rsid w:val="0D063BDA"/>
    <w:rsid w:val="0D08375F"/>
    <w:rsid w:val="0D106A72"/>
    <w:rsid w:val="0D184CFB"/>
    <w:rsid w:val="0D2951E9"/>
    <w:rsid w:val="0D2E73FC"/>
    <w:rsid w:val="0D3E4A25"/>
    <w:rsid w:val="0D444B80"/>
    <w:rsid w:val="0D4A7419"/>
    <w:rsid w:val="0D731607"/>
    <w:rsid w:val="0D827401"/>
    <w:rsid w:val="0D84094E"/>
    <w:rsid w:val="0D8A00E9"/>
    <w:rsid w:val="0D8D589E"/>
    <w:rsid w:val="0DA01C73"/>
    <w:rsid w:val="0DD63300"/>
    <w:rsid w:val="0DDE102D"/>
    <w:rsid w:val="0DF50604"/>
    <w:rsid w:val="0DF702FE"/>
    <w:rsid w:val="0E001963"/>
    <w:rsid w:val="0E050C1A"/>
    <w:rsid w:val="0E060E51"/>
    <w:rsid w:val="0E2E0764"/>
    <w:rsid w:val="0E5604B2"/>
    <w:rsid w:val="0E6D5D79"/>
    <w:rsid w:val="0E9D0089"/>
    <w:rsid w:val="0EB803EE"/>
    <w:rsid w:val="0EDA1E55"/>
    <w:rsid w:val="0EDB7766"/>
    <w:rsid w:val="0EF94D4B"/>
    <w:rsid w:val="0F4958DC"/>
    <w:rsid w:val="0F515DF7"/>
    <w:rsid w:val="0F596BA8"/>
    <w:rsid w:val="0F6248D2"/>
    <w:rsid w:val="0F693536"/>
    <w:rsid w:val="0F7B0511"/>
    <w:rsid w:val="0F7B76D9"/>
    <w:rsid w:val="0F816ACD"/>
    <w:rsid w:val="0F9832DB"/>
    <w:rsid w:val="0FBF3FD2"/>
    <w:rsid w:val="0FBF7FF3"/>
    <w:rsid w:val="0FF22CB1"/>
    <w:rsid w:val="10646583"/>
    <w:rsid w:val="107D4B15"/>
    <w:rsid w:val="108A3C80"/>
    <w:rsid w:val="109640E1"/>
    <w:rsid w:val="10982385"/>
    <w:rsid w:val="10C26171"/>
    <w:rsid w:val="10D97E76"/>
    <w:rsid w:val="10F25B81"/>
    <w:rsid w:val="10F33360"/>
    <w:rsid w:val="10FC0779"/>
    <w:rsid w:val="10FC16EA"/>
    <w:rsid w:val="110F1D40"/>
    <w:rsid w:val="11266F33"/>
    <w:rsid w:val="1182106B"/>
    <w:rsid w:val="118963A1"/>
    <w:rsid w:val="11C6522A"/>
    <w:rsid w:val="11E104CC"/>
    <w:rsid w:val="11E20309"/>
    <w:rsid w:val="11F36587"/>
    <w:rsid w:val="12255233"/>
    <w:rsid w:val="12530213"/>
    <w:rsid w:val="12613A97"/>
    <w:rsid w:val="126C7543"/>
    <w:rsid w:val="127723A9"/>
    <w:rsid w:val="12862074"/>
    <w:rsid w:val="12883966"/>
    <w:rsid w:val="129E45B4"/>
    <w:rsid w:val="12A72B1B"/>
    <w:rsid w:val="12D81596"/>
    <w:rsid w:val="13072A44"/>
    <w:rsid w:val="130B7EEE"/>
    <w:rsid w:val="13164714"/>
    <w:rsid w:val="133A105E"/>
    <w:rsid w:val="133F5D80"/>
    <w:rsid w:val="134C7BD2"/>
    <w:rsid w:val="135F4BE2"/>
    <w:rsid w:val="139B1A0A"/>
    <w:rsid w:val="139B74C4"/>
    <w:rsid w:val="139D25C7"/>
    <w:rsid w:val="13BF3CE4"/>
    <w:rsid w:val="141008D8"/>
    <w:rsid w:val="14125FE6"/>
    <w:rsid w:val="14361550"/>
    <w:rsid w:val="145276A1"/>
    <w:rsid w:val="146D271E"/>
    <w:rsid w:val="14982588"/>
    <w:rsid w:val="149A5AD9"/>
    <w:rsid w:val="14A7619D"/>
    <w:rsid w:val="14B12D0C"/>
    <w:rsid w:val="14E70873"/>
    <w:rsid w:val="15033573"/>
    <w:rsid w:val="150536C3"/>
    <w:rsid w:val="150C1963"/>
    <w:rsid w:val="151447A0"/>
    <w:rsid w:val="15266BA5"/>
    <w:rsid w:val="154A6454"/>
    <w:rsid w:val="15762120"/>
    <w:rsid w:val="15AD148C"/>
    <w:rsid w:val="15AE646C"/>
    <w:rsid w:val="15CC0747"/>
    <w:rsid w:val="15D65DBB"/>
    <w:rsid w:val="15D867D2"/>
    <w:rsid w:val="15DB2014"/>
    <w:rsid w:val="15DE7A76"/>
    <w:rsid w:val="16A8729C"/>
    <w:rsid w:val="16AA427D"/>
    <w:rsid w:val="16AF086F"/>
    <w:rsid w:val="16B33777"/>
    <w:rsid w:val="16BC70A7"/>
    <w:rsid w:val="16C02BC6"/>
    <w:rsid w:val="16C6339E"/>
    <w:rsid w:val="172F2D79"/>
    <w:rsid w:val="17557BEF"/>
    <w:rsid w:val="1758293B"/>
    <w:rsid w:val="17D349C1"/>
    <w:rsid w:val="17E31439"/>
    <w:rsid w:val="17F11DA8"/>
    <w:rsid w:val="17F77940"/>
    <w:rsid w:val="1816110F"/>
    <w:rsid w:val="18193AE5"/>
    <w:rsid w:val="1830729E"/>
    <w:rsid w:val="1870062C"/>
    <w:rsid w:val="18817102"/>
    <w:rsid w:val="18830A15"/>
    <w:rsid w:val="18852B28"/>
    <w:rsid w:val="188B5321"/>
    <w:rsid w:val="18B605B4"/>
    <w:rsid w:val="18E8719A"/>
    <w:rsid w:val="19322549"/>
    <w:rsid w:val="19510CE1"/>
    <w:rsid w:val="1981160D"/>
    <w:rsid w:val="198E0E26"/>
    <w:rsid w:val="19932372"/>
    <w:rsid w:val="19934425"/>
    <w:rsid w:val="199F4FDF"/>
    <w:rsid w:val="19A20DD5"/>
    <w:rsid w:val="19AE03F1"/>
    <w:rsid w:val="19B51B03"/>
    <w:rsid w:val="19D947E2"/>
    <w:rsid w:val="1A071A03"/>
    <w:rsid w:val="1A1F16AE"/>
    <w:rsid w:val="1A327D3B"/>
    <w:rsid w:val="1A3B5C77"/>
    <w:rsid w:val="1A984BAD"/>
    <w:rsid w:val="1AB8220E"/>
    <w:rsid w:val="1AE4166C"/>
    <w:rsid w:val="1AF06CFB"/>
    <w:rsid w:val="1AF11B8D"/>
    <w:rsid w:val="1AFC3F53"/>
    <w:rsid w:val="1AFF658A"/>
    <w:rsid w:val="1B027E29"/>
    <w:rsid w:val="1B0C0663"/>
    <w:rsid w:val="1B11359C"/>
    <w:rsid w:val="1B2A271F"/>
    <w:rsid w:val="1B3D45B5"/>
    <w:rsid w:val="1B530544"/>
    <w:rsid w:val="1B713184"/>
    <w:rsid w:val="1B7B0307"/>
    <w:rsid w:val="1B7C5E2D"/>
    <w:rsid w:val="1B9F599C"/>
    <w:rsid w:val="1BA209CF"/>
    <w:rsid w:val="1BAB4271"/>
    <w:rsid w:val="1BB4777D"/>
    <w:rsid w:val="1BC83FED"/>
    <w:rsid w:val="1BD75AB8"/>
    <w:rsid w:val="1BFB48EF"/>
    <w:rsid w:val="1BFE19D6"/>
    <w:rsid w:val="1C0459C2"/>
    <w:rsid w:val="1C1B3B4A"/>
    <w:rsid w:val="1C444B9D"/>
    <w:rsid w:val="1C827473"/>
    <w:rsid w:val="1C88086E"/>
    <w:rsid w:val="1CF15CF5"/>
    <w:rsid w:val="1D266CE1"/>
    <w:rsid w:val="1D3963AF"/>
    <w:rsid w:val="1D5232E9"/>
    <w:rsid w:val="1D6A673C"/>
    <w:rsid w:val="1D9247AE"/>
    <w:rsid w:val="1DB567EC"/>
    <w:rsid w:val="1DCD77B8"/>
    <w:rsid w:val="1DEE45E2"/>
    <w:rsid w:val="1DF51A98"/>
    <w:rsid w:val="1E3D060F"/>
    <w:rsid w:val="1E3F7D2E"/>
    <w:rsid w:val="1E4134E4"/>
    <w:rsid w:val="1E5062B3"/>
    <w:rsid w:val="1E523514"/>
    <w:rsid w:val="1E585428"/>
    <w:rsid w:val="1E714A66"/>
    <w:rsid w:val="1E802593"/>
    <w:rsid w:val="1EA210FC"/>
    <w:rsid w:val="1EA703CC"/>
    <w:rsid w:val="1EB7330C"/>
    <w:rsid w:val="1EC45B21"/>
    <w:rsid w:val="1ED45EAA"/>
    <w:rsid w:val="1EE5010F"/>
    <w:rsid w:val="1EE6158C"/>
    <w:rsid w:val="1F0A0FF3"/>
    <w:rsid w:val="1F5771FF"/>
    <w:rsid w:val="1F6B00F7"/>
    <w:rsid w:val="1F6C18B7"/>
    <w:rsid w:val="1F7538D1"/>
    <w:rsid w:val="1F98426B"/>
    <w:rsid w:val="1FBC6066"/>
    <w:rsid w:val="1FE868A9"/>
    <w:rsid w:val="1FEA5A5B"/>
    <w:rsid w:val="20034907"/>
    <w:rsid w:val="20054F26"/>
    <w:rsid w:val="20173E4B"/>
    <w:rsid w:val="202C1BA1"/>
    <w:rsid w:val="2044338E"/>
    <w:rsid w:val="204E48BC"/>
    <w:rsid w:val="20601879"/>
    <w:rsid w:val="208863E7"/>
    <w:rsid w:val="208921B3"/>
    <w:rsid w:val="208A67A9"/>
    <w:rsid w:val="20973DEB"/>
    <w:rsid w:val="20B26522"/>
    <w:rsid w:val="20B44310"/>
    <w:rsid w:val="20EE50D7"/>
    <w:rsid w:val="210C6F7A"/>
    <w:rsid w:val="211116EB"/>
    <w:rsid w:val="21577C0D"/>
    <w:rsid w:val="21591002"/>
    <w:rsid w:val="216133FC"/>
    <w:rsid w:val="21745D82"/>
    <w:rsid w:val="21D56769"/>
    <w:rsid w:val="21E52EF3"/>
    <w:rsid w:val="21FB5D7B"/>
    <w:rsid w:val="220B1C3D"/>
    <w:rsid w:val="22161978"/>
    <w:rsid w:val="221D1D20"/>
    <w:rsid w:val="22270043"/>
    <w:rsid w:val="22334A87"/>
    <w:rsid w:val="22342D96"/>
    <w:rsid w:val="22570A95"/>
    <w:rsid w:val="226D0C64"/>
    <w:rsid w:val="22BE6801"/>
    <w:rsid w:val="22C34341"/>
    <w:rsid w:val="22E362E3"/>
    <w:rsid w:val="23036412"/>
    <w:rsid w:val="231132FF"/>
    <w:rsid w:val="233500BF"/>
    <w:rsid w:val="23377FF7"/>
    <w:rsid w:val="233942B8"/>
    <w:rsid w:val="233B2D38"/>
    <w:rsid w:val="236B425F"/>
    <w:rsid w:val="23836192"/>
    <w:rsid w:val="23901F29"/>
    <w:rsid w:val="239C0061"/>
    <w:rsid w:val="23B908A4"/>
    <w:rsid w:val="23E95BEF"/>
    <w:rsid w:val="23FD0064"/>
    <w:rsid w:val="24101BD5"/>
    <w:rsid w:val="241D1AAA"/>
    <w:rsid w:val="245375B0"/>
    <w:rsid w:val="24586DE5"/>
    <w:rsid w:val="24642C0A"/>
    <w:rsid w:val="24910641"/>
    <w:rsid w:val="24A24B56"/>
    <w:rsid w:val="24B22173"/>
    <w:rsid w:val="24B95AD9"/>
    <w:rsid w:val="24BE24DA"/>
    <w:rsid w:val="24BF1CD5"/>
    <w:rsid w:val="24CF5825"/>
    <w:rsid w:val="24D663E6"/>
    <w:rsid w:val="24D720E8"/>
    <w:rsid w:val="24D77F2B"/>
    <w:rsid w:val="258B00E2"/>
    <w:rsid w:val="25A917A6"/>
    <w:rsid w:val="25BE27CC"/>
    <w:rsid w:val="25C07F64"/>
    <w:rsid w:val="25C2684C"/>
    <w:rsid w:val="25E175E0"/>
    <w:rsid w:val="25F74A5C"/>
    <w:rsid w:val="2628662C"/>
    <w:rsid w:val="262D45DE"/>
    <w:rsid w:val="263D53A7"/>
    <w:rsid w:val="26435EC5"/>
    <w:rsid w:val="26466C94"/>
    <w:rsid w:val="264D3989"/>
    <w:rsid w:val="2657494F"/>
    <w:rsid w:val="26A53EF9"/>
    <w:rsid w:val="26A94201"/>
    <w:rsid w:val="26AA770C"/>
    <w:rsid w:val="26AC274F"/>
    <w:rsid w:val="26B4291F"/>
    <w:rsid w:val="27044A29"/>
    <w:rsid w:val="271D34C8"/>
    <w:rsid w:val="276142BF"/>
    <w:rsid w:val="27621A2F"/>
    <w:rsid w:val="27783712"/>
    <w:rsid w:val="27907362"/>
    <w:rsid w:val="27EF660C"/>
    <w:rsid w:val="2812541C"/>
    <w:rsid w:val="28333E1D"/>
    <w:rsid w:val="28454BD6"/>
    <w:rsid w:val="28455253"/>
    <w:rsid w:val="28551971"/>
    <w:rsid w:val="285B1C53"/>
    <w:rsid w:val="286C567C"/>
    <w:rsid w:val="28701B6F"/>
    <w:rsid w:val="289F7086"/>
    <w:rsid w:val="28C32028"/>
    <w:rsid w:val="28CC490F"/>
    <w:rsid w:val="28DA653D"/>
    <w:rsid w:val="28DE40AA"/>
    <w:rsid w:val="28FB22BB"/>
    <w:rsid w:val="29121B7F"/>
    <w:rsid w:val="29312005"/>
    <w:rsid w:val="29345E77"/>
    <w:rsid w:val="293E7C9D"/>
    <w:rsid w:val="29467175"/>
    <w:rsid w:val="294C0340"/>
    <w:rsid w:val="294C65AD"/>
    <w:rsid w:val="297E051F"/>
    <w:rsid w:val="29806583"/>
    <w:rsid w:val="298B3C4C"/>
    <w:rsid w:val="29944EB8"/>
    <w:rsid w:val="29B73A57"/>
    <w:rsid w:val="29D560ED"/>
    <w:rsid w:val="29EF4049"/>
    <w:rsid w:val="29F26D24"/>
    <w:rsid w:val="2A15033F"/>
    <w:rsid w:val="2A1662C1"/>
    <w:rsid w:val="2A1C7367"/>
    <w:rsid w:val="2A2815FA"/>
    <w:rsid w:val="2A47266D"/>
    <w:rsid w:val="2A472FCB"/>
    <w:rsid w:val="2A686820"/>
    <w:rsid w:val="2A6D6092"/>
    <w:rsid w:val="2A7D76B4"/>
    <w:rsid w:val="2AAB5086"/>
    <w:rsid w:val="2AFD53F9"/>
    <w:rsid w:val="2B2C28C4"/>
    <w:rsid w:val="2B364777"/>
    <w:rsid w:val="2B437463"/>
    <w:rsid w:val="2B7807EE"/>
    <w:rsid w:val="2BBF00EC"/>
    <w:rsid w:val="2BC37CFD"/>
    <w:rsid w:val="2BC559BD"/>
    <w:rsid w:val="2BD5237F"/>
    <w:rsid w:val="2BE536CE"/>
    <w:rsid w:val="2BE758D9"/>
    <w:rsid w:val="2BEB22D0"/>
    <w:rsid w:val="2C09049E"/>
    <w:rsid w:val="2C0A653C"/>
    <w:rsid w:val="2C163734"/>
    <w:rsid w:val="2C191F85"/>
    <w:rsid w:val="2C567FD4"/>
    <w:rsid w:val="2CC55886"/>
    <w:rsid w:val="2CE82D6F"/>
    <w:rsid w:val="2D343236"/>
    <w:rsid w:val="2DA12693"/>
    <w:rsid w:val="2DB35AC9"/>
    <w:rsid w:val="2DD15014"/>
    <w:rsid w:val="2DF72DE4"/>
    <w:rsid w:val="2E0220AF"/>
    <w:rsid w:val="2E187AAC"/>
    <w:rsid w:val="2E1E12F9"/>
    <w:rsid w:val="2E4B082A"/>
    <w:rsid w:val="2E5D4E86"/>
    <w:rsid w:val="2E5D629D"/>
    <w:rsid w:val="2E5D790B"/>
    <w:rsid w:val="2E622429"/>
    <w:rsid w:val="2E794DE5"/>
    <w:rsid w:val="2E9436D8"/>
    <w:rsid w:val="2E993BB9"/>
    <w:rsid w:val="2E9A3C18"/>
    <w:rsid w:val="2EBB0FEE"/>
    <w:rsid w:val="2EC63002"/>
    <w:rsid w:val="2EE21B01"/>
    <w:rsid w:val="2F0A6B38"/>
    <w:rsid w:val="2F5A7DDB"/>
    <w:rsid w:val="2F5C4DA3"/>
    <w:rsid w:val="2F946CCB"/>
    <w:rsid w:val="2FAE6B0C"/>
    <w:rsid w:val="2FBD61A2"/>
    <w:rsid w:val="2FD25781"/>
    <w:rsid w:val="2FF71A70"/>
    <w:rsid w:val="2FFD7934"/>
    <w:rsid w:val="30331386"/>
    <w:rsid w:val="30444BA9"/>
    <w:rsid w:val="304635DB"/>
    <w:rsid w:val="306A60E4"/>
    <w:rsid w:val="30733ACD"/>
    <w:rsid w:val="30770068"/>
    <w:rsid w:val="308C3862"/>
    <w:rsid w:val="309379D8"/>
    <w:rsid w:val="309612E7"/>
    <w:rsid w:val="30A13F14"/>
    <w:rsid w:val="30A270F7"/>
    <w:rsid w:val="30A3520C"/>
    <w:rsid w:val="30A77050"/>
    <w:rsid w:val="30D339B1"/>
    <w:rsid w:val="30DD0CC4"/>
    <w:rsid w:val="30DF1478"/>
    <w:rsid w:val="30EC0F07"/>
    <w:rsid w:val="30EC586F"/>
    <w:rsid w:val="312F1EDE"/>
    <w:rsid w:val="314868B8"/>
    <w:rsid w:val="31580A7A"/>
    <w:rsid w:val="319C6071"/>
    <w:rsid w:val="319D00D7"/>
    <w:rsid w:val="31AC537E"/>
    <w:rsid w:val="31E3679B"/>
    <w:rsid w:val="31E732FD"/>
    <w:rsid w:val="31F167D5"/>
    <w:rsid w:val="321253A2"/>
    <w:rsid w:val="32517576"/>
    <w:rsid w:val="32BE5C2C"/>
    <w:rsid w:val="32FB6478"/>
    <w:rsid w:val="33076DD2"/>
    <w:rsid w:val="33263B3F"/>
    <w:rsid w:val="3339205C"/>
    <w:rsid w:val="334E488B"/>
    <w:rsid w:val="33580B1F"/>
    <w:rsid w:val="336963EB"/>
    <w:rsid w:val="33816EEB"/>
    <w:rsid w:val="338D215F"/>
    <w:rsid w:val="33A53D1B"/>
    <w:rsid w:val="33AB50A9"/>
    <w:rsid w:val="33EB55CD"/>
    <w:rsid w:val="33EC4C02"/>
    <w:rsid w:val="33EE6C94"/>
    <w:rsid w:val="33F67B79"/>
    <w:rsid w:val="33F9763E"/>
    <w:rsid w:val="340D2360"/>
    <w:rsid w:val="34102DDF"/>
    <w:rsid w:val="3410665D"/>
    <w:rsid w:val="34211214"/>
    <w:rsid w:val="342E63AB"/>
    <w:rsid w:val="34377C34"/>
    <w:rsid w:val="34897AF5"/>
    <w:rsid w:val="34950E68"/>
    <w:rsid w:val="34986E94"/>
    <w:rsid w:val="34AE6918"/>
    <w:rsid w:val="34AF62C9"/>
    <w:rsid w:val="34B72EFC"/>
    <w:rsid w:val="34CB4388"/>
    <w:rsid w:val="34FA6E12"/>
    <w:rsid w:val="35644149"/>
    <w:rsid w:val="358D5588"/>
    <w:rsid w:val="358D70CB"/>
    <w:rsid w:val="35CE55DA"/>
    <w:rsid w:val="36024E59"/>
    <w:rsid w:val="363A3B40"/>
    <w:rsid w:val="365302AE"/>
    <w:rsid w:val="36607A0A"/>
    <w:rsid w:val="366E227C"/>
    <w:rsid w:val="366F2E0D"/>
    <w:rsid w:val="367B6A5C"/>
    <w:rsid w:val="36A74ADA"/>
    <w:rsid w:val="36AD60D5"/>
    <w:rsid w:val="36B012FB"/>
    <w:rsid w:val="36B224F9"/>
    <w:rsid w:val="36E30120"/>
    <w:rsid w:val="36EC0CC9"/>
    <w:rsid w:val="373F410B"/>
    <w:rsid w:val="37777749"/>
    <w:rsid w:val="3794253C"/>
    <w:rsid w:val="37AD4EFB"/>
    <w:rsid w:val="37B77DC6"/>
    <w:rsid w:val="37E1149A"/>
    <w:rsid w:val="37EE7094"/>
    <w:rsid w:val="381279F6"/>
    <w:rsid w:val="38296C89"/>
    <w:rsid w:val="383002EB"/>
    <w:rsid w:val="38586797"/>
    <w:rsid w:val="38687797"/>
    <w:rsid w:val="38691D8A"/>
    <w:rsid w:val="38BC0149"/>
    <w:rsid w:val="38D87D1C"/>
    <w:rsid w:val="38FC0F83"/>
    <w:rsid w:val="391F2B57"/>
    <w:rsid w:val="39335925"/>
    <w:rsid w:val="39400FBF"/>
    <w:rsid w:val="39515E8C"/>
    <w:rsid w:val="39636459"/>
    <w:rsid w:val="396B7F6C"/>
    <w:rsid w:val="39B417A9"/>
    <w:rsid w:val="39D7025A"/>
    <w:rsid w:val="39FC5695"/>
    <w:rsid w:val="3A006D8E"/>
    <w:rsid w:val="3A3651E5"/>
    <w:rsid w:val="3A5D1041"/>
    <w:rsid w:val="3A744481"/>
    <w:rsid w:val="3A8C7BEF"/>
    <w:rsid w:val="3A906246"/>
    <w:rsid w:val="3AA508E6"/>
    <w:rsid w:val="3ACF4F4A"/>
    <w:rsid w:val="3AEE6E57"/>
    <w:rsid w:val="3B2349B7"/>
    <w:rsid w:val="3B5F50F7"/>
    <w:rsid w:val="3B616CFF"/>
    <w:rsid w:val="3B6259F6"/>
    <w:rsid w:val="3B8A4B98"/>
    <w:rsid w:val="3B976654"/>
    <w:rsid w:val="3B9D5C20"/>
    <w:rsid w:val="3BC01EFC"/>
    <w:rsid w:val="3BCA786A"/>
    <w:rsid w:val="3BD31E2F"/>
    <w:rsid w:val="3BD42E4E"/>
    <w:rsid w:val="3BF15831"/>
    <w:rsid w:val="3C0D29B7"/>
    <w:rsid w:val="3C105946"/>
    <w:rsid w:val="3C23441B"/>
    <w:rsid w:val="3C326368"/>
    <w:rsid w:val="3C471448"/>
    <w:rsid w:val="3C552056"/>
    <w:rsid w:val="3C5F759A"/>
    <w:rsid w:val="3C6C525A"/>
    <w:rsid w:val="3CCE23CB"/>
    <w:rsid w:val="3CD17D17"/>
    <w:rsid w:val="3D1A50C6"/>
    <w:rsid w:val="3D213C4A"/>
    <w:rsid w:val="3D3C7F39"/>
    <w:rsid w:val="3D4214E4"/>
    <w:rsid w:val="3D440F09"/>
    <w:rsid w:val="3D4504A0"/>
    <w:rsid w:val="3D4F1BEB"/>
    <w:rsid w:val="3D8734BB"/>
    <w:rsid w:val="3D9A11D4"/>
    <w:rsid w:val="3DA16D89"/>
    <w:rsid w:val="3DA364BE"/>
    <w:rsid w:val="3DB87925"/>
    <w:rsid w:val="3DCC6348"/>
    <w:rsid w:val="3DE041CB"/>
    <w:rsid w:val="3E0D48F6"/>
    <w:rsid w:val="3E12459C"/>
    <w:rsid w:val="3E1868B4"/>
    <w:rsid w:val="3E1D6052"/>
    <w:rsid w:val="3E377251"/>
    <w:rsid w:val="3E42664B"/>
    <w:rsid w:val="3E5A7334"/>
    <w:rsid w:val="3E732303"/>
    <w:rsid w:val="3E7B5D6B"/>
    <w:rsid w:val="3E843E66"/>
    <w:rsid w:val="3E8F51FE"/>
    <w:rsid w:val="3E926F87"/>
    <w:rsid w:val="3E9A59DE"/>
    <w:rsid w:val="3EAF4836"/>
    <w:rsid w:val="3EBD52C2"/>
    <w:rsid w:val="3EC33DFA"/>
    <w:rsid w:val="3EE37DED"/>
    <w:rsid w:val="3F060E16"/>
    <w:rsid w:val="3F1D1096"/>
    <w:rsid w:val="3F2F0234"/>
    <w:rsid w:val="3F4F2A01"/>
    <w:rsid w:val="3F6363FE"/>
    <w:rsid w:val="3F6B4793"/>
    <w:rsid w:val="3F756B8F"/>
    <w:rsid w:val="3F883D12"/>
    <w:rsid w:val="3F885F58"/>
    <w:rsid w:val="3F8C2233"/>
    <w:rsid w:val="3F95482B"/>
    <w:rsid w:val="3FCF6043"/>
    <w:rsid w:val="3FF30210"/>
    <w:rsid w:val="3FFD2422"/>
    <w:rsid w:val="4019356B"/>
    <w:rsid w:val="401A5953"/>
    <w:rsid w:val="403200CC"/>
    <w:rsid w:val="40592157"/>
    <w:rsid w:val="40644FD3"/>
    <w:rsid w:val="406E1CAE"/>
    <w:rsid w:val="40A0133A"/>
    <w:rsid w:val="40A50D6C"/>
    <w:rsid w:val="40BA275D"/>
    <w:rsid w:val="40C31A53"/>
    <w:rsid w:val="40F5034C"/>
    <w:rsid w:val="40FF545D"/>
    <w:rsid w:val="410067C8"/>
    <w:rsid w:val="414A6E99"/>
    <w:rsid w:val="417756CE"/>
    <w:rsid w:val="418F0D2A"/>
    <w:rsid w:val="41CB068F"/>
    <w:rsid w:val="41CD4292"/>
    <w:rsid w:val="41D01505"/>
    <w:rsid w:val="41EC62E1"/>
    <w:rsid w:val="421E7CE0"/>
    <w:rsid w:val="42474939"/>
    <w:rsid w:val="424C3C57"/>
    <w:rsid w:val="42613FF3"/>
    <w:rsid w:val="42660D96"/>
    <w:rsid w:val="428667D2"/>
    <w:rsid w:val="42AC0E7B"/>
    <w:rsid w:val="42CD1CE0"/>
    <w:rsid w:val="42E102FD"/>
    <w:rsid w:val="42E1381E"/>
    <w:rsid w:val="42ED6459"/>
    <w:rsid w:val="42FE58DD"/>
    <w:rsid w:val="430D78BE"/>
    <w:rsid w:val="43174B3D"/>
    <w:rsid w:val="434B790E"/>
    <w:rsid w:val="435C4F96"/>
    <w:rsid w:val="4360274F"/>
    <w:rsid w:val="43977AB6"/>
    <w:rsid w:val="43A3342B"/>
    <w:rsid w:val="43A66C9F"/>
    <w:rsid w:val="43B504E6"/>
    <w:rsid w:val="43C77C27"/>
    <w:rsid w:val="43DE09EE"/>
    <w:rsid w:val="43DF0B28"/>
    <w:rsid w:val="44002FAD"/>
    <w:rsid w:val="44064BAD"/>
    <w:rsid w:val="4413116C"/>
    <w:rsid w:val="442D778D"/>
    <w:rsid w:val="444D2334"/>
    <w:rsid w:val="449101DD"/>
    <w:rsid w:val="44DE1391"/>
    <w:rsid w:val="44F62E0C"/>
    <w:rsid w:val="451A7B75"/>
    <w:rsid w:val="451B225C"/>
    <w:rsid w:val="452410C9"/>
    <w:rsid w:val="45317DFB"/>
    <w:rsid w:val="453A5FEF"/>
    <w:rsid w:val="456D3CE4"/>
    <w:rsid w:val="4579042C"/>
    <w:rsid w:val="457F0571"/>
    <w:rsid w:val="45851176"/>
    <w:rsid w:val="45C63B94"/>
    <w:rsid w:val="45D25CB7"/>
    <w:rsid w:val="460E7DA5"/>
    <w:rsid w:val="462E5DF2"/>
    <w:rsid w:val="46422483"/>
    <w:rsid w:val="4659254A"/>
    <w:rsid w:val="465B0637"/>
    <w:rsid w:val="465E3F0D"/>
    <w:rsid w:val="466519CB"/>
    <w:rsid w:val="466A16E6"/>
    <w:rsid w:val="46893F2B"/>
    <w:rsid w:val="46C4686E"/>
    <w:rsid w:val="470F5BA1"/>
    <w:rsid w:val="47466A66"/>
    <w:rsid w:val="477B778F"/>
    <w:rsid w:val="478203EC"/>
    <w:rsid w:val="47B025FA"/>
    <w:rsid w:val="47B73055"/>
    <w:rsid w:val="47D02EB3"/>
    <w:rsid w:val="4809698F"/>
    <w:rsid w:val="4811697D"/>
    <w:rsid w:val="483D1D0A"/>
    <w:rsid w:val="4864069E"/>
    <w:rsid w:val="48787E87"/>
    <w:rsid w:val="487A3E25"/>
    <w:rsid w:val="488B5503"/>
    <w:rsid w:val="48937E21"/>
    <w:rsid w:val="489A0361"/>
    <w:rsid w:val="48B94FF3"/>
    <w:rsid w:val="48E37AAB"/>
    <w:rsid w:val="48FD4B4C"/>
    <w:rsid w:val="490A68E0"/>
    <w:rsid w:val="491055FE"/>
    <w:rsid w:val="495F5B3E"/>
    <w:rsid w:val="496D3B5A"/>
    <w:rsid w:val="496F77D7"/>
    <w:rsid w:val="497654FD"/>
    <w:rsid w:val="499A5DBB"/>
    <w:rsid w:val="499B3AA4"/>
    <w:rsid w:val="49B64211"/>
    <w:rsid w:val="49BF4FB3"/>
    <w:rsid w:val="49C82385"/>
    <w:rsid w:val="49D86BF8"/>
    <w:rsid w:val="49F6167F"/>
    <w:rsid w:val="4A064FA0"/>
    <w:rsid w:val="4A16615C"/>
    <w:rsid w:val="4A4424D7"/>
    <w:rsid w:val="4A7022D7"/>
    <w:rsid w:val="4AB82D0F"/>
    <w:rsid w:val="4AEB7664"/>
    <w:rsid w:val="4AFD7C19"/>
    <w:rsid w:val="4B0567D1"/>
    <w:rsid w:val="4B0B04B0"/>
    <w:rsid w:val="4B236AAE"/>
    <w:rsid w:val="4B43757A"/>
    <w:rsid w:val="4B702839"/>
    <w:rsid w:val="4B707271"/>
    <w:rsid w:val="4B9739F7"/>
    <w:rsid w:val="4BA847B5"/>
    <w:rsid w:val="4BAD134B"/>
    <w:rsid w:val="4BEB02E1"/>
    <w:rsid w:val="4BEE2503"/>
    <w:rsid w:val="4BF26D26"/>
    <w:rsid w:val="4C0B44E0"/>
    <w:rsid w:val="4C245A30"/>
    <w:rsid w:val="4C305B68"/>
    <w:rsid w:val="4C434D7C"/>
    <w:rsid w:val="4C521FE1"/>
    <w:rsid w:val="4C675BBA"/>
    <w:rsid w:val="4C985A73"/>
    <w:rsid w:val="4CB6685F"/>
    <w:rsid w:val="4CC367FE"/>
    <w:rsid w:val="4D077F3C"/>
    <w:rsid w:val="4D123355"/>
    <w:rsid w:val="4D2A3B31"/>
    <w:rsid w:val="4D2B4E39"/>
    <w:rsid w:val="4D312C52"/>
    <w:rsid w:val="4D500C0F"/>
    <w:rsid w:val="4D757384"/>
    <w:rsid w:val="4D905305"/>
    <w:rsid w:val="4D9228C7"/>
    <w:rsid w:val="4D964A72"/>
    <w:rsid w:val="4D9C1254"/>
    <w:rsid w:val="4DA44BEC"/>
    <w:rsid w:val="4DB56DF9"/>
    <w:rsid w:val="4DE37294"/>
    <w:rsid w:val="4DEA0B1B"/>
    <w:rsid w:val="4E3B6151"/>
    <w:rsid w:val="4E44488A"/>
    <w:rsid w:val="4E5F4FBF"/>
    <w:rsid w:val="4E793892"/>
    <w:rsid w:val="4E800872"/>
    <w:rsid w:val="4EA85582"/>
    <w:rsid w:val="4EC569ED"/>
    <w:rsid w:val="4ED2501F"/>
    <w:rsid w:val="4ED50EA1"/>
    <w:rsid w:val="4EDA0F73"/>
    <w:rsid w:val="4EEA322C"/>
    <w:rsid w:val="4EEC050C"/>
    <w:rsid w:val="4F104EC3"/>
    <w:rsid w:val="4F47354A"/>
    <w:rsid w:val="4F8478F2"/>
    <w:rsid w:val="4F911C54"/>
    <w:rsid w:val="4FE13ED5"/>
    <w:rsid w:val="4FE625E0"/>
    <w:rsid w:val="5021480F"/>
    <w:rsid w:val="502E5DD0"/>
    <w:rsid w:val="5058707D"/>
    <w:rsid w:val="50753CCC"/>
    <w:rsid w:val="50962ECB"/>
    <w:rsid w:val="509B4084"/>
    <w:rsid w:val="50A42E38"/>
    <w:rsid w:val="50A4577F"/>
    <w:rsid w:val="50B73D1F"/>
    <w:rsid w:val="50BD5BC9"/>
    <w:rsid w:val="50C11EEE"/>
    <w:rsid w:val="50E97CFC"/>
    <w:rsid w:val="50FA4028"/>
    <w:rsid w:val="510D65B7"/>
    <w:rsid w:val="511157AB"/>
    <w:rsid w:val="5133132A"/>
    <w:rsid w:val="513D5A13"/>
    <w:rsid w:val="5142540C"/>
    <w:rsid w:val="515D6CD8"/>
    <w:rsid w:val="518832C8"/>
    <w:rsid w:val="51A0432A"/>
    <w:rsid w:val="51A37951"/>
    <w:rsid w:val="51A86090"/>
    <w:rsid w:val="51B7396D"/>
    <w:rsid w:val="51CD19A5"/>
    <w:rsid w:val="520E7468"/>
    <w:rsid w:val="522E4CC3"/>
    <w:rsid w:val="52326AB1"/>
    <w:rsid w:val="5244713B"/>
    <w:rsid w:val="52615633"/>
    <w:rsid w:val="527D45EB"/>
    <w:rsid w:val="528A2B5C"/>
    <w:rsid w:val="528F6508"/>
    <w:rsid w:val="52977FD4"/>
    <w:rsid w:val="52A25790"/>
    <w:rsid w:val="52A27877"/>
    <w:rsid w:val="52A96B6F"/>
    <w:rsid w:val="52B45975"/>
    <w:rsid w:val="52B52503"/>
    <w:rsid w:val="52D94AA4"/>
    <w:rsid w:val="52EA3A62"/>
    <w:rsid w:val="52F27172"/>
    <w:rsid w:val="52F50BB8"/>
    <w:rsid w:val="52F60BB9"/>
    <w:rsid w:val="53016EFE"/>
    <w:rsid w:val="53097272"/>
    <w:rsid w:val="53275046"/>
    <w:rsid w:val="532B3476"/>
    <w:rsid w:val="53441FB5"/>
    <w:rsid w:val="53544462"/>
    <w:rsid w:val="53612C7C"/>
    <w:rsid w:val="5365713A"/>
    <w:rsid w:val="5397158E"/>
    <w:rsid w:val="53D00544"/>
    <w:rsid w:val="53E421E6"/>
    <w:rsid w:val="54013861"/>
    <w:rsid w:val="543C5A1E"/>
    <w:rsid w:val="54487265"/>
    <w:rsid w:val="544A0DB0"/>
    <w:rsid w:val="544D6070"/>
    <w:rsid w:val="54605E1E"/>
    <w:rsid w:val="547D5CF8"/>
    <w:rsid w:val="54AF1711"/>
    <w:rsid w:val="54B3506A"/>
    <w:rsid w:val="54CA0D16"/>
    <w:rsid w:val="54DD4057"/>
    <w:rsid w:val="54E7490F"/>
    <w:rsid w:val="55022203"/>
    <w:rsid w:val="550764A4"/>
    <w:rsid w:val="550B2BF6"/>
    <w:rsid w:val="55214EB5"/>
    <w:rsid w:val="55364EFD"/>
    <w:rsid w:val="554035F8"/>
    <w:rsid w:val="55450064"/>
    <w:rsid w:val="555D4828"/>
    <w:rsid w:val="557A4C8B"/>
    <w:rsid w:val="558931E1"/>
    <w:rsid w:val="55923347"/>
    <w:rsid w:val="55925180"/>
    <w:rsid w:val="55983B1B"/>
    <w:rsid w:val="55A2038E"/>
    <w:rsid w:val="55A8376B"/>
    <w:rsid w:val="55AF118E"/>
    <w:rsid w:val="55DC29B6"/>
    <w:rsid w:val="55DD4241"/>
    <w:rsid w:val="5613612D"/>
    <w:rsid w:val="564E1B39"/>
    <w:rsid w:val="56541C42"/>
    <w:rsid w:val="566B4385"/>
    <w:rsid w:val="566B6D1E"/>
    <w:rsid w:val="569D265F"/>
    <w:rsid w:val="56AB24B4"/>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04F5B"/>
    <w:rsid w:val="57D675AB"/>
    <w:rsid w:val="57D95FDD"/>
    <w:rsid w:val="58790808"/>
    <w:rsid w:val="58917D2F"/>
    <w:rsid w:val="5894085C"/>
    <w:rsid w:val="58964949"/>
    <w:rsid w:val="589B239D"/>
    <w:rsid w:val="58AE4F0C"/>
    <w:rsid w:val="58B85899"/>
    <w:rsid w:val="58BF2EA8"/>
    <w:rsid w:val="58E363A9"/>
    <w:rsid w:val="58F67FC0"/>
    <w:rsid w:val="590221D1"/>
    <w:rsid w:val="592836CB"/>
    <w:rsid w:val="59531063"/>
    <w:rsid w:val="595631A0"/>
    <w:rsid w:val="595D60FC"/>
    <w:rsid w:val="595E1678"/>
    <w:rsid w:val="596D5BD4"/>
    <w:rsid w:val="59710498"/>
    <w:rsid w:val="597E3DD8"/>
    <w:rsid w:val="59F80043"/>
    <w:rsid w:val="5A09252F"/>
    <w:rsid w:val="5A0B2778"/>
    <w:rsid w:val="5A2A7C7B"/>
    <w:rsid w:val="5A3E2560"/>
    <w:rsid w:val="5A475BA4"/>
    <w:rsid w:val="5A544645"/>
    <w:rsid w:val="5A5D3B6E"/>
    <w:rsid w:val="5A637A76"/>
    <w:rsid w:val="5A6B664B"/>
    <w:rsid w:val="5A6D33BA"/>
    <w:rsid w:val="5A792B1F"/>
    <w:rsid w:val="5A841ECF"/>
    <w:rsid w:val="5A874767"/>
    <w:rsid w:val="5A9658BC"/>
    <w:rsid w:val="5AAA77F0"/>
    <w:rsid w:val="5AAD6F28"/>
    <w:rsid w:val="5AD11EA4"/>
    <w:rsid w:val="5AD63A24"/>
    <w:rsid w:val="5B10509E"/>
    <w:rsid w:val="5B2E1A1D"/>
    <w:rsid w:val="5B6F4E2B"/>
    <w:rsid w:val="5B7D0E35"/>
    <w:rsid w:val="5B843A1C"/>
    <w:rsid w:val="5B873E3F"/>
    <w:rsid w:val="5BBB7F70"/>
    <w:rsid w:val="5BCA1CC1"/>
    <w:rsid w:val="5C024D33"/>
    <w:rsid w:val="5C02690E"/>
    <w:rsid w:val="5C061742"/>
    <w:rsid w:val="5C173085"/>
    <w:rsid w:val="5C196DA7"/>
    <w:rsid w:val="5C2A048C"/>
    <w:rsid w:val="5C6E074F"/>
    <w:rsid w:val="5C80234E"/>
    <w:rsid w:val="5C8A680C"/>
    <w:rsid w:val="5CBC0F98"/>
    <w:rsid w:val="5D0C4701"/>
    <w:rsid w:val="5D0F0395"/>
    <w:rsid w:val="5D1D22C5"/>
    <w:rsid w:val="5D221076"/>
    <w:rsid w:val="5D397964"/>
    <w:rsid w:val="5D5A391C"/>
    <w:rsid w:val="5D5F10C0"/>
    <w:rsid w:val="5D6567A1"/>
    <w:rsid w:val="5D891B7B"/>
    <w:rsid w:val="5D8D36EA"/>
    <w:rsid w:val="5D8F2F4B"/>
    <w:rsid w:val="5DAD38EE"/>
    <w:rsid w:val="5DCA4203"/>
    <w:rsid w:val="5E006862"/>
    <w:rsid w:val="5E0207B9"/>
    <w:rsid w:val="5E056FE1"/>
    <w:rsid w:val="5E084151"/>
    <w:rsid w:val="5E1834A1"/>
    <w:rsid w:val="5E261785"/>
    <w:rsid w:val="5E40626B"/>
    <w:rsid w:val="5E4A7017"/>
    <w:rsid w:val="5E552BBA"/>
    <w:rsid w:val="5E611C10"/>
    <w:rsid w:val="5E617CB0"/>
    <w:rsid w:val="5E6E1430"/>
    <w:rsid w:val="5EC4414D"/>
    <w:rsid w:val="5EFC7377"/>
    <w:rsid w:val="5F06174D"/>
    <w:rsid w:val="5F0E20DD"/>
    <w:rsid w:val="5F3A3602"/>
    <w:rsid w:val="5F41715A"/>
    <w:rsid w:val="5F6277C6"/>
    <w:rsid w:val="5F6D0B1D"/>
    <w:rsid w:val="5F881C77"/>
    <w:rsid w:val="5F8D0B82"/>
    <w:rsid w:val="5FB94001"/>
    <w:rsid w:val="5FC24FAF"/>
    <w:rsid w:val="5FCC5339"/>
    <w:rsid w:val="5FE34A5B"/>
    <w:rsid w:val="5FFE1E36"/>
    <w:rsid w:val="60232584"/>
    <w:rsid w:val="607330CE"/>
    <w:rsid w:val="60825176"/>
    <w:rsid w:val="608B105A"/>
    <w:rsid w:val="609F2AC4"/>
    <w:rsid w:val="60B27ABB"/>
    <w:rsid w:val="60B63BEB"/>
    <w:rsid w:val="60C5001D"/>
    <w:rsid w:val="60FA2EE8"/>
    <w:rsid w:val="61054A27"/>
    <w:rsid w:val="610A52BC"/>
    <w:rsid w:val="611D2366"/>
    <w:rsid w:val="61421856"/>
    <w:rsid w:val="615227C4"/>
    <w:rsid w:val="61654E3F"/>
    <w:rsid w:val="616F4BE7"/>
    <w:rsid w:val="6182292A"/>
    <w:rsid w:val="618C63CC"/>
    <w:rsid w:val="619C60BF"/>
    <w:rsid w:val="619F7F92"/>
    <w:rsid w:val="61B2122D"/>
    <w:rsid w:val="61C56473"/>
    <w:rsid w:val="61F220D6"/>
    <w:rsid w:val="61F94C26"/>
    <w:rsid w:val="62000E56"/>
    <w:rsid w:val="624F3E49"/>
    <w:rsid w:val="62632286"/>
    <w:rsid w:val="626361C8"/>
    <w:rsid w:val="62885958"/>
    <w:rsid w:val="628E2720"/>
    <w:rsid w:val="62BB36D4"/>
    <w:rsid w:val="62BB531C"/>
    <w:rsid w:val="62BD59E7"/>
    <w:rsid w:val="62D00A9A"/>
    <w:rsid w:val="62F40B65"/>
    <w:rsid w:val="62FA2AB6"/>
    <w:rsid w:val="62FC2CFE"/>
    <w:rsid w:val="63024505"/>
    <w:rsid w:val="63084C88"/>
    <w:rsid w:val="630E685B"/>
    <w:rsid w:val="63155F18"/>
    <w:rsid w:val="63504228"/>
    <w:rsid w:val="635B1DB5"/>
    <w:rsid w:val="63711FED"/>
    <w:rsid w:val="63880DDC"/>
    <w:rsid w:val="638D750D"/>
    <w:rsid w:val="63AC6CC0"/>
    <w:rsid w:val="63BD6755"/>
    <w:rsid w:val="63D538F9"/>
    <w:rsid w:val="63D749B2"/>
    <w:rsid w:val="63E478D7"/>
    <w:rsid w:val="63F72284"/>
    <w:rsid w:val="64055776"/>
    <w:rsid w:val="640F6E0B"/>
    <w:rsid w:val="64240056"/>
    <w:rsid w:val="643E143A"/>
    <w:rsid w:val="644545DB"/>
    <w:rsid w:val="64585F62"/>
    <w:rsid w:val="646A224A"/>
    <w:rsid w:val="648B6EEF"/>
    <w:rsid w:val="64C158BF"/>
    <w:rsid w:val="64CE2EAA"/>
    <w:rsid w:val="65227847"/>
    <w:rsid w:val="652C612D"/>
    <w:rsid w:val="6539489A"/>
    <w:rsid w:val="653C3090"/>
    <w:rsid w:val="654F28A7"/>
    <w:rsid w:val="65854376"/>
    <w:rsid w:val="658767BE"/>
    <w:rsid w:val="65892531"/>
    <w:rsid w:val="66195831"/>
    <w:rsid w:val="662E75B1"/>
    <w:rsid w:val="66342C2E"/>
    <w:rsid w:val="66391F1D"/>
    <w:rsid w:val="663E772A"/>
    <w:rsid w:val="663E784C"/>
    <w:rsid w:val="664E651D"/>
    <w:rsid w:val="6654160C"/>
    <w:rsid w:val="66613AB4"/>
    <w:rsid w:val="668B6A45"/>
    <w:rsid w:val="67006BF8"/>
    <w:rsid w:val="672F3F24"/>
    <w:rsid w:val="673E055F"/>
    <w:rsid w:val="67551CE3"/>
    <w:rsid w:val="679310D4"/>
    <w:rsid w:val="67A22552"/>
    <w:rsid w:val="67B22DCC"/>
    <w:rsid w:val="67BE71AA"/>
    <w:rsid w:val="67D4090D"/>
    <w:rsid w:val="67D90273"/>
    <w:rsid w:val="67DE5875"/>
    <w:rsid w:val="67E20393"/>
    <w:rsid w:val="67E55852"/>
    <w:rsid w:val="67EB1AB4"/>
    <w:rsid w:val="67FA1285"/>
    <w:rsid w:val="68171E9F"/>
    <w:rsid w:val="684516DA"/>
    <w:rsid w:val="68551F4F"/>
    <w:rsid w:val="687B022D"/>
    <w:rsid w:val="687C10C9"/>
    <w:rsid w:val="68840C16"/>
    <w:rsid w:val="68876EFB"/>
    <w:rsid w:val="68884654"/>
    <w:rsid w:val="689F444F"/>
    <w:rsid w:val="68A4112B"/>
    <w:rsid w:val="68B96DBB"/>
    <w:rsid w:val="68BB0445"/>
    <w:rsid w:val="68CA2805"/>
    <w:rsid w:val="68E5074E"/>
    <w:rsid w:val="68E937A3"/>
    <w:rsid w:val="6907329D"/>
    <w:rsid w:val="691F0402"/>
    <w:rsid w:val="693E15D3"/>
    <w:rsid w:val="694251E2"/>
    <w:rsid w:val="694B26E7"/>
    <w:rsid w:val="69524339"/>
    <w:rsid w:val="69627681"/>
    <w:rsid w:val="69660E78"/>
    <w:rsid w:val="6977531D"/>
    <w:rsid w:val="69CC2BFF"/>
    <w:rsid w:val="69E943C2"/>
    <w:rsid w:val="69FD55B8"/>
    <w:rsid w:val="6A0648D5"/>
    <w:rsid w:val="6A0B1C62"/>
    <w:rsid w:val="6A2406C8"/>
    <w:rsid w:val="6A2F60FB"/>
    <w:rsid w:val="6AA154A4"/>
    <w:rsid w:val="6AA96AC4"/>
    <w:rsid w:val="6ADE0BD1"/>
    <w:rsid w:val="6AE96859"/>
    <w:rsid w:val="6B147746"/>
    <w:rsid w:val="6B24787C"/>
    <w:rsid w:val="6B573233"/>
    <w:rsid w:val="6B5B6274"/>
    <w:rsid w:val="6B7C02F1"/>
    <w:rsid w:val="6B8359E9"/>
    <w:rsid w:val="6B935D53"/>
    <w:rsid w:val="6BA64E10"/>
    <w:rsid w:val="6BAC7798"/>
    <w:rsid w:val="6BCE5315"/>
    <w:rsid w:val="6C0134DD"/>
    <w:rsid w:val="6C0F1100"/>
    <w:rsid w:val="6C196F71"/>
    <w:rsid w:val="6C226FCB"/>
    <w:rsid w:val="6C283B8F"/>
    <w:rsid w:val="6C31226F"/>
    <w:rsid w:val="6C552F0B"/>
    <w:rsid w:val="6C5D623A"/>
    <w:rsid w:val="6C8C67B7"/>
    <w:rsid w:val="6C9D744C"/>
    <w:rsid w:val="6CD02EB0"/>
    <w:rsid w:val="6CEC04F0"/>
    <w:rsid w:val="6CF33F97"/>
    <w:rsid w:val="6D167928"/>
    <w:rsid w:val="6D26299B"/>
    <w:rsid w:val="6D4772EC"/>
    <w:rsid w:val="6D560EAF"/>
    <w:rsid w:val="6D674CCC"/>
    <w:rsid w:val="6D77070C"/>
    <w:rsid w:val="6D9078AF"/>
    <w:rsid w:val="6DAA3FEF"/>
    <w:rsid w:val="6DC0172B"/>
    <w:rsid w:val="6DCB690C"/>
    <w:rsid w:val="6DD41A5B"/>
    <w:rsid w:val="6DF43C2E"/>
    <w:rsid w:val="6DF51CA3"/>
    <w:rsid w:val="6E0752BE"/>
    <w:rsid w:val="6E2E4332"/>
    <w:rsid w:val="6E4B7C82"/>
    <w:rsid w:val="6E8335BD"/>
    <w:rsid w:val="6E8E12EF"/>
    <w:rsid w:val="6E972936"/>
    <w:rsid w:val="6EA57821"/>
    <w:rsid w:val="6EB96263"/>
    <w:rsid w:val="6EBB5D40"/>
    <w:rsid w:val="6ED33570"/>
    <w:rsid w:val="6ED446C5"/>
    <w:rsid w:val="6ED76777"/>
    <w:rsid w:val="6EF02B9D"/>
    <w:rsid w:val="6F2A7D94"/>
    <w:rsid w:val="6F514CD4"/>
    <w:rsid w:val="6F816E4E"/>
    <w:rsid w:val="6F8331F1"/>
    <w:rsid w:val="6F9B1553"/>
    <w:rsid w:val="6FAB4FD6"/>
    <w:rsid w:val="6FAE1A09"/>
    <w:rsid w:val="6FC0720B"/>
    <w:rsid w:val="6FC1112F"/>
    <w:rsid w:val="6FC7059A"/>
    <w:rsid w:val="6FD75BF8"/>
    <w:rsid w:val="70222936"/>
    <w:rsid w:val="70297111"/>
    <w:rsid w:val="707723D0"/>
    <w:rsid w:val="70F5661B"/>
    <w:rsid w:val="71360107"/>
    <w:rsid w:val="713B688E"/>
    <w:rsid w:val="713B74CC"/>
    <w:rsid w:val="71575B78"/>
    <w:rsid w:val="71A65C9F"/>
    <w:rsid w:val="71D43752"/>
    <w:rsid w:val="71F1796A"/>
    <w:rsid w:val="72154626"/>
    <w:rsid w:val="721D26F3"/>
    <w:rsid w:val="72262B5D"/>
    <w:rsid w:val="72283FF7"/>
    <w:rsid w:val="722E7212"/>
    <w:rsid w:val="72320B76"/>
    <w:rsid w:val="72331F17"/>
    <w:rsid w:val="723914F7"/>
    <w:rsid w:val="723A0474"/>
    <w:rsid w:val="725916F9"/>
    <w:rsid w:val="725923E4"/>
    <w:rsid w:val="727F0E26"/>
    <w:rsid w:val="72864BF7"/>
    <w:rsid w:val="729023FC"/>
    <w:rsid w:val="729D240E"/>
    <w:rsid w:val="7323656C"/>
    <w:rsid w:val="73C0646E"/>
    <w:rsid w:val="73D72D76"/>
    <w:rsid w:val="741C6CA0"/>
    <w:rsid w:val="742222F5"/>
    <w:rsid w:val="74476126"/>
    <w:rsid w:val="745D0299"/>
    <w:rsid w:val="745F5C2E"/>
    <w:rsid w:val="74706664"/>
    <w:rsid w:val="747C351C"/>
    <w:rsid w:val="747F3682"/>
    <w:rsid w:val="749C4185"/>
    <w:rsid w:val="74A4534E"/>
    <w:rsid w:val="74D13FF5"/>
    <w:rsid w:val="74D15E12"/>
    <w:rsid w:val="75067759"/>
    <w:rsid w:val="750D2EF3"/>
    <w:rsid w:val="7521699E"/>
    <w:rsid w:val="75285E3A"/>
    <w:rsid w:val="752E6DCD"/>
    <w:rsid w:val="7551380D"/>
    <w:rsid w:val="75530B22"/>
    <w:rsid w:val="75600BE5"/>
    <w:rsid w:val="7564475C"/>
    <w:rsid w:val="757C43C6"/>
    <w:rsid w:val="7583797F"/>
    <w:rsid w:val="7589339B"/>
    <w:rsid w:val="75A77A82"/>
    <w:rsid w:val="75D2040E"/>
    <w:rsid w:val="75D20F1D"/>
    <w:rsid w:val="75DA2C18"/>
    <w:rsid w:val="75F54412"/>
    <w:rsid w:val="76053BCA"/>
    <w:rsid w:val="761B33ED"/>
    <w:rsid w:val="761D08E0"/>
    <w:rsid w:val="765D347C"/>
    <w:rsid w:val="7676404F"/>
    <w:rsid w:val="76826699"/>
    <w:rsid w:val="76AC2297"/>
    <w:rsid w:val="76C87133"/>
    <w:rsid w:val="76CD08D5"/>
    <w:rsid w:val="76DB4B92"/>
    <w:rsid w:val="76FD1290"/>
    <w:rsid w:val="76FE0FDF"/>
    <w:rsid w:val="77052AA4"/>
    <w:rsid w:val="77094A5C"/>
    <w:rsid w:val="77136511"/>
    <w:rsid w:val="77340A39"/>
    <w:rsid w:val="77351FD0"/>
    <w:rsid w:val="7735580A"/>
    <w:rsid w:val="77472422"/>
    <w:rsid w:val="777E5608"/>
    <w:rsid w:val="777F31F2"/>
    <w:rsid w:val="77D1700D"/>
    <w:rsid w:val="77EC04CC"/>
    <w:rsid w:val="78344667"/>
    <w:rsid w:val="783874FB"/>
    <w:rsid w:val="78667370"/>
    <w:rsid w:val="786F0839"/>
    <w:rsid w:val="78775729"/>
    <w:rsid w:val="78A42DB0"/>
    <w:rsid w:val="78A656AB"/>
    <w:rsid w:val="78AA69F5"/>
    <w:rsid w:val="78B2245C"/>
    <w:rsid w:val="78BC43D9"/>
    <w:rsid w:val="78C02598"/>
    <w:rsid w:val="78E172CC"/>
    <w:rsid w:val="78EA1D1F"/>
    <w:rsid w:val="78FD26B2"/>
    <w:rsid w:val="7904172F"/>
    <w:rsid w:val="79074B70"/>
    <w:rsid w:val="790F7E27"/>
    <w:rsid w:val="792A231A"/>
    <w:rsid w:val="79316829"/>
    <w:rsid w:val="793F6177"/>
    <w:rsid w:val="79540495"/>
    <w:rsid w:val="795C3EC7"/>
    <w:rsid w:val="797D2C00"/>
    <w:rsid w:val="797E66A9"/>
    <w:rsid w:val="799A166E"/>
    <w:rsid w:val="79A97383"/>
    <w:rsid w:val="79E27E8B"/>
    <w:rsid w:val="79F850CE"/>
    <w:rsid w:val="79FD443C"/>
    <w:rsid w:val="7A1D1975"/>
    <w:rsid w:val="7A3E5150"/>
    <w:rsid w:val="7A4670D6"/>
    <w:rsid w:val="7A495293"/>
    <w:rsid w:val="7A5064BB"/>
    <w:rsid w:val="7A534B63"/>
    <w:rsid w:val="7A615382"/>
    <w:rsid w:val="7A67303B"/>
    <w:rsid w:val="7A7A1909"/>
    <w:rsid w:val="7A864B7E"/>
    <w:rsid w:val="7AA16B0F"/>
    <w:rsid w:val="7AAB1D04"/>
    <w:rsid w:val="7AB53A20"/>
    <w:rsid w:val="7ABA4368"/>
    <w:rsid w:val="7AD05746"/>
    <w:rsid w:val="7B257FFD"/>
    <w:rsid w:val="7B26395E"/>
    <w:rsid w:val="7B343476"/>
    <w:rsid w:val="7B356567"/>
    <w:rsid w:val="7B454A69"/>
    <w:rsid w:val="7B5A2978"/>
    <w:rsid w:val="7B5A7E4C"/>
    <w:rsid w:val="7B667AF9"/>
    <w:rsid w:val="7B7468F8"/>
    <w:rsid w:val="7B7D4905"/>
    <w:rsid w:val="7B814E5E"/>
    <w:rsid w:val="7B881E8C"/>
    <w:rsid w:val="7BBB7602"/>
    <w:rsid w:val="7BD227A0"/>
    <w:rsid w:val="7BEE0103"/>
    <w:rsid w:val="7C0A0FE4"/>
    <w:rsid w:val="7C254906"/>
    <w:rsid w:val="7C272CED"/>
    <w:rsid w:val="7C283D6E"/>
    <w:rsid w:val="7C590818"/>
    <w:rsid w:val="7C5C2243"/>
    <w:rsid w:val="7C612D4E"/>
    <w:rsid w:val="7C7C10F6"/>
    <w:rsid w:val="7C7E1BB3"/>
    <w:rsid w:val="7C853BEA"/>
    <w:rsid w:val="7C881368"/>
    <w:rsid w:val="7CB939CF"/>
    <w:rsid w:val="7CE27788"/>
    <w:rsid w:val="7D0C32F1"/>
    <w:rsid w:val="7D0F408D"/>
    <w:rsid w:val="7D15093A"/>
    <w:rsid w:val="7D491C6C"/>
    <w:rsid w:val="7D5429C0"/>
    <w:rsid w:val="7D6E6D43"/>
    <w:rsid w:val="7D790FB7"/>
    <w:rsid w:val="7DA32EC6"/>
    <w:rsid w:val="7DB57A34"/>
    <w:rsid w:val="7DD7659E"/>
    <w:rsid w:val="7DE60973"/>
    <w:rsid w:val="7DEF0916"/>
    <w:rsid w:val="7E1E5218"/>
    <w:rsid w:val="7E3808B5"/>
    <w:rsid w:val="7E586C90"/>
    <w:rsid w:val="7E9A4E1F"/>
    <w:rsid w:val="7E9B156F"/>
    <w:rsid w:val="7EA7723A"/>
    <w:rsid w:val="7EB00F28"/>
    <w:rsid w:val="7EB212F4"/>
    <w:rsid w:val="7EF173E1"/>
    <w:rsid w:val="7EF56FBB"/>
    <w:rsid w:val="7F0768EB"/>
    <w:rsid w:val="7F143BEC"/>
    <w:rsid w:val="7F202690"/>
    <w:rsid w:val="7F715AF2"/>
    <w:rsid w:val="7F723EBF"/>
    <w:rsid w:val="7F886E69"/>
    <w:rsid w:val="7F9E2466"/>
    <w:rsid w:val="7FA950DF"/>
    <w:rsid w:val="7FFC1B65"/>
    <w:rsid w:val="7FFC23FC"/>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6"/>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79"/>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79"/>
    <w:next w:val="79"/>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79"/>
    <w:next w:val="79"/>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first-child"/>
    <w:basedOn w:val="69"/>
    <w:qFormat/>
    <w:uiPriority w:val="0"/>
  </w:style>
  <w:style w:type="character" w:customStyle="1" w:styleId="962">
    <w:name w:val="layui-layer-tabnow"/>
    <w:basedOn w:val="69"/>
    <w:qFormat/>
    <w:uiPriority w:val="0"/>
    <w:rPr>
      <w:bdr w:val="single" w:color="CCCCCC" w:sz="4" w:space="0"/>
      <w:shd w:val="clear" w:fill="FFFFFF"/>
    </w:rPr>
  </w:style>
  <w:style w:type="character" w:customStyle="1" w:styleId="963">
    <w:name w:val="hover7"/>
    <w:basedOn w:val="69"/>
    <w:qFormat/>
    <w:uiPriority w:val="0"/>
    <w:rPr>
      <w:shd w:val="clear" w:fill="F3F3F3"/>
    </w:rPr>
  </w:style>
  <w:style w:type="character" w:customStyle="1" w:styleId="964">
    <w:name w:val="hover8"/>
    <w:basedOn w:val="69"/>
    <w:qFormat/>
    <w:uiPriority w:val="0"/>
    <w:rPr>
      <w:sz w:val="15"/>
      <w:szCs w:val="15"/>
    </w:rPr>
  </w:style>
  <w:style w:type="paragraph" w:customStyle="1" w:styleId="965">
    <w:name w:val="[Normal]"/>
    <w:qFormat/>
    <w:uiPriority w:val="99"/>
    <w:rPr>
      <w:rFonts w:ascii="宋体" w:hAnsi="宋体" w:eastAsia="宋体" w:cs="Times New Roman"/>
      <w:kern w:val="0"/>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89</Pages>
  <Words>52445</Words>
  <Characters>54717</Characters>
  <Lines>287</Lines>
  <Paragraphs>81</Paragraphs>
  <TotalTime>0</TotalTime>
  <ScaleCrop>false</ScaleCrop>
  <LinksUpToDate>false</LinksUpToDate>
  <CharactersWithSpaces>59814</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浙江华耀建设</cp:lastModifiedBy>
  <cp:lastPrinted>2022-07-04T05:22:00Z</cp:lastPrinted>
  <dcterms:modified xsi:type="dcterms:W3CDTF">2024-10-31T07:00:53Z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