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929F91">
      <w:pPr>
        <w:tabs>
          <w:tab w:val="left" w:pos="3834"/>
        </w:tabs>
        <w:jc w:val="left"/>
        <w:rPr>
          <w:rFonts w:hint="eastAsia" w:ascii="仿宋" w:hAnsi="仿宋" w:eastAsia="仿宋" w:cs="仿宋"/>
          <w:color w:val="auto"/>
          <w:highlight w:val="none"/>
        </w:rPr>
      </w:pPr>
      <w:r>
        <w:rPr>
          <w:rFonts w:hint="eastAsia" w:ascii="仿宋" w:hAnsi="仿宋" w:eastAsia="仿宋" w:cs="仿宋"/>
          <w:color w:val="auto"/>
          <w:highlight w:val="none"/>
        </w:rPr>
        <w:tab/>
      </w:r>
    </w:p>
    <w:p w14:paraId="37000A4E">
      <w:pPr>
        <w:widowControl/>
        <w:ind w:right="-2"/>
        <w:jc w:val="center"/>
        <w:rPr>
          <w:rFonts w:hint="eastAsia" w:ascii="仿宋" w:hAnsi="仿宋" w:eastAsia="仿宋" w:cs="仿宋"/>
          <w:b/>
          <w:color w:val="auto"/>
          <w:sz w:val="24"/>
          <w:highlight w:val="none"/>
        </w:rPr>
      </w:pPr>
    </w:p>
    <w:p w14:paraId="7C22256E">
      <w:pPr>
        <w:pStyle w:val="45"/>
        <w:jc w:val="center"/>
        <w:rPr>
          <w:rFonts w:hint="eastAsia" w:ascii="仿宋" w:hAnsi="仿宋" w:eastAsia="仿宋" w:cs="仿宋"/>
          <w:b/>
          <w:bCs/>
          <w:color w:val="auto"/>
          <w:sz w:val="72"/>
          <w:szCs w:val="72"/>
          <w:highlight w:val="none"/>
        </w:rPr>
      </w:pPr>
    </w:p>
    <w:p w14:paraId="5B856799">
      <w:pPr>
        <w:pStyle w:val="45"/>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政府采购项目招标文件</w:t>
      </w:r>
    </w:p>
    <w:p w14:paraId="2DECC841">
      <w:pP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（电子招投标）</w:t>
      </w:r>
    </w:p>
    <w:p w14:paraId="6B9A8F9E">
      <w:pPr>
        <w:rPr>
          <w:rFonts w:hint="eastAsia" w:ascii="仿宋" w:hAnsi="仿宋" w:eastAsia="仿宋" w:cs="仿宋"/>
          <w:b/>
          <w:color w:val="auto"/>
          <w:sz w:val="24"/>
          <w:highlight w:val="none"/>
        </w:rPr>
      </w:pPr>
    </w:p>
    <w:p w14:paraId="3126615B">
      <w:pPr>
        <w:pStyle w:val="45"/>
        <w:rPr>
          <w:rFonts w:hint="eastAsia" w:ascii="仿宋" w:hAnsi="仿宋" w:eastAsia="仿宋" w:cs="仿宋"/>
          <w:b/>
          <w:color w:val="auto"/>
          <w:sz w:val="24"/>
          <w:highlight w:val="none"/>
        </w:rPr>
      </w:pPr>
    </w:p>
    <w:p w14:paraId="20ECE902">
      <w:pPr>
        <w:rPr>
          <w:rFonts w:hint="eastAsia" w:ascii="仿宋" w:hAnsi="仿宋" w:eastAsia="仿宋" w:cs="仿宋"/>
          <w:b/>
          <w:color w:val="auto"/>
          <w:sz w:val="24"/>
          <w:highlight w:val="none"/>
        </w:rPr>
      </w:pPr>
    </w:p>
    <w:p w14:paraId="69934FB7">
      <w:pPr>
        <w:pStyle w:val="3"/>
        <w:rPr>
          <w:rFonts w:hint="eastAsia" w:ascii="仿宋" w:hAnsi="仿宋" w:eastAsia="仿宋" w:cs="仿宋"/>
          <w:color w:val="auto"/>
          <w:sz w:val="24"/>
          <w:highlight w:val="none"/>
        </w:rPr>
      </w:pPr>
    </w:p>
    <w:p w14:paraId="11BAB998">
      <w:pPr>
        <w:rPr>
          <w:rFonts w:hint="eastAsia" w:ascii="仿宋" w:hAnsi="仿宋" w:eastAsia="仿宋" w:cs="仿宋"/>
          <w:b/>
          <w:color w:val="auto"/>
          <w:sz w:val="24"/>
          <w:highlight w:val="none"/>
        </w:rPr>
      </w:pPr>
    </w:p>
    <w:p w14:paraId="0CFF7844">
      <w:pPr>
        <w:pStyle w:val="3"/>
        <w:rPr>
          <w:rFonts w:hint="eastAsia" w:ascii="仿宋" w:hAnsi="仿宋" w:eastAsia="仿宋" w:cs="仿宋"/>
          <w:color w:val="auto"/>
          <w:sz w:val="24"/>
          <w:highlight w:val="none"/>
        </w:rPr>
      </w:pPr>
    </w:p>
    <w:p w14:paraId="066AEFEA">
      <w:pPr>
        <w:rPr>
          <w:rFonts w:hint="eastAsia" w:ascii="仿宋" w:hAnsi="仿宋" w:eastAsia="仿宋" w:cs="仿宋"/>
          <w:b/>
          <w:color w:val="auto"/>
          <w:sz w:val="24"/>
          <w:highlight w:val="none"/>
        </w:rPr>
      </w:pPr>
    </w:p>
    <w:p w14:paraId="739ED5A2">
      <w:pPr>
        <w:pStyle w:val="3"/>
        <w:rPr>
          <w:rFonts w:hint="eastAsia" w:ascii="仿宋" w:hAnsi="仿宋" w:eastAsia="仿宋" w:cs="仿宋"/>
          <w:color w:val="auto"/>
          <w:highlight w:val="none"/>
        </w:rPr>
      </w:pPr>
    </w:p>
    <w:p w14:paraId="2F374E0F">
      <w:pPr>
        <w:pStyle w:val="45"/>
        <w:rPr>
          <w:rFonts w:hint="eastAsia" w:ascii="仿宋" w:hAnsi="仿宋" w:eastAsia="仿宋" w:cs="仿宋"/>
          <w:b/>
          <w:color w:val="auto"/>
          <w:sz w:val="24"/>
          <w:highlight w:val="none"/>
        </w:rPr>
      </w:pPr>
    </w:p>
    <w:p w14:paraId="3D86D19C">
      <w:pPr>
        <w:rPr>
          <w:rFonts w:hint="eastAsia" w:ascii="仿宋" w:hAnsi="仿宋" w:eastAsia="仿宋" w:cs="仿宋"/>
          <w:color w:val="auto"/>
          <w:highlight w:val="none"/>
        </w:rPr>
      </w:pPr>
    </w:p>
    <w:p w14:paraId="41551DD5">
      <w:pPr>
        <w:rPr>
          <w:rFonts w:hint="eastAsia" w:ascii="仿宋" w:hAnsi="仿宋" w:eastAsia="仿宋" w:cs="仿宋"/>
          <w:color w:val="auto"/>
          <w:highlight w:val="none"/>
        </w:rPr>
      </w:pPr>
    </w:p>
    <w:tbl>
      <w:tblPr>
        <w:tblStyle w:val="65"/>
        <w:tblW w:w="8789" w:type="dxa"/>
        <w:tblInd w:w="108" w:type="dxa"/>
        <w:tblLayout w:type="fixed"/>
        <w:tblCellMar>
          <w:top w:w="0" w:type="dxa"/>
          <w:left w:w="108" w:type="dxa"/>
          <w:bottom w:w="0" w:type="dxa"/>
          <w:right w:w="108" w:type="dxa"/>
        </w:tblCellMar>
      </w:tblPr>
      <w:tblGrid>
        <w:gridCol w:w="1701"/>
        <w:gridCol w:w="7088"/>
      </w:tblGrid>
      <w:tr w14:paraId="064FC46A">
        <w:tblPrEx>
          <w:tblCellMar>
            <w:top w:w="0" w:type="dxa"/>
            <w:left w:w="108" w:type="dxa"/>
            <w:bottom w:w="0" w:type="dxa"/>
            <w:right w:w="108" w:type="dxa"/>
          </w:tblCellMar>
        </w:tblPrEx>
        <w:trPr>
          <w:trHeight w:val="624" w:hRule="atLeast"/>
        </w:trPr>
        <w:tc>
          <w:tcPr>
            <w:tcW w:w="1701" w:type="dxa"/>
            <w:vAlign w:val="center"/>
          </w:tcPr>
          <w:p w14:paraId="5DFCDD17">
            <w:pPr>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项目名称：</w:t>
            </w:r>
          </w:p>
        </w:tc>
        <w:tc>
          <w:tcPr>
            <w:tcW w:w="7088" w:type="dxa"/>
            <w:vAlign w:val="center"/>
          </w:tcPr>
          <w:p w14:paraId="7A1EA339">
            <w:pPr>
              <w:spacing w:line="276" w:lineRule="auto"/>
              <w:ind w:left="-7" w:leftChars="-4" w:hanging="1"/>
              <w:rPr>
                <w:rFonts w:hint="eastAsia" w:ascii="仿宋" w:hAnsi="仿宋" w:eastAsia="仿宋" w:cs="仿宋"/>
                <w:bCs/>
                <w:color w:val="auto"/>
                <w:kern w:val="0"/>
                <w:sz w:val="28"/>
                <w:szCs w:val="28"/>
                <w:highlight w:val="none"/>
                <w:lang w:eastAsia="zh-CN"/>
              </w:rPr>
            </w:pPr>
            <w:r>
              <w:rPr>
                <w:rFonts w:hint="eastAsia" w:ascii="仿宋" w:hAnsi="仿宋" w:eastAsia="仿宋" w:cs="仿宋"/>
                <w:bCs/>
                <w:color w:val="auto"/>
                <w:kern w:val="0"/>
                <w:sz w:val="28"/>
                <w:szCs w:val="28"/>
                <w:highlight w:val="none"/>
                <w:lang w:eastAsia="zh-CN"/>
              </w:rPr>
              <w:t>2025年秀洲区交通运输局交通大楼保安服务</w:t>
            </w:r>
          </w:p>
        </w:tc>
      </w:tr>
      <w:tr w14:paraId="7CC7058F">
        <w:tblPrEx>
          <w:tblCellMar>
            <w:top w:w="0" w:type="dxa"/>
            <w:left w:w="108" w:type="dxa"/>
            <w:bottom w:w="0" w:type="dxa"/>
            <w:right w:w="108" w:type="dxa"/>
          </w:tblCellMar>
        </w:tblPrEx>
        <w:trPr>
          <w:trHeight w:val="624" w:hRule="atLeast"/>
        </w:trPr>
        <w:tc>
          <w:tcPr>
            <w:tcW w:w="1701" w:type="dxa"/>
            <w:vAlign w:val="center"/>
          </w:tcPr>
          <w:p w14:paraId="26D8C329">
            <w:pPr>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项目编号：</w:t>
            </w:r>
          </w:p>
        </w:tc>
        <w:tc>
          <w:tcPr>
            <w:tcW w:w="7088" w:type="dxa"/>
            <w:vAlign w:val="center"/>
          </w:tcPr>
          <w:p w14:paraId="7FC4C82C">
            <w:pPr>
              <w:spacing w:line="276" w:lineRule="auto"/>
              <w:ind w:left="-7" w:leftChars="-4" w:hanging="1"/>
              <w:rPr>
                <w:rFonts w:hint="eastAsia" w:ascii="仿宋" w:hAnsi="仿宋" w:eastAsia="仿宋" w:cs="仿宋"/>
                <w:bCs/>
                <w:color w:val="auto"/>
                <w:kern w:val="0"/>
                <w:sz w:val="28"/>
                <w:szCs w:val="28"/>
                <w:highlight w:val="none"/>
                <w:lang w:val="en-US" w:eastAsia="zh-CN"/>
              </w:rPr>
            </w:pPr>
            <w:r>
              <w:rPr>
                <w:rFonts w:hint="eastAsia" w:ascii="仿宋" w:hAnsi="仿宋" w:eastAsia="仿宋" w:cs="仿宋"/>
                <w:bCs/>
                <w:color w:val="auto"/>
                <w:kern w:val="0"/>
                <w:sz w:val="28"/>
                <w:szCs w:val="28"/>
                <w:highlight w:val="none"/>
                <w:lang w:eastAsia="zh-CN"/>
              </w:rPr>
              <w:t>华耀-2025-01号</w:t>
            </w:r>
          </w:p>
        </w:tc>
      </w:tr>
      <w:tr w14:paraId="605D2FED">
        <w:tblPrEx>
          <w:tblCellMar>
            <w:top w:w="0" w:type="dxa"/>
            <w:left w:w="108" w:type="dxa"/>
            <w:bottom w:w="0" w:type="dxa"/>
            <w:right w:w="108" w:type="dxa"/>
          </w:tblCellMar>
        </w:tblPrEx>
        <w:trPr>
          <w:trHeight w:val="624" w:hRule="atLeast"/>
        </w:trPr>
        <w:tc>
          <w:tcPr>
            <w:tcW w:w="1701" w:type="dxa"/>
            <w:vAlign w:val="center"/>
          </w:tcPr>
          <w:p w14:paraId="2947010C">
            <w:pPr>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采购方式：</w:t>
            </w:r>
          </w:p>
        </w:tc>
        <w:tc>
          <w:tcPr>
            <w:tcW w:w="7088" w:type="dxa"/>
            <w:vAlign w:val="center"/>
          </w:tcPr>
          <w:p w14:paraId="408C009D">
            <w:pPr>
              <w:spacing w:line="276" w:lineRule="auto"/>
              <w:ind w:left="-7" w:leftChars="-4" w:hanging="1"/>
              <w:rPr>
                <w:rFonts w:hint="eastAsia" w:ascii="仿宋" w:hAnsi="仿宋" w:eastAsia="仿宋" w:cs="仿宋"/>
                <w:bCs/>
                <w:color w:val="auto"/>
                <w:kern w:val="0"/>
                <w:sz w:val="28"/>
                <w:szCs w:val="28"/>
                <w:highlight w:val="none"/>
              </w:rPr>
            </w:pPr>
            <w:r>
              <w:rPr>
                <w:rFonts w:hint="eastAsia" w:ascii="仿宋" w:hAnsi="仿宋" w:eastAsia="仿宋" w:cs="仿宋"/>
                <w:bCs/>
                <w:color w:val="auto"/>
                <w:kern w:val="0"/>
                <w:sz w:val="28"/>
                <w:szCs w:val="28"/>
                <w:highlight w:val="none"/>
              </w:rPr>
              <w:t>公开招标</w:t>
            </w:r>
          </w:p>
        </w:tc>
      </w:tr>
      <w:tr w14:paraId="478CC2B4">
        <w:tblPrEx>
          <w:tblCellMar>
            <w:top w:w="0" w:type="dxa"/>
            <w:left w:w="108" w:type="dxa"/>
            <w:bottom w:w="0" w:type="dxa"/>
            <w:right w:w="108" w:type="dxa"/>
          </w:tblCellMar>
        </w:tblPrEx>
        <w:trPr>
          <w:trHeight w:val="624" w:hRule="atLeast"/>
        </w:trPr>
        <w:tc>
          <w:tcPr>
            <w:tcW w:w="1701" w:type="dxa"/>
            <w:vAlign w:val="center"/>
          </w:tcPr>
          <w:p w14:paraId="76BDD7EA">
            <w:pPr>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交易方式：</w:t>
            </w:r>
          </w:p>
        </w:tc>
        <w:tc>
          <w:tcPr>
            <w:tcW w:w="7088" w:type="dxa"/>
            <w:vAlign w:val="center"/>
          </w:tcPr>
          <w:p w14:paraId="676B0E28">
            <w:pPr>
              <w:spacing w:line="276" w:lineRule="auto"/>
              <w:ind w:left="-7" w:leftChars="-4" w:hanging="1"/>
              <w:rPr>
                <w:rFonts w:hint="eastAsia" w:ascii="仿宋" w:hAnsi="仿宋" w:eastAsia="仿宋" w:cs="仿宋"/>
                <w:bCs/>
                <w:color w:val="auto"/>
                <w:kern w:val="0"/>
                <w:sz w:val="28"/>
                <w:szCs w:val="28"/>
                <w:highlight w:val="none"/>
              </w:rPr>
            </w:pPr>
            <w:r>
              <w:rPr>
                <w:rFonts w:hint="eastAsia" w:ascii="仿宋" w:hAnsi="仿宋" w:eastAsia="仿宋" w:cs="仿宋"/>
                <w:bCs/>
                <w:color w:val="auto"/>
                <w:kern w:val="0"/>
                <w:sz w:val="28"/>
                <w:szCs w:val="28"/>
                <w:highlight w:val="none"/>
              </w:rPr>
              <w:t>电子交易（政府采购云平台）</w:t>
            </w:r>
          </w:p>
        </w:tc>
      </w:tr>
      <w:tr w14:paraId="48ECE5FF">
        <w:tblPrEx>
          <w:tblCellMar>
            <w:top w:w="0" w:type="dxa"/>
            <w:left w:w="108" w:type="dxa"/>
            <w:bottom w:w="0" w:type="dxa"/>
            <w:right w:w="108" w:type="dxa"/>
          </w:tblCellMar>
        </w:tblPrEx>
        <w:trPr>
          <w:trHeight w:val="624" w:hRule="atLeast"/>
        </w:trPr>
        <w:tc>
          <w:tcPr>
            <w:tcW w:w="1701" w:type="dxa"/>
            <w:vAlign w:val="center"/>
          </w:tcPr>
          <w:p w14:paraId="4862F297">
            <w:pPr>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采 购 人：</w:t>
            </w:r>
          </w:p>
        </w:tc>
        <w:tc>
          <w:tcPr>
            <w:tcW w:w="7088" w:type="dxa"/>
            <w:vAlign w:val="center"/>
          </w:tcPr>
          <w:p w14:paraId="74AF2A60">
            <w:pPr>
              <w:spacing w:line="276" w:lineRule="auto"/>
              <w:ind w:left="-7" w:leftChars="-4" w:hanging="1"/>
              <w:jc w:val="left"/>
              <w:rPr>
                <w:rFonts w:hint="eastAsia" w:ascii="仿宋" w:hAnsi="仿宋" w:eastAsia="仿宋" w:cs="仿宋"/>
                <w:bCs/>
                <w:color w:val="auto"/>
                <w:kern w:val="0"/>
                <w:sz w:val="28"/>
                <w:szCs w:val="28"/>
                <w:highlight w:val="none"/>
                <w:lang w:eastAsia="zh-CN"/>
              </w:rPr>
            </w:pPr>
            <w:r>
              <w:rPr>
                <w:rFonts w:hint="eastAsia" w:ascii="仿宋" w:hAnsi="仿宋" w:eastAsia="仿宋" w:cs="仿宋"/>
                <w:bCs/>
                <w:color w:val="auto"/>
                <w:kern w:val="0"/>
                <w:sz w:val="28"/>
                <w:szCs w:val="28"/>
                <w:highlight w:val="none"/>
                <w:lang w:eastAsia="zh-CN"/>
              </w:rPr>
              <w:t>嘉兴市秀洲区交通运输局</w:t>
            </w:r>
          </w:p>
        </w:tc>
      </w:tr>
      <w:tr w14:paraId="3E8EA655">
        <w:tblPrEx>
          <w:tblCellMar>
            <w:top w:w="0" w:type="dxa"/>
            <w:left w:w="108" w:type="dxa"/>
            <w:bottom w:w="0" w:type="dxa"/>
            <w:right w:w="108" w:type="dxa"/>
          </w:tblCellMar>
        </w:tblPrEx>
        <w:trPr>
          <w:trHeight w:val="624" w:hRule="atLeast"/>
        </w:trPr>
        <w:tc>
          <w:tcPr>
            <w:tcW w:w="1701" w:type="dxa"/>
            <w:vAlign w:val="center"/>
          </w:tcPr>
          <w:p w14:paraId="05331CDC">
            <w:pPr>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代理机构：</w:t>
            </w:r>
          </w:p>
        </w:tc>
        <w:tc>
          <w:tcPr>
            <w:tcW w:w="7088" w:type="dxa"/>
            <w:vAlign w:val="center"/>
          </w:tcPr>
          <w:p w14:paraId="7F201C0E">
            <w:pPr>
              <w:spacing w:line="276" w:lineRule="auto"/>
              <w:ind w:left="-7" w:leftChars="-4" w:hanging="1"/>
              <w:jc w:val="left"/>
              <w:rPr>
                <w:rFonts w:hint="eastAsia" w:ascii="仿宋" w:hAnsi="仿宋" w:eastAsia="仿宋" w:cs="仿宋"/>
                <w:color w:val="auto"/>
                <w:kern w:val="0"/>
                <w:sz w:val="28"/>
                <w:szCs w:val="28"/>
                <w:highlight w:val="none"/>
                <w:lang w:eastAsia="zh-CN"/>
              </w:rPr>
            </w:pPr>
            <w:r>
              <w:rPr>
                <w:rFonts w:hint="eastAsia" w:ascii="仿宋" w:hAnsi="仿宋" w:eastAsia="仿宋" w:cs="仿宋"/>
                <w:color w:val="auto"/>
                <w:kern w:val="0"/>
                <w:sz w:val="28"/>
                <w:szCs w:val="28"/>
                <w:highlight w:val="none"/>
                <w:lang w:eastAsia="zh-CN"/>
              </w:rPr>
              <w:t>浙江华耀建设咨询有限公司</w:t>
            </w:r>
          </w:p>
        </w:tc>
      </w:tr>
      <w:tr w14:paraId="753DA830">
        <w:tblPrEx>
          <w:tblCellMar>
            <w:top w:w="0" w:type="dxa"/>
            <w:left w:w="108" w:type="dxa"/>
            <w:bottom w:w="0" w:type="dxa"/>
            <w:right w:w="108" w:type="dxa"/>
          </w:tblCellMar>
        </w:tblPrEx>
        <w:trPr>
          <w:trHeight w:val="624" w:hRule="atLeast"/>
        </w:trPr>
        <w:tc>
          <w:tcPr>
            <w:tcW w:w="1701" w:type="dxa"/>
            <w:vAlign w:val="center"/>
          </w:tcPr>
          <w:p w14:paraId="660FE231">
            <w:pPr>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日    期：</w:t>
            </w:r>
          </w:p>
        </w:tc>
        <w:tc>
          <w:tcPr>
            <w:tcW w:w="7088" w:type="dxa"/>
            <w:vAlign w:val="center"/>
          </w:tcPr>
          <w:p w14:paraId="38FD43B7">
            <w:pPr>
              <w:spacing w:line="276" w:lineRule="auto"/>
              <w:ind w:left="-7" w:leftChars="-4" w:hanging="1"/>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二○二</w:t>
            </w:r>
            <w:r>
              <w:rPr>
                <w:rFonts w:hint="eastAsia" w:ascii="仿宋" w:hAnsi="仿宋" w:eastAsia="仿宋" w:cs="仿宋"/>
                <w:color w:val="auto"/>
                <w:kern w:val="0"/>
                <w:sz w:val="28"/>
                <w:szCs w:val="28"/>
                <w:highlight w:val="none"/>
                <w:lang w:val="en-US" w:eastAsia="zh-CN"/>
              </w:rPr>
              <w:t>五</w:t>
            </w:r>
            <w:r>
              <w:rPr>
                <w:rFonts w:hint="eastAsia" w:ascii="仿宋" w:hAnsi="仿宋" w:eastAsia="仿宋" w:cs="仿宋"/>
                <w:color w:val="auto"/>
                <w:kern w:val="0"/>
                <w:sz w:val="28"/>
                <w:szCs w:val="28"/>
                <w:highlight w:val="none"/>
              </w:rPr>
              <w:t>年</w:t>
            </w:r>
            <w:r>
              <w:rPr>
                <w:rFonts w:hint="eastAsia" w:ascii="仿宋" w:hAnsi="仿宋" w:eastAsia="仿宋" w:cs="仿宋"/>
                <w:color w:val="auto"/>
                <w:kern w:val="0"/>
                <w:sz w:val="28"/>
                <w:szCs w:val="28"/>
                <w:highlight w:val="none"/>
                <w:lang w:val="en-US" w:eastAsia="zh-CN"/>
              </w:rPr>
              <w:t>四</w:t>
            </w:r>
            <w:r>
              <w:rPr>
                <w:rFonts w:hint="eastAsia" w:ascii="仿宋" w:hAnsi="仿宋" w:eastAsia="仿宋" w:cs="仿宋"/>
                <w:color w:val="auto"/>
                <w:kern w:val="0"/>
                <w:sz w:val="28"/>
                <w:szCs w:val="28"/>
                <w:highlight w:val="none"/>
              </w:rPr>
              <w:t>月</w:t>
            </w:r>
          </w:p>
        </w:tc>
      </w:tr>
    </w:tbl>
    <w:p w14:paraId="2C0008CF">
      <w:pPr>
        <w:snapToGrid w:val="0"/>
        <w:spacing w:line="360" w:lineRule="auto"/>
        <w:jc w:val="center"/>
        <w:rPr>
          <w:rFonts w:hint="eastAsia" w:ascii="仿宋" w:hAnsi="仿宋" w:eastAsia="仿宋" w:cs="仿宋"/>
          <w:color w:val="auto"/>
          <w:sz w:val="30"/>
          <w:highlight w:val="none"/>
        </w:rPr>
      </w:pPr>
    </w:p>
    <w:p w14:paraId="6547E41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097B9769">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01B54D91">
      <w:pPr>
        <w:spacing w:line="360" w:lineRule="auto"/>
        <w:rPr>
          <w:rFonts w:hint="eastAsia" w:ascii="仿宋" w:hAnsi="仿宋" w:eastAsia="仿宋" w:cs="仿宋"/>
          <w:color w:val="auto"/>
          <w:sz w:val="32"/>
          <w:szCs w:val="32"/>
          <w:highlight w:val="none"/>
        </w:rPr>
      </w:pPr>
    </w:p>
    <w:p w14:paraId="069756CE">
      <w:pPr>
        <w:spacing w:line="360" w:lineRule="auto"/>
        <w:rPr>
          <w:rFonts w:hint="eastAsia" w:ascii="仿宋" w:hAnsi="仿宋" w:eastAsia="仿宋" w:cs="仿宋"/>
          <w:color w:val="auto"/>
          <w:sz w:val="32"/>
          <w:szCs w:val="32"/>
          <w:highlight w:val="none"/>
        </w:rPr>
      </w:pPr>
    </w:p>
    <w:p w14:paraId="228BE0D8">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4E839B29">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78689A2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0A8BDAE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795D246D">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07EECBB0">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239767E7">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1ABB2972">
      <w:pPr>
        <w:spacing w:line="360" w:lineRule="auto"/>
        <w:ind w:firstLine="549" w:firstLineChars="229"/>
        <w:rPr>
          <w:rFonts w:hint="eastAsia" w:ascii="仿宋" w:hAnsi="仿宋" w:eastAsia="仿宋" w:cs="仿宋"/>
          <w:color w:val="auto"/>
          <w:sz w:val="24"/>
          <w:highlight w:val="none"/>
        </w:rPr>
      </w:pPr>
    </w:p>
    <w:p w14:paraId="1A08BD6F">
      <w:pPr>
        <w:spacing w:line="360" w:lineRule="auto"/>
        <w:ind w:firstLine="549" w:firstLineChars="229"/>
        <w:rPr>
          <w:rFonts w:hint="eastAsia" w:ascii="仿宋" w:hAnsi="仿宋" w:eastAsia="仿宋" w:cs="仿宋"/>
          <w:color w:val="auto"/>
          <w:sz w:val="24"/>
          <w:highlight w:val="none"/>
        </w:rPr>
      </w:pPr>
    </w:p>
    <w:p w14:paraId="785A09E0">
      <w:pPr>
        <w:spacing w:line="360" w:lineRule="auto"/>
        <w:ind w:firstLine="549" w:firstLineChars="229"/>
        <w:rPr>
          <w:rFonts w:hint="eastAsia" w:ascii="仿宋" w:hAnsi="仿宋" w:eastAsia="仿宋" w:cs="仿宋"/>
          <w:color w:val="auto"/>
          <w:sz w:val="24"/>
          <w:highlight w:val="none"/>
        </w:rPr>
      </w:pPr>
    </w:p>
    <w:p w14:paraId="41843534">
      <w:pPr>
        <w:spacing w:line="360" w:lineRule="auto"/>
        <w:ind w:firstLine="549" w:firstLineChars="229"/>
        <w:rPr>
          <w:rFonts w:hint="eastAsia" w:ascii="仿宋" w:hAnsi="仿宋" w:eastAsia="仿宋" w:cs="仿宋"/>
          <w:color w:val="auto"/>
          <w:sz w:val="24"/>
          <w:highlight w:val="none"/>
        </w:rPr>
      </w:pPr>
    </w:p>
    <w:p w14:paraId="0473D148">
      <w:pPr>
        <w:spacing w:line="360" w:lineRule="auto"/>
        <w:ind w:firstLine="549" w:firstLineChars="229"/>
        <w:rPr>
          <w:rFonts w:hint="eastAsia" w:ascii="仿宋" w:hAnsi="仿宋" w:eastAsia="仿宋" w:cs="仿宋"/>
          <w:color w:val="auto"/>
          <w:sz w:val="24"/>
          <w:highlight w:val="none"/>
        </w:rPr>
      </w:pPr>
    </w:p>
    <w:p w14:paraId="757D0FC0">
      <w:pPr>
        <w:spacing w:line="360" w:lineRule="auto"/>
        <w:ind w:firstLine="549" w:firstLineChars="229"/>
        <w:rPr>
          <w:rFonts w:hint="eastAsia" w:ascii="仿宋" w:hAnsi="仿宋" w:eastAsia="仿宋" w:cs="仿宋"/>
          <w:color w:val="auto"/>
          <w:sz w:val="24"/>
          <w:highlight w:val="none"/>
        </w:rPr>
      </w:pPr>
    </w:p>
    <w:p w14:paraId="4C841AA9">
      <w:pPr>
        <w:spacing w:line="360" w:lineRule="auto"/>
        <w:ind w:firstLine="549" w:firstLineChars="229"/>
        <w:rPr>
          <w:rFonts w:hint="eastAsia" w:ascii="仿宋" w:hAnsi="仿宋" w:eastAsia="仿宋" w:cs="仿宋"/>
          <w:color w:val="auto"/>
          <w:sz w:val="24"/>
          <w:highlight w:val="none"/>
        </w:rPr>
      </w:pPr>
    </w:p>
    <w:p w14:paraId="600E070D">
      <w:pPr>
        <w:spacing w:line="360" w:lineRule="auto"/>
        <w:ind w:firstLine="549" w:firstLineChars="229"/>
        <w:rPr>
          <w:rFonts w:hint="eastAsia" w:ascii="仿宋" w:hAnsi="仿宋" w:eastAsia="仿宋" w:cs="仿宋"/>
          <w:color w:val="auto"/>
          <w:sz w:val="24"/>
          <w:highlight w:val="none"/>
        </w:rPr>
      </w:pPr>
    </w:p>
    <w:p w14:paraId="095DDC33">
      <w:pPr>
        <w:spacing w:line="360" w:lineRule="auto"/>
        <w:ind w:firstLine="549" w:firstLineChars="229"/>
        <w:rPr>
          <w:rFonts w:hint="eastAsia" w:ascii="仿宋" w:hAnsi="仿宋" w:eastAsia="仿宋" w:cs="仿宋"/>
          <w:color w:val="auto"/>
          <w:sz w:val="24"/>
          <w:highlight w:val="none"/>
        </w:rPr>
      </w:pPr>
    </w:p>
    <w:p w14:paraId="6535D6DD">
      <w:pPr>
        <w:spacing w:line="360" w:lineRule="auto"/>
        <w:ind w:firstLine="549" w:firstLineChars="229"/>
        <w:rPr>
          <w:rFonts w:hint="eastAsia" w:ascii="仿宋" w:hAnsi="仿宋" w:eastAsia="仿宋" w:cs="仿宋"/>
          <w:color w:val="auto"/>
          <w:sz w:val="24"/>
          <w:highlight w:val="none"/>
        </w:rPr>
      </w:pPr>
    </w:p>
    <w:p w14:paraId="7866674F">
      <w:pPr>
        <w:spacing w:line="360" w:lineRule="auto"/>
        <w:ind w:firstLine="549" w:firstLineChars="229"/>
        <w:rPr>
          <w:rFonts w:hint="eastAsia" w:ascii="仿宋" w:hAnsi="仿宋" w:eastAsia="仿宋" w:cs="仿宋"/>
          <w:color w:val="auto"/>
          <w:sz w:val="24"/>
          <w:highlight w:val="none"/>
        </w:rPr>
      </w:pPr>
    </w:p>
    <w:p w14:paraId="2F53A52E">
      <w:pPr>
        <w:spacing w:line="360" w:lineRule="auto"/>
        <w:ind w:firstLine="549" w:firstLineChars="229"/>
        <w:rPr>
          <w:rFonts w:hint="eastAsia" w:ascii="仿宋" w:hAnsi="仿宋" w:eastAsia="仿宋" w:cs="仿宋"/>
          <w:color w:val="auto"/>
          <w:sz w:val="24"/>
          <w:highlight w:val="none"/>
        </w:rPr>
      </w:pPr>
    </w:p>
    <w:p w14:paraId="01E5F33D">
      <w:pPr>
        <w:spacing w:line="360" w:lineRule="auto"/>
        <w:rPr>
          <w:rFonts w:hint="eastAsia" w:ascii="仿宋" w:hAnsi="仿宋" w:eastAsia="仿宋" w:cs="仿宋"/>
          <w:color w:val="auto"/>
          <w:sz w:val="24"/>
          <w:highlight w:val="none"/>
        </w:rPr>
      </w:pPr>
    </w:p>
    <w:p w14:paraId="27733C9E">
      <w:pPr>
        <w:adjustRightInd/>
        <w:spacing w:beforeLines="100" w:afterLines="100"/>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auto"/>
          <w:sz w:val="36"/>
          <w:szCs w:val="36"/>
          <w:highlight w:val="none"/>
        </w:rPr>
        <w:t>第一部分招标公告</w:t>
      </w:r>
    </w:p>
    <w:p w14:paraId="0FBABDE2">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项目概况</w:t>
      </w:r>
    </w:p>
    <w:p w14:paraId="62B9F538">
      <w:pPr>
        <w:pBdr>
          <w:top w:val="single" w:color="auto" w:sz="4" w:space="1"/>
          <w:left w:val="single" w:color="auto" w:sz="4" w:space="4"/>
          <w:bottom w:val="single" w:color="auto" w:sz="4" w:space="1"/>
          <w:right w:val="single" w:color="auto" w:sz="4" w:space="4"/>
        </w:pBdr>
        <w:wordWrap w:val="0"/>
        <w:spacing w:line="360" w:lineRule="auto"/>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single"/>
          <w:lang w:eastAsia="zh-CN"/>
        </w:rPr>
        <w:t>2025年秀洲区交通运输局交通大楼保安服务</w:t>
      </w:r>
      <w:r>
        <w:rPr>
          <w:rFonts w:hint="eastAsia" w:ascii="仿宋" w:hAnsi="仿宋" w:eastAsia="仿宋" w:cs="仿宋"/>
          <w:color w:val="auto"/>
          <w:szCs w:val="21"/>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1"/>
          <w:szCs w:val="21"/>
          <w:highlight w:val="none"/>
          <w:lang w:eastAsia="zh-CN"/>
        </w:rPr>
        <w:t>https://www.zcygov.cn/</w:t>
      </w:r>
      <w:r>
        <w:rPr>
          <w:rStyle w:val="76"/>
          <w:rFonts w:hint="eastAsia" w:ascii="仿宋" w:hAnsi="仿宋" w:eastAsia="仿宋" w:cs="仿宋"/>
          <w:snapToGrid/>
          <w:color w:val="auto"/>
          <w:kern w:val="2"/>
          <w:sz w:val="21"/>
          <w:szCs w:val="21"/>
          <w:highlight w:val="none"/>
        </w:rPr>
        <w:t>）获取（下载）招标文件，并于20</w:t>
      </w:r>
      <w:r>
        <w:rPr>
          <w:rStyle w:val="76"/>
          <w:rFonts w:hint="eastAsia" w:ascii="仿宋" w:hAnsi="仿宋" w:eastAsia="仿宋" w:cs="仿宋"/>
          <w:snapToGrid/>
          <w:color w:val="auto"/>
          <w:kern w:val="2"/>
          <w:sz w:val="21"/>
          <w:szCs w:val="21"/>
          <w:highlight w:val="none"/>
          <w:lang w:val="en-US" w:eastAsia="zh-CN"/>
        </w:rPr>
        <w:t>25</w:t>
      </w:r>
      <w:r>
        <w:rPr>
          <w:rStyle w:val="76"/>
          <w:rFonts w:hint="eastAsia" w:ascii="仿宋" w:hAnsi="仿宋" w:eastAsia="仿宋" w:cs="仿宋"/>
          <w:snapToGrid/>
          <w:color w:val="auto"/>
          <w:kern w:val="2"/>
          <w:sz w:val="21"/>
          <w:szCs w:val="21"/>
          <w:highlight w:val="none"/>
        </w:rPr>
        <w:t>年</w:t>
      </w:r>
      <w:r>
        <w:rPr>
          <w:rStyle w:val="76"/>
          <w:rFonts w:hint="eastAsia" w:ascii="仿宋" w:hAnsi="仿宋" w:eastAsia="仿宋" w:cs="仿宋"/>
          <w:snapToGrid/>
          <w:color w:val="auto"/>
          <w:kern w:val="2"/>
          <w:sz w:val="21"/>
          <w:szCs w:val="21"/>
          <w:highlight w:val="none"/>
          <w:lang w:val="en-US" w:eastAsia="zh-CN"/>
        </w:rPr>
        <w:t>4</w:t>
      </w:r>
      <w:r>
        <w:rPr>
          <w:rStyle w:val="76"/>
          <w:rFonts w:hint="eastAsia" w:ascii="仿宋" w:hAnsi="仿宋" w:eastAsia="仿宋" w:cs="仿宋"/>
          <w:snapToGrid/>
          <w:color w:val="auto"/>
          <w:kern w:val="2"/>
          <w:sz w:val="21"/>
          <w:szCs w:val="21"/>
          <w:highlight w:val="none"/>
        </w:rPr>
        <w:t>月</w:t>
      </w:r>
      <w:r>
        <w:rPr>
          <w:rStyle w:val="76"/>
          <w:rFonts w:hint="eastAsia" w:ascii="仿宋" w:hAnsi="仿宋" w:eastAsia="仿宋" w:cs="仿宋"/>
          <w:snapToGrid/>
          <w:color w:val="auto"/>
          <w:kern w:val="2"/>
          <w:sz w:val="21"/>
          <w:szCs w:val="21"/>
          <w:highlight w:val="none"/>
          <w:lang w:val="en-US" w:eastAsia="zh-CN"/>
        </w:rPr>
        <w:t>30</w:t>
      </w:r>
      <w:r>
        <w:rPr>
          <w:rStyle w:val="76"/>
          <w:rFonts w:hint="eastAsia" w:ascii="仿宋" w:hAnsi="仿宋" w:eastAsia="仿宋" w:cs="仿宋"/>
          <w:snapToGrid/>
          <w:color w:val="auto"/>
          <w:kern w:val="2"/>
          <w:sz w:val="21"/>
          <w:szCs w:val="21"/>
          <w:highlight w:val="none"/>
        </w:rPr>
        <w:t>日</w:t>
      </w:r>
      <w:r>
        <w:rPr>
          <w:rStyle w:val="76"/>
          <w:rFonts w:hint="eastAsia" w:ascii="仿宋" w:hAnsi="仿宋" w:eastAsia="仿宋" w:cs="仿宋"/>
          <w:snapToGrid/>
          <w:color w:val="auto"/>
          <w:kern w:val="2"/>
          <w:sz w:val="21"/>
          <w:szCs w:val="21"/>
          <w:highlight w:val="none"/>
          <w:lang w:val="en-US" w:eastAsia="zh-CN"/>
        </w:rPr>
        <w:t>14</w:t>
      </w:r>
      <w:r>
        <w:rPr>
          <w:rStyle w:val="76"/>
          <w:rFonts w:hint="eastAsia" w:ascii="仿宋" w:hAnsi="仿宋" w:eastAsia="仿宋" w:cs="仿宋"/>
          <w:snapToGrid/>
          <w:color w:val="auto"/>
          <w:kern w:val="2"/>
          <w:sz w:val="21"/>
          <w:szCs w:val="21"/>
          <w:highlight w:val="none"/>
        </w:rPr>
        <w:t>点</w:t>
      </w:r>
      <w:r>
        <w:rPr>
          <w:rStyle w:val="76"/>
          <w:rFonts w:hint="eastAsia" w:ascii="仿宋" w:hAnsi="仿宋" w:eastAsia="仿宋" w:cs="仿宋"/>
          <w:snapToGrid/>
          <w:color w:val="auto"/>
          <w:kern w:val="2"/>
          <w:sz w:val="21"/>
          <w:szCs w:val="21"/>
          <w:highlight w:val="none"/>
          <w:lang w:val="en-US" w:eastAsia="zh-CN"/>
        </w:rPr>
        <w:t>00</w:t>
      </w:r>
      <w:r>
        <w:rPr>
          <w:rStyle w:val="76"/>
          <w:rFonts w:hint="eastAsia" w:ascii="仿宋" w:hAnsi="仿宋" w:eastAsia="仿宋" w:cs="仿宋"/>
          <w:snapToGrid/>
          <w:color w:val="auto"/>
          <w:kern w:val="2"/>
          <w:sz w:val="21"/>
          <w:szCs w:val="21"/>
          <w:highlight w:val="none"/>
        </w:rPr>
        <w:t>分</w:t>
      </w:r>
      <w:r>
        <w:rPr>
          <w:rStyle w:val="76"/>
          <w:rFonts w:hint="eastAsia" w:ascii="仿宋" w:hAnsi="仿宋" w:eastAsia="仿宋" w:cs="仿宋"/>
          <w:bCs/>
          <w:snapToGrid/>
          <w:color w:val="auto"/>
          <w:kern w:val="2"/>
          <w:sz w:val="21"/>
          <w:szCs w:val="21"/>
          <w:highlight w:val="none"/>
        </w:rPr>
        <w:t>00秒</w:t>
      </w:r>
      <w:r>
        <w:rPr>
          <w:rStyle w:val="76"/>
          <w:rFonts w:hint="eastAsia" w:ascii="仿宋" w:hAnsi="仿宋" w:eastAsia="仿宋" w:cs="仿宋"/>
          <w:bCs/>
          <w:snapToGrid/>
          <w:color w:val="auto"/>
          <w:kern w:val="2"/>
          <w:sz w:val="21"/>
          <w:szCs w:val="21"/>
          <w:highlight w:val="none"/>
        </w:rPr>
        <w:fldChar w:fldCharType="end"/>
      </w:r>
      <w:r>
        <w:rPr>
          <w:rFonts w:hint="eastAsia" w:ascii="仿宋" w:hAnsi="仿宋" w:eastAsia="仿宋" w:cs="仿宋"/>
          <w:bCs/>
          <w:color w:val="auto"/>
          <w:szCs w:val="21"/>
          <w:highlight w:val="none"/>
        </w:rPr>
        <w:t>（北京时间）前</w:t>
      </w:r>
      <w:r>
        <w:rPr>
          <w:rFonts w:hint="eastAsia" w:ascii="仿宋" w:hAnsi="仿宋" w:eastAsia="仿宋" w:cs="仿宋"/>
          <w:color w:val="auto"/>
          <w:szCs w:val="21"/>
          <w:highlight w:val="none"/>
        </w:rPr>
        <w:t>递交（上传）投标文件。</w:t>
      </w:r>
    </w:p>
    <w:p w14:paraId="0D23173E">
      <w:pPr>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一、项目基本情况</w:t>
      </w:r>
    </w:p>
    <w:p w14:paraId="41D44B16">
      <w:pPr>
        <w:spacing w:line="360" w:lineRule="auto"/>
        <w:ind w:firstLine="420" w:firstLineChars="200"/>
        <w:rPr>
          <w:rFonts w:hint="eastAsia"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项目编号：</w:t>
      </w:r>
      <w:r>
        <w:rPr>
          <w:rFonts w:hint="eastAsia" w:ascii="仿宋" w:hAnsi="仿宋" w:eastAsia="仿宋" w:cs="仿宋"/>
          <w:bCs/>
          <w:color w:val="auto"/>
          <w:szCs w:val="21"/>
          <w:highlight w:val="none"/>
          <w:lang w:eastAsia="zh-CN"/>
        </w:rPr>
        <w:t>华耀-2025-01号</w:t>
      </w:r>
    </w:p>
    <w:p w14:paraId="65A31D1F">
      <w:pPr>
        <w:spacing w:line="360" w:lineRule="auto"/>
        <w:ind w:firstLine="420" w:firstLineChars="200"/>
        <w:rPr>
          <w:rFonts w:hint="eastAsia" w:ascii="仿宋" w:hAnsi="仿宋" w:eastAsia="仿宋" w:cs="仿宋"/>
          <w:bCs/>
          <w:color w:val="auto"/>
          <w:szCs w:val="21"/>
          <w:highlight w:val="none"/>
          <w:lang w:eastAsia="zh-CN"/>
        </w:rPr>
      </w:pPr>
      <w:r>
        <w:rPr>
          <w:rFonts w:hint="eastAsia" w:ascii="仿宋" w:hAnsi="仿宋" w:eastAsia="仿宋" w:cs="仿宋"/>
          <w:bCs/>
          <w:color w:val="auto"/>
          <w:szCs w:val="21"/>
          <w:highlight w:val="none"/>
        </w:rPr>
        <w:t>项目名称：</w:t>
      </w:r>
      <w:r>
        <w:rPr>
          <w:rFonts w:hint="eastAsia" w:ascii="仿宋" w:hAnsi="仿宋" w:eastAsia="仿宋" w:cs="仿宋"/>
          <w:bCs/>
          <w:color w:val="auto"/>
          <w:szCs w:val="21"/>
          <w:highlight w:val="none"/>
          <w:lang w:eastAsia="zh-CN"/>
        </w:rPr>
        <w:t>2025年秀洲区交通运输局交通大楼保安服务</w:t>
      </w:r>
    </w:p>
    <w:p w14:paraId="48EDCF31">
      <w:pPr>
        <w:spacing w:line="360" w:lineRule="auto"/>
        <w:ind w:firstLine="420" w:firstLineChars="200"/>
        <w:rPr>
          <w:rFonts w:hint="eastAsia"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预算金额（元）：</w:t>
      </w:r>
      <w:r>
        <w:rPr>
          <w:rFonts w:hint="eastAsia" w:ascii="仿宋" w:hAnsi="仿宋" w:eastAsia="仿宋" w:cs="仿宋"/>
          <w:bCs/>
          <w:color w:val="auto"/>
          <w:szCs w:val="21"/>
          <w:highlight w:val="none"/>
          <w:u w:val="single"/>
          <w:lang w:eastAsia="zh-CN"/>
        </w:rPr>
        <w:t>356400</w:t>
      </w:r>
    </w:p>
    <w:p w14:paraId="72409124">
      <w:pPr>
        <w:spacing w:line="360" w:lineRule="auto"/>
        <w:ind w:firstLine="420" w:firstLineChars="200"/>
        <w:rPr>
          <w:rFonts w:hint="eastAsia"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最高限价（元）：</w:t>
      </w:r>
      <w:r>
        <w:rPr>
          <w:rFonts w:hint="eastAsia" w:ascii="仿宋" w:hAnsi="仿宋" w:eastAsia="仿宋" w:cs="仿宋"/>
          <w:bCs/>
          <w:color w:val="auto"/>
          <w:szCs w:val="21"/>
          <w:highlight w:val="none"/>
          <w:u w:val="single"/>
          <w:lang w:eastAsia="zh-CN"/>
        </w:rPr>
        <w:t>356400</w:t>
      </w:r>
    </w:p>
    <w:p w14:paraId="78AB0547">
      <w:pPr>
        <w:spacing w:line="360" w:lineRule="auto"/>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采购需求：</w:t>
      </w:r>
    </w:p>
    <w:p w14:paraId="1279E717">
      <w:pPr>
        <w:spacing w:line="360" w:lineRule="auto"/>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标项名称：</w:t>
      </w:r>
      <w:r>
        <w:rPr>
          <w:rFonts w:hint="eastAsia" w:ascii="仿宋" w:hAnsi="仿宋" w:eastAsia="仿宋" w:cs="仿宋"/>
          <w:bCs/>
          <w:color w:val="auto"/>
          <w:szCs w:val="21"/>
          <w:highlight w:val="none"/>
          <w:lang w:eastAsia="zh-CN"/>
        </w:rPr>
        <w:t>2025年秀洲区交通运输局交通大楼保安服务</w:t>
      </w:r>
    </w:p>
    <w:p w14:paraId="4BC2E840">
      <w:pPr>
        <w:spacing w:line="360" w:lineRule="auto"/>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数量：</w:t>
      </w:r>
      <w:r>
        <w:rPr>
          <w:rFonts w:hint="eastAsia" w:ascii="仿宋" w:hAnsi="仿宋" w:eastAsia="仿宋" w:cs="仿宋"/>
          <w:bCs/>
          <w:color w:val="auto"/>
          <w:szCs w:val="21"/>
          <w:highlight w:val="none"/>
          <w:u w:val="none"/>
        </w:rPr>
        <w:t>1</w:t>
      </w:r>
    </w:p>
    <w:p w14:paraId="640DCD4E">
      <w:pPr>
        <w:spacing w:line="360" w:lineRule="auto"/>
        <w:ind w:firstLine="420" w:firstLineChars="200"/>
        <w:rPr>
          <w:rFonts w:hint="default"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预算金额（元）：</w:t>
      </w:r>
      <w:r>
        <w:rPr>
          <w:rFonts w:hint="eastAsia" w:ascii="仿宋" w:hAnsi="仿宋" w:eastAsia="仿宋" w:cs="仿宋"/>
          <w:bCs/>
          <w:color w:val="auto"/>
          <w:szCs w:val="21"/>
          <w:highlight w:val="none"/>
          <w:u w:val="single"/>
          <w:lang w:val="en-US" w:eastAsia="zh-CN"/>
        </w:rPr>
        <w:t>356400</w:t>
      </w:r>
    </w:p>
    <w:p w14:paraId="70A0A4CF">
      <w:pPr>
        <w:spacing w:line="360" w:lineRule="auto"/>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简要规格描述或项目基本概况介绍、用途：</w:t>
      </w:r>
      <w:r>
        <w:rPr>
          <w:rFonts w:hint="eastAsia" w:ascii="仿宋" w:hAnsi="仿宋" w:eastAsia="仿宋" w:cs="仿宋"/>
          <w:color w:val="auto"/>
          <w:szCs w:val="21"/>
          <w:highlight w:val="none"/>
          <w:u w:val="single"/>
          <w:lang w:eastAsia="zh-CN"/>
        </w:rPr>
        <w:t>2025年秀洲区交通运输局交通大楼保安服务</w:t>
      </w:r>
      <w:r>
        <w:rPr>
          <w:rFonts w:hint="eastAsia" w:ascii="仿宋" w:hAnsi="仿宋" w:eastAsia="仿宋" w:cs="仿宋"/>
          <w:bCs/>
          <w:color w:val="auto"/>
          <w:szCs w:val="21"/>
          <w:highlight w:val="none"/>
        </w:rPr>
        <w:t>，具体以招标文件第三部分采购需求为准，供应商可点击本公告下方“浏览采购文件”查看采购需求。</w:t>
      </w:r>
    </w:p>
    <w:p w14:paraId="65E89155">
      <w:pPr>
        <w:spacing w:line="360" w:lineRule="auto"/>
        <w:ind w:firstLine="420" w:firstLineChars="200"/>
        <w:rPr>
          <w:rFonts w:hint="default"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合同履约期限：</w:t>
      </w:r>
      <w:r>
        <w:rPr>
          <w:rFonts w:hint="eastAsia" w:ascii="仿宋" w:hAnsi="仿宋" w:eastAsia="仿宋" w:cs="仿宋"/>
          <w:bCs/>
          <w:color w:val="auto"/>
          <w:szCs w:val="21"/>
          <w:highlight w:val="none"/>
          <w:u w:val="single"/>
          <w:lang w:val="en-US" w:eastAsia="zh-CN"/>
        </w:rPr>
        <w:t>1年</w:t>
      </w:r>
    </w:p>
    <w:p w14:paraId="7E4A3700">
      <w:pPr>
        <w:spacing w:line="360" w:lineRule="auto"/>
        <w:ind w:firstLine="420" w:firstLineChars="200"/>
        <w:rPr>
          <w:rFonts w:hint="eastAsia" w:ascii="仿宋" w:hAnsi="仿宋" w:eastAsia="仿宋" w:cs="仿宋"/>
          <w:b/>
          <w:color w:val="auto"/>
          <w:szCs w:val="21"/>
          <w:highlight w:val="none"/>
        </w:rPr>
      </w:pPr>
      <w:r>
        <w:rPr>
          <w:rFonts w:hint="eastAsia" w:ascii="仿宋" w:hAnsi="仿宋" w:eastAsia="仿宋" w:cs="仿宋"/>
          <w:bCs/>
          <w:color w:val="auto"/>
          <w:szCs w:val="21"/>
          <w:highlight w:val="none"/>
        </w:rPr>
        <w:t>本项目接受联合体投标：</w:t>
      </w:r>
      <w:sdt>
        <w:sdtPr>
          <w:rPr>
            <w:rFonts w:hint="eastAsia" w:ascii="仿宋" w:hAnsi="仿宋" w:eastAsia="仿宋" w:cs="仿宋"/>
            <w:bCs/>
            <w:color w:val="auto"/>
            <w:kern w:val="0"/>
            <w:szCs w:val="21"/>
            <w:highlight w:val="none"/>
          </w:rPr>
          <w:id w:val="2035453831"/>
        </w:sdtPr>
        <w:sdtEndPr>
          <w:rPr>
            <w:rFonts w:hint="eastAsia" w:ascii="仿宋" w:hAnsi="仿宋" w:eastAsia="仿宋" w:cs="仿宋"/>
            <w:bCs/>
            <w:color w:val="auto"/>
            <w:kern w:val="0"/>
            <w:szCs w:val="21"/>
            <w:highlight w:val="none"/>
          </w:rPr>
        </w:sdtEndPr>
        <w:sdtContent>
          <w:r>
            <w:rPr>
              <w:rFonts w:hint="eastAsia" w:ascii="仿宋" w:hAnsi="仿宋" w:eastAsia="仿宋" w:cs="仿宋"/>
              <w:bCs/>
              <w:color w:val="auto"/>
              <w:kern w:val="0"/>
              <w:szCs w:val="21"/>
              <w:highlight w:val="none"/>
            </w:rPr>
            <w:sym w:font="Wingdings" w:char="00A8"/>
          </w:r>
        </w:sdtContent>
      </w:sdt>
      <w:r>
        <w:rPr>
          <w:rFonts w:hint="eastAsia" w:ascii="仿宋" w:hAnsi="仿宋" w:eastAsia="仿宋" w:cs="仿宋"/>
          <w:bCs/>
          <w:color w:val="auto"/>
          <w:szCs w:val="21"/>
          <w:highlight w:val="none"/>
        </w:rPr>
        <w:t>是，</w:t>
      </w:r>
      <w:sdt>
        <w:sdtPr>
          <w:rPr>
            <w:rFonts w:hint="eastAsia" w:ascii="仿宋" w:hAnsi="仿宋" w:eastAsia="仿宋" w:cs="仿宋"/>
            <w:bCs/>
            <w:color w:val="auto"/>
            <w:kern w:val="0"/>
            <w:szCs w:val="21"/>
            <w:highlight w:val="none"/>
          </w:rPr>
          <w:id w:val="-1765526721"/>
        </w:sdtPr>
        <w:sdtEndPr>
          <w:rPr>
            <w:rFonts w:hint="eastAsia" w:ascii="仿宋" w:hAnsi="仿宋" w:eastAsia="仿宋" w:cs="仿宋"/>
            <w:bCs/>
            <w:color w:val="auto"/>
            <w:kern w:val="0"/>
            <w:szCs w:val="21"/>
            <w:highlight w:val="none"/>
          </w:rPr>
        </w:sdtEndPr>
        <w:sdtContent>
          <w:sdt>
            <w:sdtPr>
              <w:rPr>
                <w:rFonts w:hint="eastAsia" w:ascii="仿宋" w:hAnsi="仿宋" w:eastAsia="仿宋" w:cs="仿宋"/>
                <w:bCs/>
                <w:color w:val="auto"/>
                <w:kern w:val="0"/>
                <w:szCs w:val="21"/>
                <w:highlight w:val="none"/>
              </w:rPr>
              <w:id w:val="1928616923"/>
            </w:sdtPr>
            <w:sdtEndPr>
              <w:rPr>
                <w:rFonts w:hint="eastAsia" w:ascii="仿宋" w:hAnsi="仿宋" w:eastAsia="仿宋" w:cs="仿宋"/>
                <w:bCs/>
                <w:color w:val="auto"/>
                <w:kern w:val="0"/>
                <w:szCs w:val="21"/>
                <w:highlight w:val="none"/>
              </w:rPr>
            </w:sdtEndPr>
            <w:sdtContent>
              <w:r>
                <w:rPr>
                  <w:rFonts w:hint="eastAsia" w:ascii="仿宋" w:hAnsi="仿宋" w:eastAsia="仿宋" w:cs="仿宋"/>
                  <w:bCs/>
                  <w:color w:val="auto"/>
                  <w:kern w:val="0"/>
                  <w:szCs w:val="21"/>
                  <w:highlight w:val="none"/>
                </w:rPr>
                <w:sym w:font="Wingdings" w:char="00FE"/>
              </w:r>
            </w:sdtContent>
          </w:sdt>
        </w:sdtContent>
      </w:sdt>
      <w:r>
        <w:rPr>
          <w:rFonts w:hint="eastAsia" w:ascii="仿宋" w:hAnsi="仿宋" w:eastAsia="仿宋" w:cs="仿宋"/>
          <w:bCs/>
          <w:color w:val="auto"/>
          <w:szCs w:val="21"/>
          <w:highlight w:val="none"/>
        </w:rPr>
        <w:t>否</w:t>
      </w:r>
      <w:r>
        <w:rPr>
          <w:rFonts w:hint="eastAsia" w:ascii="仿宋" w:hAnsi="仿宋" w:eastAsia="仿宋" w:cs="仿宋"/>
          <w:bCs/>
          <w:color w:val="auto"/>
          <w:kern w:val="0"/>
          <w:szCs w:val="21"/>
          <w:highlight w:val="none"/>
        </w:rPr>
        <w:t>。</w:t>
      </w:r>
    </w:p>
    <w:p w14:paraId="6DBC1415">
      <w:pPr>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二、申请人的资格要求：</w:t>
      </w:r>
    </w:p>
    <w:p w14:paraId="1A3DA4CA">
      <w:pPr>
        <w:wordWrap w:val="0"/>
        <w:spacing w:line="360" w:lineRule="auto"/>
        <w:ind w:firstLine="482"/>
        <w:rPr>
          <w:rFonts w:hint="eastAsia" w:ascii="仿宋" w:hAnsi="仿宋" w:eastAsia="仿宋" w:cs="仿宋"/>
          <w:snapToGrid w:val="0"/>
          <w:color w:val="auto"/>
          <w:kern w:val="28"/>
          <w:szCs w:val="21"/>
          <w:highlight w:val="none"/>
        </w:rPr>
      </w:pPr>
      <w:r>
        <w:rPr>
          <w:rFonts w:hint="eastAsia" w:ascii="仿宋" w:hAnsi="仿宋" w:eastAsia="仿宋" w:cs="仿宋"/>
          <w:snapToGrid w:val="0"/>
          <w:color w:val="auto"/>
          <w:kern w:val="28"/>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E95491D">
      <w:pPr>
        <w:spacing w:line="360" w:lineRule="auto"/>
        <w:ind w:firstLine="420" w:firstLineChars="0"/>
        <w:rPr>
          <w:rFonts w:hint="eastAsia" w:ascii="仿宋" w:hAnsi="仿宋" w:eastAsia="仿宋" w:cs="仿宋"/>
          <w:snapToGrid w:val="0"/>
          <w:color w:val="auto"/>
          <w:kern w:val="28"/>
          <w:szCs w:val="21"/>
          <w:highlight w:val="none"/>
        </w:rPr>
      </w:pPr>
      <w:r>
        <w:rPr>
          <w:rFonts w:hint="eastAsia" w:ascii="仿宋" w:hAnsi="仿宋" w:eastAsia="仿宋" w:cs="仿宋"/>
          <w:snapToGrid w:val="0"/>
          <w:color w:val="auto"/>
          <w:kern w:val="28"/>
          <w:szCs w:val="21"/>
          <w:highlight w:val="none"/>
        </w:rPr>
        <w:t>2.以联合体形式投标的，提供联合协议(本项目不接受联合体投标或者投标人不以联合体形式投标的，则不需要提供) ；</w:t>
      </w:r>
    </w:p>
    <w:p w14:paraId="4B750721">
      <w:pPr>
        <w:spacing w:line="360" w:lineRule="auto"/>
        <w:ind w:firstLine="420" w:firstLineChars="200"/>
        <w:rPr>
          <w:rFonts w:hint="eastAsia" w:ascii="仿宋" w:hAnsi="仿宋" w:eastAsia="仿宋" w:cs="仿宋"/>
          <w:snapToGrid w:val="0"/>
          <w:color w:val="auto"/>
          <w:kern w:val="28"/>
          <w:szCs w:val="21"/>
          <w:highlight w:val="none"/>
        </w:rPr>
      </w:pPr>
      <w:r>
        <w:rPr>
          <w:rFonts w:hint="eastAsia" w:ascii="仿宋" w:hAnsi="仿宋" w:eastAsia="仿宋" w:cs="仿宋"/>
          <w:snapToGrid w:val="0"/>
          <w:color w:val="auto"/>
          <w:kern w:val="28"/>
          <w:szCs w:val="21"/>
          <w:highlight w:val="none"/>
        </w:rPr>
        <w:t>3.落实政府采购政策需满足的资格要求：</w:t>
      </w:r>
    </w:p>
    <w:sdt>
      <w:sdtPr>
        <w:rPr>
          <w:rFonts w:hint="eastAsia" w:ascii="仿宋" w:hAnsi="仿宋" w:eastAsia="仿宋" w:cs="仿宋"/>
          <w:color w:val="auto"/>
          <w:kern w:val="0"/>
          <w:szCs w:val="21"/>
          <w:highlight w:val="none"/>
        </w:rPr>
        <w:id w:val="-1361431184"/>
      </w:sdtPr>
      <w:sdtEndPr>
        <w:rPr>
          <w:rFonts w:hint="eastAsia" w:ascii="仿宋" w:hAnsi="仿宋" w:eastAsia="仿宋" w:cs="仿宋"/>
          <w:color w:val="auto"/>
          <w:kern w:val="0"/>
          <w:szCs w:val="21"/>
          <w:highlight w:val="none"/>
        </w:rPr>
      </w:sdtEndPr>
      <w:sdtContent>
        <w:p w14:paraId="68821A86">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00A8"/>
          </w:r>
          <w:r>
            <w:rPr>
              <w:rFonts w:hint="eastAsia" w:ascii="仿宋" w:hAnsi="仿宋" w:eastAsia="仿宋" w:cs="仿宋"/>
              <w:color w:val="auto"/>
              <w:szCs w:val="21"/>
              <w:highlight w:val="none"/>
            </w:rPr>
            <w:t xml:space="preserve">无； </w:t>
          </w:r>
        </w:p>
        <w:p w14:paraId="12C9735E">
          <w:pPr>
            <w:spacing w:line="360" w:lineRule="auto"/>
            <w:ind w:firstLine="420" w:firstLineChars="200"/>
            <w:rPr>
              <w:rFonts w:hint="eastAsia" w:ascii="仿宋" w:hAnsi="仿宋" w:eastAsia="仿宋" w:cs="仿宋"/>
              <w:color w:val="auto"/>
              <w:szCs w:val="21"/>
              <w:highlight w:val="none"/>
            </w:rPr>
          </w:pPr>
          <w:sdt>
            <w:sdtPr>
              <w:rPr>
                <w:rFonts w:hint="eastAsia" w:ascii="仿宋" w:hAnsi="仿宋" w:eastAsia="仿宋" w:cs="仿宋"/>
                <w:color w:val="auto"/>
                <w:kern w:val="0"/>
                <w:szCs w:val="21"/>
                <w:highlight w:val="none"/>
              </w:rPr>
              <w:id w:val="-1024704304"/>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FE"/>
              </w:r>
            </w:sdtContent>
          </w:sdt>
          <w:r>
            <w:rPr>
              <w:rFonts w:hint="eastAsia" w:ascii="仿宋" w:hAnsi="仿宋" w:eastAsia="仿宋" w:cs="仿宋"/>
              <w:color w:val="auto"/>
              <w:kern w:val="0"/>
              <w:szCs w:val="21"/>
              <w:highlight w:val="none"/>
            </w:rPr>
            <w:t>专</w:t>
          </w:r>
          <w:r>
            <w:rPr>
              <w:rFonts w:hint="eastAsia" w:ascii="仿宋" w:hAnsi="仿宋" w:eastAsia="仿宋" w:cs="仿宋"/>
              <w:color w:val="auto"/>
              <w:szCs w:val="21"/>
              <w:highlight w:val="none"/>
            </w:rPr>
            <w:t>门面向中小企业</w:t>
          </w:r>
        </w:p>
        <w:p w14:paraId="0C770A91">
          <w:pPr>
            <w:spacing w:line="360" w:lineRule="auto"/>
            <w:ind w:firstLine="840" w:firstLineChars="400"/>
            <w:rPr>
              <w:rFonts w:hint="eastAsia" w:ascii="仿宋" w:hAnsi="仿宋" w:eastAsia="仿宋" w:cs="仿宋"/>
              <w:color w:val="auto"/>
              <w:szCs w:val="21"/>
              <w:highlight w:val="none"/>
            </w:rPr>
          </w:pPr>
          <w:sdt>
            <w:sdtPr>
              <w:rPr>
                <w:rFonts w:hint="eastAsia" w:ascii="仿宋" w:hAnsi="仿宋" w:eastAsia="仿宋" w:cs="仿宋"/>
                <w:color w:val="auto"/>
                <w:kern w:val="0"/>
                <w:szCs w:val="21"/>
                <w:highlight w:val="none"/>
              </w:rPr>
              <w:id w:val="-333685401"/>
            </w:sdtPr>
            <w:sdtEndPr>
              <w:rPr>
                <w:rFonts w:hint="eastAsia" w:ascii="仿宋" w:hAnsi="仿宋" w:eastAsia="仿宋" w:cs="仿宋"/>
                <w:color w:val="auto"/>
                <w:kern w:val="0"/>
                <w:szCs w:val="21"/>
                <w:highlight w:val="none"/>
              </w:rPr>
            </w:sdtEndPr>
            <w:sdtContent>
              <w:sdt>
                <w:sdtPr>
                  <w:rPr>
                    <w:rFonts w:hint="eastAsia" w:ascii="仿宋" w:hAnsi="仿宋" w:eastAsia="仿宋" w:cs="仿宋"/>
                    <w:color w:val="auto"/>
                    <w:kern w:val="0"/>
                    <w:szCs w:val="21"/>
                    <w:highlight w:val="none"/>
                  </w:rPr>
                  <w:id w:val="-1202788315"/>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FE"/>
                  </w:r>
                </w:sdtContent>
              </w:sdt>
            </w:sdtContent>
          </w:sdt>
          <w:r>
            <w:rPr>
              <w:rFonts w:hint="eastAsia" w:ascii="仿宋" w:hAnsi="仿宋" w:eastAsia="仿宋" w:cs="仿宋"/>
              <w:color w:val="auto"/>
              <w:szCs w:val="21"/>
              <w:highlight w:val="none"/>
            </w:rPr>
            <w:t>服务全部由符合政策要求的中小企业承接，提供中小企业声明函；</w:t>
          </w:r>
        </w:p>
        <w:p w14:paraId="05CFBBBA">
          <w:pPr>
            <w:spacing w:line="360" w:lineRule="auto"/>
            <w:ind w:firstLine="840" w:firstLineChars="400"/>
            <w:rPr>
              <w:rFonts w:hint="eastAsia" w:ascii="仿宋" w:hAnsi="仿宋" w:eastAsia="仿宋" w:cs="仿宋"/>
              <w:color w:val="auto"/>
              <w:kern w:val="0"/>
              <w:szCs w:val="21"/>
              <w:highlight w:val="none"/>
            </w:rPr>
          </w:pPr>
          <w:sdt>
            <w:sdtPr>
              <w:rPr>
                <w:rFonts w:hint="eastAsia" w:ascii="仿宋" w:hAnsi="仿宋" w:eastAsia="仿宋" w:cs="仿宋"/>
                <w:color w:val="auto"/>
                <w:kern w:val="0"/>
                <w:szCs w:val="21"/>
                <w:highlight w:val="none"/>
              </w:rPr>
              <w:id w:val="-1299604449"/>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A8"/>
              </w:r>
            </w:sdtContent>
          </w:sdt>
          <w:sdt>
            <w:sdtPr>
              <w:rPr>
                <w:rFonts w:hint="eastAsia" w:ascii="仿宋" w:hAnsi="仿宋" w:eastAsia="仿宋" w:cs="仿宋"/>
                <w:color w:val="auto"/>
                <w:kern w:val="0"/>
                <w:szCs w:val="21"/>
                <w:highlight w:val="none"/>
              </w:rPr>
              <w:id w:val="-2141025358"/>
            </w:sdtPr>
            <w:sdtEndPr>
              <w:rPr>
                <w:rFonts w:hint="eastAsia" w:ascii="仿宋" w:hAnsi="仿宋" w:eastAsia="仿宋" w:cs="仿宋"/>
                <w:color w:val="auto"/>
                <w:kern w:val="0"/>
                <w:szCs w:val="21"/>
                <w:highlight w:val="none"/>
              </w:rPr>
            </w:sdtEndPr>
            <w:sdtContent/>
          </w:sdt>
          <w:r>
            <w:rPr>
              <w:rFonts w:hint="eastAsia" w:ascii="仿宋" w:hAnsi="仿宋" w:eastAsia="仿宋" w:cs="仿宋"/>
              <w:color w:val="auto"/>
              <w:szCs w:val="21"/>
              <w:highlight w:val="none"/>
            </w:rPr>
            <w:t>服务全部由符合政策要求的小微企业承接，提供中小企业声明函；</w:t>
          </w:r>
        </w:p>
      </w:sdtContent>
    </w:sdt>
    <w:p w14:paraId="5A21AF67">
      <w:pPr>
        <w:spacing w:line="360" w:lineRule="auto"/>
        <w:ind w:firstLine="420" w:firstLineChars="200"/>
        <w:rPr>
          <w:rFonts w:hint="eastAsia" w:ascii="仿宋" w:hAnsi="仿宋" w:eastAsia="仿宋" w:cs="仿宋"/>
          <w:color w:val="auto"/>
          <w:szCs w:val="21"/>
          <w:highlight w:val="none"/>
        </w:rPr>
      </w:pPr>
      <w:sdt>
        <w:sdtPr>
          <w:rPr>
            <w:rFonts w:hint="eastAsia" w:ascii="仿宋" w:hAnsi="仿宋" w:eastAsia="仿宋" w:cs="仿宋"/>
            <w:color w:val="auto"/>
            <w:kern w:val="0"/>
            <w:szCs w:val="21"/>
            <w:highlight w:val="none"/>
          </w:rPr>
          <w:id w:val="1252388141"/>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A8"/>
          </w:r>
        </w:sdtContent>
      </w:sdt>
      <w:r>
        <w:rPr>
          <w:rFonts w:hint="eastAsia" w:ascii="仿宋" w:hAnsi="仿宋" w:eastAsia="仿宋" w:cs="仿宋"/>
          <w:color w:val="auto"/>
          <w:szCs w:val="21"/>
          <w:highlight w:val="none"/>
        </w:rPr>
        <w:t>要求以联合体形式参加，提供联合协议和中小企业声明函，联合协议中中小企业合同金额应当达到%，小微企业合同金额应当达到%;如果供应商本身提供所有标的均由中小企业制造、承建或承接，视同符合了资格条件，无需再与其他中小企业组成联合体参加政府采购活动，无需提供联合协议；</w:t>
      </w:r>
    </w:p>
    <w:p w14:paraId="0431BD15">
      <w:pPr>
        <w:spacing w:line="360" w:lineRule="auto"/>
        <w:ind w:firstLine="420" w:firstLineChars="200"/>
        <w:rPr>
          <w:rFonts w:hint="eastAsia" w:ascii="仿宋" w:hAnsi="仿宋" w:eastAsia="仿宋" w:cs="仿宋"/>
          <w:color w:val="auto"/>
          <w:szCs w:val="21"/>
          <w:highlight w:val="none"/>
        </w:rPr>
      </w:pPr>
      <w:sdt>
        <w:sdtPr>
          <w:rPr>
            <w:rFonts w:hint="eastAsia" w:ascii="仿宋" w:hAnsi="仿宋" w:eastAsia="仿宋" w:cs="仿宋"/>
            <w:color w:val="auto"/>
            <w:kern w:val="0"/>
            <w:szCs w:val="21"/>
            <w:highlight w:val="none"/>
          </w:rPr>
          <w:id w:val="1167755400"/>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A8"/>
          </w:r>
        </w:sdtContent>
      </w:sdt>
      <w:r>
        <w:rPr>
          <w:rFonts w:hint="eastAsia" w:ascii="仿宋" w:hAnsi="仿宋" w:eastAsia="仿宋" w:cs="仿宋"/>
          <w:color w:val="auto"/>
          <w:szCs w:val="21"/>
          <w:highlight w:val="none"/>
        </w:rPr>
        <w:t>要求合同分包，提供分包意向协议和中小企业声明函，分包意向协议中中小企业合同金额应当达到达到% ，小微企业合同金额应当达到% ;如果供应商本身提供所有标的均由中小企业制造、承建或承接，视同符合了资格条件，无需再向中小企业分包，无需提供分包意向协议；</w:t>
      </w:r>
    </w:p>
    <w:p w14:paraId="03273B1C">
      <w:pPr>
        <w:spacing w:line="360" w:lineRule="auto"/>
        <w:ind w:firstLine="420" w:firstLineChars="200"/>
        <w:rPr>
          <w:rFonts w:hint="eastAsia" w:ascii="仿宋" w:hAnsi="仿宋" w:eastAsia="仿宋" w:cs="仿宋"/>
          <w:b/>
          <w:bCs/>
          <w:color w:val="auto"/>
          <w:szCs w:val="21"/>
          <w:highlight w:val="none"/>
        </w:rPr>
      </w:pPr>
      <w:r>
        <w:rPr>
          <w:rFonts w:hint="eastAsia" w:ascii="仿宋" w:hAnsi="仿宋" w:eastAsia="仿宋" w:cs="仿宋"/>
          <w:color w:val="auto"/>
          <w:szCs w:val="21"/>
          <w:highlight w:val="none"/>
        </w:rPr>
        <w:t>4.本项目的特定资格要求：</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w:t>
      </w:r>
    </w:p>
    <w:p w14:paraId="22FC1A91">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D11134C">
      <w:pPr>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三、获取招标文件</w:t>
      </w:r>
    </w:p>
    <w:p w14:paraId="0DF6F177">
      <w:pPr>
        <w:wordWrap w:val="0"/>
        <w:spacing w:line="360" w:lineRule="auto"/>
        <w:ind w:firstLine="422"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时间：</w:t>
      </w:r>
      <w:r>
        <w:rPr>
          <w:rFonts w:hint="eastAsia" w:ascii="仿宋" w:hAnsi="仿宋" w:eastAsia="仿宋" w:cs="仿宋"/>
          <w:color w:val="auto"/>
          <w:szCs w:val="21"/>
          <w:highlight w:val="none"/>
        </w:rPr>
        <w:t>/至</w:t>
      </w:r>
      <w:r>
        <w:rPr>
          <w:rFonts w:hint="eastAsia" w:ascii="仿宋" w:hAnsi="仿宋" w:eastAsia="仿宋" w:cs="仿宋"/>
          <w:color w:val="auto"/>
          <w:szCs w:val="21"/>
          <w:highlight w:val="none"/>
          <w:u w:val="single"/>
          <w:lang w:eastAsia="zh-CN"/>
        </w:rPr>
        <w:t>2025年4月</w:t>
      </w:r>
      <w:r>
        <w:rPr>
          <w:rFonts w:hint="eastAsia" w:ascii="仿宋" w:hAnsi="仿宋" w:eastAsia="仿宋" w:cs="仿宋"/>
          <w:color w:val="auto"/>
          <w:szCs w:val="21"/>
          <w:highlight w:val="none"/>
          <w:u w:val="single"/>
          <w:lang w:val="en-US" w:eastAsia="zh-CN"/>
        </w:rPr>
        <w:t>30</w:t>
      </w:r>
      <w:r>
        <w:rPr>
          <w:rFonts w:hint="eastAsia" w:ascii="仿宋" w:hAnsi="仿宋" w:eastAsia="仿宋" w:cs="仿宋"/>
          <w:color w:val="auto"/>
          <w:szCs w:val="21"/>
          <w:highlight w:val="none"/>
          <w:u w:val="single"/>
          <w:lang w:eastAsia="zh-CN"/>
        </w:rPr>
        <w:t>日</w:t>
      </w:r>
      <w:r>
        <w:rPr>
          <w:rFonts w:hint="eastAsia" w:ascii="仿宋" w:hAnsi="仿宋" w:eastAsia="仿宋" w:cs="仿宋"/>
          <w:color w:val="auto"/>
          <w:szCs w:val="21"/>
          <w:highlight w:val="none"/>
        </w:rPr>
        <w:t>，每天上午00:00至12:00 ，下午12:00至23:59（北京时间，线上获取法定节假日均可，线下获取文件法定节假日除外）</w:t>
      </w:r>
    </w:p>
    <w:p w14:paraId="3B2DB24B">
      <w:pPr>
        <w:wordWrap w:val="0"/>
        <w:spacing w:line="360" w:lineRule="auto"/>
        <w:ind w:firstLine="422"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地点（网址）：</w:t>
      </w:r>
      <w:r>
        <w:rPr>
          <w:rFonts w:hint="eastAsia" w:ascii="仿宋" w:hAnsi="仿宋" w:eastAsia="仿宋" w:cs="仿宋"/>
          <w:color w:val="auto"/>
          <w:szCs w:val="21"/>
          <w:highlight w:val="none"/>
        </w:rPr>
        <w:t>政采云平台（</w:t>
      </w:r>
      <w:r>
        <w:rPr>
          <w:rFonts w:hint="eastAsia" w:ascii="仿宋" w:hAnsi="仿宋" w:eastAsia="仿宋" w:cs="仿宋"/>
          <w:color w:val="auto"/>
          <w:szCs w:val="21"/>
          <w:highlight w:val="none"/>
          <w:lang w:eastAsia="zh-CN"/>
        </w:rPr>
        <w:t>https://www.zcygov.cn/</w:t>
      </w:r>
      <w:r>
        <w:rPr>
          <w:rFonts w:hint="eastAsia" w:ascii="仿宋" w:hAnsi="仿宋" w:eastAsia="仿宋" w:cs="仿宋"/>
          <w:color w:val="auto"/>
          <w:szCs w:val="21"/>
          <w:highlight w:val="none"/>
        </w:rPr>
        <w:t xml:space="preserve">） </w:t>
      </w:r>
    </w:p>
    <w:p w14:paraId="3EDD6D83">
      <w:pPr>
        <w:wordWrap w:val="0"/>
        <w:spacing w:line="360" w:lineRule="auto"/>
        <w:ind w:firstLine="422"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方式：</w:t>
      </w:r>
      <w:r>
        <w:rPr>
          <w:rFonts w:hint="eastAsia" w:ascii="仿宋" w:hAnsi="仿宋" w:eastAsia="仿宋" w:cs="仿宋"/>
          <w:color w:val="auto"/>
          <w:szCs w:val="21"/>
          <w:highlight w:val="none"/>
        </w:rPr>
        <w:t>供应商登录政采云平台</w:t>
      </w:r>
      <w:r>
        <w:rPr>
          <w:rFonts w:hint="eastAsia" w:ascii="仿宋" w:hAnsi="仿宋" w:eastAsia="仿宋" w:cs="仿宋"/>
          <w:color w:val="auto"/>
          <w:szCs w:val="21"/>
          <w:highlight w:val="none"/>
          <w:lang w:eastAsia="zh-CN"/>
        </w:rPr>
        <w:t>https://www.zcygov.cn/</w:t>
      </w:r>
      <w:r>
        <w:rPr>
          <w:rFonts w:hint="eastAsia" w:ascii="仿宋" w:hAnsi="仿宋" w:eastAsia="仿宋" w:cs="仿宋"/>
          <w:color w:val="auto"/>
          <w:szCs w:val="21"/>
          <w:highlight w:val="none"/>
        </w:rPr>
        <w:t>在线申请获取采购文件（进入“项目采购”应用，在获取采购文件菜单中选择项目，申请获取采购文件）。</w:t>
      </w:r>
    </w:p>
    <w:p w14:paraId="003200E2">
      <w:pPr>
        <w:spacing w:line="360" w:lineRule="auto"/>
        <w:ind w:firstLine="422"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售价（元）：</w:t>
      </w:r>
      <w:r>
        <w:rPr>
          <w:rFonts w:hint="eastAsia" w:ascii="仿宋" w:hAnsi="仿宋" w:eastAsia="仿宋" w:cs="仿宋"/>
          <w:color w:val="auto"/>
          <w:szCs w:val="21"/>
          <w:highlight w:val="none"/>
        </w:rPr>
        <w:t xml:space="preserve">0 </w:t>
      </w:r>
    </w:p>
    <w:p w14:paraId="4FF03BF6">
      <w:pPr>
        <w:wordWrap w:val="0"/>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四、提交投标文件截止时间、开标时间和地点</w:t>
      </w:r>
    </w:p>
    <w:p w14:paraId="21BA3358">
      <w:pPr>
        <w:wordWrap w:val="0"/>
        <w:spacing w:line="360" w:lineRule="auto"/>
        <w:ind w:firstLine="422"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提交投标文件截止时间：</w:t>
      </w:r>
      <w:r>
        <w:rPr>
          <w:rFonts w:hint="eastAsia" w:ascii="仿宋" w:hAnsi="仿宋" w:eastAsia="仿宋" w:cs="仿宋"/>
          <w:color w:val="auto"/>
          <w:szCs w:val="21"/>
          <w:highlight w:val="none"/>
          <w:u w:val="single"/>
          <w:lang w:eastAsia="zh-CN"/>
        </w:rPr>
        <w:t>2025年4月</w:t>
      </w:r>
      <w:r>
        <w:rPr>
          <w:rFonts w:hint="eastAsia" w:ascii="仿宋" w:hAnsi="仿宋" w:eastAsia="仿宋" w:cs="仿宋"/>
          <w:color w:val="auto"/>
          <w:szCs w:val="21"/>
          <w:highlight w:val="none"/>
          <w:u w:val="single"/>
          <w:lang w:val="en-US" w:eastAsia="zh-CN"/>
        </w:rPr>
        <w:t>30</w:t>
      </w:r>
      <w:r>
        <w:rPr>
          <w:rFonts w:hint="eastAsia" w:ascii="仿宋" w:hAnsi="仿宋" w:eastAsia="仿宋" w:cs="仿宋"/>
          <w:color w:val="auto"/>
          <w:szCs w:val="21"/>
          <w:highlight w:val="none"/>
          <w:u w:val="single"/>
          <w:lang w:eastAsia="zh-CN"/>
        </w:rPr>
        <w:t>日</w:t>
      </w:r>
      <w:r>
        <w:rPr>
          <w:rFonts w:hint="eastAsia" w:ascii="仿宋" w:hAnsi="仿宋" w:eastAsia="仿宋" w:cs="仿宋"/>
          <w:color w:val="auto"/>
          <w:szCs w:val="21"/>
          <w:highlight w:val="none"/>
          <w:u w:val="single"/>
          <w:lang w:val="en-US" w:eastAsia="zh-CN"/>
        </w:rPr>
        <w:t>14</w:t>
      </w:r>
      <w:r>
        <w:rPr>
          <w:rFonts w:hint="eastAsia" w:ascii="仿宋" w:hAnsi="仿宋" w:eastAsia="仿宋" w:cs="仿宋"/>
          <w:color w:val="auto"/>
          <w:szCs w:val="21"/>
          <w:highlight w:val="none"/>
          <w:u w:val="single"/>
        </w:rPr>
        <w:t>点</w:t>
      </w:r>
      <w:r>
        <w:rPr>
          <w:rFonts w:hint="eastAsia" w:ascii="仿宋" w:hAnsi="仿宋" w:eastAsia="仿宋" w:cs="仿宋"/>
          <w:color w:val="auto"/>
          <w:szCs w:val="21"/>
          <w:highlight w:val="none"/>
          <w:u w:val="single"/>
          <w:lang w:val="en-US" w:eastAsia="zh-CN"/>
        </w:rPr>
        <w:t>00</w:t>
      </w:r>
      <w:r>
        <w:rPr>
          <w:rFonts w:hint="eastAsia" w:ascii="仿宋" w:hAnsi="仿宋" w:eastAsia="仿宋" w:cs="仿宋"/>
          <w:color w:val="auto"/>
          <w:szCs w:val="21"/>
          <w:highlight w:val="none"/>
          <w:u w:val="single"/>
        </w:rPr>
        <w:t>分</w:t>
      </w:r>
      <w:r>
        <w:rPr>
          <w:rFonts w:hint="eastAsia" w:ascii="仿宋" w:hAnsi="仿宋" w:eastAsia="仿宋" w:cs="仿宋"/>
          <w:color w:val="auto"/>
          <w:szCs w:val="21"/>
          <w:highlight w:val="none"/>
        </w:rPr>
        <w:t>（北京时间）</w:t>
      </w:r>
    </w:p>
    <w:p w14:paraId="1B4AD814">
      <w:pPr>
        <w:wordWrap w:val="0"/>
        <w:spacing w:line="360" w:lineRule="auto"/>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投标地点（网址）：</w:t>
      </w:r>
      <w:r>
        <w:rPr>
          <w:rFonts w:hint="eastAsia" w:ascii="仿宋" w:hAnsi="仿宋" w:eastAsia="仿宋" w:cs="仿宋"/>
          <w:color w:val="auto"/>
          <w:szCs w:val="21"/>
          <w:highlight w:val="none"/>
        </w:rPr>
        <w:t>政采云平台（</w:t>
      </w:r>
      <w:r>
        <w:rPr>
          <w:rFonts w:hint="eastAsia" w:ascii="仿宋" w:hAnsi="仿宋" w:eastAsia="仿宋" w:cs="仿宋"/>
          <w:color w:val="auto"/>
          <w:szCs w:val="21"/>
          <w:highlight w:val="none"/>
          <w:lang w:eastAsia="zh-CN"/>
        </w:rPr>
        <w:t>https://www.zcygov.cn/</w:t>
      </w:r>
      <w:r>
        <w:rPr>
          <w:rFonts w:hint="eastAsia" w:ascii="仿宋" w:hAnsi="仿宋" w:eastAsia="仿宋" w:cs="仿宋"/>
          <w:color w:val="auto"/>
          <w:szCs w:val="21"/>
          <w:highlight w:val="none"/>
        </w:rPr>
        <w:t xml:space="preserve">） </w:t>
      </w:r>
    </w:p>
    <w:p w14:paraId="04BF624D">
      <w:pPr>
        <w:wordWrap w:val="0"/>
        <w:spacing w:line="360" w:lineRule="auto"/>
        <w:ind w:firstLine="422" w:firstLineChars="200"/>
        <w:rPr>
          <w:rFonts w:hint="eastAsia" w:ascii="仿宋" w:hAnsi="仿宋" w:eastAsia="仿宋" w:cs="仿宋"/>
          <w:bCs/>
          <w:color w:val="auto"/>
          <w:szCs w:val="21"/>
          <w:highlight w:val="none"/>
        </w:rPr>
      </w:pPr>
      <w:r>
        <w:rPr>
          <w:rFonts w:hint="eastAsia" w:ascii="仿宋" w:hAnsi="仿宋" w:eastAsia="仿宋" w:cs="仿宋"/>
          <w:b/>
          <w:color w:val="auto"/>
          <w:szCs w:val="21"/>
          <w:highlight w:val="none"/>
        </w:rPr>
        <w:t>开标时间：</w:t>
      </w:r>
      <w:r>
        <w:rPr>
          <w:rFonts w:hint="eastAsia" w:ascii="仿宋" w:hAnsi="仿宋" w:eastAsia="仿宋" w:cs="仿宋"/>
          <w:color w:val="auto"/>
          <w:szCs w:val="21"/>
          <w:highlight w:val="none"/>
          <w:u w:val="single"/>
          <w:lang w:eastAsia="zh-CN"/>
        </w:rPr>
        <w:t>2025年4月</w:t>
      </w:r>
      <w:r>
        <w:rPr>
          <w:rFonts w:hint="eastAsia" w:ascii="仿宋" w:hAnsi="仿宋" w:eastAsia="仿宋" w:cs="仿宋"/>
          <w:color w:val="auto"/>
          <w:szCs w:val="21"/>
          <w:highlight w:val="none"/>
          <w:u w:val="single"/>
          <w:lang w:val="en-US" w:eastAsia="zh-CN"/>
        </w:rPr>
        <w:t>30</w:t>
      </w:r>
      <w:r>
        <w:rPr>
          <w:rFonts w:hint="eastAsia" w:ascii="仿宋" w:hAnsi="仿宋" w:eastAsia="仿宋" w:cs="仿宋"/>
          <w:color w:val="auto"/>
          <w:szCs w:val="21"/>
          <w:highlight w:val="none"/>
          <w:u w:val="single"/>
          <w:lang w:eastAsia="zh-CN"/>
        </w:rPr>
        <w:t>日</w:t>
      </w:r>
      <w:r>
        <w:rPr>
          <w:rFonts w:hint="eastAsia" w:ascii="仿宋" w:hAnsi="仿宋" w:eastAsia="仿宋" w:cs="仿宋"/>
          <w:color w:val="auto"/>
          <w:szCs w:val="21"/>
          <w:highlight w:val="none"/>
          <w:u w:val="single"/>
          <w:lang w:val="en-US" w:eastAsia="zh-CN"/>
        </w:rPr>
        <w:t>14</w:t>
      </w:r>
      <w:r>
        <w:rPr>
          <w:rFonts w:hint="eastAsia" w:ascii="仿宋" w:hAnsi="仿宋" w:eastAsia="仿宋" w:cs="仿宋"/>
          <w:color w:val="auto"/>
          <w:szCs w:val="21"/>
          <w:highlight w:val="none"/>
          <w:u w:val="single"/>
        </w:rPr>
        <w:t>点</w:t>
      </w:r>
      <w:r>
        <w:rPr>
          <w:rFonts w:hint="eastAsia" w:ascii="仿宋" w:hAnsi="仿宋" w:eastAsia="仿宋" w:cs="仿宋"/>
          <w:color w:val="auto"/>
          <w:szCs w:val="21"/>
          <w:highlight w:val="none"/>
          <w:u w:val="single"/>
          <w:lang w:val="en-US" w:eastAsia="zh-CN"/>
        </w:rPr>
        <w:t>00</w:t>
      </w:r>
      <w:r>
        <w:rPr>
          <w:rFonts w:hint="eastAsia" w:ascii="仿宋" w:hAnsi="仿宋" w:eastAsia="仿宋" w:cs="仿宋"/>
          <w:color w:val="auto"/>
          <w:szCs w:val="21"/>
          <w:highlight w:val="none"/>
          <w:u w:val="single"/>
        </w:rPr>
        <w:t>分</w:t>
      </w:r>
    </w:p>
    <w:p w14:paraId="75E336BF">
      <w:pPr>
        <w:wordWrap w:val="0"/>
        <w:spacing w:line="360" w:lineRule="auto"/>
        <w:ind w:firstLine="422"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开标地点（网址）：</w:t>
      </w:r>
      <w:r>
        <w:rPr>
          <w:rFonts w:hint="eastAsia" w:ascii="仿宋" w:hAnsi="仿宋" w:eastAsia="仿宋" w:cs="仿宋"/>
          <w:color w:val="auto"/>
          <w:szCs w:val="21"/>
          <w:highlight w:val="none"/>
        </w:rPr>
        <w:t>政采云平台（</w:t>
      </w:r>
      <w:r>
        <w:rPr>
          <w:rFonts w:hint="eastAsia" w:ascii="仿宋" w:hAnsi="仿宋" w:eastAsia="仿宋" w:cs="仿宋"/>
          <w:color w:val="auto"/>
          <w:szCs w:val="21"/>
          <w:highlight w:val="none"/>
          <w:lang w:eastAsia="zh-CN"/>
        </w:rPr>
        <w:t>https://www.zcygov.cn/</w:t>
      </w:r>
      <w:r>
        <w:rPr>
          <w:rFonts w:hint="eastAsia" w:ascii="仿宋" w:hAnsi="仿宋" w:eastAsia="仿宋" w:cs="仿宋"/>
          <w:color w:val="auto"/>
          <w:szCs w:val="21"/>
          <w:highlight w:val="none"/>
        </w:rPr>
        <w:t>）</w:t>
      </w:r>
    </w:p>
    <w:p w14:paraId="0B89288E">
      <w:pPr>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五、采购意向公开</w:t>
      </w:r>
    </w:p>
    <w:p w14:paraId="71AF14BE">
      <w:pPr>
        <w:wordWrap w:val="0"/>
        <w:spacing w:line="36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采购意向公开链接：</w:t>
      </w:r>
      <w:r>
        <w:rPr>
          <w:rFonts w:hint="eastAsia" w:ascii="仿宋" w:hAnsi="仿宋" w:eastAsia="仿宋" w:cs="仿宋"/>
          <w:color w:val="auto"/>
          <w:szCs w:val="21"/>
          <w:highlight w:val="none"/>
          <w:u w:val="single"/>
          <w:lang w:eastAsia="zh-CN"/>
        </w:rPr>
        <w:t>https://zfcg.czt.zj.gov.cn/site/detail?categoryCode=ZcyAnnouncement&amp;parentId=600007&amp;articleId=C0FsOCGVHaYDl8zaSbVyPA==</w:t>
      </w:r>
    </w:p>
    <w:p w14:paraId="66BDA5F8">
      <w:pPr>
        <w:spacing w:line="360" w:lineRule="auto"/>
        <w:ind w:firstLine="420" w:firstLineChars="2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发布时间：</w:t>
      </w:r>
      <w:r>
        <w:rPr>
          <w:rFonts w:hint="eastAsia" w:ascii="仿宋" w:hAnsi="仿宋" w:eastAsia="仿宋" w:cs="仿宋"/>
          <w:color w:val="auto"/>
          <w:szCs w:val="21"/>
          <w:highlight w:val="none"/>
          <w:u w:val="single"/>
        </w:rPr>
        <w:t>202</w:t>
      </w:r>
      <w:r>
        <w:rPr>
          <w:rFonts w:hint="eastAsia" w:ascii="仿宋" w:hAnsi="仿宋" w:eastAsia="仿宋" w:cs="仿宋"/>
          <w:color w:val="auto"/>
          <w:szCs w:val="21"/>
          <w:highlight w:val="none"/>
          <w:u w:val="single"/>
          <w:lang w:val="en-US" w:eastAsia="zh-CN"/>
        </w:rPr>
        <w:t>5</w:t>
      </w:r>
      <w:r>
        <w:rPr>
          <w:rFonts w:hint="eastAsia" w:ascii="仿宋" w:hAnsi="仿宋" w:eastAsia="仿宋" w:cs="仿宋"/>
          <w:color w:val="auto"/>
          <w:szCs w:val="21"/>
          <w:highlight w:val="none"/>
          <w:u w:val="single"/>
        </w:rPr>
        <w:t>年0</w:t>
      </w:r>
      <w:r>
        <w:rPr>
          <w:rFonts w:hint="eastAsia" w:ascii="仿宋" w:hAnsi="仿宋" w:eastAsia="仿宋" w:cs="仿宋"/>
          <w:color w:val="auto"/>
          <w:szCs w:val="21"/>
          <w:highlight w:val="none"/>
          <w:u w:val="single"/>
          <w:lang w:val="en-US" w:eastAsia="zh-CN"/>
        </w:rPr>
        <w:t>2</w:t>
      </w:r>
      <w:r>
        <w:rPr>
          <w:rFonts w:hint="eastAsia" w:ascii="仿宋" w:hAnsi="仿宋" w:eastAsia="仿宋" w:cs="仿宋"/>
          <w:color w:val="auto"/>
          <w:szCs w:val="21"/>
          <w:highlight w:val="none"/>
          <w:u w:val="single"/>
        </w:rPr>
        <w:t>月</w:t>
      </w:r>
      <w:r>
        <w:rPr>
          <w:rFonts w:hint="eastAsia" w:ascii="仿宋" w:hAnsi="仿宋" w:eastAsia="仿宋" w:cs="仿宋"/>
          <w:color w:val="auto"/>
          <w:szCs w:val="21"/>
          <w:highlight w:val="none"/>
          <w:u w:val="single"/>
          <w:lang w:val="en-US" w:eastAsia="zh-CN"/>
        </w:rPr>
        <w:t>18</w:t>
      </w:r>
      <w:r>
        <w:rPr>
          <w:rFonts w:hint="eastAsia" w:ascii="仿宋" w:hAnsi="仿宋" w:eastAsia="仿宋" w:cs="仿宋"/>
          <w:color w:val="auto"/>
          <w:szCs w:val="21"/>
          <w:highlight w:val="none"/>
          <w:u w:val="single"/>
        </w:rPr>
        <w:t>日</w:t>
      </w:r>
    </w:p>
    <w:p w14:paraId="1CF1134D">
      <w:pPr>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六、公告期限</w:t>
      </w:r>
    </w:p>
    <w:p w14:paraId="34135C66">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自本公告发布之日起5个工作日。</w:t>
      </w:r>
    </w:p>
    <w:p w14:paraId="014FAC65">
      <w:pPr>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七、其他补充事宜</w:t>
      </w:r>
    </w:p>
    <w:p w14:paraId="37696701">
      <w:pPr>
        <w:wordWrap w:val="0"/>
        <w:spacing w:line="360" w:lineRule="auto"/>
        <w:ind w:firstLine="422" w:firstLineChars="200"/>
        <w:rPr>
          <w:rFonts w:hint="eastAsia" w:ascii="仿宋" w:hAnsi="仿宋" w:eastAsia="仿宋" w:cs="仿宋"/>
          <w:color w:val="auto"/>
          <w:szCs w:val="21"/>
          <w:highlight w:val="none"/>
        </w:rPr>
      </w:pPr>
      <w:r>
        <w:rPr>
          <w:rFonts w:hint="eastAsia" w:ascii="仿宋" w:hAnsi="仿宋" w:eastAsia="仿宋" w:cs="仿宋"/>
          <w:b/>
          <w:bCs/>
          <w:color w:val="auto"/>
          <w:szCs w:val="21"/>
          <w:highlight w:val="none"/>
          <w:u w:val="single"/>
        </w:rPr>
        <w:t>1.为支持和促进中小企业发展，进一步发挥政府采购政策功能，鼓励供应商使用保险/保函替代保证金及进行预付款增信，支持供应商基于中标项目进行应收账款融资。中标供应商若想了解或使用相关服务，可通过政采云平台或其他渠道进行咨询。政采云金融热线400-903-9583，也可登录政采云平台查看相应政策文件及各相关服务方案∶</w:t>
      </w:r>
      <w:r>
        <w:rPr>
          <w:rFonts w:hint="eastAsia" w:ascii="仿宋" w:hAnsi="仿宋" w:eastAsia="仿宋" w:cs="仿宋"/>
          <w:b/>
          <w:bCs/>
          <w:color w:val="auto"/>
          <w:szCs w:val="21"/>
          <w:highlight w:val="none"/>
          <w:u w:val="single"/>
          <w:lang w:eastAsia="zh-CN"/>
        </w:rPr>
        <w:t>https://jinrong.zcygov.cn/luban/home</w:t>
      </w:r>
      <w:r>
        <w:rPr>
          <w:rFonts w:hint="eastAsia" w:ascii="仿宋" w:hAnsi="仿宋" w:eastAsia="仿宋" w:cs="仿宋"/>
          <w:b/>
          <w:bCs/>
          <w:color w:val="auto"/>
          <w:szCs w:val="21"/>
          <w:highlight w:val="none"/>
          <w:u w:val="single"/>
        </w:rPr>
        <w:t>。</w:t>
      </w:r>
    </w:p>
    <w:p w14:paraId="3DDAA987">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A5798D6">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7C79032">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4D56430">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5.其他事项：</w:t>
      </w:r>
    </w:p>
    <w:p w14:paraId="46F89327">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（1）需要落实的政府采购政策：包括节约资源、保护环境、支持创新、促进中小企业发展等。详见招标文件的第二部分总则。</w:t>
      </w:r>
    </w:p>
    <w:p w14:paraId="6E625A32">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（2）电子招投标的说明：</w:t>
      </w:r>
    </w:p>
    <w:p w14:paraId="53062D62">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①电子招投标：本项目以数据电文形式，依托“政府采购云平台（www.zcygov.cn）”进行招投标活动，不接受纸质投标文件；</w:t>
      </w:r>
    </w:p>
    <w:p w14:paraId="2762DBB8">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4CE87E53">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③招标文件的获取：使用账号登录或者使用CA登录政采云平台；进入“项目采购”应用，在获取采购文件菜单中选择项目，获取招标文件；</w:t>
      </w:r>
    </w:p>
    <w:p w14:paraId="49AEB999">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④投标文件的制作：在“政采云电子交易客户端”中完成“填写基本信息”、“导入投标文件”、“标书关联”、“标书检查”、“电子签名”、“生成电子标书”等操作；</w:t>
      </w:r>
    </w:p>
    <w:p w14:paraId="2B64CAD6">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⑤采购人、采购代理机构将依托政采云平台完成本项目的电子交易活动，平台不接受未按上述方式获取招标文件的供应商进行投标活动；</w:t>
      </w:r>
    </w:p>
    <w:p w14:paraId="71FC9889">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⑥对未按上述方式获取招标文件的供应商对该文件提出的质疑，采购人或采购代理机构将不予处理；</w:t>
      </w:r>
    </w:p>
    <w:p w14:paraId="27B7BD58">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⑦不提供招标文件纸质版；</w:t>
      </w:r>
    </w:p>
    <w:p w14:paraId="31906BC3">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p>
    <w:p w14:paraId="09976F86">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14:paraId="7E8825B8">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⑩具体操作指南：详见政采云平台“服务中心-帮助文档-项目采购-操作流程-电子招投标-政府采购项目电子交易管理操作指南-供应商”。</w:t>
      </w:r>
    </w:p>
    <w:p w14:paraId="718F280A">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（3）招标文件公告期限与招标公告的公告期限一致。</w:t>
      </w:r>
    </w:p>
    <w:p w14:paraId="6971E3B7">
      <w:pPr>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八、对本次采购提出询问、质疑、投诉，请按以下方式联系</w:t>
      </w:r>
    </w:p>
    <w:p w14:paraId="602BE909">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1.采购人信息</w:t>
      </w:r>
    </w:p>
    <w:p w14:paraId="4049E9D4">
      <w:pPr>
        <w:spacing w:line="36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名    称：</w:t>
      </w:r>
      <w:r>
        <w:rPr>
          <w:rFonts w:hint="eastAsia" w:ascii="仿宋" w:hAnsi="仿宋" w:eastAsia="仿宋" w:cs="仿宋"/>
          <w:color w:val="auto"/>
          <w:szCs w:val="21"/>
          <w:highlight w:val="none"/>
          <w:lang w:eastAsia="zh-CN"/>
        </w:rPr>
        <w:t>嘉兴市秀洲区交通运输局</w:t>
      </w:r>
    </w:p>
    <w:p w14:paraId="594A5A0C">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    址：嘉兴市秀洲区新平路117号</w:t>
      </w:r>
    </w:p>
    <w:p w14:paraId="08E5B8C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传    真： /</w:t>
      </w:r>
    </w:p>
    <w:p w14:paraId="0F05D3EF">
      <w:pPr>
        <w:spacing w:line="360"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项目联系人（询问）：严先生</w:t>
      </w:r>
    </w:p>
    <w:p w14:paraId="24B5AC50">
      <w:pPr>
        <w:spacing w:line="360"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项目联系方式（询问）：0573-82721676</w:t>
      </w:r>
    </w:p>
    <w:p w14:paraId="2C34E526">
      <w:pPr>
        <w:tabs>
          <w:tab w:val="left" w:pos="3241"/>
        </w:tabs>
        <w:spacing w:line="360"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质疑联系人：杨先生</w:t>
      </w:r>
    </w:p>
    <w:p w14:paraId="5CBA0A70">
      <w:pPr>
        <w:spacing w:line="360"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质疑联系方式：0573-82711101</w:t>
      </w:r>
    </w:p>
    <w:p w14:paraId="39A1294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2.采购代理机构信息            </w:t>
      </w:r>
    </w:p>
    <w:p w14:paraId="15B1F6C1">
      <w:pPr>
        <w:spacing w:line="36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名称：</w:t>
      </w:r>
      <w:r>
        <w:rPr>
          <w:rFonts w:hint="eastAsia" w:ascii="仿宋" w:hAnsi="仿宋" w:eastAsia="仿宋" w:cs="仿宋"/>
          <w:color w:val="auto"/>
          <w:szCs w:val="21"/>
          <w:highlight w:val="none"/>
          <w:lang w:eastAsia="zh-CN"/>
        </w:rPr>
        <w:t>浙江华耀建设咨询有限公司</w:t>
      </w:r>
    </w:p>
    <w:p w14:paraId="35954EF2">
      <w:pPr>
        <w:spacing w:line="36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w:t>
      </w:r>
      <w:r>
        <w:rPr>
          <w:rFonts w:hint="eastAsia" w:ascii="仿宋" w:hAnsi="仿宋" w:eastAsia="仿宋" w:cs="仿宋"/>
          <w:color w:val="auto"/>
          <w:szCs w:val="21"/>
          <w:highlight w:val="none"/>
          <w:lang w:eastAsia="zh-CN"/>
        </w:rPr>
        <w:t>嘉兴市中山西路299号兴业大厦521室</w:t>
      </w:r>
    </w:p>
    <w:p w14:paraId="6E618104">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传    真：/             </w:t>
      </w:r>
    </w:p>
    <w:p w14:paraId="203F5B64">
      <w:pPr>
        <w:spacing w:line="36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项目联系人（询问）：</w:t>
      </w:r>
      <w:r>
        <w:rPr>
          <w:rFonts w:hint="eastAsia" w:ascii="仿宋" w:hAnsi="仿宋" w:eastAsia="仿宋" w:cs="仿宋"/>
          <w:color w:val="auto"/>
          <w:szCs w:val="21"/>
          <w:highlight w:val="none"/>
          <w:lang w:val="en-US" w:eastAsia="zh-CN"/>
        </w:rPr>
        <w:t>万先生</w:t>
      </w:r>
    </w:p>
    <w:p w14:paraId="06BC48F5">
      <w:pPr>
        <w:spacing w:line="360"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项目联系方式（询问）：</w:t>
      </w:r>
      <w:r>
        <w:rPr>
          <w:rFonts w:hint="eastAsia" w:ascii="仿宋" w:hAnsi="仿宋" w:eastAsia="仿宋" w:cs="仿宋"/>
          <w:color w:val="auto"/>
          <w:szCs w:val="21"/>
          <w:highlight w:val="none"/>
          <w:lang w:eastAsia="zh-CN"/>
        </w:rPr>
        <w:t>0573-82725567、</w:t>
      </w:r>
      <w:r>
        <w:rPr>
          <w:rFonts w:hint="eastAsia" w:ascii="仿宋" w:hAnsi="仿宋" w:eastAsia="仿宋" w:cs="仿宋"/>
          <w:color w:val="auto"/>
          <w:szCs w:val="21"/>
          <w:highlight w:val="none"/>
          <w:lang w:val="en-US" w:eastAsia="zh-CN"/>
        </w:rPr>
        <w:t>18857388600</w:t>
      </w:r>
    </w:p>
    <w:p w14:paraId="53F8C2C8">
      <w:pPr>
        <w:spacing w:line="36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质疑联系人：</w:t>
      </w:r>
      <w:r>
        <w:rPr>
          <w:rFonts w:hint="eastAsia" w:ascii="仿宋" w:hAnsi="仿宋" w:eastAsia="仿宋" w:cs="仿宋"/>
          <w:color w:val="auto"/>
          <w:szCs w:val="21"/>
          <w:highlight w:val="none"/>
          <w:lang w:eastAsia="zh-CN"/>
        </w:rPr>
        <w:t>曾先生</w:t>
      </w:r>
    </w:p>
    <w:p w14:paraId="604AE2BA">
      <w:pPr>
        <w:spacing w:line="360"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质疑联系方式：</w:t>
      </w:r>
      <w:r>
        <w:rPr>
          <w:rFonts w:hint="eastAsia" w:ascii="仿宋" w:hAnsi="仿宋" w:eastAsia="仿宋" w:cs="仿宋"/>
          <w:color w:val="auto"/>
          <w:szCs w:val="21"/>
          <w:highlight w:val="none"/>
          <w:lang w:eastAsia="zh-CN"/>
        </w:rPr>
        <w:t>0573-82725567、15305739986</w:t>
      </w:r>
    </w:p>
    <w:p w14:paraId="3FC79BC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3.同级政府采购监督管理部门            </w:t>
      </w:r>
    </w:p>
    <w:p w14:paraId="478BAC2D">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名    称：嘉兴市秀洲区财政局</w:t>
      </w:r>
    </w:p>
    <w:p w14:paraId="06552F68">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    址：嘉兴市秀洲区洪兴路1765号</w:t>
      </w:r>
    </w:p>
    <w:p w14:paraId="1DE5892B">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传    真：/</w:t>
      </w:r>
    </w:p>
    <w:p w14:paraId="6D3DB467">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联系人 ：</w:t>
      </w:r>
      <w:r>
        <w:rPr>
          <w:rFonts w:hint="eastAsia" w:ascii="仿宋" w:hAnsi="仿宋" w:eastAsia="仿宋" w:cs="仿宋"/>
          <w:color w:val="auto"/>
          <w:szCs w:val="21"/>
          <w:highlight w:val="none"/>
          <w:lang w:val="en-US" w:eastAsia="zh-CN"/>
        </w:rPr>
        <w:t>宋</w:t>
      </w:r>
      <w:r>
        <w:rPr>
          <w:rFonts w:hint="eastAsia" w:ascii="仿宋" w:hAnsi="仿宋" w:eastAsia="仿宋" w:cs="仿宋"/>
          <w:color w:val="auto"/>
          <w:szCs w:val="21"/>
          <w:highlight w:val="none"/>
        </w:rPr>
        <w:t>女士</w:t>
      </w:r>
    </w:p>
    <w:p w14:paraId="3E4BBCB4">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监督投诉电话：0573-82720086</w:t>
      </w:r>
    </w:p>
    <w:p w14:paraId="51171221">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若对项目采购电子交易系统操作有疑问，可登录政采云（</w:t>
      </w:r>
      <w:r>
        <w:rPr>
          <w:rFonts w:hint="eastAsia" w:ascii="仿宋" w:hAnsi="仿宋" w:eastAsia="仿宋" w:cs="仿宋"/>
          <w:color w:val="auto"/>
          <w:szCs w:val="21"/>
          <w:highlight w:val="none"/>
          <w:lang w:eastAsia="zh-CN"/>
        </w:rPr>
        <w:t>https://www.zcygov.cn/</w:t>
      </w:r>
      <w:r>
        <w:rPr>
          <w:rFonts w:hint="eastAsia" w:ascii="仿宋" w:hAnsi="仿宋" w:eastAsia="仿宋" w:cs="仿宋"/>
          <w:color w:val="auto"/>
          <w:szCs w:val="21"/>
          <w:highlight w:val="none"/>
        </w:rPr>
        <w:t>），点击右侧咨询小采，获取采小蜜智能服务管家帮助，或拨打政采云服务热线400-881-7190获取热线服务帮助。</w:t>
      </w:r>
    </w:p>
    <w:p w14:paraId="5771F00E">
      <w:pPr>
        <w:wordWrap w:val="0"/>
        <w:spacing w:line="360" w:lineRule="auto"/>
        <w:ind w:firstLine="420" w:firstLineChars="200"/>
        <w:rPr>
          <w:rFonts w:hint="eastAsia" w:ascii="仿宋" w:hAnsi="仿宋" w:eastAsia="仿宋" w:cs="仿宋"/>
          <w:color w:val="auto"/>
          <w:sz w:val="24"/>
          <w:highlight w:val="none"/>
        </w:rPr>
      </w:pPr>
      <w:r>
        <w:rPr>
          <w:rFonts w:hint="eastAsia" w:ascii="仿宋" w:hAnsi="仿宋" w:eastAsia="仿宋" w:cs="仿宋"/>
          <w:color w:val="auto"/>
          <w:szCs w:val="21"/>
          <w:highlight w:val="none"/>
        </w:rPr>
        <w:t>CA问题联系电话（人工）：汇信CA 400-888-4636；天谷CA 400-087-8198。</w:t>
      </w:r>
    </w:p>
    <w:p w14:paraId="7A2C6730">
      <w:pPr>
        <w:adjustRightInd/>
        <w:spacing w:beforeLines="100" w:afterLines="100"/>
        <w:jc w:val="center"/>
        <w:outlineLvl w:val="0"/>
        <w:rPr>
          <w:rFonts w:hint="eastAsia" w:ascii="仿宋" w:hAnsi="仿宋" w:eastAsia="仿宋" w:cs="仿宋"/>
          <w:b/>
          <w:color w:val="auto"/>
          <w:sz w:val="36"/>
          <w:szCs w:val="20"/>
          <w:highlight w:val="none"/>
        </w:rPr>
      </w:pPr>
    </w:p>
    <w:p w14:paraId="141A7EC7">
      <w:pPr>
        <w:adjustRightInd/>
        <w:spacing w:beforeLines="100" w:afterLines="100"/>
        <w:jc w:val="center"/>
        <w:outlineLvl w:val="0"/>
        <w:rPr>
          <w:rFonts w:hint="eastAsia" w:ascii="仿宋" w:hAnsi="仿宋" w:eastAsia="仿宋" w:cs="仿宋"/>
          <w:b/>
          <w:color w:val="auto"/>
          <w:sz w:val="36"/>
          <w:szCs w:val="20"/>
          <w:highlight w:val="none"/>
        </w:rPr>
      </w:pPr>
    </w:p>
    <w:p w14:paraId="6AD1BE82">
      <w:pPr>
        <w:adjustRightInd/>
        <w:spacing w:beforeLines="100" w:afterLines="100"/>
        <w:jc w:val="center"/>
        <w:outlineLvl w:val="0"/>
        <w:rPr>
          <w:rFonts w:hint="eastAsia" w:ascii="仿宋" w:hAnsi="仿宋" w:eastAsia="仿宋" w:cs="仿宋"/>
          <w:b/>
          <w:color w:val="auto"/>
          <w:sz w:val="36"/>
          <w:szCs w:val="20"/>
          <w:highlight w:val="none"/>
        </w:rPr>
      </w:pPr>
    </w:p>
    <w:p w14:paraId="15701D7A">
      <w:pPr>
        <w:adjustRightInd/>
        <w:spacing w:beforeLines="100" w:afterLines="100"/>
        <w:jc w:val="center"/>
        <w:outlineLvl w:val="0"/>
        <w:rPr>
          <w:rFonts w:hint="eastAsia" w:ascii="仿宋" w:hAnsi="仿宋" w:eastAsia="仿宋" w:cs="仿宋"/>
          <w:b/>
          <w:color w:val="auto"/>
          <w:sz w:val="36"/>
          <w:szCs w:val="20"/>
          <w:highlight w:val="none"/>
        </w:rPr>
      </w:pPr>
    </w:p>
    <w:p w14:paraId="79C0C67B">
      <w:pPr>
        <w:adjustRightInd/>
        <w:spacing w:beforeLines="100" w:afterLines="100"/>
        <w:jc w:val="center"/>
        <w:outlineLvl w:val="0"/>
        <w:rPr>
          <w:rFonts w:hint="eastAsia" w:ascii="仿宋" w:hAnsi="仿宋" w:eastAsia="仿宋" w:cs="仿宋"/>
          <w:b/>
          <w:color w:val="auto"/>
          <w:sz w:val="36"/>
          <w:szCs w:val="20"/>
          <w:highlight w:val="none"/>
        </w:rPr>
      </w:pPr>
    </w:p>
    <w:p w14:paraId="6BEC1365">
      <w:pPr>
        <w:adjustRightInd/>
        <w:spacing w:beforeLines="100" w:afterLines="100"/>
        <w:jc w:val="center"/>
        <w:outlineLvl w:val="0"/>
        <w:rPr>
          <w:rFonts w:hint="eastAsia" w:ascii="仿宋" w:hAnsi="仿宋" w:eastAsia="仿宋" w:cs="仿宋"/>
          <w:b/>
          <w:color w:val="auto"/>
          <w:sz w:val="36"/>
          <w:szCs w:val="20"/>
          <w:highlight w:val="none"/>
        </w:rPr>
      </w:pPr>
    </w:p>
    <w:p w14:paraId="1FCF37FF">
      <w:pPr>
        <w:adjustRightInd/>
        <w:spacing w:beforeLines="100" w:afterLines="100"/>
        <w:jc w:val="center"/>
        <w:outlineLvl w:val="0"/>
        <w:rPr>
          <w:rFonts w:hint="eastAsia" w:ascii="仿宋" w:hAnsi="仿宋" w:eastAsia="仿宋" w:cs="仿宋"/>
          <w:b/>
          <w:color w:val="auto"/>
          <w:sz w:val="36"/>
          <w:szCs w:val="20"/>
          <w:highlight w:val="none"/>
        </w:rPr>
      </w:pPr>
    </w:p>
    <w:p w14:paraId="7C4DA641">
      <w:pPr>
        <w:adjustRightInd/>
        <w:spacing w:beforeLines="100" w:afterLines="100"/>
        <w:jc w:val="center"/>
        <w:outlineLvl w:val="0"/>
        <w:rPr>
          <w:rFonts w:hint="eastAsia" w:ascii="仿宋" w:hAnsi="仿宋" w:eastAsia="仿宋" w:cs="仿宋"/>
          <w:b/>
          <w:color w:val="auto"/>
          <w:sz w:val="36"/>
          <w:szCs w:val="20"/>
          <w:highlight w:val="none"/>
        </w:rPr>
      </w:pPr>
    </w:p>
    <w:p w14:paraId="086C1920">
      <w:pPr>
        <w:adjustRightInd/>
        <w:spacing w:beforeLines="100" w:afterLines="100"/>
        <w:jc w:val="center"/>
        <w:outlineLvl w:val="0"/>
        <w:rPr>
          <w:rFonts w:hint="eastAsia" w:ascii="仿宋" w:hAnsi="仿宋" w:eastAsia="仿宋" w:cs="仿宋"/>
          <w:b/>
          <w:color w:val="auto"/>
          <w:sz w:val="36"/>
          <w:szCs w:val="20"/>
          <w:highlight w:val="none"/>
        </w:rPr>
      </w:pPr>
    </w:p>
    <w:p w14:paraId="4BFBB01A">
      <w:pPr>
        <w:adjustRightInd/>
        <w:spacing w:beforeLines="100" w:afterLines="100"/>
        <w:jc w:val="center"/>
        <w:outlineLvl w:val="0"/>
        <w:rPr>
          <w:rFonts w:hint="eastAsia" w:ascii="仿宋" w:hAnsi="仿宋" w:eastAsia="仿宋" w:cs="仿宋"/>
          <w:b/>
          <w:color w:val="auto"/>
          <w:sz w:val="36"/>
          <w:szCs w:val="20"/>
          <w:highlight w:val="none"/>
        </w:rPr>
      </w:pPr>
    </w:p>
    <w:p w14:paraId="6F7F6259">
      <w:pPr>
        <w:adjustRightInd/>
        <w:spacing w:beforeLines="100" w:afterLines="100"/>
        <w:jc w:val="center"/>
        <w:outlineLvl w:val="0"/>
        <w:rPr>
          <w:rFonts w:hint="eastAsia" w:ascii="仿宋" w:hAnsi="仿宋" w:eastAsia="仿宋" w:cs="仿宋"/>
          <w:b/>
          <w:color w:val="auto"/>
          <w:sz w:val="36"/>
          <w:szCs w:val="20"/>
          <w:highlight w:val="none"/>
        </w:rPr>
      </w:pPr>
    </w:p>
    <w:p w14:paraId="6322C2FC">
      <w:pPr>
        <w:adjustRightInd/>
        <w:spacing w:beforeLines="100" w:afterLines="100"/>
        <w:jc w:val="center"/>
        <w:outlineLvl w:val="0"/>
        <w:rPr>
          <w:rFonts w:hint="eastAsia" w:ascii="仿宋" w:hAnsi="仿宋" w:eastAsia="仿宋" w:cs="仿宋"/>
          <w:b/>
          <w:color w:val="auto"/>
          <w:sz w:val="36"/>
          <w:szCs w:val="20"/>
          <w:highlight w:val="none"/>
        </w:rPr>
      </w:pPr>
    </w:p>
    <w:p w14:paraId="246CD0C6">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16F94CCD">
      <w:pPr>
        <w:adjustRightInd/>
        <w:spacing w:beforeLines="100" w:afterLines="100"/>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27E2A2B4">
      <w:pPr>
        <w:snapToGrid w:val="0"/>
        <w:spacing w:beforeLines="100" w:afterLines="100"/>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729"/>
        <w:gridCol w:w="1907"/>
        <w:gridCol w:w="6366"/>
      </w:tblGrid>
      <w:tr w14:paraId="29F21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exact"/>
          <w:jc w:val="center"/>
        </w:trPr>
        <w:tc>
          <w:tcPr>
            <w:tcW w:w="729" w:type="dxa"/>
            <w:shd w:val="clear" w:color="auto" w:fill="DCE6F2" w:themeFill="accent1" w:themeFillTint="32"/>
            <w:vAlign w:val="center"/>
          </w:tcPr>
          <w:p w14:paraId="46B54B64">
            <w:pPr>
              <w:snapToGrid w:val="0"/>
              <w:jc w:val="center"/>
              <w:rPr>
                <w:rFonts w:hint="eastAsia" w:ascii="仿宋" w:hAnsi="仿宋" w:eastAsia="仿宋" w:cs="仿宋"/>
                <w:color w:val="auto"/>
                <w:highlight w:val="none"/>
              </w:rPr>
            </w:pPr>
            <w:r>
              <w:rPr>
                <w:rFonts w:hint="eastAsia" w:ascii="仿宋" w:hAnsi="仿宋" w:eastAsia="仿宋" w:cs="仿宋"/>
                <w:b/>
                <w:color w:val="auto"/>
                <w:szCs w:val="21"/>
                <w:highlight w:val="none"/>
              </w:rPr>
              <w:t>序号</w:t>
            </w:r>
          </w:p>
        </w:tc>
        <w:tc>
          <w:tcPr>
            <w:tcW w:w="1907" w:type="dxa"/>
            <w:shd w:val="clear" w:color="auto" w:fill="DCE6F2" w:themeFill="accent1" w:themeFillTint="32"/>
            <w:vAlign w:val="center"/>
          </w:tcPr>
          <w:p w14:paraId="6FF0A30D">
            <w:pPr>
              <w:snapToGrid w:val="0"/>
              <w:jc w:val="center"/>
              <w:rPr>
                <w:rFonts w:hint="eastAsia" w:ascii="仿宋" w:hAnsi="仿宋" w:eastAsia="仿宋" w:cs="仿宋"/>
                <w:color w:val="auto"/>
                <w:highlight w:val="none"/>
              </w:rPr>
            </w:pPr>
            <w:r>
              <w:rPr>
                <w:rFonts w:hint="eastAsia" w:ascii="仿宋" w:hAnsi="仿宋" w:eastAsia="仿宋" w:cs="仿宋"/>
                <w:b/>
                <w:color w:val="auto"/>
                <w:szCs w:val="21"/>
                <w:highlight w:val="none"/>
              </w:rPr>
              <w:t>事项</w:t>
            </w:r>
          </w:p>
        </w:tc>
        <w:tc>
          <w:tcPr>
            <w:tcW w:w="6366" w:type="dxa"/>
            <w:shd w:val="clear" w:color="auto" w:fill="DCE6F2" w:themeFill="accent1" w:themeFillTint="32"/>
            <w:vAlign w:val="center"/>
          </w:tcPr>
          <w:p w14:paraId="6F426B4A">
            <w:pPr>
              <w:snapToGrid w:val="0"/>
              <w:jc w:val="center"/>
              <w:rPr>
                <w:rFonts w:hint="eastAsia" w:ascii="仿宋" w:hAnsi="仿宋" w:eastAsia="仿宋" w:cs="仿宋"/>
                <w:color w:val="auto"/>
                <w:highlight w:val="none"/>
              </w:rPr>
            </w:pPr>
            <w:r>
              <w:rPr>
                <w:rFonts w:hint="eastAsia" w:ascii="仿宋" w:hAnsi="仿宋" w:eastAsia="仿宋" w:cs="仿宋"/>
                <w:b/>
                <w:color w:val="auto"/>
                <w:szCs w:val="21"/>
                <w:highlight w:val="none"/>
              </w:rPr>
              <w:t>本项目的特别规定</w:t>
            </w:r>
          </w:p>
        </w:tc>
      </w:tr>
      <w:tr w14:paraId="75879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29" w:type="dxa"/>
            <w:shd w:val="clear" w:color="auto" w:fill="FFFFFF" w:themeFill="background1"/>
            <w:vAlign w:val="center"/>
          </w:tcPr>
          <w:p w14:paraId="667EC949">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907" w:type="dxa"/>
            <w:shd w:val="clear" w:color="auto" w:fill="FFFFFF" w:themeFill="background1"/>
            <w:vAlign w:val="center"/>
          </w:tcPr>
          <w:p w14:paraId="63FEF9CF">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项目属性</w:t>
            </w:r>
          </w:p>
        </w:tc>
        <w:tc>
          <w:tcPr>
            <w:tcW w:w="6366" w:type="dxa"/>
            <w:shd w:val="clear" w:color="auto" w:fill="FFFFFF" w:themeFill="background1"/>
            <w:vAlign w:val="center"/>
          </w:tcPr>
          <w:p w14:paraId="76098C36">
            <w:pPr>
              <w:rPr>
                <w:rFonts w:hint="eastAsia" w:ascii="仿宋" w:hAnsi="仿宋" w:eastAsia="仿宋" w:cs="仿宋"/>
                <w:b/>
                <w:color w:val="auto"/>
                <w:kern w:val="0"/>
                <w:szCs w:val="21"/>
                <w:highlight w:val="none"/>
              </w:rPr>
            </w:pPr>
            <w:r>
              <w:rPr>
                <w:rFonts w:hint="eastAsia" w:ascii="仿宋" w:hAnsi="仿宋" w:eastAsia="仿宋" w:cs="仿宋"/>
                <w:bCs/>
                <w:color w:val="auto"/>
                <w:kern w:val="0"/>
                <w:szCs w:val="21"/>
                <w:highlight w:val="none"/>
              </w:rPr>
              <w:t>服务类</w:t>
            </w:r>
          </w:p>
        </w:tc>
      </w:tr>
      <w:tr w14:paraId="04F74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2EBEDFA9">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907" w:type="dxa"/>
            <w:shd w:val="clear" w:color="auto" w:fill="FFFFFF" w:themeFill="background1"/>
            <w:vAlign w:val="center"/>
          </w:tcPr>
          <w:p w14:paraId="7373FB73">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采购标的及其对应的中小企业划分标准所属行业</w:t>
            </w:r>
          </w:p>
        </w:tc>
        <w:tc>
          <w:tcPr>
            <w:tcW w:w="6366" w:type="dxa"/>
            <w:shd w:val="clear" w:color="auto" w:fill="FFFFFF" w:themeFill="background1"/>
            <w:vAlign w:val="center"/>
          </w:tcPr>
          <w:p w14:paraId="31015E01">
            <w:pPr>
              <w:spacing w:line="400" w:lineRule="exact"/>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标的：</w:t>
            </w:r>
            <w:r>
              <w:rPr>
                <w:rFonts w:hint="eastAsia" w:ascii="仿宋" w:hAnsi="仿宋" w:eastAsia="仿宋" w:cs="仿宋"/>
                <w:b/>
                <w:color w:val="auto"/>
                <w:kern w:val="0"/>
                <w:szCs w:val="21"/>
                <w:highlight w:val="none"/>
                <w:u w:val="single"/>
                <w:lang w:eastAsia="zh-CN"/>
              </w:rPr>
              <w:t>2025年秀洲区交通运输局交通大楼保安服务</w:t>
            </w:r>
            <w:r>
              <w:rPr>
                <w:rFonts w:hint="eastAsia" w:ascii="仿宋" w:hAnsi="仿宋" w:eastAsia="仿宋" w:cs="仿宋"/>
                <w:b/>
                <w:color w:val="auto"/>
                <w:kern w:val="0"/>
                <w:szCs w:val="21"/>
                <w:highlight w:val="none"/>
              </w:rPr>
              <w:t>，属于</w:t>
            </w:r>
            <w:r>
              <w:rPr>
                <w:rFonts w:hint="eastAsia" w:ascii="仿宋" w:hAnsi="仿宋" w:eastAsia="仿宋" w:cs="仿宋"/>
                <w:b/>
                <w:color w:val="auto"/>
                <w:kern w:val="0"/>
                <w:szCs w:val="21"/>
                <w:highlight w:val="none"/>
                <w:u w:val="single"/>
                <w:lang w:val="en-US" w:eastAsia="zh-CN"/>
              </w:rPr>
              <w:t>租赁和商务服务业</w:t>
            </w:r>
            <w:r>
              <w:rPr>
                <w:rFonts w:hint="eastAsia" w:ascii="仿宋" w:hAnsi="仿宋" w:eastAsia="仿宋" w:cs="仿宋"/>
                <w:b/>
                <w:color w:val="auto"/>
                <w:kern w:val="0"/>
                <w:szCs w:val="21"/>
                <w:highlight w:val="none"/>
              </w:rPr>
              <w:t>；</w:t>
            </w:r>
          </w:p>
        </w:tc>
      </w:tr>
      <w:tr w14:paraId="02653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4C6C0F77">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907" w:type="dxa"/>
            <w:shd w:val="clear" w:color="auto" w:fill="FFFFFF" w:themeFill="background1"/>
            <w:vAlign w:val="center"/>
          </w:tcPr>
          <w:p w14:paraId="5881947F">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是否允许采购进口产品</w:t>
            </w:r>
          </w:p>
        </w:tc>
        <w:tc>
          <w:tcPr>
            <w:tcW w:w="6366" w:type="dxa"/>
            <w:shd w:val="clear" w:color="auto" w:fill="FFFFFF" w:themeFill="background1"/>
            <w:vAlign w:val="center"/>
          </w:tcPr>
          <w:p w14:paraId="0C2B5FBF">
            <w:pPr>
              <w:spacing w:line="400" w:lineRule="exact"/>
              <w:rPr>
                <w:rFonts w:hint="eastAsia" w:ascii="仿宋" w:hAnsi="仿宋" w:eastAsia="仿宋" w:cs="仿宋"/>
                <w:bCs/>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bCs/>
                <w:color w:val="auto"/>
                <w:kern w:val="0"/>
                <w:szCs w:val="21"/>
                <w:highlight w:val="none"/>
              </w:rPr>
              <w:t>本项目不允许采购进口产品。</w:t>
            </w:r>
          </w:p>
          <w:p w14:paraId="2539AEBE">
            <w:pPr>
              <w:spacing w:line="400" w:lineRule="exact"/>
              <w:rPr>
                <w:rFonts w:hint="eastAsia" w:ascii="仿宋" w:hAnsi="仿宋" w:eastAsia="仿宋" w:cs="仿宋"/>
                <w:b/>
                <w:color w:val="auto"/>
                <w:kern w:val="0"/>
                <w:szCs w:val="21"/>
                <w:highlight w:val="none"/>
              </w:rPr>
            </w:pPr>
            <w:r>
              <w:rPr>
                <w:rFonts w:hint="eastAsia" w:ascii="仿宋" w:hAnsi="仿宋" w:eastAsia="仿宋" w:cs="仿宋"/>
                <w:color w:val="auto"/>
                <w:kern w:val="0"/>
                <w:szCs w:val="21"/>
                <w:highlight w:val="none"/>
              </w:rPr>
              <w:sym w:font="Wingdings" w:char="00A8"/>
            </w:r>
            <w:r>
              <w:rPr>
                <w:rFonts w:hint="eastAsia" w:ascii="仿宋" w:hAnsi="仿宋" w:eastAsia="仿宋" w:cs="仿宋"/>
                <w:bCs/>
                <w:color w:val="auto"/>
                <w:kern w:val="0"/>
                <w:szCs w:val="21"/>
                <w:highlight w:val="none"/>
              </w:rPr>
              <w:t>可以就采购进口产品。</w:t>
            </w:r>
          </w:p>
        </w:tc>
      </w:tr>
      <w:tr w14:paraId="71232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295B669A">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1907" w:type="dxa"/>
            <w:shd w:val="clear" w:color="auto" w:fill="FFFFFF" w:themeFill="background1"/>
            <w:vAlign w:val="center"/>
          </w:tcPr>
          <w:p w14:paraId="120B6D0E">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分包</w:t>
            </w:r>
          </w:p>
        </w:tc>
        <w:tc>
          <w:tcPr>
            <w:tcW w:w="6366" w:type="dxa"/>
            <w:shd w:val="clear" w:color="auto" w:fill="FFFFFF" w:themeFill="background1"/>
            <w:vAlign w:val="center"/>
          </w:tcPr>
          <w:p w14:paraId="235B3B69">
            <w:pPr>
              <w:spacing w:line="40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A8"/>
            </w:r>
            <w:r>
              <w:rPr>
                <w:rFonts w:hint="eastAsia" w:ascii="仿宋" w:hAnsi="仿宋" w:eastAsia="仿宋" w:cs="仿宋"/>
                <w:color w:val="auto"/>
                <w:kern w:val="0"/>
                <w:szCs w:val="21"/>
                <w:highlight w:val="none"/>
              </w:rPr>
              <w:t>A同意将非主体、非关键性的工作分包。</w:t>
            </w:r>
          </w:p>
          <w:p w14:paraId="6EE838E0">
            <w:pPr>
              <w:spacing w:line="40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rPr>
              <w:t>B不同意分包。</w:t>
            </w:r>
          </w:p>
          <w:p w14:paraId="2EA7350D">
            <w:pPr>
              <w:spacing w:line="40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注：不得限制大中型企业向小微企业合理分包。</w:t>
            </w:r>
          </w:p>
        </w:tc>
      </w:tr>
      <w:tr w14:paraId="1C2EF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46895438">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1907" w:type="dxa"/>
            <w:shd w:val="clear" w:color="auto" w:fill="FFFFFF" w:themeFill="background1"/>
            <w:vAlign w:val="center"/>
          </w:tcPr>
          <w:p w14:paraId="4D12D6DB">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开标前答疑会或现场考察</w:t>
            </w:r>
          </w:p>
        </w:tc>
        <w:tc>
          <w:tcPr>
            <w:tcW w:w="6366" w:type="dxa"/>
            <w:shd w:val="clear" w:color="auto" w:fill="FFFFFF" w:themeFill="background1"/>
            <w:vAlign w:val="center"/>
          </w:tcPr>
          <w:p w14:paraId="1EC65768">
            <w:pPr>
              <w:spacing w:line="40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rPr>
              <w:t>A不组织。</w:t>
            </w:r>
          </w:p>
          <w:p w14:paraId="571B982E">
            <w:pPr>
              <w:spacing w:line="400" w:lineRule="exact"/>
              <w:rPr>
                <w:rFonts w:hint="eastAsia" w:ascii="仿宋" w:hAnsi="仿宋" w:eastAsia="仿宋" w:cs="仿宋"/>
                <w:color w:val="auto"/>
                <w:kern w:val="0"/>
                <w:szCs w:val="21"/>
                <w:highlight w:val="none"/>
              </w:rPr>
            </w:pPr>
            <w:sdt>
              <w:sdtPr>
                <w:rPr>
                  <w:rFonts w:hint="eastAsia" w:ascii="仿宋" w:hAnsi="仿宋" w:eastAsia="仿宋" w:cs="仿宋"/>
                  <w:color w:val="auto"/>
                  <w:kern w:val="0"/>
                  <w:szCs w:val="21"/>
                  <w:highlight w:val="none"/>
                </w:rPr>
                <w:id w:val="1777057702"/>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A8"/>
                </w:r>
              </w:sdtContent>
            </w:sdt>
            <w:r>
              <w:rPr>
                <w:rFonts w:hint="eastAsia" w:ascii="仿宋" w:hAnsi="仿宋" w:eastAsia="仿宋" w:cs="仿宋"/>
                <w:color w:val="auto"/>
                <w:kern w:val="0"/>
                <w:szCs w:val="21"/>
                <w:highlight w:val="none"/>
              </w:rPr>
              <w:t>B组织，时间：</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,地点：</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，联系人：</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，联系方式：</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w:t>
            </w:r>
          </w:p>
        </w:tc>
      </w:tr>
      <w:tr w14:paraId="51409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79BCBA03">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1907" w:type="dxa"/>
            <w:shd w:val="clear" w:color="auto" w:fill="FFFFFF" w:themeFill="background1"/>
            <w:vAlign w:val="center"/>
          </w:tcPr>
          <w:p w14:paraId="16D27217">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样品提供</w:t>
            </w:r>
          </w:p>
        </w:tc>
        <w:tc>
          <w:tcPr>
            <w:tcW w:w="6366" w:type="dxa"/>
            <w:shd w:val="clear" w:color="auto" w:fill="FFFFFF" w:themeFill="background1"/>
            <w:vAlign w:val="center"/>
          </w:tcPr>
          <w:p w14:paraId="68DB91A6">
            <w:pPr>
              <w:wordWrap w:val="0"/>
              <w:spacing w:line="400" w:lineRule="exac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F0FE"/>
            </w:r>
            <w:r>
              <w:rPr>
                <w:rFonts w:hint="eastAsia" w:ascii="仿宋" w:hAnsi="仿宋" w:eastAsia="仿宋" w:cs="仿宋"/>
                <w:color w:val="auto"/>
                <w:kern w:val="0"/>
                <w:szCs w:val="21"/>
                <w:highlight w:val="none"/>
              </w:rPr>
              <w:t>A</w:t>
            </w:r>
            <w:r>
              <w:rPr>
                <w:rFonts w:hint="eastAsia" w:ascii="仿宋" w:hAnsi="仿宋" w:eastAsia="仿宋" w:cs="仿宋"/>
                <w:color w:val="auto"/>
                <w:szCs w:val="21"/>
                <w:highlight w:val="none"/>
              </w:rPr>
              <w:t>不要求提供。</w:t>
            </w:r>
          </w:p>
          <w:p w14:paraId="3F59312F">
            <w:pPr>
              <w:wordWrap w:val="0"/>
              <w:spacing w:line="400" w:lineRule="exact"/>
              <w:rPr>
                <w:rFonts w:hint="eastAsia" w:ascii="仿宋" w:hAnsi="仿宋" w:eastAsia="仿宋" w:cs="仿宋"/>
                <w:color w:val="auto"/>
                <w:kern w:val="0"/>
                <w:szCs w:val="21"/>
                <w:highlight w:val="none"/>
              </w:rPr>
            </w:pPr>
            <w:sdt>
              <w:sdtPr>
                <w:rPr>
                  <w:rFonts w:hint="eastAsia" w:ascii="仿宋" w:hAnsi="仿宋" w:eastAsia="仿宋" w:cs="仿宋"/>
                  <w:color w:val="auto"/>
                  <w:kern w:val="0"/>
                  <w:szCs w:val="21"/>
                  <w:highlight w:val="none"/>
                </w:rPr>
                <w:id w:val="1026831988"/>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A8"/>
                </w:r>
              </w:sdtContent>
            </w:sdt>
            <w:r>
              <w:rPr>
                <w:rFonts w:hint="eastAsia" w:ascii="仿宋" w:hAnsi="仿宋" w:eastAsia="仿宋" w:cs="仿宋"/>
                <w:color w:val="auto"/>
                <w:kern w:val="0"/>
                <w:szCs w:val="21"/>
                <w:highlight w:val="none"/>
              </w:rPr>
              <w:t>B要求提供，</w:t>
            </w:r>
          </w:p>
          <w:p w14:paraId="19A4A85A">
            <w:pPr>
              <w:wordWrap w:val="0"/>
              <w:spacing w:line="40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w:t>
            </w:r>
            <w:r>
              <w:rPr>
                <w:rFonts w:hint="eastAsia" w:ascii="仿宋" w:hAnsi="仿宋" w:eastAsia="仿宋" w:cs="仿宋"/>
                <w:snapToGrid w:val="0"/>
                <w:color w:val="auto"/>
                <w:kern w:val="28"/>
                <w:szCs w:val="21"/>
                <w:highlight w:val="none"/>
              </w:rPr>
              <w:t>样品：</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w:t>
            </w:r>
          </w:p>
          <w:p w14:paraId="5A880003">
            <w:pPr>
              <w:wordWrap w:val="0"/>
              <w:spacing w:line="400" w:lineRule="exact"/>
              <w:rPr>
                <w:rFonts w:hint="eastAsia" w:ascii="仿宋" w:hAnsi="仿宋" w:eastAsia="仿宋" w:cs="仿宋"/>
                <w:color w:val="auto"/>
                <w:kern w:val="0"/>
                <w:szCs w:val="21"/>
                <w:highlight w:val="none"/>
              </w:rPr>
            </w:pPr>
            <w:r>
              <w:rPr>
                <w:rFonts w:hint="eastAsia" w:ascii="仿宋" w:hAnsi="仿宋" w:eastAsia="仿宋" w:cs="仿宋"/>
                <w:snapToGrid w:val="0"/>
                <w:color w:val="auto"/>
                <w:kern w:val="28"/>
                <w:szCs w:val="21"/>
                <w:highlight w:val="none"/>
              </w:rPr>
              <w:t>（2）样品制作的标准和要求：</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w:t>
            </w:r>
          </w:p>
          <w:p w14:paraId="2AB42F43">
            <w:pPr>
              <w:wordWrap w:val="0"/>
              <w:spacing w:line="40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（3）样品的评审方法以及评审标准</w:t>
            </w:r>
            <w:r>
              <w:rPr>
                <w:rFonts w:hint="eastAsia" w:ascii="仿宋" w:hAnsi="仿宋" w:eastAsia="仿宋" w:cs="仿宋"/>
                <w:snapToGrid w:val="0"/>
                <w:color w:val="auto"/>
                <w:kern w:val="28"/>
                <w:szCs w:val="21"/>
                <w:highlight w:val="none"/>
              </w:rPr>
              <w:t>：详见</w:t>
            </w:r>
            <w:r>
              <w:rPr>
                <w:rFonts w:hint="eastAsia" w:ascii="仿宋" w:hAnsi="仿宋" w:eastAsia="仿宋" w:cs="仿宋"/>
                <w:color w:val="auto"/>
                <w:szCs w:val="21"/>
                <w:highlight w:val="none"/>
                <w:u w:val="single"/>
              </w:rPr>
              <w:t>评标办法</w:t>
            </w:r>
            <w:r>
              <w:rPr>
                <w:rFonts w:hint="eastAsia" w:ascii="仿宋" w:hAnsi="仿宋" w:eastAsia="仿宋" w:cs="仿宋"/>
                <w:color w:val="auto"/>
                <w:kern w:val="0"/>
                <w:szCs w:val="21"/>
                <w:highlight w:val="none"/>
              </w:rPr>
              <w:t>；</w:t>
            </w:r>
          </w:p>
          <w:p w14:paraId="41AAF144">
            <w:pPr>
              <w:wordWrap w:val="0"/>
              <w:spacing w:line="40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（4）是否需要随样品提交检测报告：</w:t>
            </w:r>
            <w:r>
              <w:rPr>
                <w:rFonts w:hint="eastAsia" w:ascii="仿宋" w:hAnsi="仿宋" w:eastAsia="仿宋" w:cs="仿宋"/>
                <w:color w:val="auto"/>
                <w:kern w:val="0"/>
                <w:szCs w:val="21"/>
                <w:highlight w:val="none"/>
              </w:rPr>
              <w:sym w:font="Wingdings" w:char="00A8"/>
            </w:r>
            <w:r>
              <w:rPr>
                <w:rFonts w:hint="eastAsia" w:ascii="仿宋" w:hAnsi="仿宋" w:eastAsia="仿宋" w:cs="仿宋"/>
                <w:color w:val="auto"/>
                <w:kern w:val="0"/>
                <w:szCs w:val="21"/>
                <w:highlight w:val="none"/>
              </w:rPr>
              <w:t>否；</w:t>
            </w:r>
            <w:sdt>
              <w:sdtPr>
                <w:rPr>
                  <w:rFonts w:hint="eastAsia" w:ascii="仿宋" w:hAnsi="仿宋" w:eastAsia="仿宋" w:cs="仿宋"/>
                  <w:color w:val="auto"/>
                  <w:kern w:val="0"/>
                  <w:szCs w:val="21"/>
                  <w:highlight w:val="none"/>
                </w:rPr>
                <w:id w:val="1621728433"/>
              </w:sdtPr>
              <w:sdtEndPr>
                <w:rPr>
                  <w:rFonts w:hint="eastAsia" w:ascii="仿宋" w:hAnsi="仿宋" w:eastAsia="仿宋" w:cs="仿宋"/>
                  <w:color w:val="auto"/>
                  <w:kern w:val="0"/>
                  <w:szCs w:val="21"/>
                  <w:highlight w:val="none"/>
                </w:rPr>
              </w:sdtEndPr>
              <w:sdtContent>
                <w:sdt>
                  <w:sdtPr>
                    <w:rPr>
                      <w:rFonts w:hint="eastAsia" w:ascii="仿宋" w:hAnsi="仿宋" w:eastAsia="仿宋" w:cs="仿宋"/>
                      <w:color w:val="auto"/>
                      <w:kern w:val="0"/>
                      <w:szCs w:val="21"/>
                      <w:highlight w:val="none"/>
                    </w:rPr>
                    <w:id w:val="1303421454"/>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A8"/>
                    </w:r>
                  </w:sdtContent>
                </w:sdt>
              </w:sdtContent>
            </w:sdt>
            <w:r>
              <w:rPr>
                <w:rFonts w:hint="eastAsia" w:ascii="仿宋" w:hAnsi="仿宋" w:eastAsia="仿宋" w:cs="仿宋"/>
                <w:color w:val="auto"/>
                <w:kern w:val="0"/>
                <w:szCs w:val="21"/>
                <w:highlight w:val="none"/>
              </w:rPr>
              <w:t>是，检测机构的要求</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；检测内容</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w:t>
            </w:r>
          </w:p>
          <w:p w14:paraId="07659BF7">
            <w:pPr>
              <w:wordWrap w:val="0"/>
              <w:spacing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（5）提供样品的时间：</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；地点：</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kern w:val="0"/>
                <w:szCs w:val="21"/>
                <w:highlight w:val="none"/>
              </w:rPr>
              <w:t>；联系人</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szCs w:val="21"/>
                <w:highlight w:val="none"/>
              </w:rPr>
              <w:t>，</w:t>
            </w:r>
            <w:r>
              <w:rPr>
                <w:rFonts w:hint="eastAsia" w:ascii="仿宋" w:hAnsi="仿宋" w:eastAsia="仿宋" w:cs="仿宋"/>
                <w:color w:val="auto"/>
                <w:kern w:val="28"/>
                <w:szCs w:val="21"/>
                <w:highlight w:val="none"/>
              </w:rPr>
              <w:t>联系电话：</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szCs w:val="21"/>
                <w:highlight w:val="none"/>
              </w:rPr>
              <w:t>。请投标人在上述时间内提供样品并按规定位置安装完毕。超过截止时间的，采购人或采购代理机构将不予接收，并将清场并封闭样品现场。</w:t>
            </w:r>
          </w:p>
          <w:p w14:paraId="5EF99195">
            <w:pPr>
              <w:wordWrap w:val="0"/>
              <w:spacing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2AFA3C15">
            <w:pPr>
              <w:spacing w:line="400" w:lineRule="exac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（7）制作、运输、安装和保管样品所发生的一切费用由投标人自理。</w:t>
            </w:r>
          </w:p>
        </w:tc>
      </w:tr>
      <w:tr w14:paraId="13B60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26ADF543">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1907" w:type="dxa"/>
            <w:shd w:val="clear" w:color="auto" w:fill="FFFFFF" w:themeFill="background1"/>
            <w:vAlign w:val="center"/>
          </w:tcPr>
          <w:p w14:paraId="257BD2BF">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方案讲解演示</w:t>
            </w:r>
          </w:p>
        </w:tc>
        <w:tc>
          <w:tcPr>
            <w:tcW w:w="6366" w:type="dxa"/>
            <w:shd w:val="clear" w:color="auto" w:fill="FFFFFF" w:themeFill="background1"/>
            <w:vAlign w:val="center"/>
          </w:tcPr>
          <w:p w14:paraId="2BDDC2C1">
            <w:pPr>
              <w:spacing w:line="400" w:lineRule="exact"/>
              <w:rPr>
                <w:rFonts w:hint="eastAsia" w:ascii="仿宋" w:hAnsi="仿宋" w:eastAsia="仿宋" w:cs="仿宋"/>
                <w:bCs/>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bCs/>
                <w:color w:val="auto"/>
                <w:kern w:val="0"/>
                <w:szCs w:val="21"/>
                <w:highlight w:val="none"/>
              </w:rPr>
              <w:t>A不组织。</w:t>
            </w:r>
          </w:p>
          <w:p w14:paraId="4EE23EBA">
            <w:pPr>
              <w:spacing w:line="400" w:lineRule="exact"/>
              <w:rPr>
                <w:rFonts w:hint="eastAsia" w:ascii="仿宋" w:hAnsi="仿宋" w:eastAsia="仿宋" w:cs="仿宋"/>
                <w:bCs/>
                <w:color w:val="auto"/>
                <w:kern w:val="0"/>
                <w:szCs w:val="21"/>
                <w:highlight w:val="none"/>
              </w:rPr>
            </w:pPr>
            <w:r>
              <w:rPr>
                <w:rFonts w:hint="eastAsia" w:ascii="仿宋" w:hAnsi="仿宋" w:eastAsia="仿宋" w:cs="仿宋"/>
                <w:color w:val="auto"/>
                <w:kern w:val="0"/>
                <w:szCs w:val="21"/>
                <w:highlight w:val="none"/>
              </w:rPr>
              <w:sym w:font="Wingdings" w:char="00A8"/>
            </w:r>
            <w:r>
              <w:rPr>
                <w:rFonts w:hint="eastAsia" w:ascii="仿宋" w:hAnsi="仿宋" w:eastAsia="仿宋" w:cs="仿宋"/>
                <w:bCs/>
                <w:color w:val="auto"/>
                <w:kern w:val="0"/>
                <w:szCs w:val="21"/>
                <w:highlight w:val="none"/>
              </w:rPr>
              <w:t>B组织。</w:t>
            </w:r>
          </w:p>
          <w:p w14:paraId="388B6317">
            <w:pPr>
              <w:spacing w:line="400" w:lineRule="exact"/>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6A851938">
            <w:pPr>
              <w:spacing w:line="400" w:lineRule="exact"/>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（2）方案讲解演示可选择以下其中一种方式：</w:t>
            </w:r>
          </w:p>
          <w:p w14:paraId="5C154FD4">
            <w:pPr>
              <w:spacing w:line="400" w:lineRule="exact"/>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方式一：政采云平台在线讲解演示。政采云平台在线讲解需投标人根据政采云平台操作要求做好准备工作，提前完善软硬件配置环境。</w:t>
            </w:r>
          </w:p>
          <w:p w14:paraId="4BF24F72">
            <w:pPr>
              <w:spacing w:line="400" w:lineRule="exact"/>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方式二：采购代理机构现场讲解演示。现场讲解地点为</w:t>
            </w:r>
            <w:r>
              <w:rPr>
                <w:rFonts w:hint="eastAsia" w:ascii="仿宋" w:hAnsi="仿宋" w:eastAsia="仿宋" w:cs="仿宋"/>
                <w:bCs/>
                <w:color w:val="auto"/>
                <w:kern w:val="0"/>
                <w:szCs w:val="21"/>
                <w:highlight w:val="none"/>
                <w:u w:val="single"/>
                <w:lang w:val="en-US" w:eastAsia="zh-CN"/>
              </w:rPr>
              <w:t xml:space="preserve">  /  </w:t>
            </w:r>
            <w:r>
              <w:rPr>
                <w:rFonts w:hint="eastAsia" w:ascii="仿宋" w:hAnsi="仿宋" w:eastAsia="仿宋" w:cs="仿宋"/>
                <w:bCs/>
                <w:color w:val="auto"/>
                <w:kern w:val="0"/>
                <w:szCs w:val="21"/>
                <w:highlight w:val="none"/>
              </w:rPr>
              <w:t>，讲解演示所用电脑等设备由投标人自备。现场讲解演示人员进场时提供讲解人员名单（加盖公章或授权代表签名）及身份证明，否则不得讲解演示。</w:t>
            </w:r>
          </w:p>
          <w:p w14:paraId="49A403FE">
            <w:pPr>
              <w:spacing w:line="400" w:lineRule="exact"/>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方式三：采用“不见面”形式演示。投标人在投标截止时间前，递交自行录制的“音视频文件”，评标委员会在评审现场对其进行播放并以此作为与方案演示有关评审内容的评分依据。各投标人递交的音视频文件光盘或U盘中应有确保文件正常打开的播放器。</w:t>
            </w:r>
          </w:p>
          <w:p w14:paraId="26DA2718">
            <w:pPr>
              <w:spacing w:line="400" w:lineRule="exact"/>
              <w:rPr>
                <w:rFonts w:hint="eastAsia" w:ascii="仿宋" w:hAnsi="仿宋" w:eastAsia="仿宋" w:cs="仿宋"/>
                <w:b/>
                <w:color w:val="auto"/>
                <w:kern w:val="0"/>
                <w:szCs w:val="21"/>
                <w:highlight w:val="none"/>
              </w:rPr>
            </w:pPr>
            <w:r>
              <w:rPr>
                <w:rFonts w:hint="eastAsia" w:ascii="仿宋" w:hAnsi="仿宋" w:eastAsia="仿宋" w:cs="仿宋"/>
                <w:bCs/>
                <w:color w:val="auto"/>
                <w:kern w:val="0"/>
                <w:szCs w:val="21"/>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E844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jc w:val="center"/>
        </w:trPr>
        <w:tc>
          <w:tcPr>
            <w:tcW w:w="729" w:type="dxa"/>
            <w:vMerge w:val="restart"/>
            <w:shd w:val="clear" w:color="auto" w:fill="FFFFFF" w:themeFill="background1"/>
            <w:vAlign w:val="center"/>
          </w:tcPr>
          <w:p w14:paraId="1E74C90A">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1907" w:type="dxa"/>
            <w:vMerge w:val="restart"/>
            <w:shd w:val="clear" w:color="auto" w:fill="FFFFFF" w:themeFill="background1"/>
            <w:vAlign w:val="center"/>
          </w:tcPr>
          <w:p w14:paraId="62AA83BC">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投标人应当提供的资格、资信证明文件</w:t>
            </w:r>
          </w:p>
        </w:tc>
        <w:tc>
          <w:tcPr>
            <w:tcW w:w="6366" w:type="dxa"/>
            <w:shd w:val="clear" w:color="auto" w:fill="FFFFFF" w:themeFill="background1"/>
            <w:vAlign w:val="center"/>
          </w:tcPr>
          <w:p w14:paraId="62F84E1D">
            <w:pPr>
              <w:spacing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（1）资格证明文件：见招标文件第二部分11.1。</w:t>
            </w:r>
          </w:p>
          <w:p w14:paraId="51EE78F6">
            <w:pPr>
              <w:spacing w:line="400" w:lineRule="exact"/>
              <w:rPr>
                <w:rFonts w:hint="eastAsia" w:ascii="仿宋" w:hAnsi="仿宋" w:eastAsia="仿宋" w:cs="仿宋"/>
                <w:b/>
                <w:color w:val="auto"/>
                <w:kern w:val="0"/>
                <w:szCs w:val="21"/>
                <w:highlight w:val="none"/>
              </w:rPr>
            </w:pPr>
            <w:r>
              <w:rPr>
                <w:rFonts w:hint="eastAsia" w:ascii="仿宋" w:hAnsi="仿宋" w:eastAsia="仿宋" w:cs="仿宋"/>
                <w:color w:val="auto"/>
                <w:kern w:val="0"/>
                <w:szCs w:val="21"/>
                <w:highlight w:val="none"/>
                <w:lang w:val="zh-CN"/>
              </w:rPr>
              <w:t>投标人未提供有效的资格证明文件的，视为投标人不具备招标文件中规定的资格要求，投标无效。</w:t>
            </w:r>
          </w:p>
        </w:tc>
      </w:tr>
      <w:tr w14:paraId="65299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vMerge w:val="continue"/>
            <w:shd w:val="clear" w:color="auto" w:fill="FFFFFF" w:themeFill="background1"/>
            <w:vAlign w:val="center"/>
          </w:tcPr>
          <w:p w14:paraId="76D69B2D">
            <w:pPr>
              <w:snapToGrid w:val="0"/>
              <w:jc w:val="center"/>
              <w:rPr>
                <w:rFonts w:hint="eastAsia" w:ascii="仿宋" w:hAnsi="仿宋" w:eastAsia="仿宋" w:cs="仿宋"/>
                <w:color w:val="auto"/>
                <w:szCs w:val="21"/>
                <w:highlight w:val="none"/>
              </w:rPr>
            </w:pPr>
          </w:p>
        </w:tc>
        <w:tc>
          <w:tcPr>
            <w:tcW w:w="1907" w:type="dxa"/>
            <w:vMerge w:val="continue"/>
            <w:shd w:val="clear" w:color="auto" w:fill="FFFFFF" w:themeFill="background1"/>
            <w:vAlign w:val="center"/>
          </w:tcPr>
          <w:p w14:paraId="6DCB7421">
            <w:pPr>
              <w:snapToGrid w:val="0"/>
              <w:jc w:val="center"/>
              <w:rPr>
                <w:rFonts w:hint="eastAsia" w:ascii="仿宋" w:hAnsi="仿宋" w:eastAsia="仿宋" w:cs="仿宋"/>
                <w:color w:val="auto"/>
                <w:szCs w:val="21"/>
                <w:highlight w:val="none"/>
              </w:rPr>
            </w:pPr>
          </w:p>
        </w:tc>
        <w:tc>
          <w:tcPr>
            <w:tcW w:w="6366" w:type="dxa"/>
            <w:shd w:val="clear" w:color="auto" w:fill="FFFFFF" w:themeFill="background1"/>
            <w:vAlign w:val="center"/>
          </w:tcPr>
          <w:p w14:paraId="083349E1">
            <w:pPr>
              <w:spacing w:line="400" w:lineRule="exact"/>
              <w:rPr>
                <w:rFonts w:hint="eastAsia" w:ascii="仿宋" w:hAnsi="仿宋" w:eastAsia="仿宋" w:cs="仿宋"/>
                <w:b/>
                <w:color w:val="auto"/>
                <w:kern w:val="0"/>
                <w:szCs w:val="21"/>
                <w:highlight w:val="none"/>
              </w:rPr>
            </w:pPr>
            <w:r>
              <w:rPr>
                <w:rFonts w:hint="eastAsia" w:ascii="仿宋" w:hAnsi="仿宋" w:eastAsia="仿宋" w:cs="仿宋"/>
                <w:color w:val="auto"/>
                <w:szCs w:val="21"/>
                <w:highlight w:val="none"/>
              </w:rPr>
              <w:t>（2）资信证明文件：根据招标文件第四部分评标标准提供。</w:t>
            </w:r>
          </w:p>
        </w:tc>
      </w:tr>
      <w:tr w14:paraId="36D4B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7FC813B0">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1907" w:type="dxa"/>
            <w:shd w:val="clear" w:color="auto" w:fill="FFFFFF" w:themeFill="background1"/>
            <w:vAlign w:val="center"/>
          </w:tcPr>
          <w:p w14:paraId="41CA991A">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节能产品、环境标志产品</w:t>
            </w:r>
          </w:p>
        </w:tc>
        <w:tc>
          <w:tcPr>
            <w:tcW w:w="6366" w:type="dxa"/>
            <w:shd w:val="clear" w:color="auto" w:fill="FFFFFF" w:themeFill="background1"/>
            <w:vAlign w:val="center"/>
          </w:tcPr>
          <w:p w14:paraId="64C0536C">
            <w:pPr>
              <w:spacing w:line="400" w:lineRule="exact"/>
              <w:rPr>
                <w:rFonts w:hint="eastAsia" w:ascii="仿宋" w:hAnsi="仿宋" w:eastAsia="仿宋" w:cs="仿宋"/>
                <w:b/>
                <w:color w:val="auto"/>
                <w:kern w:val="0"/>
                <w:szCs w:val="21"/>
                <w:highlight w:val="none"/>
              </w:rPr>
            </w:pPr>
            <w:r>
              <w:rPr>
                <w:rFonts w:hint="eastAsia" w:ascii="仿宋" w:hAnsi="仿宋" w:eastAsia="仿宋" w:cs="仿宋"/>
                <w:bCs/>
                <w:color w:val="auto"/>
                <w:kern w:val="0"/>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7A13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515FCCE7">
            <w:pPr>
              <w:snapToGrid w:val="0"/>
              <w:jc w:val="center"/>
              <w:rPr>
                <w:rFonts w:hint="eastAsia" w:ascii="仿宋" w:hAnsi="仿宋" w:eastAsia="仿宋" w:cs="仿宋"/>
                <w:color w:val="auto"/>
                <w:highlight w:val="none"/>
              </w:rPr>
            </w:pPr>
            <w:r>
              <w:rPr>
                <w:rFonts w:hint="eastAsia" w:ascii="仿宋" w:hAnsi="仿宋" w:eastAsia="仿宋" w:cs="仿宋"/>
                <w:color w:val="auto"/>
                <w:szCs w:val="21"/>
                <w:highlight w:val="none"/>
              </w:rPr>
              <w:t>10</w:t>
            </w:r>
          </w:p>
        </w:tc>
        <w:tc>
          <w:tcPr>
            <w:tcW w:w="1907" w:type="dxa"/>
            <w:shd w:val="clear" w:color="auto" w:fill="FFFFFF" w:themeFill="background1"/>
            <w:vAlign w:val="center"/>
          </w:tcPr>
          <w:p w14:paraId="15482D92">
            <w:pPr>
              <w:snapToGrid w:val="0"/>
              <w:jc w:val="center"/>
              <w:rPr>
                <w:rFonts w:hint="eastAsia" w:ascii="仿宋" w:hAnsi="仿宋" w:eastAsia="仿宋" w:cs="仿宋"/>
                <w:color w:val="auto"/>
                <w:highlight w:val="none"/>
              </w:rPr>
            </w:pPr>
            <w:r>
              <w:rPr>
                <w:rFonts w:hint="eastAsia" w:ascii="仿宋" w:hAnsi="仿宋" w:eastAsia="仿宋" w:cs="仿宋"/>
                <w:color w:val="auto"/>
                <w:szCs w:val="21"/>
                <w:highlight w:val="none"/>
              </w:rPr>
              <w:t>报价要求</w:t>
            </w:r>
          </w:p>
        </w:tc>
        <w:tc>
          <w:tcPr>
            <w:tcW w:w="6366" w:type="dxa"/>
            <w:shd w:val="clear" w:color="auto" w:fill="FFFFFF" w:themeFill="background1"/>
            <w:vAlign w:val="center"/>
          </w:tcPr>
          <w:p w14:paraId="6F7172F3">
            <w:pPr>
              <w:snapToGrid w:val="0"/>
              <w:spacing w:line="400" w:lineRule="exact"/>
              <w:jc w:val="left"/>
              <w:rPr>
                <w:rFonts w:hint="eastAsia" w:ascii="仿宋" w:hAnsi="仿宋" w:eastAsia="仿宋" w:cs="仿宋"/>
                <w:b/>
                <w:color w:val="auto"/>
                <w:kern w:val="0"/>
                <w:szCs w:val="21"/>
                <w:highlight w:val="none"/>
              </w:rPr>
            </w:pPr>
            <w:r>
              <w:rPr>
                <w:rFonts w:hint="eastAsia" w:ascii="仿宋" w:hAnsi="仿宋" w:eastAsia="仿宋" w:cs="仿宋"/>
                <w:color w:val="auto"/>
                <w:kern w:val="0"/>
                <w:szCs w:val="21"/>
                <w:highlight w:val="none"/>
                <w:lang w:val="zh-CN"/>
              </w:rPr>
              <w:t>有关本项目实施</w:t>
            </w:r>
            <w:r>
              <w:rPr>
                <w:rFonts w:hint="eastAsia" w:ascii="仿宋" w:hAnsi="仿宋" w:eastAsia="仿宋" w:cs="仿宋"/>
                <w:color w:val="auto"/>
                <w:szCs w:val="21"/>
                <w:highlight w:val="none"/>
              </w:rPr>
              <w:t>所需的所有费用（含税费）均计入报价。</w:t>
            </w:r>
            <w:r>
              <w:rPr>
                <w:rFonts w:hint="eastAsia" w:ascii="仿宋" w:hAnsi="仿宋" w:eastAsia="仿宋" w:cs="仿宋"/>
                <w:b/>
                <w:bCs/>
                <w:color w:val="auto"/>
                <w:szCs w:val="21"/>
                <w:highlight w:val="none"/>
                <w:lang w:val="zh-CN"/>
              </w:rPr>
              <w:t>投标文件</w:t>
            </w:r>
            <w:r>
              <w:rPr>
                <w:rFonts w:hint="eastAsia" w:ascii="仿宋" w:hAnsi="仿宋" w:eastAsia="仿宋" w:cs="仿宋"/>
                <w:b/>
                <w:bCs/>
                <w:color w:val="auto"/>
                <w:szCs w:val="21"/>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Cs w:val="21"/>
                <w:highlight w:val="none"/>
                <w:lang w:val="zh-CN"/>
              </w:rPr>
              <w:t>投标文件中价格全部采用人民币报价。招标文件未列明，而投标人认为必需的费用也需列入报价。</w:t>
            </w:r>
            <w:r>
              <w:rPr>
                <w:rFonts w:hint="eastAsia" w:ascii="仿宋" w:hAnsi="仿宋" w:eastAsia="仿宋" w:cs="仿宋"/>
                <w:b/>
                <w:bCs/>
                <w:color w:val="auto"/>
                <w:kern w:val="0"/>
                <w:szCs w:val="21"/>
                <w:highlight w:val="none"/>
              </w:rPr>
              <w:t>提醒：验收时检测费用由采购人承担，不包含在投标总价中。</w:t>
            </w:r>
          </w:p>
          <w:p w14:paraId="01E11A25">
            <w:pPr>
              <w:snapToGrid w:val="0"/>
              <w:spacing w:line="400" w:lineRule="exact"/>
              <w:jc w:val="left"/>
              <w:rPr>
                <w:rFonts w:hint="eastAsia" w:ascii="仿宋" w:hAnsi="仿宋" w:eastAsia="仿宋" w:cs="仿宋"/>
                <w:b/>
                <w:color w:val="auto"/>
                <w:kern w:val="0"/>
                <w:szCs w:val="21"/>
                <w:highlight w:val="none"/>
                <w:lang w:val="zh-CN"/>
              </w:rPr>
            </w:pPr>
            <w:r>
              <w:rPr>
                <w:rFonts w:hint="eastAsia" w:ascii="仿宋" w:hAnsi="仿宋" w:eastAsia="仿宋" w:cs="仿宋"/>
                <w:b/>
                <w:color w:val="auto"/>
                <w:kern w:val="0"/>
                <w:szCs w:val="21"/>
                <w:highlight w:val="none"/>
                <w:lang w:val="zh-CN"/>
              </w:rPr>
              <w:t>投标报价出现下列情形的，投标无效：</w:t>
            </w:r>
          </w:p>
          <w:p w14:paraId="2F172EEA">
            <w:pPr>
              <w:snapToGrid w:val="0"/>
              <w:spacing w:line="400" w:lineRule="exact"/>
              <w:jc w:val="left"/>
              <w:rPr>
                <w:rFonts w:hint="eastAsia" w:ascii="仿宋" w:hAnsi="仿宋" w:eastAsia="仿宋" w:cs="仿宋"/>
                <w:b/>
                <w:color w:val="auto"/>
                <w:kern w:val="0"/>
                <w:szCs w:val="21"/>
                <w:highlight w:val="none"/>
                <w:lang w:val="zh-CN"/>
              </w:rPr>
            </w:pPr>
            <w:r>
              <w:rPr>
                <w:rFonts w:hint="eastAsia" w:ascii="仿宋" w:hAnsi="仿宋" w:eastAsia="仿宋" w:cs="仿宋"/>
                <w:b/>
                <w:color w:val="auto"/>
                <w:kern w:val="0"/>
                <w:szCs w:val="21"/>
                <w:highlight w:val="none"/>
                <w:lang w:val="zh-CN"/>
              </w:rPr>
              <w:t>投标文件出现不是唯一的、有选择性投标报价的；</w:t>
            </w:r>
          </w:p>
          <w:p w14:paraId="4C12BFC0">
            <w:pPr>
              <w:snapToGrid w:val="0"/>
              <w:spacing w:line="400" w:lineRule="exact"/>
              <w:jc w:val="left"/>
              <w:rPr>
                <w:rFonts w:hint="eastAsia" w:ascii="仿宋" w:hAnsi="仿宋" w:eastAsia="仿宋" w:cs="仿宋"/>
                <w:color w:val="auto"/>
                <w:kern w:val="0"/>
                <w:szCs w:val="21"/>
                <w:highlight w:val="none"/>
                <w:lang w:val="zh-CN"/>
              </w:rPr>
            </w:pPr>
            <w:r>
              <w:rPr>
                <w:rFonts w:hint="eastAsia" w:ascii="仿宋" w:hAnsi="仿宋" w:eastAsia="仿宋" w:cs="仿宋"/>
                <w:b/>
                <w:color w:val="auto"/>
                <w:kern w:val="0"/>
                <w:szCs w:val="21"/>
                <w:highlight w:val="none"/>
                <w:lang w:val="zh-CN"/>
              </w:rPr>
              <w:t>投标报价超过招标文件中规定的预算金额或者最高限价的;</w:t>
            </w:r>
          </w:p>
          <w:p w14:paraId="4FCA38B2">
            <w:pPr>
              <w:spacing w:line="400" w:lineRule="exact"/>
              <w:rPr>
                <w:rFonts w:hint="eastAsia" w:ascii="仿宋" w:hAnsi="仿宋" w:eastAsia="仿宋" w:cs="仿宋"/>
                <w:b/>
                <w:color w:val="auto"/>
                <w:szCs w:val="21"/>
                <w:highlight w:val="none"/>
              </w:rPr>
            </w:pPr>
            <w:r>
              <w:rPr>
                <w:rFonts w:hint="eastAsia" w:ascii="仿宋" w:hAnsi="仿宋" w:eastAsia="仿宋" w:cs="仿宋"/>
                <w:b/>
                <w:color w:val="auto"/>
                <w:kern w:val="0"/>
                <w:szCs w:val="21"/>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Cs w:val="21"/>
                <w:highlight w:val="none"/>
              </w:rPr>
              <w:t>;</w:t>
            </w:r>
          </w:p>
          <w:p w14:paraId="54E8879A">
            <w:pPr>
              <w:spacing w:line="400" w:lineRule="exact"/>
              <w:rPr>
                <w:rFonts w:hint="eastAsia" w:ascii="仿宋" w:hAnsi="仿宋" w:eastAsia="仿宋" w:cs="仿宋"/>
                <w:color w:val="auto"/>
                <w:highlight w:val="none"/>
              </w:rPr>
            </w:pPr>
            <w:r>
              <w:rPr>
                <w:rFonts w:hint="eastAsia" w:ascii="仿宋" w:hAnsi="仿宋" w:eastAsia="仿宋" w:cs="仿宋"/>
                <w:b/>
                <w:color w:val="auto"/>
                <w:kern w:val="0"/>
                <w:szCs w:val="21"/>
                <w:highlight w:val="none"/>
              </w:rPr>
              <w:t>投标人对根据修正原则修正后的报价不确认的</w:t>
            </w:r>
            <w:r>
              <w:rPr>
                <w:rFonts w:hint="eastAsia" w:ascii="仿宋" w:hAnsi="仿宋" w:eastAsia="仿宋" w:cs="仿宋"/>
                <w:b/>
                <w:color w:val="auto"/>
                <w:szCs w:val="21"/>
                <w:highlight w:val="none"/>
              </w:rPr>
              <w:t>。</w:t>
            </w:r>
          </w:p>
        </w:tc>
      </w:tr>
      <w:tr w14:paraId="18D34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48D5E04B">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1907" w:type="dxa"/>
            <w:shd w:val="clear" w:color="auto" w:fill="FFFFFF" w:themeFill="background1"/>
            <w:vAlign w:val="center"/>
          </w:tcPr>
          <w:p w14:paraId="6C227A64">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中小企业信用融资</w:t>
            </w:r>
          </w:p>
        </w:tc>
        <w:tc>
          <w:tcPr>
            <w:tcW w:w="6366" w:type="dxa"/>
            <w:shd w:val="clear" w:color="auto" w:fill="FFFFFF" w:themeFill="background1"/>
            <w:vAlign w:val="center"/>
          </w:tcPr>
          <w:p w14:paraId="29A04AB2">
            <w:pPr>
              <w:pStyle w:val="6"/>
              <w:wordWrap w:val="0"/>
              <w:spacing w:line="400" w:lineRule="exact"/>
              <w:rPr>
                <w:rFonts w:hint="eastAsia" w:ascii="仿宋" w:hAnsi="仿宋" w:eastAsia="仿宋" w:cs="仿宋"/>
                <w:b/>
                <w:color w:val="auto"/>
                <w:highlight w:val="none"/>
              </w:rPr>
            </w:pPr>
            <w:r>
              <w:rPr>
                <w:rFonts w:hint="eastAsia" w:ascii="仿宋" w:hAnsi="仿宋" w:eastAsia="仿宋" w:cs="仿宋"/>
                <w:snapToGrid/>
                <w:color w:val="auto"/>
                <w:kern w:val="0"/>
                <w:highlight w:val="none"/>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14:paraId="0CAF7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0E47952C">
            <w:pPr>
              <w:snapToGrid w:val="0"/>
              <w:jc w:val="center"/>
              <w:rPr>
                <w:rFonts w:hint="eastAsia" w:ascii="仿宋" w:hAnsi="仿宋" w:eastAsia="仿宋" w:cs="仿宋"/>
                <w:color w:val="auto"/>
                <w:highlight w:val="none"/>
              </w:rPr>
            </w:pPr>
            <w:r>
              <w:rPr>
                <w:rFonts w:hint="eastAsia" w:ascii="仿宋" w:hAnsi="仿宋" w:eastAsia="仿宋" w:cs="仿宋"/>
                <w:color w:val="auto"/>
                <w:szCs w:val="21"/>
                <w:highlight w:val="none"/>
              </w:rPr>
              <w:t>12</w:t>
            </w:r>
          </w:p>
        </w:tc>
        <w:tc>
          <w:tcPr>
            <w:tcW w:w="1907" w:type="dxa"/>
            <w:shd w:val="clear" w:color="auto" w:fill="FFFFFF" w:themeFill="background1"/>
            <w:vAlign w:val="center"/>
          </w:tcPr>
          <w:p w14:paraId="33E71906">
            <w:pPr>
              <w:snapToGrid w:val="0"/>
              <w:jc w:val="center"/>
              <w:rPr>
                <w:rFonts w:hint="eastAsia" w:ascii="仿宋" w:hAnsi="仿宋" w:eastAsia="仿宋" w:cs="仿宋"/>
                <w:color w:val="auto"/>
                <w:highlight w:val="none"/>
              </w:rPr>
            </w:pPr>
            <w:r>
              <w:rPr>
                <w:rFonts w:hint="eastAsia" w:ascii="仿宋" w:hAnsi="仿宋" w:eastAsia="仿宋" w:cs="仿宋"/>
                <w:color w:val="auto"/>
                <w:szCs w:val="21"/>
                <w:highlight w:val="none"/>
              </w:rPr>
              <w:t>备份投标文件送达地点和签收人员</w:t>
            </w:r>
          </w:p>
        </w:tc>
        <w:tc>
          <w:tcPr>
            <w:tcW w:w="6366" w:type="dxa"/>
            <w:shd w:val="clear" w:color="auto" w:fill="FFFFFF" w:themeFill="background1"/>
            <w:vAlign w:val="center"/>
          </w:tcPr>
          <w:p w14:paraId="7781B824">
            <w:pPr>
              <w:pStyle w:val="6"/>
              <w:spacing w:line="400" w:lineRule="exact"/>
              <w:rPr>
                <w:rFonts w:hint="eastAsia" w:ascii="仿宋" w:hAnsi="仿宋" w:eastAsia="仿宋" w:cs="仿宋"/>
                <w:color w:val="auto"/>
                <w:highlight w:val="none"/>
              </w:rPr>
            </w:pPr>
            <w:r>
              <w:rPr>
                <w:rFonts w:hint="eastAsia" w:ascii="仿宋" w:hAnsi="仿宋" w:eastAsia="仿宋" w:cs="仿宋"/>
                <w:color w:val="auto"/>
                <w:kern w:val="28"/>
                <w:highlight w:val="none"/>
              </w:rPr>
              <w:t>备份投标文件送达地点：</w:t>
            </w:r>
            <w:r>
              <w:rPr>
                <w:rFonts w:hint="eastAsia" w:ascii="仿宋" w:hAnsi="仿宋" w:eastAsia="仿宋" w:cs="仿宋"/>
                <w:color w:val="auto"/>
                <w:kern w:val="28"/>
                <w:highlight w:val="none"/>
                <w:u w:val="single"/>
                <w:lang w:eastAsia="zh-CN"/>
              </w:rPr>
              <w:t>嘉兴市中山西路299号兴业大厦521室</w:t>
            </w:r>
            <w:r>
              <w:rPr>
                <w:rFonts w:hint="eastAsia" w:ascii="仿宋" w:hAnsi="仿宋" w:eastAsia="仿宋" w:cs="仿宋"/>
                <w:color w:val="auto"/>
                <w:kern w:val="28"/>
                <w:highlight w:val="none"/>
                <w:u w:val="single"/>
              </w:rPr>
              <w:t>招标代理部</w:t>
            </w:r>
            <w:r>
              <w:rPr>
                <w:rFonts w:hint="eastAsia" w:ascii="仿宋" w:hAnsi="仿宋" w:eastAsia="仿宋" w:cs="仿宋"/>
                <w:color w:val="auto"/>
                <w:kern w:val="28"/>
                <w:highlight w:val="none"/>
              </w:rPr>
              <w:t>；备份投标文件签收联系人：</w:t>
            </w:r>
            <w:r>
              <w:rPr>
                <w:rFonts w:hint="eastAsia" w:ascii="仿宋" w:hAnsi="仿宋" w:eastAsia="仿宋" w:cs="仿宋"/>
                <w:color w:val="auto"/>
                <w:kern w:val="28"/>
                <w:highlight w:val="none"/>
                <w:u w:val="single"/>
                <w:lang w:eastAsia="zh-CN"/>
              </w:rPr>
              <w:t>万先生</w:t>
            </w:r>
            <w:r>
              <w:rPr>
                <w:rFonts w:hint="eastAsia" w:ascii="仿宋" w:hAnsi="仿宋" w:eastAsia="仿宋" w:cs="仿宋"/>
                <w:color w:val="auto"/>
                <w:kern w:val="28"/>
                <w:highlight w:val="none"/>
              </w:rPr>
              <w:t>。</w:t>
            </w:r>
            <w:r>
              <w:rPr>
                <w:rFonts w:hint="eastAsia" w:ascii="仿宋" w:hAnsi="仿宋" w:eastAsia="仿宋" w:cs="仿宋"/>
                <w:b/>
                <w:color w:val="auto"/>
                <w:highlight w:val="none"/>
              </w:rPr>
              <w:t>采购人、采购代理机构不强制或变相强制投标人提交备份投标文件。</w:t>
            </w:r>
          </w:p>
        </w:tc>
      </w:tr>
      <w:tr w14:paraId="0880F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shd w:val="clear" w:color="auto" w:fill="FFFFFF" w:themeFill="background1"/>
            <w:vAlign w:val="center"/>
          </w:tcPr>
          <w:p w14:paraId="499837CD">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1907" w:type="dxa"/>
            <w:shd w:val="clear" w:color="auto" w:fill="FFFFFF" w:themeFill="background1"/>
            <w:vAlign w:val="center"/>
          </w:tcPr>
          <w:p w14:paraId="35077E70">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采购代理机构代理服务费用</w:t>
            </w:r>
          </w:p>
        </w:tc>
        <w:tc>
          <w:tcPr>
            <w:tcW w:w="6366" w:type="dxa"/>
            <w:shd w:val="clear" w:color="auto" w:fill="FFFFFF" w:themeFill="background1"/>
            <w:vAlign w:val="center"/>
          </w:tcPr>
          <w:p w14:paraId="29DBE40F">
            <w:pPr>
              <w:pStyle w:val="6"/>
              <w:spacing w:line="400" w:lineRule="exact"/>
              <w:contextualSpacing/>
              <w:rPr>
                <w:rFonts w:hint="eastAsia" w:ascii="仿宋" w:hAnsi="仿宋" w:eastAsia="仿宋" w:cs="仿宋"/>
                <w:color w:val="auto"/>
                <w:highlight w:val="none"/>
              </w:rPr>
            </w:pPr>
            <w:r>
              <w:rPr>
                <w:rFonts w:hint="eastAsia" w:ascii="仿宋" w:hAnsi="仿宋" w:eastAsia="仿宋" w:cs="仿宋"/>
                <w:color w:val="auto"/>
                <w:highlight w:val="none"/>
              </w:rPr>
              <w:t>1.根据“国家发展和改革委员会办公厅《关于招标代理服务收费有关问题的通知》（发改办价格【2003】857号、财库【2018】2号第十五条）”规定，招标代理机构向中标人收取招标代理服务费；</w:t>
            </w:r>
          </w:p>
          <w:p w14:paraId="24524697">
            <w:pPr>
              <w:pStyle w:val="6"/>
              <w:spacing w:line="400" w:lineRule="exact"/>
              <w:contextualSpacing/>
              <w:rPr>
                <w:rFonts w:hint="eastAsia" w:ascii="仿宋" w:hAnsi="仿宋" w:eastAsia="仿宋" w:cs="仿宋"/>
                <w:color w:val="auto"/>
                <w:highlight w:val="none"/>
              </w:rPr>
            </w:pPr>
            <w:r>
              <w:rPr>
                <w:rFonts w:hint="eastAsia" w:ascii="仿宋" w:hAnsi="仿宋" w:eastAsia="仿宋" w:cs="仿宋"/>
                <w:color w:val="auto"/>
                <w:highlight w:val="none"/>
              </w:rPr>
              <w:t>2.中标人应在收取《中标通知书》时向采购代理机构交纳招标代理服务费，服务费的收费标准按计价【2002】1980号文规定计算；</w:t>
            </w:r>
          </w:p>
          <w:p w14:paraId="43A45FCD">
            <w:pPr>
              <w:pStyle w:val="6"/>
              <w:spacing w:line="400" w:lineRule="exact"/>
              <w:contextualSpacing/>
              <w:rPr>
                <w:rFonts w:hint="eastAsia" w:ascii="仿宋" w:hAnsi="仿宋" w:eastAsia="仿宋" w:cs="仿宋"/>
                <w:color w:val="auto"/>
                <w:highlight w:val="none"/>
              </w:rPr>
            </w:pPr>
            <w:r>
              <w:rPr>
                <w:rFonts w:hint="eastAsia" w:ascii="仿宋" w:hAnsi="仿宋" w:eastAsia="仿宋" w:cs="仿宋"/>
                <w:color w:val="auto"/>
                <w:highlight w:val="none"/>
              </w:rPr>
              <w:t>3.本项目以</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rPr>
              <w:t xml:space="preserve">服务类 </w:t>
            </w:r>
            <w:r>
              <w:rPr>
                <w:rFonts w:hint="eastAsia" w:ascii="仿宋" w:hAnsi="仿宋" w:eastAsia="仿宋" w:cs="仿宋"/>
                <w:color w:val="auto"/>
                <w:highlight w:val="none"/>
              </w:rPr>
              <w:t>招标收费标准收取中标服务费，对于招标代理服务费不足6000元的按6000元计取招标代理服务费；</w:t>
            </w:r>
          </w:p>
          <w:p w14:paraId="363E82A9">
            <w:pPr>
              <w:pStyle w:val="6"/>
              <w:spacing w:line="400" w:lineRule="exact"/>
              <w:contextualSpacing/>
              <w:rPr>
                <w:rFonts w:hint="eastAsia" w:ascii="仿宋" w:hAnsi="仿宋" w:eastAsia="仿宋" w:cs="仿宋"/>
                <w:color w:val="auto"/>
                <w:highlight w:val="none"/>
              </w:rPr>
            </w:pPr>
            <w:r>
              <w:rPr>
                <w:rFonts w:hint="eastAsia" w:ascii="仿宋" w:hAnsi="仿宋" w:eastAsia="仿宋" w:cs="仿宋"/>
                <w:color w:val="auto"/>
                <w:highlight w:val="none"/>
              </w:rPr>
              <w:t>4.服务费的货币为人民币；</w:t>
            </w:r>
          </w:p>
          <w:p w14:paraId="2A366720">
            <w:pPr>
              <w:pStyle w:val="6"/>
              <w:spacing w:line="400" w:lineRule="exact"/>
              <w:contextualSpacing/>
              <w:rPr>
                <w:rFonts w:hint="eastAsia" w:ascii="仿宋" w:hAnsi="仿宋" w:eastAsia="仿宋" w:cs="仿宋"/>
                <w:color w:val="auto"/>
                <w:highlight w:val="none"/>
              </w:rPr>
            </w:pPr>
            <w:r>
              <w:rPr>
                <w:rFonts w:hint="eastAsia" w:ascii="仿宋" w:hAnsi="仿宋" w:eastAsia="仿宋" w:cs="仿宋"/>
                <w:color w:val="auto"/>
                <w:highlight w:val="none"/>
              </w:rPr>
              <w:t>5.服务费支付方式：一次性以银行划账、电汇、汇票或支票的形式支付；</w:t>
            </w:r>
          </w:p>
          <w:p w14:paraId="5CD496F3">
            <w:pPr>
              <w:pStyle w:val="6"/>
              <w:spacing w:line="400" w:lineRule="exact"/>
              <w:contextualSpacing/>
              <w:rPr>
                <w:rFonts w:hint="eastAsia" w:ascii="仿宋" w:hAnsi="仿宋" w:eastAsia="仿宋" w:cs="仿宋"/>
                <w:color w:val="auto"/>
                <w:highlight w:val="none"/>
              </w:rPr>
            </w:pPr>
            <w:r>
              <w:rPr>
                <w:rFonts w:hint="eastAsia" w:ascii="仿宋" w:hAnsi="仿宋" w:eastAsia="仿宋" w:cs="仿宋"/>
                <w:color w:val="auto"/>
                <w:highlight w:val="none"/>
              </w:rPr>
              <w:t>6.服务费以银行划账方式按下列要求提交：</w:t>
            </w:r>
          </w:p>
          <w:p w14:paraId="54EF0674">
            <w:pPr>
              <w:pStyle w:val="6"/>
              <w:spacing w:line="400" w:lineRule="exact"/>
              <w:contextualSpacing/>
              <w:rPr>
                <w:rFonts w:hint="default" w:ascii="仿宋" w:hAnsi="仿宋" w:eastAsia="仿宋" w:cs="仿宋"/>
                <w:color w:val="auto"/>
                <w:highlight w:val="none"/>
                <w:lang w:val="en-US" w:eastAsia="zh-CN"/>
              </w:rPr>
            </w:pPr>
            <w:r>
              <w:rPr>
                <w:rFonts w:hint="eastAsia" w:ascii="仿宋" w:hAnsi="仿宋" w:eastAsia="仿宋" w:cs="仿宋"/>
                <w:color w:val="auto"/>
                <w:highlight w:val="none"/>
              </w:rPr>
              <w:t>户名：</w:t>
            </w:r>
            <w:r>
              <w:rPr>
                <w:rFonts w:hint="eastAsia" w:ascii="仿宋" w:hAnsi="仿宋" w:eastAsia="仿宋" w:cs="仿宋"/>
                <w:color w:val="auto"/>
                <w:highlight w:val="none"/>
                <w:lang w:eastAsia="zh-CN"/>
              </w:rPr>
              <w:t>浙江华耀建设咨询有限公司</w:t>
            </w:r>
            <w:r>
              <w:rPr>
                <w:rFonts w:hint="eastAsia" w:ascii="仿宋" w:hAnsi="仿宋" w:eastAsia="仿宋" w:cs="仿宋"/>
                <w:color w:val="auto"/>
                <w:highlight w:val="none"/>
                <w:lang w:val="en-US" w:eastAsia="zh-CN"/>
              </w:rPr>
              <w:t>嘉兴分公司</w:t>
            </w:r>
          </w:p>
          <w:p w14:paraId="56FD0D50">
            <w:pPr>
              <w:pStyle w:val="6"/>
              <w:spacing w:line="400" w:lineRule="exact"/>
              <w:contextualSpacing/>
              <w:rPr>
                <w:rFonts w:hint="eastAsia" w:ascii="仿宋" w:hAnsi="仿宋" w:eastAsia="仿宋" w:cs="仿宋"/>
                <w:color w:val="auto"/>
                <w:highlight w:val="none"/>
                <w:lang w:eastAsia="zh-CN"/>
              </w:rPr>
            </w:pPr>
            <w:r>
              <w:rPr>
                <w:rFonts w:hint="eastAsia" w:ascii="仿宋" w:hAnsi="仿宋" w:eastAsia="仿宋" w:cs="仿宋"/>
                <w:color w:val="auto"/>
                <w:highlight w:val="none"/>
              </w:rPr>
              <w:t>开户银行：</w:t>
            </w:r>
            <w:r>
              <w:rPr>
                <w:rFonts w:hint="eastAsia" w:ascii="仿宋" w:hAnsi="仿宋" w:eastAsia="仿宋" w:cs="仿宋"/>
                <w:color w:val="auto"/>
                <w:highlight w:val="none"/>
                <w:lang w:eastAsia="zh-CN"/>
              </w:rPr>
              <w:t>中国建设银行嘉兴分行</w:t>
            </w:r>
          </w:p>
          <w:p w14:paraId="2944FDD1">
            <w:pPr>
              <w:pStyle w:val="6"/>
              <w:spacing w:line="400" w:lineRule="exact"/>
              <w:contextualSpacing/>
              <w:rPr>
                <w:rFonts w:hint="eastAsia" w:ascii="仿宋" w:hAnsi="仿宋" w:eastAsia="仿宋" w:cs="仿宋"/>
                <w:color w:val="auto"/>
                <w:highlight w:val="none"/>
                <w:lang w:eastAsia="zh-CN"/>
              </w:rPr>
            </w:pPr>
            <w:r>
              <w:rPr>
                <w:rFonts w:hint="eastAsia" w:ascii="仿宋" w:hAnsi="仿宋" w:eastAsia="仿宋" w:cs="仿宋"/>
                <w:color w:val="auto"/>
                <w:highlight w:val="none"/>
              </w:rPr>
              <w:t>账号：</w:t>
            </w:r>
            <w:r>
              <w:rPr>
                <w:rFonts w:hint="eastAsia" w:ascii="仿宋" w:hAnsi="仿宋" w:eastAsia="仿宋" w:cs="仿宋"/>
                <w:color w:val="auto"/>
                <w:highlight w:val="none"/>
                <w:lang w:eastAsia="zh-CN"/>
              </w:rPr>
              <w:t>33001638047053005511</w:t>
            </w:r>
          </w:p>
          <w:p w14:paraId="2C9456B4">
            <w:pPr>
              <w:pStyle w:val="6"/>
              <w:spacing w:line="400" w:lineRule="exact"/>
              <w:contextualSpacing/>
              <w:rPr>
                <w:rFonts w:hint="eastAsia" w:ascii="仿宋" w:hAnsi="仿宋" w:eastAsia="仿宋" w:cs="仿宋"/>
                <w:color w:val="auto"/>
                <w:highlight w:val="none"/>
              </w:rPr>
            </w:pPr>
            <w:r>
              <w:rPr>
                <w:rFonts w:hint="eastAsia" w:ascii="仿宋" w:hAnsi="仿宋" w:eastAsia="仿宋" w:cs="仿宋"/>
                <w:color w:val="auto"/>
                <w:highlight w:val="none"/>
              </w:rPr>
              <w:t>7.服务费支付时间：服务费必须在中标人领取《中标通知书》时一次性付清，如果中标人未能按时交纳服务费，采购代理机构/采购人保留取消其中标资格并追究其法律责任的权利；</w:t>
            </w:r>
          </w:p>
          <w:p w14:paraId="72B554A4">
            <w:pPr>
              <w:pStyle w:val="6"/>
              <w:spacing w:line="400" w:lineRule="exact"/>
              <w:contextualSpacing/>
              <w:rPr>
                <w:rFonts w:hint="eastAsia" w:ascii="仿宋" w:hAnsi="仿宋" w:eastAsia="仿宋" w:cs="仿宋"/>
                <w:color w:val="auto"/>
                <w:kern w:val="28"/>
                <w:highlight w:val="none"/>
              </w:rPr>
            </w:pPr>
            <w:r>
              <w:rPr>
                <w:rFonts w:hint="eastAsia" w:ascii="仿宋" w:hAnsi="仿宋" w:eastAsia="仿宋" w:cs="仿宋"/>
                <w:color w:val="auto"/>
                <w:highlight w:val="none"/>
              </w:rPr>
              <w:t>8.服务费不在投标报价中单列。</w:t>
            </w:r>
          </w:p>
        </w:tc>
      </w:tr>
      <w:tr w14:paraId="4C9E2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1014" w:hRule="exact"/>
          <w:jc w:val="center"/>
        </w:trPr>
        <w:tc>
          <w:tcPr>
            <w:tcW w:w="729" w:type="dxa"/>
            <w:vMerge w:val="restart"/>
            <w:shd w:val="clear" w:color="auto" w:fill="FFFFFF" w:themeFill="background1"/>
            <w:vAlign w:val="center"/>
          </w:tcPr>
          <w:p w14:paraId="5EC8858A">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1907" w:type="dxa"/>
            <w:vMerge w:val="restart"/>
            <w:shd w:val="clear" w:color="auto" w:fill="FFFFFF" w:themeFill="background1"/>
            <w:vAlign w:val="center"/>
          </w:tcPr>
          <w:p w14:paraId="1C6165DB">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特别说明</w:t>
            </w:r>
          </w:p>
        </w:tc>
        <w:tc>
          <w:tcPr>
            <w:tcW w:w="6366" w:type="dxa"/>
            <w:shd w:val="clear" w:color="auto" w:fill="FFFFFF" w:themeFill="background1"/>
            <w:vAlign w:val="center"/>
          </w:tcPr>
          <w:p w14:paraId="43F272C1">
            <w:pPr>
              <w:spacing w:line="400" w:lineRule="exact"/>
              <w:rPr>
                <w:rFonts w:hint="eastAsia" w:ascii="仿宋" w:hAnsi="仿宋" w:eastAsia="仿宋" w:cs="仿宋"/>
                <w:color w:val="auto"/>
                <w:kern w:val="28"/>
                <w:szCs w:val="21"/>
                <w:highlight w:val="none"/>
              </w:rPr>
            </w:pPr>
            <w:r>
              <w:rPr>
                <w:rFonts w:hint="eastAsia" w:ascii="仿宋" w:hAnsi="仿宋" w:eastAsia="仿宋" w:cs="仿宋"/>
                <w:color w:val="auto"/>
                <w:kern w:val="0"/>
                <w:szCs w:val="21"/>
                <w:highlight w:val="none"/>
              </w:rPr>
              <w:sym w:font="Wingdings" w:char="00A8"/>
            </w:r>
            <w:r>
              <w:rPr>
                <w:rFonts w:hint="eastAsia" w:ascii="仿宋" w:hAnsi="仿宋" w:eastAsia="仿宋" w:cs="仿宋"/>
                <w:color w:val="auto"/>
                <w:kern w:val="28"/>
                <w:szCs w:val="21"/>
                <w:highlight w:val="none"/>
              </w:rPr>
              <w:t>联合体投标的，联合体各方分别提供与联合体协议中规定的分工内容相应的业绩证明材料，业绩数量以提供材料较少的一方为准。</w:t>
            </w:r>
          </w:p>
        </w:tc>
      </w:tr>
      <w:tr w14:paraId="69F5A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3" w:hRule="exact"/>
          <w:jc w:val="center"/>
        </w:trPr>
        <w:tc>
          <w:tcPr>
            <w:tcW w:w="729" w:type="dxa"/>
            <w:vMerge w:val="continue"/>
            <w:shd w:val="clear" w:color="auto" w:fill="FFFFFF" w:themeFill="background1"/>
            <w:vAlign w:val="center"/>
          </w:tcPr>
          <w:p w14:paraId="527664BF">
            <w:pPr>
              <w:snapToGrid w:val="0"/>
              <w:jc w:val="center"/>
              <w:rPr>
                <w:rFonts w:hint="eastAsia" w:ascii="仿宋" w:hAnsi="仿宋" w:eastAsia="仿宋" w:cs="仿宋"/>
                <w:color w:val="auto"/>
                <w:szCs w:val="21"/>
                <w:highlight w:val="none"/>
              </w:rPr>
            </w:pPr>
            <w:bookmarkStart w:id="11" w:name="第三部分"/>
            <w:bookmarkStart w:id="12" w:name="_Toc164416483"/>
          </w:p>
        </w:tc>
        <w:tc>
          <w:tcPr>
            <w:tcW w:w="1907" w:type="dxa"/>
            <w:vMerge w:val="continue"/>
            <w:shd w:val="clear" w:color="auto" w:fill="FFFFFF" w:themeFill="background1"/>
            <w:vAlign w:val="center"/>
          </w:tcPr>
          <w:p w14:paraId="249D5189">
            <w:pPr>
              <w:snapToGrid w:val="0"/>
              <w:jc w:val="center"/>
              <w:rPr>
                <w:rFonts w:hint="eastAsia" w:ascii="仿宋" w:hAnsi="仿宋" w:eastAsia="仿宋" w:cs="仿宋"/>
                <w:color w:val="auto"/>
                <w:szCs w:val="21"/>
                <w:highlight w:val="none"/>
              </w:rPr>
            </w:pPr>
          </w:p>
        </w:tc>
        <w:tc>
          <w:tcPr>
            <w:tcW w:w="6366" w:type="dxa"/>
            <w:shd w:val="clear" w:color="auto" w:fill="FFFFFF" w:themeFill="background1"/>
            <w:vAlign w:val="center"/>
          </w:tcPr>
          <w:p w14:paraId="56BB8116">
            <w:pPr>
              <w:spacing w:line="400" w:lineRule="exact"/>
              <w:rPr>
                <w:rFonts w:hint="eastAsia" w:ascii="仿宋" w:hAnsi="仿宋" w:eastAsia="仿宋" w:cs="仿宋"/>
                <w:color w:val="auto"/>
                <w:kern w:val="28"/>
                <w:szCs w:val="21"/>
                <w:highlight w:val="none"/>
              </w:rPr>
            </w:pPr>
            <w:r>
              <w:rPr>
                <w:rFonts w:hint="eastAsia" w:ascii="仿宋" w:hAnsi="仿宋" w:eastAsia="仿宋" w:cs="仿宋"/>
                <w:color w:val="auto"/>
                <w:kern w:val="0"/>
                <w:szCs w:val="21"/>
                <w:highlight w:val="none"/>
              </w:rPr>
              <w:sym w:font="Wingdings" w:char="00A8"/>
            </w:r>
            <w:r>
              <w:rPr>
                <w:rFonts w:hint="eastAsia" w:ascii="仿宋" w:hAnsi="仿宋" w:eastAsia="仿宋" w:cs="仿宋"/>
                <w:color w:val="auto"/>
                <w:kern w:val="28"/>
                <w:szCs w:val="21"/>
                <w:highlight w:val="none"/>
              </w:rPr>
              <w:t>联合体投标的，联合体各方均需按招标文件第四部分评标标准要求提供资信证明文件，否则视为不符合相关要求。</w:t>
            </w:r>
          </w:p>
          <w:p w14:paraId="600402CD">
            <w:pPr>
              <w:spacing w:line="400" w:lineRule="exact"/>
              <w:rPr>
                <w:rFonts w:hint="eastAsia" w:ascii="仿宋" w:hAnsi="仿宋" w:eastAsia="仿宋" w:cs="仿宋"/>
                <w:color w:val="auto"/>
                <w:kern w:val="28"/>
                <w:szCs w:val="21"/>
                <w:highlight w:val="none"/>
              </w:rPr>
            </w:pPr>
            <w:sdt>
              <w:sdtPr>
                <w:rPr>
                  <w:rFonts w:hint="eastAsia" w:ascii="仿宋" w:hAnsi="仿宋" w:eastAsia="仿宋" w:cs="仿宋"/>
                  <w:color w:val="auto"/>
                  <w:kern w:val="0"/>
                  <w:szCs w:val="21"/>
                  <w:highlight w:val="none"/>
                </w:rPr>
                <w:id w:val="-1639946486"/>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A8"/>
                </w:r>
              </w:sdtContent>
            </w:sdt>
            <w:r>
              <w:rPr>
                <w:rFonts w:hint="eastAsia" w:ascii="仿宋" w:hAnsi="仿宋" w:eastAsia="仿宋" w:cs="仿宋"/>
                <w:color w:val="auto"/>
                <w:kern w:val="28"/>
                <w:szCs w:val="21"/>
                <w:highlight w:val="none"/>
              </w:rPr>
              <w:t>联合体投标的，联合体中有一方或者联合体成员根据分工按招标文件第四部分评标标准要求提供资信证明文件的，视为符合了相关要求。</w:t>
            </w:r>
          </w:p>
        </w:tc>
      </w:tr>
      <w:bookmarkEnd w:id="10"/>
    </w:tbl>
    <w:p w14:paraId="294FF9B0">
      <w:pPr>
        <w:adjustRightInd/>
        <w:spacing w:beforeLines="100" w:afterLines="100"/>
        <w:jc w:val="center"/>
        <w:outlineLvl w:val="0"/>
        <w:rPr>
          <w:rFonts w:hint="eastAsia" w:ascii="仿宋" w:hAnsi="仿宋" w:eastAsia="仿宋" w:cs="仿宋"/>
          <w:b/>
          <w:color w:val="auto"/>
          <w:sz w:val="36"/>
          <w:szCs w:val="21"/>
          <w:highlight w:val="none"/>
        </w:rPr>
      </w:pPr>
      <w:r>
        <w:rPr>
          <w:rFonts w:hint="eastAsia" w:ascii="仿宋" w:hAnsi="仿宋" w:eastAsia="仿宋" w:cs="仿宋"/>
          <w:b/>
          <w:color w:val="auto"/>
          <w:sz w:val="36"/>
          <w:szCs w:val="21"/>
          <w:highlight w:val="none"/>
        </w:rPr>
        <w:t>一、总则</w:t>
      </w:r>
    </w:p>
    <w:p w14:paraId="2DDE3FD3">
      <w:pPr>
        <w:snapToGrid w:val="0"/>
        <w:spacing w:beforeLines="100" w:afterLines="100"/>
        <w:jc w:val="left"/>
        <w:outlineLvl w:val="1"/>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1.适用范围</w:t>
      </w:r>
    </w:p>
    <w:p w14:paraId="7D43BEEB">
      <w:pPr>
        <w:snapToGrid w:val="0"/>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本招标文件适用于该项目的招标、投标、开标、资格审查及信用信息查询、评标、定标、合同、验收等行为（法律、法规另有规定的，从其规定）。</w:t>
      </w:r>
    </w:p>
    <w:p w14:paraId="0926F2DF">
      <w:pPr>
        <w:numPr>
          <w:ilvl w:val="0"/>
          <w:numId w:val="1"/>
        </w:numPr>
        <w:snapToGrid w:val="0"/>
        <w:spacing w:beforeLines="100" w:afterLines="100"/>
        <w:jc w:val="left"/>
        <w:outlineLvl w:val="1"/>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定义</w:t>
      </w:r>
    </w:p>
    <w:p w14:paraId="34DD129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2.1“采购人”系指招标公告中载明的本项目的采购人。</w:t>
      </w:r>
    </w:p>
    <w:p w14:paraId="47610214">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2.2“采购代理机构”系指招标公告中载明的本项目的采购代理机构。</w:t>
      </w:r>
    </w:p>
    <w:p w14:paraId="1ED4D03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2.3“投标人”系指是指响应招标、参加投标竞争的法人、其他组织或者自然人。</w:t>
      </w:r>
    </w:p>
    <w:p w14:paraId="2E441527">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2.4“负责人”系指法人企业的法定负责人，或其他组织为法律、行政法规规定代表单位行使职权的主要负责人，或自然人本人。</w:t>
      </w:r>
    </w:p>
    <w:p w14:paraId="03A0F5E3">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ABF36C3">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2.6“电子交易平台”是指本项目政府采购活动所依托的政府采购云平台（</w:t>
      </w:r>
      <w:r>
        <w:rPr>
          <w:rFonts w:hint="eastAsia" w:ascii="仿宋" w:hAnsi="仿宋" w:eastAsia="仿宋" w:cs="仿宋"/>
          <w:color w:val="auto"/>
          <w:szCs w:val="21"/>
          <w:highlight w:val="none"/>
          <w:lang w:eastAsia="zh-CN"/>
        </w:rPr>
        <w:t>https://www.zcygov.cn/</w:t>
      </w:r>
      <w:r>
        <w:rPr>
          <w:rFonts w:hint="eastAsia" w:ascii="仿宋" w:hAnsi="仿宋" w:eastAsia="仿宋" w:cs="仿宋"/>
          <w:color w:val="auto"/>
          <w:szCs w:val="21"/>
          <w:highlight w:val="none"/>
        </w:rPr>
        <w:t>）。</w:t>
      </w:r>
    </w:p>
    <w:p w14:paraId="1B5F8780">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2.7“▲”系指实质性要求条款，“</w:t>
      </w: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szCs w:val="21"/>
          <w:highlight w:val="none"/>
        </w:rPr>
        <w:t>”系指适用本项目的要求，“</w:t>
      </w:r>
      <w:sdt>
        <w:sdtPr>
          <w:rPr>
            <w:rFonts w:hint="eastAsia" w:ascii="仿宋" w:hAnsi="仿宋" w:eastAsia="仿宋" w:cs="仿宋"/>
            <w:color w:val="auto"/>
            <w:kern w:val="0"/>
            <w:szCs w:val="21"/>
            <w:highlight w:val="none"/>
          </w:rPr>
          <w:id w:val="404888855"/>
        </w:sdtPr>
        <w:sdtEndPr>
          <w:rPr>
            <w:rFonts w:hint="eastAsia" w:ascii="仿宋" w:hAnsi="仿宋" w:eastAsia="仿宋" w:cs="仿宋"/>
            <w:color w:val="auto"/>
            <w:kern w:val="0"/>
            <w:szCs w:val="21"/>
            <w:highlight w:val="none"/>
          </w:rPr>
        </w:sdtEndPr>
        <w:sdtContent>
          <w:sdt>
            <w:sdtPr>
              <w:rPr>
                <w:rFonts w:hint="eastAsia" w:ascii="仿宋" w:hAnsi="仿宋" w:eastAsia="仿宋" w:cs="仿宋"/>
                <w:color w:val="auto"/>
                <w:kern w:val="0"/>
                <w:szCs w:val="21"/>
                <w:highlight w:val="none"/>
              </w:rPr>
              <w:id w:val="512970236"/>
            </w:sdtPr>
            <w:sdtEndPr>
              <w:rPr>
                <w:rFonts w:hint="eastAsia" w:ascii="仿宋" w:hAnsi="仿宋" w:eastAsia="仿宋" w:cs="仿宋"/>
                <w:color w:val="auto"/>
                <w:kern w:val="0"/>
                <w:szCs w:val="21"/>
                <w:highlight w:val="none"/>
              </w:rPr>
            </w:sdtEndPr>
            <w:sdtContent>
              <w:r>
                <w:rPr>
                  <w:rFonts w:hint="eastAsia" w:ascii="仿宋" w:hAnsi="仿宋" w:eastAsia="仿宋" w:cs="仿宋"/>
                  <w:color w:val="auto"/>
                  <w:kern w:val="0"/>
                  <w:szCs w:val="21"/>
                  <w:highlight w:val="none"/>
                </w:rPr>
                <w:sym w:font="Wingdings" w:char="00A8"/>
              </w:r>
            </w:sdtContent>
          </w:sdt>
        </w:sdtContent>
      </w:sdt>
      <w:r>
        <w:rPr>
          <w:rFonts w:hint="eastAsia" w:ascii="仿宋" w:hAnsi="仿宋" w:eastAsia="仿宋" w:cs="仿宋"/>
          <w:color w:val="auto"/>
          <w:szCs w:val="21"/>
          <w:highlight w:val="none"/>
        </w:rPr>
        <w:t>”系指不适用本项目的要求。</w:t>
      </w:r>
    </w:p>
    <w:p w14:paraId="244B90E9">
      <w:pPr>
        <w:snapToGrid w:val="0"/>
        <w:spacing w:beforeLines="100" w:afterLines="100"/>
        <w:jc w:val="left"/>
        <w:outlineLvl w:val="1"/>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3.采购项目需要落实的政府采购政策</w:t>
      </w:r>
    </w:p>
    <w:p w14:paraId="3EF8FFB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3.1进口产品采购管理</w:t>
      </w:r>
    </w:p>
    <w:p w14:paraId="42062F2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1867BDA0">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3.2支持绿色发展</w:t>
      </w:r>
    </w:p>
    <w:p w14:paraId="596AAF19">
      <w:pPr>
        <w:spacing w:line="360" w:lineRule="auto"/>
        <w:ind w:firstLine="420" w:firstLineChars="2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Cs w:val="21"/>
          <w:highlight w:val="none"/>
          <w:u w:val="single"/>
        </w:rPr>
        <w:t>采购人拟采购的产品属于政府强制采购的节能产品品目清单范围的，投标人未按招标文件要求提供国家确定的认证机构出具的、处于有效期之内的节能产品认证证书的，投标无效。</w:t>
      </w:r>
    </w:p>
    <w:p w14:paraId="3C1148A3">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3.2.2修缮、装修类项目采购建材的，采购人应将绿色建筑和绿色建材性能、指标等作为实质性条件纳入招标文件和合同。</w:t>
      </w:r>
    </w:p>
    <w:p w14:paraId="76B9BB2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631C80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3.2.4鼓励供应商在参加政府采购过程中开展绿色设计、选择绿色材料、打造绿色制造工艺、开展绿色运输、做好废弃产品回收处理，实现产品全周期的绿色环保。鼓励采购单位对其提高预付款比例、免收履约保证金。</w:t>
      </w:r>
    </w:p>
    <w:p w14:paraId="362BA5E7">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3.3支持中小企业发展</w:t>
      </w:r>
    </w:p>
    <w:p w14:paraId="056262A4">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D0AD67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符合中小企业划分标准的个体工商户，在政府采购活动中视同中小企业。</w:t>
      </w:r>
    </w:p>
    <w:p w14:paraId="5229BC00">
      <w:pPr>
        <w:widowControl/>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bCs/>
          <w:color w:val="auto"/>
          <w:szCs w:val="21"/>
          <w:highlight w:val="none"/>
        </w:rPr>
        <w:t>3.3.2</w:t>
      </w:r>
      <w:r>
        <w:rPr>
          <w:rFonts w:hint="eastAsia" w:ascii="仿宋" w:hAnsi="仿宋" w:eastAsia="仿宋" w:cs="仿宋"/>
          <w:color w:val="auto"/>
          <w:kern w:val="0"/>
          <w:szCs w:val="21"/>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19AF4AB">
      <w:pPr>
        <w:widowControl/>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以联合体形式参加政府采购活动，联合体各方均为中小企业的，联合体视同中小企业。其中，联合体各方均为小微企业的，联合体视同小微企业。</w:t>
      </w:r>
    </w:p>
    <w:p w14:paraId="67ED49F8">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0D1DB2F0">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3.3.4符合《关于促进残疾人就业政府采购政策的通知》（财库〔2017〕141号）规定的条件并提供《残疾人福利性单位声明函》（附件1）的残疾人福利性单位视同小型、微型企业；</w:t>
      </w:r>
    </w:p>
    <w:p w14:paraId="16D01254">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D917A09">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A63971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3.3.7中小企业享受扶持政策获得政府采购合同的，小微企业不得将合同分包给大中型企业，中型企业不得将合同分包给大型企业。</w:t>
      </w:r>
    </w:p>
    <w:p w14:paraId="13E4BFA6">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3.4支持创新发展</w:t>
      </w:r>
    </w:p>
    <w:p w14:paraId="5CDAD06D">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3.4.1采购人优先采购被认定为首台套产品和“制造精品”的自主创新产品。</w:t>
      </w:r>
    </w:p>
    <w:p w14:paraId="1056EA7D">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4342AB95">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3.5平等对待内外资企业和符合条件的破产重整企业</w:t>
      </w:r>
    </w:p>
    <w:p w14:paraId="7E1A425D">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平等对待内外资企业和符合条件的破产重整企业平等对待内外资企业和符合条件的破产重整企业，切实保障企业公平竞争，平等维护企业的合法利益。</w:t>
      </w:r>
    </w:p>
    <w:p w14:paraId="3EAAF5F6">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3.6中小企业信用融资</w:t>
      </w:r>
    </w:p>
    <w:p w14:paraId="6FA38501">
      <w:pPr>
        <w:wordWrap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为支持和促进中小企业发展，进一步发挥政府采购政策功能，浙江省财政厅出台浙财采监〔2022〕3号文件，企业若有融资意向，可通过政采云平台或其他渠道进行咨询。政采云平台融资服务（</w:t>
      </w:r>
      <w:r>
        <w:rPr>
          <w:rFonts w:hint="eastAsia" w:ascii="仿宋" w:hAnsi="仿宋" w:eastAsia="仿宋" w:cs="仿宋"/>
          <w:color w:val="auto"/>
          <w:szCs w:val="21"/>
          <w:highlight w:val="none"/>
          <w:lang w:eastAsia="zh-CN"/>
        </w:rPr>
        <w:t>https://jinrong.zcygov.cn/luban/home</w:t>
      </w:r>
      <w:r>
        <w:rPr>
          <w:rFonts w:hint="eastAsia" w:ascii="仿宋" w:hAnsi="仿宋" w:eastAsia="仿宋" w:cs="仿宋"/>
          <w:color w:val="auto"/>
          <w:szCs w:val="21"/>
          <w:highlight w:val="none"/>
        </w:rPr>
        <w:t>)，可查看相应融资政策文件及各相关银行服务方案。</w:t>
      </w:r>
    </w:p>
    <w:p w14:paraId="0BE77AD1">
      <w:pPr>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4.询问、质疑、投诉</w:t>
      </w:r>
    </w:p>
    <w:p w14:paraId="5E5B6B76">
      <w:pPr>
        <w:autoSpaceDE w:val="0"/>
        <w:autoSpaceDN w:val="0"/>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4.1在线询问、质疑、投诉。</w:t>
      </w:r>
    </w:p>
    <w:p w14:paraId="3D5090A8">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94BE94D">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4.</w:t>
      </w:r>
      <w:r>
        <w:rPr>
          <w:rFonts w:hint="eastAsia" w:ascii="仿宋" w:hAnsi="仿宋" w:eastAsia="仿宋" w:cs="仿宋"/>
          <w:color w:val="auto"/>
          <w:kern w:val="0"/>
          <w:szCs w:val="21"/>
          <w:highlight w:val="none"/>
        </w:rPr>
        <w:t>2</w:t>
      </w:r>
      <w:r>
        <w:rPr>
          <w:rFonts w:hint="eastAsia" w:ascii="仿宋" w:hAnsi="仿宋" w:eastAsia="仿宋" w:cs="仿宋"/>
          <w:color w:val="auto"/>
          <w:kern w:val="0"/>
          <w:szCs w:val="21"/>
          <w:highlight w:val="none"/>
          <w:lang w:val="zh-CN"/>
        </w:rPr>
        <w:t>供应商询问</w:t>
      </w:r>
    </w:p>
    <w:p w14:paraId="28C7A1D4">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526EF41">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4.</w:t>
      </w:r>
      <w:r>
        <w:rPr>
          <w:rFonts w:hint="eastAsia" w:ascii="仿宋" w:hAnsi="仿宋" w:eastAsia="仿宋" w:cs="仿宋"/>
          <w:color w:val="auto"/>
          <w:kern w:val="0"/>
          <w:szCs w:val="21"/>
          <w:highlight w:val="none"/>
        </w:rPr>
        <w:t>3</w:t>
      </w:r>
      <w:r>
        <w:rPr>
          <w:rFonts w:hint="eastAsia" w:ascii="仿宋" w:hAnsi="仿宋" w:eastAsia="仿宋" w:cs="仿宋"/>
          <w:color w:val="auto"/>
          <w:kern w:val="0"/>
          <w:szCs w:val="21"/>
          <w:highlight w:val="none"/>
          <w:lang w:val="zh-CN"/>
        </w:rPr>
        <w:t>供应商质疑</w:t>
      </w:r>
    </w:p>
    <w:p w14:paraId="74DE9BC7">
      <w:pPr>
        <w:pStyle w:val="6"/>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highlight w:val="none"/>
        </w:rPr>
        <w:t>.1提出质疑的供应商应当是参与所质疑项目采购活动的供应商。潜在供应商已依法获取其可质疑的招标文件的，可以对该文件提出质疑。</w:t>
      </w:r>
    </w:p>
    <w:p w14:paraId="59C35C2C">
      <w:pPr>
        <w:pStyle w:val="6"/>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349D88A">
      <w:pPr>
        <w:pStyle w:val="17"/>
        <w:spacing w:line="360" w:lineRule="auto"/>
        <w:ind w:firstLine="840" w:firstLineChars="400"/>
        <w:rPr>
          <w:rFonts w:hint="eastAsia" w:ascii="仿宋" w:hAnsi="仿宋" w:eastAsia="仿宋" w:cs="仿宋"/>
          <w:snapToGrid/>
          <w:color w:val="auto"/>
          <w:kern w:val="2"/>
          <w:sz w:val="21"/>
          <w:szCs w:val="21"/>
          <w:highlight w:val="none"/>
        </w:rPr>
      </w:pPr>
      <w:r>
        <w:rPr>
          <w:rFonts w:hint="eastAsia" w:ascii="仿宋" w:hAnsi="仿宋" w:eastAsia="仿宋" w:cs="仿宋"/>
          <w:snapToGrid/>
          <w:color w:val="auto"/>
          <w:kern w:val="2"/>
          <w:sz w:val="21"/>
          <w:szCs w:val="21"/>
          <w:highlight w:val="none"/>
        </w:rPr>
        <w:t>4.3.2.1对招标文件提出质疑的，质疑期限为供应商获得招标文件之日或者招标文件公告期限届满之日起计算。</w:t>
      </w:r>
    </w:p>
    <w:p w14:paraId="4EA0AD4E">
      <w:pPr>
        <w:pStyle w:val="6"/>
        <w:spacing w:line="360" w:lineRule="auto"/>
        <w:ind w:firstLine="840" w:firstLineChars="400"/>
        <w:rPr>
          <w:rFonts w:hint="eastAsia" w:ascii="仿宋" w:hAnsi="仿宋" w:eastAsia="仿宋" w:cs="仿宋"/>
          <w:color w:val="auto"/>
          <w:highlight w:val="none"/>
        </w:rPr>
      </w:pPr>
      <w:r>
        <w:rPr>
          <w:rFonts w:hint="eastAsia" w:ascii="仿宋" w:hAnsi="仿宋" w:eastAsia="仿宋" w:cs="仿宋"/>
          <w:color w:val="auto"/>
          <w:highlight w:val="none"/>
        </w:rPr>
        <w:t>4.3.2.2对采购过程提出质疑的，质疑期限为各采购程序环节结束之日起计算。</w:t>
      </w:r>
    </w:p>
    <w:p w14:paraId="5238494F">
      <w:pPr>
        <w:pStyle w:val="6"/>
        <w:spacing w:line="360" w:lineRule="auto"/>
        <w:ind w:firstLine="840" w:firstLineChars="400"/>
        <w:rPr>
          <w:rFonts w:hint="eastAsia" w:ascii="仿宋" w:hAnsi="仿宋" w:eastAsia="仿宋" w:cs="仿宋"/>
          <w:color w:val="auto"/>
          <w:highlight w:val="none"/>
        </w:rPr>
      </w:pPr>
      <w:r>
        <w:rPr>
          <w:rFonts w:hint="eastAsia" w:ascii="仿宋" w:hAnsi="仿宋" w:eastAsia="仿宋" w:cs="仿宋"/>
          <w:color w:val="auto"/>
          <w:highlight w:val="none"/>
        </w:rPr>
        <w:t>4.3.2.3对采购结果提出质疑的，质疑期限自采购结果公告期限届满之日起计算。</w:t>
      </w:r>
    </w:p>
    <w:p w14:paraId="1CCC858A">
      <w:pPr>
        <w:pStyle w:val="6"/>
        <w:spacing w:line="360" w:lineRule="auto"/>
        <w:ind w:firstLine="420" w:firstLineChars="2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kern w:val="0"/>
          <w:highlight w:val="none"/>
          <w:lang w:val="zh-CN"/>
        </w:rPr>
        <w:t>.3</w:t>
      </w:r>
      <w:r>
        <w:rPr>
          <w:rFonts w:hint="eastAsia" w:ascii="仿宋" w:hAnsi="仿宋" w:eastAsia="仿宋" w:cs="仿宋"/>
          <w:color w:val="auto"/>
          <w:highlight w:val="none"/>
        </w:rPr>
        <w:t>供应商提出质疑应当提交质疑函和必要的证明材料。质疑函应当包括下列内容：</w:t>
      </w:r>
    </w:p>
    <w:p w14:paraId="471808AC">
      <w:pPr>
        <w:pStyle w:val="6"/>
        <w:spacing w:line="360" w:lineRule="auto"/>
        <w:ind w:firstLine="840" w:firstLineChars="4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kern w:val="0"/>
          <w:highlight w:val="none"/>
          <w:lang w:val="zh-CN"/>
        </w:rPr>
        <w:t>.3.1供应商的姓名或者名称、地址、邮编、联系人及联系电话；</w:t>
      </w:r>
    </w:p>
    <w:p w14:paraId="4FDC32C5">
      <w:pPr>
        <w:pStyle w:val="6"/>
        <w:spacing w:line="360" w:lineRule="auto"/>
        <w:ind w:firstLine="840" w:firstLineChars="4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kern w:val="0"/>
          <w:highlight w:val="none"/>
          <w:lang w:val="zh-CN"/>
        </w:rPr>
        <w:t>.3.2质疑项目的名称、编号；</w:t>
      </w:r>
    </w:p>
    <w:p w14:paraId="7EEB54B1">
      <w:pPr>
        <w:pStyle w:val="6"/>
        <w:spacing w:line="360" w:lineRule="auto"/>
        <w:ind w:firstLine="840" w:firstLineChars="4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kern w:val="0"/>
          <w:highlight w:val="none"/>
          <w:lang w:val="zh-CN"/>
        </w:rPr>
        <w:t>.3.3具体、明确的质疑事项和与质疑事项相关的请求；</w:t>
      </w:r>
    </w:p>
    <w:p w14:paraId="3F534E12">
      <w:pPr>
        <w:pStyle w:val="6"/>
        <w:spacing w:line="360" w:lineRule="auto"/>
        <w:ind w:firstLine="840" w:firstLineChars="4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kern w:val="0"/>
          <w:highlight w:val="none"/>
          <w:lang w:val="zh-CN"/>
        </w:rPr>
        <w:t>.3.4事实依据；</w:t>
      </w:r>
    </w:p>
    <w:p w14:paraId="394D4083">
      <w:pPr>
        <w:pStyle w:val="6"/>
        <w:spacing w:line="360" w:lineRule="auto"/>
        <w:ind w:firstLine="840" w:firstLineChars="4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kern w:val="0"/>
          <w:highlight w:val="none"/>
          <w:lang w:val="zh-CN"/>
        </w:rPr>
        <w:t>.3.5必要的法律依据；</w:t>
      </w:r>
    </w:p>
    <w:p w14:paraId="721E6F2E">
      <w:pPr>
        <w:pStyle w:val="6"/>
        <w:spacing w:line="360" w:lineRule="auto"/>
        <w:ind w:firstLine="840" w:firstLineChars="4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w:t>
      </w:r>
      <w:r>
        <w:rPr>
          <w:rFonts w:hint="eastAsia" w:ascii="仿宋" w:hAnsi="仿宋" w:eastAsia="仿宋" w:cs="仿宋"/>
          <w:color w:val="auto"/>
          <w:kern w:val="0"/>
          <w:highlight w:val="none"/>
        </w:rPr>
        <w:t>3</w:t>
      </w:r>
      <w:r>
        <w:rPr>
          <w:rFonts w:hint="eastAsia" w:ascii="仿宋" w:hAnsi="仿宋" w:eastAsia="仿宋" w:cs="仿宋"/>
          <w:color w:val="auto"/>
          <w:kern w:val="0"/>
          <w:highlight w:val="none"/>
          <w:lang w:val="zh-CN"/>
        </w:rPr>
        <w:t>.3.6提出质疑的日期。</w:t>
      </w:r>
    </w:p>
    <w:p w14:paraId="3F4AF91A">
      <w:pPr>
        <w:pStyle w:val="89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14:paraId="195B2B5A">
      <w:pPr>
        <w:pStyle w:val="89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质疑函范本及制作说明详见附件2。</w:t>
      </w:r>
    </w:p>
    <w:p w14:paraId="3727FC7E">
      <w:pPr>
        <w:pStyle w:val="89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4.3.4对同一采购程序环节的质疑，供应商须在法定质疑期内一次性提出。</w:t>
      </w:r>
    </w:p>
    <w:p w14:paraId="00376006">
      <w:pPr>
        <w:pStyle w:val="89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4.3.5采购人或者采购代理机构应当在收到供应商的书面质疑后七个工作日内作出答复，并以书面形式通知质疑供应商和其他与质疑处理结果有利害关系的政府采购当事人，但答复的内容不得涉及商业秘密。</w:t>
      </w:r>
    </w:p>
    <w:p w14:paraId="28C6971E">
      <w:pPr>
        <w:pStyle w:val="89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4.</w:t>
      </w:r>
      <w:r>
        <w:rPr>
          <w:rFonts w:hint="eastAsia" w:ascii="仿宋" w:hAnsi="仿宋" w:eastAsia="仿宋" w:cs="仿宋"/>
          <w:color w:val="auto"/>
          <w:sz w:val="21"/>
          <w:szCs w:val="21"/>
          <w:highlight w:val="none"/>
        </w:rPr>
        <w:t>3.6询问或者质疑事项可能影响采购结果的，采购人应当暂停签订合同，已经签订合同的，应当中止履行合同。</w:t>
      </w:r>
    </w:p>
    <w:p w14:paraId="48C1721B">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4.</w:t>
      </w:r>
      <w:r>
        <w:rPr>
          <w:rFonts w:hint="eastAsia" w:ascii="仿宋" w:hAnsi="仿宋" w:eastAsia="仿宋" w:cs="仿宋"/>
          <w:color w:val="auto"/>
          <w:kern w:val="0"/>
          <w:szCs w:val="21"/>
          <w:highlight w:val="none"/>
        </w:rPr>
        <w:t>4</w:t>
      </w:r>
      <w:r>
        <w:rPr>
          <w:rFonts w:hint="eastAsia" w:ascii="仿宋" w:hAnsi="仿宋" w:eastAsia="仿宋" w:cs="仿宋"/>
          <w:color w:val="auto"/>
          <w:kern w:val="0"/>
          <w:szCs w:val="21"/>
          <w:highlight w:val="none"/>
          <w:lang w:val="zh-CN"/>
        </w:rPr>
        <w:t>供应商投诉</w:t>
      </w:r>
    </w:p>
    <w:p w14:paraId="2742545B">
      <w:pPr>
        <w:pStyle w:val="890"/>
        <w:widowControl w:val="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0FAADECE">
      <w:pPr>
        <w:pStyle w:val="890"/>
        <w:widowControl w:val="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4.4.</w:t>
      </w:r>
      <w:r>
        <w:rPr>
          <w:rFonts w:hint="eastAsia" w:ascii="仿宋" w:hAnsi="仿宋" w:eastAsia="仿宋" w:cs="仿宋"/>
          <w:color w:val="auto"/>
          <w:sz w:val="21"/>
          <w:szCs w:val="21"/>
          <w:highlight w:val="none"/>
          <w:lang w:val="zh-CN"/>
        </w:rPr>
        <w:t>2</w:t>
      </w:r>
      <w:r>
        <w:rPr>
          <w:rFonts w:hint="eastAsia" w:ascii="仿宋" w:hAnsi="仿宋" w:eastAsia="仿宋" w:cs="仿宋"/>
          <w:color w:val="auto"/>
          <w:sz w:val="21"/>
          <w:szCs w:val="21"/>
          <w:highlight w:val="none"/>
        </w:rPr>
        <w:t>供应商投诉的事项不得超出已质疑事项的范围，基于质疑答复内容提出的投诉事项除外。</w:t>
      </w:r>
    </w:p>
    <w:p w14:paraId="1470965D">
      <w:pPr>
        <w:pStyle w:val="890"/>
        <w:widowControl w:val="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4.4.3供应商投诉应当有明确的请求和必要的证明材料。</w:t>
      </w:r>
    </w:p>
    <w:p w14:paraId="44247C10">
      <w:pPr>
        <w:pStyle w:val="89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4.4.4以联合体形式参加政府采购活动的，其投诉应当由组成联合体的所有供应商共同提出。</w:t>
      </w:r>
    </w:p>
    <w:p w14:paraId="51B43680">
      <w:pPr>
        <w:pStyle w:val="890"/>
        <w:shd w:val="clear" w:color="auto" w:fill="FFFFFF"/>
        <w:snapToGrid w:val="0"/>
        <w:spacing w:before="0" w:beforeAutospacing="0" w:after="0" w:afterAutospacing="0" w:line="360" w:lineRule="auto"/>
        <w:ind w:firstLine="420" w:firstLineChars="200"/>
        <w:contextualSpacing/>
        <w:rPr>
          <w:rFonts w:hint="eastAsia" w:ascii="仿宋" w:hAnsi="仿宋" w:eastAsia="仿宋" w:cs="仿宋"/>
          <w:color w:val="auto"/>
          <w:highlight w:val="none"/>
        </w:rPr>
      </w:pPr>
      <w:r>
        <w:rPr>
          <w:rFonts w:hint="eastAsia" w:ascii="仿宋" w:hAnsi="仿宋" w:eastAsia="仿宋" w:cs="仿宋"/>
          <w:color w:val="auto"/>
          <w:sz w:val="21"/>
          <w:szCs w:val="21"/>
          <w:highlight w:val="none"/>
        </w:rPr>
        <w:t>投诉书范本及制作说明详见附件3。</w:t>
      </w:r>
    </w:p>
    <w:p w14:paraId="21D17F14">
      <w:pPr>
        <w:adjustRightInd/>
        <w:spacing w:beforeLines="100" w:afterLines="100"/>
        <w:jc w:val="center"/>
        <w:outlineLvl w:val="0"/>
        <w:rPr>
          <w:rFonts w:hint="eastAsia" w:ascii="仿宋" w:hAnsi="仿宋" w:eastAsia="仿宋" w:cs="仿宋"/>
          <w:b/>
          <w:color w:val="auto"/>
          <w:sz w:val="36"/>
          <w:szCs w:val="21"/>
          <w:highlight w:val="none"/>
        </w:rPr>
      </w:pPr>
      <w:r>
        <w:rPr>
          <w:rFonts w:hint="eastAsia" w:ascii="仿宋" w:hAnsi="仿宋" w:eastAsia="仿宋" w:cs="仿宋"/>
          <w:b/>
          <w:color w:val="auto"/>
          <w:sz w:val="36"/>
          <w:szCs w:val="21"/>
          <w:highlight w:val="none"/>
        </w:rPr>
        <w:t>二、招标文件的构成、澄清、修改</w:t>
      </w:r>
    </w:p>
    <w:p w14:paraId="75277FDA">
      <w:pPr>
        <w:pStyle w:val="6"/>
        <w:spacing w:beforeLines="100" w:afterLines="100"/>
        <w:rPr>
          <w:rFonts w:hint="eastAsia" w:ascii="仿宋" w:hAnsi="仿宋" w:eastAsia="仿宋" w:cs="仿宋"/>
          <w:b/>
          <w:color w:val="auto"/>
          <w:highlight w:val="none"/>
        </w:rPr>
      </w:pPr>
      <w:r>
        <w:rPr>
          <w:rFonts w:hint="eastAsia" w:ascii="仿宋" w:hAnsi="仿宋" w:eastAsia="仿宋" w:cs="仿宋"/>
          <w:b/>
          <w:color w:val="auto"/>
          <w:highlight w:val="none"/>
        </w:rPr>
        <w:t>5.招标文件的构成</w:t>
      </w:r>
    </w:p>
    <w:p w14:paraId="619A082F">
      <w:pPr>
        <w:pStyle w:val="6"/>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5.1招标文件包括下列文件及附件：</w:t>
      </w:r>
    </w:p>
    <w:p w14:paraId="05D796A6">
      <w:pPr>
        <w:pStyle w:val="6"/>
        <w:tabs>
          <w:tab w:val="left" w:pos="840"/>
        </w:tabs>
        <w:spacing w:line="360" w:lineRule="auto"/>
        <w:ind w:firstLine="840" w:firstLineChars="400"/>
        <w:rPr>
          <w:rFonts w:hint="eastAsia" w:ascii="仿宋" w:hAnsi="仿宋" w:eastAsia="仿宋" w:cs="仿宋"/>
          <w:color w:val="auto"/>
          <w:highlight w:val="none"/>
        </w:rPr>
      </w:pPr>
      <w:r>
        <w:rPr>
          <w:rFonts w:hint="eastAsia" w:ascii="仿宋" w:hAnsi="仿宋" w:eastAsia="仿宋" w:cs="仿宋"/>
          <w:color w:val="auto"/>
          <w:highlight w:val="none"/>
        </w:rPr>
        <w:t>5.1.1招标公告；</w:t>
      </w:r>
    </w:p>
    <w:p w14:paraId="577EBD56">
      <w:pPr>
        <w:pStyle w:val="6"/>
        <w:tabs>
          <w:tab w:val="left" w:pos="840"/>
        </w:tabs>
        <w:spacing w:line="360" w:lineRule="auto"/>
        <w:ind w:firstLine="840" w:firstLineChars="400"/>
        <w:rPr>
          <w:rFonts w:hint="eastAsia" w:ascii="仿宋" w:hAnsi="仿宋" w:eastAsia="仿宋" w:cs="仿宋"/>
          <w:color w:val="auto"/>
          <w:highlight w:val="none"/>
        </w:rPr>
      </w:pPr>
      <w:r>
        <w:rPr>
          <w:rFonts w:hint="eastAsia" w:ascii="仿宋" w:hAnsi="仿宋" w:eastAsia="仿宋" w:cs="仿宋"/>
          <w:color w:val="auto"/>
          <w:highlight w:val="none"/>
        </w:rPr>
        <w:t>5.1.2投标人须知；</w:t>
      </w:r>
    </w:p>
    <w:p w14:paraId="30819565">
      <w:pPr>
        <w:pStyle w:val="6"/>
        <w:tabs>
          <w:tab w:val="left" w:pos="840"/>
        </w:tabs>
        <w:spacing w:line="360" w:lineRule="auto"/>
        <w:ind w:firstLine="840" w:firstLineChars="400"/>
        <w:rPr>
          <w:rFonts w:hint="eastAsia" w:ascii="仿宋" w:hAnsi="仿宋" w:eastAsia="仿宋" w:cs="仿宋"/>
          <w:color w:val="auto"/>
          <w:highlight w:val="none"/>
        </w:rPr>
      </w:pPr>
      <w:r>
        <w:rPr>
          <w:rFonts w:hint="eastAsia" w:ascii="仿宋" w:hAnsi="仿宋" w:eastAsia="仿宋" w:cs="仿宋"/>
          <w:color w:val="auto"/>
          <w:highlight w:val="none"/>
        </w:rPr>
        <w:t>5.1.3采购需求；</w:t>
      </w:r>
    </w:p>
    <w:p w14:paraId="4C8DDE1F">
      <w:pPr>
        <w:pStyle w:val="6"/>
        <w:tabs>
          <w:tab w:val="left" w:pos="840"/>
        </w:tabs>
        <w:spacing w:line="360" w:lineRule="auto"/>
        <w:ind w:firstLine="840" w:firstLineChars="400"/>
        <w:rPr>
          <w:rFonts w:hint="eastAsia" w:ascii="仿宋" w:hAnsi="仿宋" w:eastAsia="仿宋" w:cs="仿宋"/>
          <w:color w:val="auto"/>
          <w:highlight w:val="none"/>
        </w:rPr>
      </w:pPr>
      <w:r>
        <w:rPr>
          <w:rFonts w:hint="eastAsia" w:ascii="仿宋" w:hAnsi="仿宋" w:eastAsia="仿宋" w:cs="仿宋"/>
          <w:color w:val="auto"/>
          <w:highlight w:val="none"/>
        </w:rPr>
        <w:t>5.1.4评标办法；</w:t>
      </w:r>
    </w:p>
    <w:p w14:paraId="2F7E77EE">
      <w:pPr>
        <w:pStyle w:val="6"/>
        <w:tabs>
          <w:tab w:val="left" w:pos="840"/>
        </w:tabs>
        <w:spacing w:line="360" w:lineRule="auto"/>
        <w:ind w:firstLine="840" w:firstLineChars="400"/>
        <w:rPr>
          <w:rFonts w:hint="eastAsia" w:ascii="仿宋" w:hAnsi="仿宋" w:eastAsia="仿宋" w:cs="仿宋"/>
          <w:color w:val="auto"/>
          <w:highlight w:val="none"/>
        </w:rPr>
      </w:pPr>
      <w:r>
        <w:rPr>
          <w:rFonts w:hint="eastAsia" w:ascii="仿宋" w:hAnsi="仿宋" w:eastAsia="仿宋" w:cs="仿宋"/>
          <w:color w:val="auto"/>
          <w:highlight w:val="none"/>
        </w:rPr>
        <w:t>5.1.5拟签订的合同文本；</w:t>
      </w:r>
    </w:p>
    <w:p w14:paraId="50282F8A">
      <w:pPr>
        <w:pStyle w:val="6"/>
        <w:tabs>
          <w:tab w:val="left" w:pos="840"/>
        </w:tabs>
        <w:spacing w:line="360" w:lineRule="auto"/>
        <w:ind w:firstLine="840" w:firstLineChars="400"/>
        <w:rPr>
          <w:rFonts w:hint="eastAsia" w:ascii="仿宋" w:hAnsi="仿宋" w:eastAsia="仿宋" w:cs="仿宋"/>
          <w:color w:val="auto"/>
          <w:highlight w:val="none"/>
        </w:rPr>
      </w:pPr>
      <w:r>
        <w:rPr>
          <w:rFonts w:hint="eastAsia" w:ascii="仿宋" w:hAnsi="仿宋" w:eastAsia="仿宋" w:cs="仿宋"/>
          <w:color w:val="auto"/>
          <w:highlight w:val="none"/>
        </w:rPr>
        <w:t>5.1.6应提交的有关格式范例。</w:t>
      </w:r>
    </w:p>
    <w:p w14:paraId="47F815EA">
      <w:pPr>
        <w:wordWrap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5.2与本项目有关的</w:t>
      </w:r>
      <w:r>
        <w:rPr>
          <w:rFonts w:hint="eastAsia" w:ascii="仿宋" w:hAnsi="仿宋" w:eastAsia="仿宋" w:cs="仿宋"/>
          <w:bCs/>
          <w:color w:val="auto"/>
          <w:szCs w:val="21"/>
          <w:highlight w:val="none"/>
        </w:rPr>
        <w:t>澄清或者修改的内容为招标文件的组成部分</w:t>
      </w:r>
      <w:r>
        <w:rPr>
          <w:rFonts w:hint="eastAsia" w:ascii="仿宋" w:hAnsi="仿宋" w:eastAsia="仿宋" w:cs="仿宋"/>
          <w:color w:val="auto"/>
          <w:szCs w:val="21"/>
          <w:highlight w:val="none"/>
        </w:rPr>
        <w:t>。</w:t>
      </w:r>
    </w:p>
    <w:p w14:paraId="7B698B4D">
      <w:pPr>
        <w:pStyle w:val="6"/>
        <w:spacing w:beforeLines="100" w:afterLines="100"/>
        <w:rPr>
          <w:rFonts w:hint="eastAsia" w:ascii="仿宋" w:hAnsi="仿宋" w:eastAsia="仿宋" w:cs="仿宋"/>
          <w:b/>
          <w:color w:val="auto"/>
          <w:highlight w:val="none"/>
        </w:rPr>
      </w:pPr>
      <w:r>
        <w:rPr>
          <w:rFonts w:hint="eastAsia" w:ascii="仿宋" w:hAnsi="仿宋" w:eastAsia="仿宋" w:cs="仿宋"/>
          <w:b/>
          <w:color w:val="auto"/>
          <w:highlight w:val="none"/>
        </w:rPr>
        <w:t>6.招标文件的澄清、修改</w:t>
      </w:r>
    </w:p>
    <w:p w14:paraId="39AAD737">
      <w:pPr>
        <w:pStyle w:val="133"/>
        <w:snapToGrid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6.1已获取招标文件的潜在投标人，若有问题需要澄清，应于投标截止时间前，以书面形式向采购代理机构提出。</w:t>
      </w:r>
    </w:p>
    <w:p w14:paraId="1EBB74E8">
      <w:pPr>
        <w:pStyle w:val="133"/>
        <w:snapToGrid w:val="0"/>
        <w:spacing w:before="0"/>
        <w:ind w:firstLine="420"/>
        <w:rPr>
          <w:rFonts w:hint="eastAsia" w:ascii="仿宋" w:hAnsi="仿宋" w:eastAsia="仿宋" w:cs="仿宋"/>
          <w:color w:val="auto"/>
          <w:highlight w:val="none"/>
        </w:rPr>
      </w:pPr>
      <w:r>
        <w:rPr>
          <w:rFonts w:hint="eastAsia" w:ascii="仿宋" w:hAnsi="仿宋" w:eastAsia="仿宋" w:cs="仿宋"/>
          <w:color w:val="auto"/>
          <w:sz w:val="21"/>
          <w:szCs w:val="21"/>
          <w:highlight w:val="none"/>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47684A0">
      <w:pPr>
        <w:adjustRightInd/>
        <w:spacing w:beforeLines="100" w:afterLines="100"/>
        <w:jc w:val="center"/>
        <w:outlineLvl w:val="0"/>
        <w:rPr>
          <w:rFonts w:hint="eastAsia" w:ascii="仿宋" w:hAnsi="仿宋" w:eastAsia="仿宋" w:cs="仿宋"/>
          <w:b/>
          <w:color w:val="auto"/>
          <w:sz w:val="36"/>
          <w:szCs w:val="22"/>
          <w:highlight w:val="none"/>
        </w:rPr>
      </w:pPr>
      <w:r>
        <w:rPr>
          <w:rFonts w:hint="eastAsia" w:ascii="仿宋" w:hAnsi="仿宋" w:eastAsia="仿宋" w:cs="仿宋"/>
          <w:b/>
          <w:color w:val="auto"/>
          <w:sz w:val="36"/>
          <w:szCs w:val="22"/>
          <w:highlight w:val="none"/>
        </w:rPr>
        <w:t>三、投标</w:t>
      </w:r>
    </w:p>
    <w:p w14:paraId="038759AC">
      <w:pPr>
        <w:pStyle w:val="6"/>
        <w:spacing w:beforeLines="100" w:afterLines="100"/>
        <w:rPr>
          <w:rFonts w:hint="eastAsia" w:ascii="仿宋" w:hAnsi="仿宋" w:eastAsia="仿宋" w:cs="仿宋"/>
          <w:b/>
          <w:color w:val="auto"/>
          <w:highlight w:val="none"/>
        </w:rPr>
      </w:pPr>
      <w:r>
        <w:rPr>
          <w:rFonts w:hint="eastAsia" w:ascii="仿宋" w:hAnsi="仿宋" w:eastAsia="仿宋" w:cs="仿宋"/>
          <w:b/>
          <w:color w:val="auto"/>
          <w:highlight w:val="none"/>
        </w:rPr>
        <w:t>7.招标文件的获取</w:t>
      </w:r>
    </w:p>
    <w:p w14:paraId="6272F74B">
      <w:pPr>
        <w:spacing w:line="360" w:lineRule="auto"/>
        <w:ind w:firstLine="420" w:firstLineChars="200"/>
        <w:rPr>
          <w:rFonts w:hint="eastAsia" w:ascii="仿宋" w:hAnsi="仿宋" w:eastAsia="仿宋" w:cs="仿宋"/>
          <w:snapToGrid w:val="0"/>
          <w:color w:val="auto"/>
          <w:kern w:val="28"/>
          <w:szCs w:val="21"/>
          <w:highlight w:val="none"/>
        </w:rPr>
      </w:pPr>
      <w:r>
        <w:rPr>
          <w:rFonts w:hint="eastAsia" w:ascii="仿宋" w:hAnsi="仿宋" w:eastAsia="仿宋" w:cs="仿宋"/>
          <w:snapToGrid w:val="0"/>
          <w:color w:val="auto"/>
          <w:kern w:val="28"/>
          <w:szCs w:val="21"/>
          <w:highlight w:val="none"/>
        </w:rPr>
        <w:t>详见招标公告中获取招标文件的时间期限、地点、方式及招标文件售价。</w:t>
      </w:r>
    </w:p>
    <w:p w14:paraId="7254DAFA">
      <w:pPr>
        <w:spacing w:line="360" w:lineRule="auto"/>
        <w:ind w:firstLine="422" w:firstLineChars="200"/>
        <w:rPr>
          <w:rFonts w:hint="eastAsia" w:ascii="仿宋" w:hAnsi="仿宋" w:eastAsia="仿宋" w:cs="仿宋"/>
          <w:snapToGrid w:val="0"/>
          <w:color w:val="auto"/>
          <w:kern w:val="28"/>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snapToGrid w:val="0"/>
          <w:color w:val="auto"/>
          <w:kern w:val="28"/>
          <w:szCs w:val="21"/>
          <w:highlight w:val="none"/>
          <w:u w:val="single"/>
        </w:rPr>
        <w:t>附件中直接下载仅供浏览使用，不视作依法获取招标文件，不得就采购文件提出质疑投诉,未按规定获取招标文件者的投标将被拒绝。</w:t>
      </w:r>
    </w:p>
    <w:p w14:paraId="2E3C8005">
      <w:pPr>
        <w:pStyle w:val="6"/>
        <w:numPr>
          <w:ilvl w:val="0"/>
          <w:numId w:val="2"/>
        </w:numPr>
        <w:spacing w:beforeLines="100" w:afterLines="100"/>
        <w:rPr>
          <w:rFonts w:hint="eastAsia" w:ascii="仿宋" w:hAnsi="仿宋" w:eastAsia="仿宋" w:cs="仿宋"/>
          <w:b/>
          <w:color w:val="auto"/>
          <w:highlight w:val="none"/>
        </w:rPr>
      </w:pPr>
      <w:r>
        <w:rPr>
          <w:rFonts w:hint="eastAsia" w:ascii="仿宋" w:hAnsi="仿宋" w:eastAsia="仿宋" w:cs="仿宋"/>
          <w:b/>
          <w:color w:val="auto"/>
          <w:highlight w:val="none"/>
        </w:rPr>
        <w:t>开标前答疑会或现场考察</w:t>
      </w:r>
    </w:p>
    <w:p w14:paraId="359EEC2D">
      <w:pPr>
        <w:pStyle w:val="6"/>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采购人组织潜在投标人现场考察或者召开开标前答疑会的，潜在投标人按第二部分投标人须知前附表的规定参加现场考察或者开标前答疑会。</w:t>
      </w:r>
    </w:p>
    <w:p w14:paraId="76C2A32F">
      <w:pPr>
        <w:pStyle w:val="6"/>
        <w:numPr>
          <w:ilvl w:val="0"/>
          <w:numId w:val="2"/>
        </w:numPr>
        <w:spacing w:beforeLines="100" w:afterLines="100"/>
        <w:rPr>
          <w:rFonts w:hint="eastAsia" w:ascii="仿宋" w:hAnsi="仿宋" w:eastAsia="仿宋" w:cs="仿宋"/>
          <w:b/>
          <w:color w:val="auto"/>
          <w:highlight w:val="none"/>
        </w:rPr>
      </w:pPr>
      <w:r>
        <w:rPr>
          <w:rFonts w:hint="eastAsia" w:ascii="仿宋" w:hAnsi="仿宋" w:eastAsia="仿宋" w:cs="仿宋"/>
          <w:b/>
          <w:color w:val="auto"/>
          <w:highlight w:val="none"/>
        </w:rPr>
        <w:t>投标保证金</w:t>
      </w:r>
    </w:p>
    <w:p w14:paraId="3DA7E0D1">
      <w:pPr>
        <w:pStyle w:val="17"/>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本项目不需缴纳投标保证金。</w:t>
      </w:r>
    </w:p>
    <w:p w14:paraId="2A13AB03">
      <w:pPr>
        <w:pStyle w:val="6"/>
        <w:numPr>
          <w:ilvl w:val="0"/>
          <w:numId w:val="2"/>
        </w:numPr>
        <w:spacing w:beforeLines="100" w:afterLines="100"/>
        <w:rPr>
          <w:rFonts w:hint="eastAsia" w:ascii="仿宋" w:hAnsi="仿宋" w:eastAsia="仿宋" w:cs="仿宋"/>
          <w:b/>
          <w:color w:val="auto"/>
          <w:highlight w:val="none"/>
        </w:rPr>
      </w:pPr>
      <w:r>
        <w:rPr>
          <w:rFonts w:hint="eastAsia" w:ascii="仿宋" w:hAnsi="仿宋" w:eastAsia="仿宋" w:cs="仿宋"/>
          <w:b/>
          <w:color w:val="auto"/>
          <w:highlight w:val="none"/>
        </w:rPr>
        <w:t>投标文件的语言</w:t>
      </w:r>
    </w:p>
    <w:p w14:paraId="02C98A89">
      <w:pPr>
        <w:autoSpaceDE w:val="0"/>
        <w:autoSpaceDN w:val="0"/>
        <w:spacing w:line="360" w:lineRule="auto"/>
        <w:ind w:firstLine="420" w:firstLineChars="200"/>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投标文件及投标人与采购有关的来往通知、函件和文件均应使用中文。</w:t>
      </w:r>
    </w:p>
    <w:p w14:paraId="202FD016">
      <w:pPr>
        <w:pStyle w:val="6"/>
        <w:numPr>
          <w:ilvl w:val="0"/>
          <w:numId w:val="2"/>
        </w:numPr>
        <w:spacing w:beforeLines="100" w:afterLines="100"/>
        <w:rPr>
          <w:rFonts w:hint="eastAsia" w:ascii="仿宋" w:hAnsi="仿宋" w:eastAsia="仿宋" w:cs="仿宋"/>
          <w:b/>
          <w:color w:val="auto"/>
          <w:highlight w:val="none"/>
        </w:rPr>
      </w:pPr>
      <w:r>
        <w:rPr>
          <w:rFonts w:hint="eastAsia" w:ascii="仿宋" w:hAnsi="仿宋" w:eastAsia="仿宋" w:cs="仿宋"/>
          <w:b/>
          <w:color w:val="auto"/>
          <w:highlight w:val="none"/>
        </w:rPr>
        <w:t>投标文件的组成</w:t>
      </w:r>
    </w:p>
    <w:p w14:paraId="3E9F0B1C">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w:t>
      </w:r>
      <w:r>
        <w:rPr>
          <w:rFonts w:hint="eastAsia" w:ascii="仿宋" w:hAnsi="仿宋" w:eastAsia="仿宋" w:cs="仿宋"/>
          <w:b/>
          <w:color w:val="auto"/>
          <w:szCs w:val="21"/>
          <w:highlight w:val="none"/>
        </w:rPr>
        <w:t>资格文件</w:t>
      </w:r>
      <w:r>
        <w:rPr>
          <w:rFonts w:hint="eastAsia" w:ascii="仿宋" w:hAnsi="仿宋" w:eastAsia="仿宋" w:cs="仿宋"/>
          <w:color w:val="auto"/>
          <w:szCs w:val="21"/>
          <w:highlight w:val="none"/>
        </w:rPr>
        <w:t>：</w:t>
      </w:r>
    </w:p>
    <w:p w14:paraId="75D57F53">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11.1.1符合参加政府采购活动应当具备的一般条件的承诺函；</w:t>
      </w:r>
    </w:p>
    <w:p w14:paraId="47273AA8">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11.1.2联合协议（如果有）；</w:t>
      </w:r>
    </w:p>
    <w:p w14:paraId="631DC982">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11.1.3落实政府采购政策需满足的资格要求（如果有）；</w:t>
      </w:r>
    </w:p>
    <w:p w14:paraId="7DBFAAB6">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11.1.4本项目的特定资格要求（如果有）。</w:t>
      </w:r>
    </w:p>
    <w:p w14:paraId="41968EC8">
      <w:pPr>
        <w:snapToGrid w:val="0"/>
        <w:spacing w:line="360" w:lineRule="auto"/>
        <w:ind w:firstLine="422" w:firstLineChars="200"/>
        <w:rPr>
          <w:rFonts w:hint="eastAsia" w:ascii="仿宋" w:hAnsi="仿宋" w:eastAsia="仿宋" w:cs="仿宋"/>
          <w:b/>
          <w:bCs/>
          <w:color w:val="auto"/>
          <w:szCs w:val="21"/>
          <w:highlight w:val="none"/>
          <w:lang w:val="zh-CN"/>
        </w:rPr>
      </w:pPr>
      <w:r>
        <w:rPr>
          <w:rFonts w:hint="eastAsia" w:ascii="仿宋" w:hAnsi="仿宋" w:eastAsia="仿宋" w:cs="仿宋"/>
          <w:b/>
          <w:bCs/>
          <w:color w:val="auto"/>
          <w:szCs w:val="21"/>
          <w:highlight w:val="none"/>
          <w:lang w:val="zh-CN"/>
        </w:rPr>
        <w:t>11.</w:t>
      </w:r>
      <w:r>
        <w:rPr>
          <w:rFonts w:hint="eastAsia" w:ascii="仿宋" w:hAnsi="仿宋" w:eastAsia="仿宋" w:cs="仿宋"/>
          <w:b/>
          <w:bCs/>
          <w:color w:val="auto"/>
          <w:szCs w:val="21"/>
          <w:highlight w:val="none"/>
        </w:rPr>
        <w:t>2商务技术</w:t>
      </w:r>
      <w:r>
        <w:rPr>
          <w:rFonts w:hint="eastAsia" w:ascii="仿宋" w:hAnsi="仿宋" w:eastAsia="仿宋" w:cs="仿宋"/>
          <w:b/>
          <w:bCs/>
          <w:color w:val="auto"/>
          <w:szCs w:val="21"/>
          <w:highlight w:val="none"/>
          <w:lang w:val="zh-CN"/>
        </w:rPr>
        <w:t>文件：</w:t>
      </w:r>
    </w:p>
    <w:p w14:paraId="4DA7FB90">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11.2.1投标函；</w:t>
      </w:r>
    </w:p>
    <w:p w14:paraId="4A3AC366">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11.2.2授权委托书或法定代表人（单位负责人、自然人本人）身份证明；</w:t>
      </w:r>
    </w:p>
    <w:p w14:paraId="74BFA71B">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11.2.3分包意向协议（如果有）；</w:t>
      </w:r>
    </w:p>
    <w:p w14:paraId="4565F3CA">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11.2.4符合性审查资料；</w:t>
      </w:r>
    </w:p>
    <w:p w14:paraId="29E3D8A3">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11.2.5评标标准相应的商务技术资料；</w:t>
      </w:r>
    </w:p>
    <w:p w14:paraId="56BBA40E">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11.2.6投标标的清单；</w:t>
      </w:r>
    </w:p>
    <w:p w14:paraId="15120DDC">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11.2.7商务技术偏离表；</w:t>
      </w:r>
    </w:p>
    <w:p w14:paraId="28EE179C">
      <w:pPr>
        <w:snapToGrid w:val="0"/>
        <w:spacing w:line="360" w:lineRule="auto"/>
        <w:ind w:firstLine="840" w:firstLineChars="400"/>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11.</w:t>
      </w: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rPr>
        <w:t>8</w:t>
      </w:r>
      <w:r>
        <w:rPr>
          <w:rFonts w:hint="eastAsia" w:ascii="仿宋" w:hAnsi="仿宋" w:eastAsia="仿宋" w:cs="仿宋"/>
          <w:color w:val="auto"/>
          <w:szCs w:val="21"/>
          <w:highlight w:val="none"/>
          <w:lang w:val="zh-CN"/>
        </w:rPr>
        <w:t>政府采购供应商廉洁自律承诺书；</w:t>
      </w:r>
    </w:p>
    <w:p w14:paraId="6163ECB9">
      <w:pPr>
        <w:snapToGrid w:val="0"/>
        <w:spacing w:line="360" w:lineRule="auto"/>
        <w:ind w:firstLine="422" w:firstLineChars="200"/>
        <w:rPr>
          <w:rFonts w:hint="eastAsia" w:ascii="仿宋" w:hAnsi="仿宋" w:eastAsia="仿宋" w:cs="仿宋"/>
          <w:color w:val="auto"/>
          <w:szCs w:val="21"/>
          <w:highlight w:val="none"/>
          <w:u w:val="single"/>
          <w:lang w:val="zh-CN"/>
        </w:rPr>
      </w:pPr>
      <w:r>
        <w:rPr>
          <w:rFonts w:hint="eastAsia" w:ascii="仿宋" w:hAnsi="仿宋" w:eastAsia="仿宋" w:cs="仿宋"/>
          <w:b/>
          <w:bCs/>
          <w:color w:val="auto"/>
          <w:kern w:val="0"/>
          <w:szCs w:val="21"/>
          <w:highlight w:val="none"/>
          <w:lang w:val="zh-CN"/>
        </w:rPr>
        <w:t>11.</w:t>
      </w:r>
      <w:r>
        <w:rPr>
          <w:rFonts w:hint="eastAsia" w:ascii="仿宋" w:hAnsi="仿宋" w:eastAsia="仿宋" w:cs="仿宋"/>
          <w:b/>
          <w:bCs/>
          <w:color w:val="auto"/>
          <w:kern w:val="0"/>
          <w:szCs w:val="21"/>
          <w:highlight w:val="none"/>
        </w:rPr>
        <w:t>3</w:t>
      </w:r>
      <w:r>
        <w:rPr>
          <w:rFonts w:hint="eastAsia" w:ascii="仿宋" w:hAnsi="仿宋" w:eastAsia="仿宋" w:cs="仿宋"/>
          <w:b/>
          <w:color w:val="auto"/>
          <w:szCs w:val="21"/>
          <w:highlight w:val="none"/>
        </w:rPr>
        <w:t>报价文件：</w:t>
      </w:r>
    </w:p>
    <w:p w14:paraId="50763AEA">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11.3.1开标一览表（报价表）；</w:t>
      </w:r>
    </w:p>
    <w:p w14:paraId="54521C52">
      <w:pPr>
        <w:snapToGrid w:val="0"/>
        <w:spacing w:line="360" w:lineRule="auto"/>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11.3.2中小企业声明函（如本项目专门面向中小企业采购，此处可不提供）；</w:t>
      </w:r>
    </w:p>
    <w:p w14:paraId="7D2C7ABA">
      <w:pPr>
        <w:spacing w:line="360" w:lineRule="auto"/>
        <w:ind w:firstLine="422" w:firstLineChars="200"/>
        <w:rPr>
          <w:rFonts w:hint="eastAsia" w:ascii="仿宋" w:hAnsi="仿宋" w:eastAsia="仿宋" w:cs="仿宋"/>
          <w:b/>
          <w:color w:val="auto"/>
          <w:szCs w:val="21"/>
          <w:highlight w:val="none"/>
          <w:u w:val="single"/>
        </w:rPr>
      </w:pPr>
      <w:r>
        <w:rPr>
          <w:rFonts w:hint="eastAsia" w:ascii="仿宋" w:hAnsi="仿宋" w:eastAsia="仿宋" w:cs="仿宋"/>
          <w:b/>
          <w:bCs/>
          <w:color w:val="auto"/>
          <w:szCs w:val="21"/>
          <w:highlight w:val="none"/>
        </w:rPr>
        <w:t>▲</w:t>
      </w:r>
      <w:r>
        <w:rPr>
          <w:rFonts w:hint="eastAsia" w:ascii="仿宋" w:hAnsi="仿宋" w:eastAsia="仿宋" w:cs="仿宋"/>
          <w:b/>
          <w:color w:val="auto"/>
          <w:szCs w:val="21"/>
          <w:highlight w:val="none"/>
          <w:u w:val="single"/>
        </w:rPr>
        <w:t>投标文件含有采购人不能接受的附加条件的，投标无效；</w:t>
      </w:r>
    </w:p>
    <w:p w14:paraId="149BA934">
      <w:pPr>
        <w:spacing w:line="360" w:lineRule="auto"/>
        <w:ind w:firstLine="422" w:firstLineChars="200"/>
        <w:rPr>
          <w:rFonts w:hint="eastAsia" w:ascii="仿宋" w:hAnsi="仿宋" w:eastAsia="仿宋" w:cs="仿宋"/>
          <w:b/>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color w:val="auto"/>
          <w:szCs w:val="21"/>
          <w:highlight w:val="none"/>
          <w:u w:val="single"/>
        </w:rPr>
        <w:t>投标人提供虚假材料投标的，投标无效。</w:t>
      </w:r>
    </w:p>
    <w:p w14:paraId="13651AD2">
      <w:pPr>
        <w:pStyle w:val="133"/>
        <w:snapToGrid w:val="0"/>
        <w:spacing w:beforeLines="100" w:afterLines="100" w:line="240" w:lineRule="auto"/>
        <w:ind w:firstLine="0" w:firstLineChars="0"/>
        <w:outlineLvl w:val="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12</w:t>
      </w:r>
      <w:r>
        <w:rPr>
          <w:rFonts w:hint="eastAsia" w:ascii="仿宋" w:hAnsi="仿宋" w:eastAsia="仿宋" w:cs="仿宋"/>
          <w:b/>
          <w:color w:val="auto"/>
          <w:kern w:val="0"/>
          <w:sz w:val="21"/>
          <w:szCs w:val="21"/>
          <w:highlight w:val="none"/>
          <w:lang w:val="zh-CN"/>
        </w:rPr>
        <w:t>.</w:t>
      </w:r>
      <w:r>
        <w:rPr>
          <w:rFonts w:hint="eastAsia" w:ascii="仿宋" w:hAnsi="仿宋" w:eastAsia="仿宋" w:cs="仿宋"/>
          <w:b/>
          <w:color w:val="auto"/>
          <w:sz w:val="21"/>
          <w:szCs w:val="21"/>
          <w:highlight w:val="none"/>
        </w:rPr>
        <w:t>投标文件的编制</w:t>
      </w:r>
    </w:p>
    <w:p w14:paraId="76803ED0">
      <w:pPr>
        <w:spacing w:line="360" w:lineRule="auto"/>
        <w:ind w:firstLine="420" w:firstLineChars="200"/>
        <w:rPr>
          <w:rFonts w:hint="eastAsia" w:ascii="仿宋" w:hAnsi="仿宋" w:eastAsia="仿宋" w:cs="仿宋"/>
          <w:b/>
          <w:color w:val="auto"/>
          <w:szCs w:val="21"/>
          <w:highlight w:val="none"/>
        </w:rPr>
      </w:pPr>
      <w:r>
        <w:rPr>
          <w:rFonts w:hint="eastAsia" w:ascii="仿宋" w:hAnsi="仿宋" w:eastAsia="仿宋" w:cs="仿宋"/>
          <w:color w:val="auto"/>
          <w:kern w:val="0"/>
          <w:szCs w:val="21"/>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0A23E74">
      <w:pPr>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1470363">
      <w:pPr>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12.3使用“政采云电子交易客户端”需要提前申领CA数字证书，申领流程请自行前往“浙江政府采购网-下载专区-电子交易客户端-CA驱动和申领流程”进行查阅。</w:t>
      </w:r>
    </w:p>
    <w:p w14:paraId="680A5CF0">
      <w:pPr>
        <w:pStyle w:val="133"/>
        <w:snapToGrid w:val="0"/>
        <w:spacing w:beforeLines="100" w:afterLines="100" w:line="240" w:lineRule="auto"/>
        <w:ind w:firstLine="0" w:firstLineChars="0"/>
        <w:outlineLvl w:val="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13.投标文件的签署、盖章</w:t>
      </w:r>
    </w:p>
    <w:p w14:paraId="62452D07">
      <w:pPr>
        <w:pStyle w:val="133"/>
        <w:snapToGrid w:val="0"/>
        <w:spacing w:before="0"/>
        <w:ind w:firstLine="420"/>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13.1投标文件按照招标文件第六部分格式要求进行签署、盖章。</w:t>
      </w:r>
      <w:r>
        <w:rPr>
          <w:rFonts w:hint="eastAsia" w:ascii="仿宋" w:hAnsi="仿宋" w:eastAsia="仿宋" w:cs="仿宋"/>
          <w:b/>
          <w:color w:val="auto"/>
          <w:sz w:val="21"/>
          <w:szCs w:val="21"/>
          <w:highlight w:val="none"/>
        </w:rPr>
        <w:t>▲</w:t>
      </w:r>
      <w:r>
        <w:rPr>
          <w:rFonts w:hint="eastAsia" w:ascii="仿宋" w:hAnsi="仿宋" w:eastAsia="仿宋" w:cs="仿宋"/>
          <w:b/>
          <w:color w:val="auto"/>
          <w:sz w:val="21"/>
          <w:szCs w:val="21"/>
          <w:highlight w:val="none"/>
          <w:u w:val="single"/>
        </w:rPr>
        <w:t>投标人的投标文件未按照招标文件要求签署、盖章的，其投标无效</w:t>
      </w:r>
      <w:r>
        <w:rPr>
          <w:rFonts w:hint="eastAsia" w:ascii="仿宋" w:hAnsi="仿宋" w:eastAsia="仿宋" w:cs="仿宋"/>
          <w:color w:val="auto"/>
          <w:sz w:val="21"/>
          <w:szCs w:val="21"/>
          <w:highlight w:val="none"/>
          <w:u w:val="single"/>
        </w:rPr>
        <w:t>。</w:t>
      </w:r>
    </w:p>
    <w:p w14:paraId="03D5941D">
      <w:pPr>
        <w:pStyle w:val="133"/>
        <w:snapToGrid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13.2为确保网上操作合法、有效和安全，投标人应当在投标截止时间前完成在“政府采购云平台”的身份认证，确保在电子投标过程中能够对相关数据电文进行加密和使用电子签名。</w:t>
      </w:r>
    </w:p>
    <w:p w14:paraId="498818AA">
      <w:pPr>
        <w:pStyle w:val="133"/>
        <w:snapToGrid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13.3招标文件对投标文件签署、盖章的要求适用于电子签名。</w:t>
      </w:r>
    </w:p>
    <w:p w14:paraId="18E0A49A">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14.投标文件的提交、补充、修改、撤回</w:t>
      </w:r>
    </w:p>
    <w:p w14:paraId="79F696BB">
      <w:pPr>
        <w:pStyle w:val="133"/>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E66588F">
      <w:pPr>
        <w:pStyle w:val="133"/>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14.2电子交易平台收到投标文件，将妥善保存并即时向供应商发出确认回执通知。在投标截止时间前，除供应商补充、修改或者撤回投标文件外，任何单位和个人不得解密或提取投标文件。</w:t>
      </w:r>
    </w:p>
    <w:p w14:paraId="3B0BA5EB">
      <w:pPr>
        <w:pStyle w:val="133"/>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2A145587">
      <w:pPr>
        <w:pStyle w:val="6"/>
        <w:spacing w:beforeLines="100" w:afterLines="100"/>
        <w:rPr>
          <w:rFonts w:hint="eastAsia" w:ascii="仿宋" w:hAnsi="仿宋" w:eastAsia="仿宋" w:cs="仿宋"/>
          <w:b/>
          <w:color w:val="auto"/>
          <w:highlight w:val="none"/>
        </w:rPr>
      </w:pPr>
      <w:r>
        <w:rPr>
          <w:rFonts w:hint="eastAsia" w:ascii="仿宋" w:hAnsi="仿宋" w:eastAsia="仿宋" w:cs="仿宋"/>
          <w:b/>
          <w:color w:val="auto"/>
          <w:highlight w:val="none"/>
        </w:rPr>
        <w:t>15.备份投标文件</w:t>
      </w:r>
    </w:p>
    <w:p w14:paraId="29829A35">
      <w:pPr>
        <w:pStyle w:val="6"/>
        <w:spacing w:line="360" w:lineRule="auto"/>
        <w:ind w:firstLine="420" w:firstLineChars="200"/>
        <w:rPr>
          <w:rFonts w:hint="eastAsia" w:ascii="仿宋" w:hAnsi="仿宋" w:eastAsia="仿宋" w:cs="仿宋"/>
          <w:b/>
          <w:color w:val="auto"/>
          <w:highlight w:val="none"/>
        </w:rPr>
      </w:pPr>
      <w:r>
        <w:rPr>
          <w:rFonts w:hint="eastAsia" w:ascii="仿宋" w:hAnsi="仿宋" w:eastAsia="仿宋" w:cs="仿宋"/>
          <w:color w:val="auto"/>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highlight w:val="none"/>
          <w:u w:val="single"/>
        </w:rPr>
        <w:t>但采购人、采购代理机构不强制或变相强制投标人提交备份投标文件。</w:t>
      </w:r>
    </w:p>
    <w:p w14:paraId="052FBE43">
      <w:pPr>
        <w:pStyle w:val="6"/>
        <w:spacing w:line="360" w:lineRule="auto"/>
        <w:ind w:firstLine="420" w:firstLineChars="200"/>
        <w:rPr>
          <w:rFonts w:hint="eastAsia" w:ascii="仿宋" w:hAnsi="仿宋" w:eastAsia="仿宋" w:cs="仿宋"/>
          <w:b/>
          <w:bCs/>
          <w:color w:val="auto"/>
          <w:highlight w:val="none"/>
          <w:u w:val="single"/>
        </w:rPr>
      </w:pPr>
      <w:r>
        <w:rPr>
          <w:rFonts w:hint="eastAsia" w:ascii="仿宋" w:hAnsi="仿宋" w:eastAsia="仿宋" w:cs="仿宋"/>
          <w:color w:val="auto"/>
          <w:highlight w:val="none"/>
        </w:rPr>
        <w:t>15.2备份投标文件须在“政采云投标客户端”制作生成，并储存在DVD光盘或U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bCs/>
          <w:color w:val="auto"/>
          <w:highlight w:val="none"/>
          <w:u w:val="single"/>
        </w:rPr>
        <w:t>不符合上述制作、存储、密封规定的备份投标文件将被视为无效或者被拒绝接收。</w:t>
      </w:r>
    </w:p>
    <w:p w14:paraId="522978E6">
      <w:pPr>
        <w:pStyle w:val="6"/>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15.3直接提交备份投标文件的，投标人应于投标截止时间前在投标人须知前附表规定的地点将备份投标文件提交给采购代理机构，采购代理机构将拒绝接受逾期送达的备份投标文件。</w:t>
      </w:r>
    </w:p>
    <w:p w14:paraId="03962347">
      <w:pPr>
        <w:pStyle w:val="6"/>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highlight w:val="none"/>
        </w:rPr>
        <w:t>招标文件第二部分投标人须知前附表规定的备份投标文件送达地点；</w:t>
      </w:r>
      <w:r>
        <w:rPr>
          <w:rFonts w:hint="eastAsia" w:ascii="仿宋" w:hAnsi="仿宋" w:eastAsia="仿宋" w:cs="仿宋"/>
          <w:color w:val="auto"/>
          <w:highlight w:val="none"/>
        </w:rPr>
        <w:t>送达时间以签收人签收时间为准。采购代理机构将拒绝接受逾期送达的备份投标文件。邮寄过程中，电子备份投标文件发生泄露、遗失、损坏或延期送达等情况的，由投标人自行负责。</w:t>
      </w:r>
    </w:p>
    <w:p w14:paraId="7DF6D6C1">
      <w:pPr>
        <w:pStyle w:val="6"/>
        <w:spacing w:line="360" w:lineRule="auto"/>
        <w:ind w:firstLine="422" w:firstLineChars="200"/>
        <w:rPr>
          <w:rFonts w:hint="eastAsia" w:ascii="仿宋" w:hAnsi="仿宋" w:eastAsia="仿宋" w:cs="仿宋"/>
          <w:b/>
          <w:color w:val="auto"/>
          <w:highlight w:val="none"/>
        </w:rPr>
      </w:pPr>
      <w:r>
        <w:rPr>
          <w:rFonts w:hint="eastAsia" w:ascii="仿宋" w:hAnsi="仿宋" w:eastAsia="仿宋" w:cs="仿宋"/>
          <w:b/>
          <w:color w:val="auto"/>
          <w:highlight w:val="none"/>
        </w:rPr>
        <w:t>15.5</w:t>
      </w:r>
      <w:r>
        <w:rPr>
          <w:rFonts w:hint="eastAsia" w:ascii="仿宋" w:hAnsi="仿宋" w:eastAsia="仿宋" w:cs="仿宋"/>
          <w:b/>
          <w:color w:val="auto"/>
          <w:highlight w:val="none"/>
          <w:u w:val="single"/>
        </w:rPr>
        <w:t>投标人仅提交备份投标文件，没有在电子交易平台传输递交投标文件的，投标无效。</w:t>
      </w:r>
    </w:p>
    <w:p w14:paraId="5E8A6D40">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16.投标文件的无效处理</w:t>
      </w:r>
    </w:p>
    <w:p w14:paraId="0B9B7EEA">
      <w:pPr>
        <w:pStyle w:val="18"/>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有招标文件第四部分第4.2项规定的情形之一的，投标无效：</w:t>
      </w:r>
    </w:p>
    <w:p w14:paraId="078E1C11">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17.投标有效期</w:t>
      </w:r>
    </w:p>
    <w:p w14:paraId="10764B38">
      <w:pPr>
        <w:spacing w:line="360" w:lineRule="auto"/>
        <w:ind w:firstLine="420" w:firstLineChars="2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17.1投标有效期为从提交投标文件的截止之日起90天。▲</w:t>
      </w:r>
      <w:r>
        <w:rPr>
          <w:rFonts w:hint="eastAsia" w:ascii="仿宋" w:hAnsi="仿宋" w:eastAsia="仿宋" w:cs="仿宋"/>
          <w:b/>
          <w:color w:val="auto"/>
          <w:szCs w:val="21"/>
          <w:highlight w:val="none"/>
          <w:u w:val="single"/>
        </w:rPr>
        <w:t>投标人的投标文件中承诺的投标有效期少于招标文件中载明的投标有效期的，投标无效。</w:t>
      </w:r>
    </w:p>
    <w:p w14:paraId="29BEBF23">
      <w:pPr>
        <w:pStyle w:val="133"/>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17.2投标文件合格投递后，自投标截止日期起，在投标有效期内有效。</w:t>
      </w:r>
    </w:p>
    <w:p w14:paraId="38CC984B">
      <w:pPr>
        <w:pStyle w:val="133"/>
        <w:spacing w:before="0"/>
        <w:ind w:firstLine="420"/>
        <w:rPr>
          <w:rFonts w:hint="eastAsia" w:ascii="仿宋" w:hAnsi="仿宋" w:eastAsia="仿宋" w:cs="仿宋"/>
          <w:color w:val="auto"/>
          <w:highlight w:val="none"/>
        </w:rPr>
      </w:pPr>
      <w:r>
        <w:rPr>
          <w:rFonts w:hint="eastAsia" w:ascii="仿宋" w:hAnsi="仿宋" w:eastAsia="仿宋" w:cs="仿宋"/>
          <w:color w:val="auto"/>
          <w:sz w:val="21"/>
          <w:szCs w:val="21"/>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2B4FB482">
      <w:pPr>
        <w:pStyle w:val="133"/>
        <w:spacing w:beforeLines="100" w:afterLines="100" w:line="240" w:lineRule="auto"/>
        <w:ind w:firstLine="0" w:firstLineChars="0"/>
        <w:jc w:val="center"/>
        <w:rPr>
          <w:rFonts w:hint="eastAsia" w:ascii="仿宋" w:hAnsi="仿宋" w:eastAsia="仿宋" w:cs="仿宋"/>
          <w:b/>
          <w:color w:val="auto"/>
          <w:sz w:val="36"/>
          <w:szCs w:val="21"/>
          <w:highlight w:val="none"/>
        </w:rPr>
      </w:pPr>
      <w:r>
        <w:rPr>
          <w:rFonts w:hint="eastAsia" w:ascii="仿宋" w:hAnsi="仿宋" w:eastAsia="仿宋" w:cs="仿宋"/>
          <w:b/>
          <w:color w:val="auto"/>
          <w:sz w:val="36"/>
          <w:szCs w:val="21"/>
          <w:highlight w:val="none"/>
        </w:rPr>
        <w:t>四、开标、资格审查与信用信息查询</w:t>
      </w:r>
    </w:p>
    <w:p w14:paraId="59374DBB">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18.开标</w:t>
      </w:r>
    </w:p>
    <w:p w14:paraId="7ACDE84C">
      <w:pPr>
        <w:pStyle w:val="558"/>
        <w:wordWrap w:val="0"/>
        <w:spacing w:before="0" w:line="360" w:lineRule="auto"/>
        <w:ind w:left="0"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18.1采购代理机构按照招标文件规定的时间通过电子交易平台组织开标，所有投标人均应当准时在线参加。投标人不足3家的，不得开标。</w:t>
      </w:r>
    </w:p>
    <w:p w14:paraId="632E7F10">
      <w:pPr>
        <w:pStyle w:val="558"/>
        <w:wordWrap w:val="0"/>
        <w:spacing w:before="0" w:line="360" w:lineRule="auto"/>
        <w:ind w:left="0" w:firstLine="420" w:firstLineChars="2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18.2开标时，电子交易平台按开标时间自动提取所有投标文件。采购代理机构依托电子交易平台发起开始解密指令，投标人按照平台提示和招标文件的规定在半小时内完成在线解密。</w:t>
      </w:r>
    </w:p>
    <w:p w14:paraId="653B01C6">
      <w:pPr>
        <w:pStyle w:val="558"/>
        <w:wordWrap w:val="0"/>
        <w:spacing w:before="0" w:line="360" w:lineRule="auto"/>
        <w:ind w:left="0" w:firstLine="420" w:firstLineChars="200"/>
        <w:contextualSpacing/>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18.3</w:t>
      </w:r>
      <w:r>
        <w:rPr>
          <w:rFonts w:hint="eastAsia" w:ascii="仿宋" w:hAnsi="仿宋" w:eastAsia="仿宋" w:cs="仿宋"/>
          <w:b/>
          <w:color w:val="auto"/>
          <w:sz w:val="21"/>
          <w:szCs w:val="21"/>
          <w:highlight w:val="none"/>
          <w:u w:val="single"/>
        </w:rPr>
        <w:t>投标文件未按时解密，投标人提供了备份投标文件的，以备份投标文件作为依据，否则视为投标文件撤回。投标文件已按时解密的，备份投标文件自动失效。</w:t>
      </w:r>
    </w:p>
    <w:p w14:paraId="16861A22">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19.资格审查</w:t>
      </w:r>
    </w:p>
    <w:p w14:paraId="49CCA983">
      <w:pPr>
        <w:pStyle w:val="133"/>
        <w:wordWrap w:val="0"/>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19.1采购人或采购代理机构依据法律法规和招标文件的规定，对投标人的资格进行审查。</w:t>
      </w:r>
    </w:p>
    <w:p w14:paraId="1EC3EBEC">
      <w:pPr>
        <w:pStyle w:val="133"/>
        <w:wordWrap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19.2投标人未按照招标文件要求提供与</w:t>
      </w:r>
      <w:r>
        <w:rPr>
          <w:rFonts w:hint="eastAsia" w:ascii="仿宋" w:hAnsi="仿宋" w:eastAsia="仿宋" w:cs="仿宋"/>
          <w:color w:val="auto"/>
          <w:sz w:val="21"/>
          <w:szCs w:val="21"/>
          <w:highlight w:val="none"/>
        </w:rPr>
        <w:t>资格条件相应的</w:t>
      </w:r>
      <w:r>
        <w:rPr>
          <w:rFonts w:hint="eastAsia" w:ascii="仿宋" w:hAnsi="仿宋" w:eastAsia="仿宋" w:cs="仿宋"/>
          <w:color w:val="auto"/>
          <w:kern w:val="0"/>
          <w:sz w:val="21"/>
          <w:szCs w:val="21"/>
          <w:highlight w:val="none"/>
        </w:rPr>
        <w:t>有效资格证明材料的，视为</w:t>
      </w:r>
      <w:r>
        <w:rPr>
          <w:rFonts w:hint="eastAsia" w:ascii="仿宋" w:hAnsi="仿宋" w:eastAsia="仿宋" w:cs="仿宋"/>
          <w:color w:val="auto"/>
          <w:sz w:val="21"/>
          <w:szCs w:val="21"/>
          <w:highlight w:val="none"/>
        </w:rPr>
        <w:t>投标人不具备招标文件中规定的资格要求，其投标无效。</w:t>
      </w:r>
    </w:p>
    <w:p w14:paraId="6024960C">
      <w:pPr>
        <w:pStyle w:val="133"/>
        <w:wordWrap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19.</w:t>
      </w:r>
      <w:r>
        <w:rPr>
          <w:rFonts w:hint="eastAsia" w:ascii="仿宋" w:hAnsi="仿宋" w:eastAsia="仿宋" w:cs="仿宋"/>
          <w:color w:val="auto"/>
          <w:sz w:val="21"/>
          <w:szCs w:val="21"/>
          <w:highlight w:val="none"/>
        </w:rPr>
        <w:t>4对未通过资格审查的投标人，采购人或采购代理机构告知其未通过的原因。</w:t>
      </w:r>
    </w:p>
    <w:p w14:paraId="441483B9">
      <w:pPr>
        <w:pStyle w:val="133"/>
        <w:wordWrap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19.</w:t>
      </w:r>
      <w:r>
        <w:rPr>
          <w:rFonts w:hint="eastAsia" w:ascii="仿宋" w:hAnsi="仿宋" w:eastAsia="仿宋" w:cs="仿宋"/>
          <w:color w:val="auto"/>
          <w:sz w:val="21"/>
          <w:szCs w:val="21"/>
          <w:highlight w:val="none"/>
        </w:rPr>
        <w:t>5合格投标人不足3家的，不再评标。</w:t>
      </w:r>
    </w:p>
    <w:p w14:paraId="4425D24E">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20.信用信息查询</w:t>
      </w:r>
    </w:p>
    <w:p w14:paraId="69205741">
      <w:pPr>
        <w:pStyle w:val="133"/>
        <w:wordWrap w:val="0"/>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20.1信用信息查询渠道及截止时间：采购代理机构将在资格审查时通过“信用中国”网站(www.creditchina.gov.cn)、中国政府采购网(www.ccgp.gov.cn)渠道查询投标人接受资格时的信用记录。</w:t>
      </w:r>
    </w:p>
    <w:p w14:paraId="7BC04C1B">
      <w:pPr>
        <w:pStyle w:val="133"/>
        <w:wordWrap w:val="0"/>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20.2信用信息查询记录和证据留存的具体方式：现场查询的投标人的信用记录、查询结果经确认后将与采购文件一起存档。</w:t>
      </w:r>
    </w:p>
    <w:p w14:paraId="0B030577">
      <w:pPr>
        <w:pStyle w:val="133"/>
        <w:wordWrap w:val="0"/>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20.3信用信息的使用规则：经查询列入失信被执行人名单、重大税收违法案件当事人名单、政府采购严重违法失信行为记录名单的投标人将被拒绝参与政府采购活动。</w:t>
      </w:r>
    </w:p>
    <w:p w14:paraId="109574DF">
      <w:pPr>
        <w:pStyle w:val="133"/>
        <w:wordWrap w:val="0"/>
        <w:spacing w:before="0"/>
        <w:ind w:firstLine="420"/>
        <w:rPr>
          <w:rFonts w:hint="eastAsia" w:ascii="仿宋" w:hAnsi="仿宋" w:eastAsia="仿宋" w:cs="仿宋"/>
          <w:color w:val="auto"/>
          <w:highlight w:val="none"/>
        </w:rPr>
      </w:pPr>
      <w:r>
        <w:rPr>
          <w:rFonts w:hint="eastAsia" w:ascii="仿宋" w:hAnsi="仿宋" w:eastAsia="仿宋" w:cs="仿宋"/>
          <w:color w:val="auto"/>
          <w:kern w:val="0"/>
          <w:sz w:val="21"/>
          <w:szCs w:val="21"/>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sz w:val="21"/>
          <w:szCs w:val="21"/>
          <w:highlight w:val="none"/>
        </w:rPr>
        <w:t>。</w:t>
      </w:r>
    </w:p>
    <w:p w14:paraId="1FB845FA">
      <w:pPr>
        <w:snapToGrid w:val="0"/>
        <w:spacing w:beforeLines="100" w:afterLines="10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614D6060">
      <w:pPr>
        <w:pStyle w:val="133"/>
        <w:spacing w:beforeLines="100" w:afterLines="100" w:line="240" w:lineRule="auto"/>
        <w:ind w:firstLine="0" w:firstLineChars="0"/>
        <w:rPr>
          <w:rFonts w:hint="eastAsia" w:ascii="仿宋" w:hAnsi="仿宋" w:eastAsia="仿宋" w:cs="仿宋"/>
          <w:b/>
          <w:color w:val="auto"/>
          <w:sz w:val="21"/>
          <w:szCs w:val="21"/>
          <w:highlight w:val="none"/>
        </w:rPr>
      </w:pPr>
      <w:bookmarkStart w:id="13" w:name="_Toc91899903"/>
      <w:r>
        <w:rPr>
          <w:rFonts w:hint="eastAsia" w:ascii="仿宋" w:hAnsi="仿宋" w:eastAsia="仿宋" w:cs="仿宋"/>
          <w:b/>
          <w:color w:val="auto"/>
          <w:sz w:val="21"/>
          <w:szCs w:val="21"/>
          <w:highlight w:val="none"/>
        </w:rPr>
        <w:t>21.评标</w:t>
      </w:r>
    </w:p>
    <w:p w14:paraId="25E1AD3D">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p>
    <w:p w14:paraId="55198B2C">
      <w:pPr>
        <w:spacing w:line="360" w:lineRule="auto"/>
        <w:ind w:firstLine="422" w:firstLineChars="200"/>
        <w:rPr>
          <w:rFonts w:hint="eastAsia" w:ascii="仿宋" w:hAnsi="仿宋" w:eastAsia="仿宋" w:cs="仿宋"/>
          <w:b/>
          <w:color w:val="auto"/>
          <w:szCs w:val="21"/>
          <w:highlight w:val="none"/>
          <w:u w:val="single"/>
        </w:rPr>
      </w:pPr>
      <w:r>
        <w:rPr>
          <w:rFonts w:hint="eastAsia" w:ascii="仿宋" w:hAnsi="仿宋" w:eastAsia="仿宋" w:cs="仿宋"/>
          <w:b/>
          <w:color w:val="auto"/>
          <w:szCs w:val="21"/>
          <w:highlight w:val="none"/>
          <w:u w:val="single"/>
        </w:rPr>
        <w:t>详见招标文件第四部分评标办法。</w:t>
      </w:r>
    </w:p>
    <w:p w14:paraId="3A3A8E07">
      <w:pPr>
        <w:snapToGrid w:val="0"/>
        <w:spacing w:beforeLines="100" w:afterLines="10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六、定标</w:t>
      </w:r>
    </w:p>
    <w:p w14:paraId="30706621">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22.确定中标供应商</w:t>
      </w:r>
    </w:p>
    <w:p w14:paraId="1E399255">
      <w:pPr>
        <w:pStyle w:val="133"/>
        <w:snapToGrid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859C17A">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23.中标通知与中标结果公告</w:t>
      </w:r>
    </w:p>
    <w:p w14:paraId="2BBB5AC4">
      <w:pPr>
        <w:widowControl/>
        <w:shd w:val="clear" w:color="auto" w:fill="FFFFFF"/>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23.1自中标人确定之日起2个工作日内，采购代理机构通过电子交易平台向中标人发出中标通知书，同时编制发布采购结果公告。采购代理机构也可以以纸质形式进行中标通知。</w:t>
      </w:r>
    </w:p>
    <w:p w14:paraId="766B1097">
      <w:pPr>
        <w:widowControl/>
        <w:shd w:val="clear" w:color="auto" w:fill="FFFFFF"/>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0FB69488">
      <w:pPr>
        <w:widowControl/>
        <w:shd w:val="clear" w:color="auto" w:fill="FFFFFF"/>
        <w:spacing w:line="360" w:lineRule="auto"/>
        <w:ind w:firstLine="420" w:firstLineChars="200"/>
        <w:jc w:val="left"/>
        <w:rPr>
          <w:rFonts w:hint="eastAsia" w:ascii="仿宋" w:hAnsi="仿宋" w:eastAsia="仿宋" w:cs="仿宋"/>
          <w:color w:val="auto"/>
          <w:sz w:val="24"/>
          <w:highlight w:val="none"/>
        </w:rPr>
      </w:pPr>
      <w:r>
        <w:rPr>
          <w:rFonts w:hint="eastAsia" w:ascii="仿宋" w:hAnsi="仿宋" w:eastAsia="仿宋" w:cs="仿宋"/>
          <w:color w:val="auto"/>
          <w:szCs w:val="21"/>
          <w:highlight w:val="none"/>
        </w:rPr>
        <w:t>23.3公告期限为1个工作日。</w:t>
      </w:r>
    </w:p>
    <w:p w14:paraId="37A6C0E3">
      <w:pPr>
        <w:snapToGrid w:val="0"/>
        <w:spacing w:beforeLines="100" w:afterLines="100"/>
        <w:jc w:val="center"/>
        <w:rPr>
          <w:rFonts w:hint="eastAsia" w:ascii="仿宋" w:hAnsi="仿宋" w:eastAsia="仿宋" w:cs="仿宋"/>
          <w:b/>
          <w:color w:val="auto"/>
          <w:sz w:val="36"/>
          <w:szCs w:val="28"/>
          <w:highlight w:val="none"/>
        </w:rPr>
      </w:pPr>
      <w:r>
        <w:rPr>
          <w:rFonts w:hint="eastAsia" w:ascii="仿宋" w:hAnsi="仿宋" w:eastAsia="仿宋" w:cs="仿宋"/>
          <w:b/>
          <w:color w:val="auto"/>
          <w:sz w:val="36"/>
          <w:szCs w:val="28"/>
          <w:highlight w:val="none"/>
        </w:rPr>
        <w:t>七、合同授予</w:t>
      </w:r>
    </w:p>
    <w:p w14:paraId="5123F750">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24.合同主要条款</w:t>
      </w:r>
    </w:p>
    <w:p w14:paraId="774098C0">
      <w:pPr>
        <w:pStyle w:val="18"/>
        <w:spacing w:line="360" w:lineRule="auto"/>
        <w:ind w:firstLine="420"/>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合同主要条款详见第五部分拟签订的合同文本。</w:t>
      </w:r>
    </w:p>
    <w:p w14:paraId="64753A85">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25.合同的签订</w:t>
      </w:r>
    </w:p>
    <w:p w14:paraId="4BAA0EA1">
      <w:pPr>
        <w:widowControl/>
        <w:shd w:val="clear" w:color="auto" w:fill="FFFFFF"/>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25.1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80B7FC7">
      <w:pPr>
        <w:pStyle w:val="133"/>
        <w:snapToGrid w:val="0"/>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B49CF6D">
      <w:pPr>
        <w:pStyle w:val="133"/>
        <w:snapToGrid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25.3如签订合同并生效后，供应商无故拒绝或延期，除按照合同条款处理外，列入不良行为记录一次，并给予通报。</w:t>
      </w:r>
    </w:p>
    <w:p w14:paraId="333A7816">
      <w:pPr>
        <w:pStyle w:val="133"/>
        <w:snapToGrid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25.4中标供应商拒绝与采购人签订合同的，采购人可以按照评审报告推荐的中标或者成交候选人名单排序，确定下一候选人为中标供应商，也可以重新开展政府采购活动。</w:t>
      </w:r>
    </w:p>
    <w:p w14:paraId="653D9D67">
      <w:pPr>
        <w:pStyle w:val="133"/>
        <w:snapToGrid w:val="0"/>
        <w:spacing w:before="0"/>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25.5采购合同由采购人与中标供应商根据招标文件、投标文件等内容通过政府采购电子交易平台在线签订，自动备案。</w:t>
      </w:r>
    </w:p>
    <w:p w14:paraId="121DE9B8">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26.履约保证金</w:t>
      </w:r>
    </w:p>
    <w:p w14:paraId="17CE989D">
      <w:pPr>
        <w:pStyle w:val="133"/>
        <w:snapToGrid w:val="0"/>
        <w:spacing w:before="0"/>
        <w:ind w:firstLine="420"/>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11043463">
      <w:pPr>
        <w:pStyle w:val="133"/>
        <w:snapToGrid w:val="0"/>
        <w:spacing w:before="0"/>
        <w:ind w:left="420" w:leftChars="200" w:firstLine="0" w:firstLineChars="0"/>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供应商可登录政采云平台-【金融服务】—【我的项目】—【已备案合同】以保函形式提供：（</w:t>
      </w: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lang w:val="zh-CN"/>
        </w:rPr>
        <w:t>）供应商在合同列表选择需要投保的合同，点击[保函推荐]；</w:t>
      </w:r>
    </w:p>
    <w:p w14:paraId="15BCD629">
      <w:pPr>
        <w:pStyle w:val="133"/>
        <w:snapToGrid w:val="0"/>
        <w:spacing w:before="0"/>
        <w:ind w:firstLine="420"/>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w:t>
      </w: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lang w:val="zh-CN"/>
        </w:rPr>
        <w:t>）在弹框里查看推荐的保函产品，供应商自行选择保函产品，点击[立即申请]；</w:t>
      </w:r>
    </w:p>
    <w:p w14:paraId="4BBACDED">
      <w:pPr>
        <w:pStyle w:val="133"/>
        <w:snapToGrid w:val="0"/>
        <w:spacing w:before="0"/>
        <w:ind w:firstLine="420"/>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w:t>
      </w:r>
      <w:r>
        <w:rPr>
          <w:rFonts w:hint="eastAsia" w:ascii="仿宋" w:hAnsi="仿宋" w:eastAsia="仿宋" w:cs="仿宋"/>
          <w:color w:val="auto"/>
          <w:kern w:val="0"/>
          <w:sz w:val="21"/>
          <w:szCs w:val="21"/>
          <w:highlight w:val="none"/>
        </w:rPr>
        <w:t>3</w:t>
      </w:r>
      <w:r>
        <w:rPr>
          <w:rFonts w:hint="eastAsia" w:ascii="仿宋" w:hAnsi="仿宋" w:eastAsia="仿宋" w:cs="仿宋"/>
          <w:color w:val="auto"/>
          <w:kern w:val="0"/>
          <w:sz w:val="21"/>
          <w:szCs w:val="21"/>
          <w:highlight w:val="none"/>
          <w:lang w:val="zh-CN"/>
        </w:rPr>
        <w:t>）在弹框里填写保函申请信息。</w:t>
      </w:r>
    </w:p>
    <w:p w14:paraId="25CF1011">
      <w:pPr>
        <w:pStyle w:val="133"/>
        <w:snapToGrid w:val="0"/>
        <w:spacing w:before="0"/>
        <w:ind w:firstLine="420"/>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具体步骤：选择产品—填写供应商信息—选择中标项目—确认信息—等待保险/保函受理—确认保单—支付保费—成功出单。政采云金融专线400-903-9583。</w:t>
      </w:r>
    </w:p>
    <w:p w14:paraId="70062F72">
      <w:pPr>
        <w:pStyle w:val="133"/>
        <w:spacing w:beforeLines="100" w:afterLines="100" w:line="240" w:lineRule="auto"/>
        <w:ind w:firstLine="0" w:firstLineChars="0"/>
        <w:rPr>
          <w:rFonts w:hint="eastAsia" w:ascii="仿宋" w:hAnsi="仿宋" w:eastAsia="仿宋" w:cs="仿宋"/>
          <w:b/>
          <w:color w:val="auto"/>
          <w:sz w:val="21"/>
          <w:szCs w:val="21"/>
          <w:highlight w:val="none"/>
          <w:lang w:val="zh-CN"/>
        </w:rPr>
      </w:pPr>
      <w:r>
        <w:rPr>
          <w:rFonts w:hint="eastAsia" w:ascii="仿宋" w:hAnsi="仿宋" w:eastAsia="仿宋" w:cs="仿宋"/>
          <w:b/>
          <w:color w:val="auto"/>
          <w:sz w:val="21"/>
          <w:szCs w:val="21"/>
          <w:highlight w:val="none"/>
        </w:rPr>
        <w:t xml:space="preserve">27. </w:t>
      </w:r>
      <w:r>
        <w:rPr>
          <w:rFonts w:hint="eastAsia" w:ascii="仿宋" w:hAnsi="仿宋" w:eastAsia="仿宋" w:cs="仿宋"/>
          <w:b/>
          <w:color w:val="auto"/>
          <w:sz w:val="21"/>
          <w:szCs w:val="21"/>
          <w:highlight w:val="none"/>
          <w:lang w:val="zh-CN"/>
        </w:rPr>
        <w:t>预付款</w:t>
      </w:r>
    </w:p>
    <w:p w14:paraId="40108EFE">
      <w:pPr>
        <w:pStyle w:val="133"/>
        <w:snapToGrid w:val="0"/>
        <w:spacing w:before="0"/>
        <w:ind w:firstLine="420"/>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w:t>
      </w:r>
    </w:p>
    <w:p w14:paraId="52027D1D">
      <w:pPr>
        <w:pStyle w:val="133"/>
        <w:snapToGrid w:val="0"/>
        <w:spacing w:before="0"/>
        <w:ind w:firstLine="420"/>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供应商可登录政采云前台大厅选择金融服务-【保函保险服务】出具预付款保函，具体步骤：选择产品—填写供应商信息—选择中标项目—确认信息—等待保险/保函受理—确认保单—支付保费—成功出单。政采云金融专线400-903-9583。</w:t>
      </w:r>
    </w:p>
    <w:p w14:paraId="167D62BB">
      <w:pPr>
        <w:snapToGrid w:val="0"/>
        <w:spacing w:beforeLines="100" w:afterLines="10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八、电子交易活动的中止</w:t>
      </w:r>
    </w:p>
    <w:p w14:paraId="2C332F89">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28. 电子交易活动的中止</w:t>
      </w:r>
    </w:p>
    <w:p w14:paraId="5586325E">
      <w:pPr>
        <w:pStyle w:val="133"/>
        <w:snapToGrid w:val="0"/>
        <w:spacing w:before="0"/>
        <w:ind w:firstLine="420"/>
        <w:rPr>
          <w:rFonts w:hint="eastAsia" w:ascii="仿宋" w:hAnsi="仿宋" w:eastAsia="仿宋" w:cs="仿宋"/>
          <w:color w:val="auto"/>
          <w:sz w:val="21"/>
          <w:szCs w:val="16"/>
          <w:highlight w:val="none"/>
        </w:rPr>
      </w:pPr>
      <w:r>
        <w:rPr>
          <w:rFonts w:hint="eastAsia" w:ascii="仿宋" w:hAnsi="仿宋" w:eastAsia="仿宋" w:cs="仿宋"/>
          <w:color w:val="auto"/>
          <w:sz w:val="21"/>
          <w:szCs w:val="16"/>
          <w:highlight w:val="none"/>
        </w:rPr>
        <w:t>采购过程中出现以下情形，导致电子交易平台无法正常运行，或者无法保证电子交易的公平、公正和安全时，采购代理机构可中止电子交易活动：</w:t>
      </w:r>
    </w:p>
    <w:p w14:paraId="510C1AD7">
      <w:pPr>
        <w:pStyle w:val="133"/>
        <w:snapToGrid w:val="0"/>
        <w:spacing w:before="0"/>
        <w:ind w:firstLine="420"/>
        <w:rPr>
          <w:rFonts w:hint="eastAsia" w:ascii="仿宋" w:hAnsi="仿宋" w:eastAsia="仿宋" w:cs="仿宋"/>
          <w:color w:val="auto"/>
          <w:sz w:val="21"/>
          <w:szCs w:val="16"/>
          <w:highlight w:val="none"/>
        </w:rPr>
      </w:pPr>
      <w:r>
        <w:rPr>
          <w:rFonts w:hint="eastAsia" w:ascii="仿宋" w:hAnsi="仿宋" w:eastAsia="仿宋" w:cs="仿宋"/>
          <w:color w:val="auto"/>
          <w:sz w:val="21"/>
          <w:szCs w:val="16"/>
          <w:highlight w:val="none"/>
        </w:rPr>
        <w:t xml:space="preserve">28.1电子交易平台发生故障而无法登录访问的； </w:t>
      </w:r>
    </w:p>
    <w:p w14:paraId="0F8ED808">
      <w:pPr>
        <w:pStyle w:val="133"/>
        <w:snapToGrid w:val="0"/>
        <w:spacing w:before="0"/>
        <w:ind w:firstLine="420"/>
        <w:rPr>
          <w:rFonts w:hint="eastAsia" w:ascii="仿宋" w:hAnsi="仿宋" w:eastAsia="仿宋" w:cs="仿宋"/>
          <w:color w:val="auto"/>
          <w:sz w:val="21"/>
          <w:szCs w:val="16"/>
          <w:highlight w:val="none"/>
        </w:rPr>
      </w:pPr>
      <w:r>
        <w:rPr>
          <w:rFonts w:hint="eastAsia" w:ascii="仿宋" w:hAnsi="仿宋" w:eastAsia="仿宋" w:cs="仿宋"/>
          <w:color w:val="auto"/>
          <w:sz w:val="21"/>
          <w:szCs w:val="16"/>
          <w:highlight w:val="none"/>
        </w:rPr>
        <w:t>28.2电子交易平台应用或数据库出现错误，不能进行正常操作的；</w:t>
      </w:r>
    </w:p>
    <w:p w14:paraId="7C7B3C05">
      <w:pPr>
        <w:pStyle w:val="133"/>
        <w:snapToGrid w:val="0"/>
        <w:spacing w:before="0"/>
        <w:ind w:firstLine="420"/>
        <w:rPr>
          <w:rFonts w:hint="eastAsia" w:ascii="仿宋" w:hAnsi="仿宋" w:eastAsia="仿宋" w:cs="仿宋"/>
          <w:color w:val="auto"/>
          <w:sz w:val="21"/>
          <w:szCs w:val="16"/>
          <w:highlight w:val="none"/>
        </w:rPr>
      </w:pPr>
      <w:r>
        <w:rPr>
          <w:rFonts w:hint="eastAsia" w:ascii="仿宋" w:hAnsi="仿宋" w:eastAsia="仿宋" w:cs="仿宋"/>
          <w:color w:val="auto"/>
          <w:sz w:val="21"/>
          <w:szCs w:val="16"/>
          <w:highlight w:val="none"/>
        </w:rPr>
        <w:t>28.3电子交易平台发现严重安全漏洞，有潜在泄密危险的；</w:t>
      </w:r>
    </w:p>
    <w:p w14:paraId="7DAD3B6A">
      <w:pPr>
        <w:pStyle w:val="133"/>
        <w:snapToGrid w:val="0"/>
        <w:spacing w:before="0"/>
        <w:ind w:firstLine="420"/>
        <w:rPr>
          <w:rFonts w:hint="eastAsia" w:ascii="仿宋" w:hAnsi="仿宋" w:eastAsia="仿宋" w:cs="仿宋"/>
          <w:color w:val="auto"/>
          <w:sz w:val="21"/>
          <w:szCs w:val="16"/>
          <w:highlight w:val="none"/>
        </w:rPr>
      </w:pPr>
      <w:r>
        <w:rPr>
          <w:rFonts w:hint="eastAsia" w:ascii="仿宋" w:hAnsi="仿宋" w:eastAsia="仿宋" w:cs="仿宋"/>
          <w:color w:val="auto"/>
          <w:sz w:val="21"/>
          <w:szCs w:val="16"/>
          <w:highlight w:val="none"/>
        </w:rPr>
        <w:t xml:space="preserve">28.4病毒发作导致不能进行正常操作的； </w:t>
      </w:r>
    </w:p>
    <w:p w14:paraId="79A1E32D">
      <w:pPr>
        <w:pStyle w:val="133"/>
        <w:snapToGrid w:val="0"/>
        <w:spacing w:before="0"/>
        <w:ind w:firstLine="420"/>
        <w:rPr>
          <w:rFonts w:hint="eastAsia" w:ascii="仿宋" w:hAnsi="仿宋" w:eastAsia="仿宋" w:cs="仿宋"/>
          <w:color w:val="auto"/>
          <w:sz w:val="21"/>
          <w:szCs w:val="16"/>
          <w:highlight w:val="none"/>
        </w:rPr>
      </w:pPr>
      <w:r>
        <w:rPr>
          <w:rFonts w:hint="eastAsia" w:ascii="仿宋" w:hAnsi="仿宋" w:eastAsia="仿宋" w:cs="仿宋"/>
          <w:color w:val="auto"/>
          <w:sz w:val="21"/>
          <w:szCs w:val="16"/>
          <w:highlight w:val="none"/>
        </w:rPr>
        <w:t>28.5其他无法保证电子交易的公平、公正和安全的情况。</w:t>
      </w:r>
    </w:p>
    <w:p w14:paraId="31D0A581">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29. 电子交易活动异常的处理</w:t>
      </w:r>
    </w:p>
    <w:p w14:paraId="7D5DC5A6">
      <w:pPr>
        <w:pStyle w:val="133"/>
        <w:snapToGrid w:val="0"/>
        <w:spacing w:before="0"/>
        <w:ind w:firstLine="422"/>
        <w:rPr>
          <w:rFonts w:hint="eastAsia" w:ascii="仿宋" w:hAnsi="仿宋" w:eastAsia="仿宋" w:cs="仿宋"/>
          <w:b/>
          <w:bCs/>
          <w:color w:val="auto"/>
          <w:highlight w:val="none"/>
          <w:u w:val="single"/>
        </w:rPr>
      </w:pPr>
      <w:r>
        <w:rPr>
          <w:rFonts w:hint="eastAsia" w:ascii="仿宋" w:hAnsi="仿宋" w:eastAsia="仿宋" w:cs="仿宋"/>
          <w:b/>
          <w:bCs/>
          <w:color w:val="auto"/>
          <w:sz w:val="21"/>
          <w:szCs w:val="16"/>
          <w:highlight w:val="none"/>
          <w:u w:val="single"/>
        </w:rPr>
        <w:t>出现第28项情形的，不影响采购公平、公正性的，采购组织机构可以待上述情形消除后继续组织电子交易活动，也可以决定某些环节以纸质形式进行；影响或可能影响采购公平、公正性的，应当重新采购。</w:t>
      </w:r>
    </w:p>
    <w:p w14:paraId="39B19254">
      <w:pPr>
        <w:snapToGrid w:val="0"/>
        <w:spacing w:beforeLines="100" w:afterLines="10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九、验收</w:t>
      </w:r>
    </w:p>
    <w:p w14:paraId="3613932B">
      <w:pPr>
        <w:pStyle w:val="133"/>
        <w:spacing w:beforeLines="100" w:afterLines="100" w:line="240" w:lineRule="auto"/>
        <w:ind w:firstLine="0" w:firstLineChars="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30. 验收</w:t>
      </w:r>
    </w:p>
    <w:p w14:paraId="49CF85ED">
      <w:pPr>
        <w:tabs>
          <w:tab w:val="left" w:pos="0"/>
        </w:tabs>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EBF9B53">
      <w:pPr>
        <w:tabs>
          <w:tab w:val="left" w:pos="0"/>
        </w:tabs>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30.2采购人可以邀请参加本项目的其他投标人或者第三方机构参与验收。参与验收的投标人或者第三方机构的意见作为验收书的参考资料一并存档。</w:t>
      </w:r>
    </w:p>
    <w:p w14:paraId="4A25F926">
      <w:pPr>
        <w:tabs>
          <w:tab w:val="left" w:pos="0"/>
        </w:tabs>
        <w:spacing w:line="360" w:lineRule="auto"/>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Cs w:val="21"/>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w:t>
      </w:r>
      <w:r>
        <w:rPr>
          <w:rFonts w:hint="eastAsia" w:ascii="仿宋" w:hAnsi="仿宋" w:eastAsia="仿宋" w:cs="仿宋"/>
          <w:color w:val="auto"/>
          <w:kern w:val="0"/>
          <w:sz w:val="21"/>
          <w:szCs w:val="21"/>
          <w:highlight w:val="none"/>
        </w:rPr>
        <w:t>挂钩。履约验收的各项资料应当存档备查。</w:t>
      </w:r>
    </w:p>
    <w:p w14:paraId="41ED15DE">
      <w:pPr>
        <w:tabs>
          <w:tab w:val="left" w:pos="0"/>
        </w:tabs>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6E840397">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327" w:right="1519" w:bottom="1327" w:left="1519" w:header="851" w:footer="992" w:gutter="284"/>
          <w:cols w:space="720" w:num="1"/>
          <w:titlePg/>
          <w:docGrid w:linePitch="312" w:charSpace="0"/>
        </w:sectPr>
      </w:pPr>
      <w:bookmarkStart w:id="14" w:name="_Hlt75236011"/>
      <w:bookmarkEnd w:id="14"/>
      <w:bookmarkStart w:id="15" w:name="_Hlt68057669"/>
      <w:bookmarkEnd w:id="15"/>
      <w:bookmarkStart w:id="16" w:name="_Hlt74729768"/>
      <w:bookmarkEnd w:id="16"/>
      <w:bookmarkStart w:id="17" w:name="_Hlt68072998"/>
      <w:bookmarkEnd w:id="17"/>
      <w:bookmarkStart w:id="18" w:name="_Hlt74714665"/>
      <w:bookmarkEnd w:id="18"/>
      <w:bookmarkStart w:id="19" w:name="_Hlt75236290"/>
      <w:bookmarkEnd w:id="19"/>
      <w:bookmarkStart w:id="20" w:name="_Hlt75236101"/>
      <w:bookmarkEnd w:id="20"/>
      <w:bookmarkStart w:id="21" w:name="_Hlt74707468"/>
      <w:bookmarkEnd w:id="21"/>
      <w:bookmarkStart w:id="22" w:name="_Hlt68403820"/>
      <w:bookmarkEnd w:id="22"/>
      <w:bookmarkStart w:id="23" w:name="_Hlt68073093"/>
      <w:bookmarkEnd w:id="23"/>
      <w:bookmarkStart w:id="24" w:name="_Hlt68072990"/>
      <w:bookmarkEnd w:id="24"/>
      <w:bookmarkStart w:id="25" w:name="_Hlt74730295"/>
      <w:bookmarkEnd w:id="25"/>
    </w:p>
    <w:bookmarkEnd w:id="11"/>
    <w:bookmarkEnd w:id="12"/>
    <w:p w14:paraId="23C1A521">
      <w:pPr>
        <w:spacing w:beforeLines="100" w:afterLines="100"/>
        <w:contextualSpacing/>
        <w:jc w:val="center"/>
        <w:outlineLvl w:val="0"/>
        <w:rPr>
          <w:rFonts w:hint="eastAsia" w:ascii="仿宋" w:hAnsi="仿宋" w:eastAsia="仿宋" w:cs="仿宋"/>
          <w:b/>
          <w:color w:val="auto"/>
          <w:sz w:val="36"/>
          <w:szCs w:val="36"/>
          <w:highlight w:val="none"/>
        </w:rPr>
      </w:pPr>
      <w:bookmarkStart w:id="26" w:name="第四部分"/>
      <w:r>
        <w:rPr>
          <w:rFonts w:hint="eastAsia" w:ascii="仿宋" w:hAnsi="仿宋" w:eastAsia="仿宋" w:cs="仿宋"/>
          <w:b/>
          <w:color w:val="auto"/>
          <w:sz w:val="36"/>
          <w:szCs w:val="36"/>
          <w:highlight w:val="none"/>
        </w:rPr>
        <w:t>第三部分</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采购需求</w:t>
      </w:r>
    </w:p>
    <w:p w14:paraId="23E86709">
      <w:pPr>
        <w:keepNext w:val="0"/>
        <w:keepLines w:val="0"/>
        <w:pageBreakBefore w:val="0"/>
        <w:widowControl w:val="0"/>
        <w:kinsoku/>
        <w:wordWrap w:val="0"/>
        <w:overflowPunct/>
        <w:topLinePunct w:val="0"/>
        <w:autoSpaceDE/>
        <w:autoSpaceDN/>
        <w:bidi w:val="0"/>
        <w:adjustRightInd w:val="0"/>
        <w:snapToGrid/>
        <w:spacing w:line="360" w:lineRule="auto"/>
        <w:jc w:val="both"/>
        <w:textAlignment w:val="auto"/>
        <w:outlineLvl w:val="9"/>
        <w:rPr>
          <w:rFonts w:hint="eastAsia" w:ascii="仿宋" w:hAnsi="仿宋" w:eastAsia="仿宋" w:cs="仿宋"/>
          <w:b/>
          <w:bCs/>
          <w:color w:val="auto"/>
          <w:sz w:val="21"/>
          <w:szCs w:val="21"/>
          <w:highlight w:val="none"/>
        </w:rPr>
      </w:pPr>
    </w:p>
    <w:p w14:paraId="16829528">
      <w:pPr>
        <w:keepNext w:val="0"/>
        <w:keepLines w:val="0"/>
        <w:pageBreakBefore w:val="0"/>
        <w:widowControl w:val="0"/>
        <w:kinsoku/>
        <w:wordWrap w:val="0"/>
        <w:overflowPunct/>
        <w:topLinePunct w:val="0"/>
        <w:autoSpaceDE/>
        <w:autoSpaceDN/>
        <w:bidi w:val="0"/>
        <w:adjustRightInd w:val="0"/>
        <w:snapToGrid/>
        <w:spacing w:line="360" w:lineRule="auto"/>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一</w:t>
      </w:r>
      <w:r>
        <w:rPr>
          <w:rFonts w:hint="eastAsia" w:ascii="仿宋" w:hAnsi="仿宋" w:eastAsia="仿宋" w:cs="仿宋"/>
          <w:b/>
          <w:bCs/>
          <w:color w:val="auto"/>
          <w:sz w:val="21"/>
          <w:szCs w:val="21"/>
          <w:highlight w:val="none"/>
        </w:rPr>
        <w:t>、项目背景</w:t>
      </w:r>
    </w:p>
    <w:p w14:paraId="32FF1C24">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嘉兴市秀洲区交通运输局</w:t>
      </w:r>
      <w:r>
        <w:rPr>
          <w:rFonts w:hint="eastAsia" w:ascii="仿宋" w:hAnsi="仿宋" w:eastAsia="仿宋" w:cs="仿宋"/>
          <w:b w:val="0"/>
          <w:bCs w:val="0"/>
          <w:color w:val="auto"/>
          <w:sz w:val="21"/>
          <w:szCs w:val="21"/>
          <w:highlight w:val="none"/>
        </w:rPr>
        <w:t>通过政府购买服务的形式，聘请专业的保安队伍进行相关工作。</w:t>
      </w:r>
    </w:p>
    <w:p w14:paraId="7D80BB41">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本项目的投标报价，包括但不限于人员工资、各种社会保险、劳保、福利、食宿、交通、设备、利润、税金等为完成承包期内保安服务需要发生的全部费用。供应商的投标价格在合同执行期间一次包干，其他市场价格波动因素自行考虑，合同总价不再作调整。采购人除以上服务费用之外不再承担其它任何费用，保安人员的薪金、福利、休假日补贴、医疗费用等均由供应商负责，与采购人无关。</w:t>
      </w:r>
    </w:p>
    <w:p w14:paraId="3E6C04D1">
      <w:pPr>
        <w:keepNext w:val="0"/>
        <w:keepLines w:val="0"/>
        <w:pageBreakBefore w:val="0"/>
        <w:widowControl w:val="0"/>
        <w:kinsoku/>
        <w:wordWrap w:val="0"/>
        <w:overflowPunct/>
        <w:topLinePunct w:val="0"/>
        <w:autoSpaceDE/>
        <w:autoSpaceDN/>
        <w:bidi w:val="0"/>
        <w:adjustRightInd w:val="0"/>
        <w:snapToGrid/>
        <w:spacing w:line="360" w:lineRule="auto"/>
        <w:jc w:val="both"/>
        <w:textAlignment w:val="auto"/>
        <w:outlineLvl w:val="9"/>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二、保安服务内容与岗位职责</w:t>
      </w:r>
    </w:p>
    <w:p w14:paraId="19EC2098">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1.保安服务内容</w:t>
      </w:r>
    </w:p>
    <w:p w14:paraId="5671267E">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根据相关规定做好警卫、值勤、消控、反恐防暴等安全保卫工作任务，24小时不间断值班。根据工作种类和作息时间进行现场秩序维护、安全巡逻检查，预防事故，实行现场控制。</w:t>
      </w:r>
    </w:p>
    <w:p w14:paraId="7B0608B1">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（1）确保科展中心保安工作有序开展。</w:t>
      </w:r>
    </w:p>
    <w:p w14:paraId="3909AEE5">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（2）维护正常工作秩序，加强安全保卫工作，保护国家财产、公众、干部职工的人身安全。准时进出入值勤岗位，着装、标志齐全，仪表端正，树立良好形象，严禁岗位吸烟、看书（报）、睡觉。</w:t>
      </w:r>
    </w:p>
    <w:p w14:paraId="355C9FCE">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（3）建立门卫值班、交接班制度和安全巡视制度。做好昼夜间的安全巡更和循环巡视，并做好巡更、交接班记录。</w:t>
      </w:r>
    </w:p>
    <w:p w14:paraId="741DADE2">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（4）外来单位联系工作的人员凭工作证或其他有效证件，经相关工作人员同意并办理登记方可进入办公区域；对违章行为及时纠正，预防闲杂人员进入。</w:t>
      </w:r>
    </w:p>
    <w:p w14:paraId="1E0745EA">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（5）外出大件物品，凭有关部门出具的相关证明并问明有关事由方可放行，必要时应报告采购人同意，并做好记录。</w:t>
      </w:r>
    </w:p>
    <w:p w14:paraId="6A73E58C">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（6）做好反恐防暴工作，严禁外来人员携带剧毒、易燃、易爆等危险品入内，对形迹可疑人员应提高警惕，确保安全，遇突发事件要及时保护现场并迅速报告采购人。</w:t>
      </w:r>
    </w:p>
    <w:p w14:paraId="57480D88">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（7）搞好各值班室的室内卫生，确保整洁有序。</w:t>
      </w:r>
    </w:p>
    <w:p w14:paraId="69EE6083">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（8）督促车辆按规定停放，做到有序、安全。</w:t>
      </w:r>
    </w:p>
    <w:p w14:paraId="105DBCCD">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（9）认真做好防火防盗工作。凡发生盗窃、火警及其它突发事件，要注意保护现场，采取妥善措施，并及时相关部门。</w:t>
      </w:r>
    </w:p>
    <w:p w14:paraId="6FBA919C">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（10）采购人有权调动保安人员完成机关重大活动的安全保卫、守卫工作和领导交办的其他保安工作。</w:t>
      </w:r>
    </w:p>
    <w:p w14:paraId="528B4373">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2.保安人员岗位职责</w:t>
      </w:r>
    </w:p>
    <w:p w14:paraId="2ED1E4E7">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根据安全保卫、消防安全的要求，担负消防安全、以及保安范围内安全保卫任务。执行消防安防、日常治安巡逻、重点部位的守护，防止火灾事故及各类治安灾害事故的发生，维护科展中心正常行政秩序及职工、公众的生命财产安全。</w:t>
      </w:r>
    </w:p>
    <w:p w14:paraId="1C6C17D3">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2.1办公区岗位职责</w:t>
      </w:r>
    </w:p>
    <w:p w14:paraId="3E100D51">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（1）熟知保安工作的性质、任务、职能，严格遵守科展中心的各项规章制度和管理规定，时刻维护良好形象；</w:t>
      </w:r>
    </w:p>
    <w:p w14:paraId="29C10713">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（2）防止乞讨者、拾废品者、精神患者、推销、派发广告人员的进入；</w:t>
      </w:r>
    </w:p>
    <w:p w14:paraId="71BAB1D5">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（3）禁止人员携带宠物进入大楼内部；</w:t>
      </w:r>
    </w:p>
    <w:p w14:paraId="74FD7F0E">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（4）公众与员工发生纠纷时要及时赶到现场，在确保双方人身安全的基础上，维持秩序；</w:t>
      </w:r>
    </w:p>
    <w:p w14:paraId="7E9B4681">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（5）按时开关公共部分的灯、空调及管辖区域的门；</w:t>
      </w:r>
    </w:p>
    <w:p w14:paraId="4070704E">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（6）每2小时进行一次治安、消防巡查，在固定签到点签到，并做好巡查登记，发现治安、消防隐患要及时上报；</w:t>
      </w:r>
    </w:p>
    <w:p w14:paraId="08C76195">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（7）当班人员执勤时如遇到水电、电梯故障和大面积的环境卫生问题时应联系相关部门处理；</w:t>
      </w:r>
    </w:p>
    <w:p w14:paraId="5EDF0FA1">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（8）当班队员中午、傍晚应错开统一就餐高峰时间，确保岗位有一名队员执勤，就餐前应告知带班班长；</w:t>
      </w:r>
    </w:p>
    <w:p w14:paraId="5F2285C0">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（9）服从采购人工作调度，在接到突发事件、案情、火情时，就近保安人员2分钟内必须到达现场进行初步处理；</w:t>
      </w:r>
    </w:p>
    <w:p w14:paraId="0331611F">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（10）完成采购人赋予的其他临时性工作。</w:t>
      </w:r>
    </w:p>
    <w:p w14:paraId="23900404">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2.2重点部位的巡查职责</w:t>
      </w:r>
    </w:p>
    <w:p w14:paraId="6891F780">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（1）每日定时对区域内巡更点打点巡查；</w:t>
      </w:r>
    </w:p>
    <w:p w14:paraId="157F26A0">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2.3门卫工作职责</w:t>
      </w:r>
    </w:p>
    <w:p w14:paraId="2A9B530F">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（1）门卫保安人员必须坚守岗位，按时交接班，自觉遵守各项目规章制度，认真履行工作职责，做好值日记录和交接班；</w:t>
      </w:r>
    </w:p>
    <w:p w14:paraId="1DF2251C">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（2）凡出入公物须做好相关登记，保安有权询问和查看，否则不予进出和扣留，待查清情况后才能放行；</w:t>
      </w:r>
    </w:p>
    <w:p w14:paraId="16875F49">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（3）按照采购人规定，实行门前“三包”，搞好大门前和室内的公共卫生，保持道路整洁、舒适、畅通；</w:t>
      </w:r>
    </w:p>
    <w:p w14:paraId="4FBA03B4">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（4）当值期间负责处理急需的治保安卫工作，当收到特殊情况或火情时，第一时间把设备器材运送至需求点，并立即报告采购人。</w:t>
      </w:r>
    </w:p>
    <w:p w14:paraId="0075DDC1">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2.4运动场馆工作职责</w:t>
      </w:r>
    </w:p>
    <w:p w14:paraId="3AF9D89A">
      <w:pPr>
        <w:keepNext w:val="0"/>
        <w:keepLines w:val="0"/>
        <w:pageBreakBefore w:val="0"/>
        <w:widowControl w:val="0"/>
        <w:kinsoku/>
        <w:wordWrap w:val="0"/>
        <w:overflowPunct/>
        <w:topLinePunct w:val="0"/>
        <w:autoSpaceDE/>
        <w:autoSpaceDN/>
        <w:bidi w:val="0"/>
        <w:adjustRightInd w:val="0"/>
        <w:snapToGrid/>
        <w:spacing w:line="360" w:lineRule="auto"/>
        <w:ind w:firstLine="420" w:firstLineChars="200"/>
        <w:jc w:val="both"/>
        <w:textAlignment w:val="auto"/>
        <w:outlineLvl w:val="9"/>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做好大楼运动场馆开馆期间的日常秩序维护工作，包括定时开馆闭馆、准备饮水、物品有序摆放、地面卫生等日常工作。</w:t>
      </w:r>
    </w:p>
    <w:p w14:paraId="35F8DE6A">
      <w:pPr>
        <w:keepNext w:val="0"/>
        <w:keepLines w:val="0"/>
        <w:pageBreakBefore w:val="0"/>
        <w:widowControl w:val="0"/>
        <w:kinsoku/>
        <w:wordWrap w:val="0"/>
        <w:overflowPunct/>
        <w:topLinePunct w:val="0"/>
        <w:autoSpaceDE/>
        <w:autoSpaceDN/>
        <w:bidi w:val="0"/>
        <w:adjustRightInd w:val="0"/>
        <w:snapToGrid/>
        <w:spacing w:line="360" w:lineRule="auto"/>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三</w:t>
      </w:r>
      <w:r>
        <w:rPr>
          <w:rFonts w:hint="eastAsia" w:ascii="仿宋" w:hAnsi="仿宋" w:eastAsia="仿宋" w:cs="仿宋"/>
          <w:b/>
          <w:bCs/>
          <w:color w:val="auto"/>
          <w:sz w:val="21"/>
          <w:szCs w:val="21"/>
          <w:highlight w:val="none"/>
        </w:rPr>
        <w:t>、项目具体要求</w:t>
      </w:r>
    </w:p>
    <w:p w14:paraId="520F7C8B">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保安服务场所：</w:t>
      </w:r>
      <w:r>
        <w:rPr>
          <w:rFonts w:hint="eastAsia" w:ascii="仿宋" w:hAnsi="仿宋" w:eastAsia="仿宋" w:cs="仿宋"/>
          <w:b w:val="0"/>
          <w:bCs w:val="0"/>
          <w:color w:val="auto"/>
          <w:sz w:val="21"/>
          <w:szCs w:val="21"/>
          <w:highlight w:val="none"/>
          <w:lang w:val="en-US" w:eastAsia="zh-CN"/>
        </w:rPr>
        <w:t>嘉兴市秀洲区交通运输局本部</w:t>
      </w:r>
      <w:r>
        <w:rPr>
          <w:rFonts w:hint="eastAsia" w:ascii="仿宋" w:hAnsi="仿宋" w:eastAsia="仿宋" w:cs="仿宋"/>
          <w:b w:val="0"/>
          <w:bCs w:val="0"/>
          <w:color w:val="auto"/>
          <w:sz w:val="21"/>
          <w:szCs w:val="21"/>
          <w:highlight w:val="none"/>
        </w:rPr>
        <w:t>。</w:t>
      </w:r>
    </w:p>
    <w:p w14:paraId="4DDB8B1F">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w:t>
      </w:r>
      <w:r>
        <w:rPr>
          <w:rFonts w:hint="eastAsia" w:ascii="仿宋" w:hAnsi="仿宋" w:eastAsia="仿宋" w:cs="仿宋"/>
          <w:b w:val="0"/>
          <w:bCs w:val="0"/>
          <w:color w:val="auto"/>
          <w:sz w:val="21"/>
          <w:szCs w:val="21"/>
          <w:highlight w:val="none"/>
          <w:lang w:val="en-US" w:eastAsia="zh-CN"/>
        </w:rPr>
        <w:t>.人员要求：人数不少于8人，门卫室保持24小时2名保安人员在岗，其中1-2名须持有消控上岗证人员。</w:t>
      </w:r>
      <w:r>
        <w:rPr>
          <w:rFonts w:hint="eastAsia" w:ascii="仿宋" w:hAnsi="仿宋" w:eastAsia="仿宋" w:cs="仿宋"/>
          <w:b w:val="0"/>
          <w:bCs w:val="0"/>
          <w:color w:val="auto"/>
          <w:sz w:val="21"/>
          <w:szCs w:val="21"/>
          <w:highlight w:val="none"/>
        </w:rPr>
        <w:t>提供服务后，确保每日不缺岗，如缺岗按实际缺岗小时数扣除当月劳务费。</w:t>
      </w:r>
    </w:p>
    <w:p w14:paraId="71077EEA">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供应商提供的保安人员素质要求：</w:t>
      </w:r>
    </w:p>
    <w:p w14:paraId="06E7A7EE">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3.1</w:t>
      </w:r>
      <w:r>
        <w:rPr>
          <w:rFonts w:hint="eastAsia" w:ascii="仿宋" w:hAnsi="仿宋" w:eastAsia="仿宋" w:cs="仿宋"/>
          <w:b w:val="0"/>
          <w:bCs w:val="0"/>
          <w:color w:val="auto"/>
          <w:sz w:val="21"/>
          <w:szCs w:val="21"/>
          <w:highlight w:val="none"/>
        </w:rPr>
        <w:t>基本工作要求</w:t>
      </w:r>
    </w:p>
    <w:p w14:paraId="2E7EA0D0">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1</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严格在法律规定的范围内开展保安服务工作，不准超越职责权限；</w:t>
      </w:r>
    </w:p>
    <w:p w14:paraId="2DA35BE7">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2</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严格遵守采购人的相关规章制度和管理规定；</w:t>
      </w:r>
    </w:p>
    <w:p w14:paraId="7981F97F">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服从命令，听从指挥，接受统一工作安排；</w:t>
      </w:r>
    </w:p>
    <w:p w14:paraId="0C19AD34">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4</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当班期间认真负责，时刻保持高度警惕，随时掌握服务区域内消防治安动态，做好各项应急处置工作；</w:t>
      </w:r>
    </w:p>
    <w:p w14:paraId="7004338A">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5</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严格执行着装规定和形象规定，体现保安人员良好形象；</w:t>
      </w:r>
    </w:p>
    <w:p w14:paraId="114E1D14">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6</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按规定执行巡逻，做好登记、预警和上报等工作；</w:t>
      </w:r>
    </w:p>
    <w:p w14:paraId="6A72EE3C">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7</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各班次做好交接班工作，填写值班记录；</w:t>
      </w:r>
    </w:p>
    <w:p w14:paraId="1DDBEA9A">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8</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热情主动地为单位职工和来访人员服务；</w:t>
      </w:r>
    </w:p>
    <w:p w14:paraId="5DF603EF">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9</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接受各类培训、考核，达到相关要求。</w:t>
      </w:r>
    </w:p>
    <w:p w14:paraId="08292CD6">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3.2</w:t>
      </w:r>
      <w:r>
        <w:rPr>
          <w:rFonts w:hint="eastAsia" w:ascii="仿宋" w:hAnsi="仿宋" w:eastAsia="仿宋" w:cs="仿宋"/>
          <w:b w:val="0"/>
          <w:bCs w:val="0"/>
          <w:color w:val="auto"/>
          <w:sz w:val="21"/>
          <w:szCs w:val="21"/>
          <w:highlight w:val="none"/>
        </w:rPr>
        <w:t>着装规定</w:t>
      </w:r>
    </w:p>
    <w:p w14:paraId="32E858CE">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1</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统一着装，要求举止文明、大方、得体，精神抖擞；</w:t>
      </w:r>
    </w:p>
    <w:p w14:paraId="1B818C82">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2</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不得外挂饰物，口袋内不宜装过多物品；</w:t>
      </w:r>
    </w:p>
    <w:p w14:paraId="1AE9ED7C">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禁止披衣、敞怀、挽袖、卷裤腿、戴歪帽、穿拖鞋或赤脚；</w:t>
      </w:r>
    </w:p>
    <w:p w14:paraId="41093D20">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4</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除不宜或者不需要着装的情形外，在工作时间必须着规定制服；</w:t>
      </w:r>
    </w:p>
    <w:p w14:paraId="0F16426E">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5</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着制服时，要按规定佩带标志或携带相关配套器材；</w:t>
      </w:r>
    </w:p>
    <w:p w14:paraId="04EB97AE">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6</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制服不准与便服混穿，不同季节的制服不准混穿；</w:t>
      </w:r>
    </w:p>
    <w:p w14:paraId="6BC0D955">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7</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制服由供应商提供。</w:t>
      </w:r>
    </w:p>
    <w:p w14:paraId="66167B5C">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3.3</w:t>
      </w:r>
      <w:r>
        <w:rPr>
          <w:rFonts w:hint="eastAsia" w:ascii="仿宋" w:hAnsi="仿宋" w:eastAsia="仿宋" w:cs="仿宋"/>
          <w:b w:val="0"/>
          <w:bCs w:val="0"/>
          <w:color w:val="auto"/>
          <w:sz w:val="21"/>
          <w:szCs w:val="21"/>
          <w:highlight w:val="none"/>
        </w:rPr>
        <w:t>形象规定</w:t>
      </w:r>
    </w:p>
    <w:p w14:paraId="5473234B">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1</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保持仪表整洁；</w:t>
      </w:r>
    </w:p>
    <w:p w14:paraId="64427D48">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2</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不准留长发、染发、蓄胡子、留长指甲、戴首饰；头发不得露于帽檐外，帽檐下头发长不得超过1.5厘米；</w:t>
      </w:r>
    </w:p>
    <w:p w14:paraId="1B6333ED">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工作中精神振作、姿态良好、抬头挺胸；不准弯腰驼背、东倒西歪、前倾后靠、伸懒腰；不袖手、背手、叉腰或将手插入口袋中；执勤中不准吸烟、吃零食、不勾肩搭背；</w:t>
      </w:r>
    </w:p>
    <w:p w14:paraId="43809F5F">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4</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不准哼歌、吹口哨、玩手机、看书报；</w:t>
      </w:r>
    </w:p>
    <w:p w14:paraId="0EBF7D80">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5</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不得随地吐痰，乱丢杂物；</w:t>
      </w:r>
    </w:p>
    <w:p w14:paraId="4A5DFEC5">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6</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不挖耳、扣鼻孔，不敲桌椅、跺脚或玩弄其他物品；</w:t>
      </w:r>
    </w:p>
    <w:p w14:paraId="4E4C6FBC">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7</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做到“微笑服务”，规范使用文明礼貌用语。</w:t>
      </w:r>
    </w:p>
    <w:p w14:paraId="32A84174">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4.</w:t>
      </w:r>
      <w:r>
        <w:rPr>
          <w:rFonts w:hint="eastAsia" w:ascii="仿宋" w:hAnsi="仿宋" w:eastAsia="仿宋" w:cs="仿宋"/>
          <w:b w:val="0"/>
          <w:bCs w:val="0"/>
          <w:color w:val="auto"/>
          <w:sz w:val="21"/>
          <w:szCs w:val="21"/>
          <w:highlight w:val="none"/>
        </w:rPr>
        <w:t>人员待遇：</w:t>
      </w:r>
    </w:p>
    <w:p w14:paraId="3438FACF">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4.1</w:t>
      </w:r>
      <w:r>
        <w:rPr>
          <w:rFonts w:hint="eastAsia" w:ascii="仿宋" w:hAnsi="仿宋" w:eastAsia="仿宋" w:cs="仿宋"/>
          <w:b w:val="0"/>
          <w:bCs w:val="0"/>
          <w:color w:val="auto"/>
          <w:sz w:val="21"/>
          <w:szCs w:val="21"/>
          <w:highlight w:val="none"/>
        </w:rPr>
        <w:t>基本工资不低于</w:t>
      </w:r>
      <w:r>
        <w:rPr>
          <w:rFonts w:hint="eastAsia" w:ascii="仿宋" w:hAnsi="仿宋" w:eastAsia="仿宋" w:cs="仿宋"/>
          <w:b w:val="0"/>
          <w:bCs w:val="0"/>
          <w:color w:val="auto"/>
          <w:sz w:val="21"/>
          <w:szCs w:val="21"/>
          <w:highlight w:val="none"/>
          <w:lang w:val="en-US" w:eastAsia="zh-CN"/>
        </w:rPr>
        <w:t>嘉兴</w:t>
      </w:r>
      <w:r>
        <w:rPr>
          <w:rFonts w:hint="eastAsia" w:ascii="仿宋" w:hAnsi="仿宋" w:eastAsia="仿宋" w:cs="仿宋"/>
          <w:b w:val="0"/>
          <w:bCs w:val="0"/>
          <w:color w:val="auto"/>
          <w:sz w:val="21"/>
          <w:szCs w:val="21"/>
          <w:highlight w:val="none"/>
        </w:rPr>
        <w:t>市现行最低工资标准（最低工资不包括下列四项收入：延长工作时间的工资；中班、夜班、高温、低温、有毒有害等特殊工作环境、条件下的津贴；贴补伙食、住房等支付给劳动者的非货币性收入； 法律、法规和国家规定的劳动者福利待遇等）。每人必须缴纳相关的社会保险（五险）。</w:t>
      </w:r>
    </w:p>
    <w:p w14:paraId="1A314EBB">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4.2</w:t>
      </w:r>
      <w:r>
        <w:rPr>
          <w:rFonts w:hint="eastAsia" w:ascii="仿宋" w:hAnsi="仿宋" w:eastAsia="仿宋" w:cs="仿宋"/>
          <w:b w:val="0"/>
          <w:bCs w:val="0"/>
          <w:color w:val="auto"/>
          <w:sz w:val="21"/>
          <w:szCs w:val="21"/>
          <w:highlight w:val="none"/>
        </w:rPr>
        <w:t>人员福利：按照国家标准发放国家法定节假日加班费、高温补贴和国定节假日的慰问品、配备服装、通讯器材等必要装备，防暑防雨用品等。</w:t>
      </w:r>
    </w:p>
    <w:p w14:paraId="1C38D96B">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4.3</w:t>
      </w:r>
      <w:r>
        <w:rPr>
          <w:rFonts w:hint="eastAsia" w:ascii="仿宋" w:hAnsi="仿宋" w:eastAsia="仿宋" w:cs="仿宋"/>
          <w:b w:val="0"/>
          <w:bCs w:val="0"/>
          <w:color w:val="auto"/>
          <w:sz w:val="21"/>
          <w:szCs w:val="21"/>
          <w:highlight w:val="none"/>
        </w:rPr>
        <w:t>所有特保人员均需持证上岗。</w:t>
      </w:r>
    </w:p>
    <w:p w14:paraId="6946B24E">
      <w:pPr>
        <w:keepNext w:val="0"/>
        <w:keepLines w:val="0"/>
        <w:pageBreakBefore w:val="0"/>
        <w:widowControl w:val="0"/>
        <w:kinsoku/>
        <w:wordWrap w:val="0"/>
        <w:overflowPunct/>
        <w:topLinePunct w:val="0"/>
        <w:autoSpaceDE/>
        <w:autoSpaceDN/>
        <w:bidi w:val="0"/>
        <w:adjustRightInd w:val="0"/>
        <w:snapToGrid/>
        <w:spacing w:line="360" w:lineRule="auto"/>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四</w:t>
      </w:r>
      <w:r>
        <w:rPr>
          <w:rFonts w:hint="eastAsia" w:ascii="仿宋" w:hAnsi="仿宋" w:eastAsia="仿宋" w:cs="仿宋"/>
          <w:b/>
          <w:bCs/>
          <w:color w:val="auto"/>
          <w:sz w:val="21"/>
          <w:szCs w:val="21"/>
          <w:highlight w:val="none"/>
        </w:rPr>
        <w:t>、其他说明</w:t>
      </w:r>
    </w:p>
    <w:p w14:paraId="39DE8E21">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本项目要求中供应商所提供的保安人员都需持证上岗。(提供保安员证)</w:t>
      </w:r>
    </w:p>
    <w:p w14:paraId="5D4A18E1">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本项目要求中供应商所提供的每周工作时间需满足，每月应提交人员考勤表。 (需提供承诺函)</w:t>
      </w:r>
    </w:p>
    <w:p w14:paraId="19FC90FD">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本项目如采购人有要求增加的临时应急处理的其他工作，供应商需承诺无条件在1小时内组织保安协助采购人处理临时应急工作；临时派遣的保安人员身体素质、业务技能等各类要求与常驻保安人员相同，按实结算，另行支付。 (需提供承诺函)</w:t>
      </w:r>
    </w:p>
    <w:p w14:paraId="39C2AB59">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420" w:firstLineChars="200"/>
        <w:jc w:val="both"/>
        <w:textAlignment w:val="auto"/>
        <w:outlineLvl w:val="9"/>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4.中标供应商当值保安人员在采购人食堂开放期间可免费享受每日早、中餐各一份。</w:t>
      </w:r>
    </w:p>
    <w:p w14:paraId="2A254983">
      <w:pPr>
        <w:pageBreakBefore w:val="0"/>
        <w:widowControl w:val="0"/>
        <w:kinsoku/>
        <w:wordWrap w:val="0"/>
        <w:overflowPunct/>
        <w:topLinePunct w:val="0"/>
        <w:autoSpaceDE/>
        <w:autoSpaceDN/>
        <w:bidi w:val="0"/>
        <w:snapToGrid/>
        <w:spacing w:line="360" w:lineRule="auto"/>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lang w:val="en-US" w:eastAsia="zh-CN"/>
        </w:rPr>
        <w:t>五</w:t>
      </w:r>
      <w:r>
        <w:rPr>
          <w:rFonts w:hint="eastAsia" w:ascii="仿宋" w:hAnsi="仿宋" w:eastAsia="仿宋" w:cs="仿宋"/>
          <w:b/>
          <w:bCs/>
          <w:color w:val="auto"/>
          <w:sz w:val="21"/>
          <w:szCs w:val="21"/>
          <w:highlight w:val="none"/>
        </w:rPr>
        <w:t>、承包期限</w:t>
      </w:r>
      <w:r>
        <w:rPr>
          <w:rFonts w:hint="eastAsia" w:ascii="仿宋" w:hAnsi="仿宋" w:eastAsia="仿宋" w:cs="仿宋"/>
          <w:color w:val="auto"/>
          <w:sz w:val="21"/>
          <w:szCs w:val="21"/>
          <w:highlight w:val="none"/>
        </w:rPr>
        <w:t xml:space="preserve"> </w:t>
      </w:r>
    </w:p>
    <w:p w14:paraId="75BCEEF9">
      <w:pPr>
        <w:pageBreakBefore w:val="0"/>
        <w:widowControl w:val="0"/>
        <w:kinsoku/>
        <w:wordWrap w:val="0"/>
        <w:overflowPunct/>
        <w:topLinePunct w:val="0"/>
        <w:autoSpaceDE/>
        <w:autoSpaceDN/>
        <w:bidi w:val="0"/>
        <w:snapToGrid/>
        <w:spacing w:line="360" w:lineRule="auto"/>
        <w:ind w:left="0" w:leftChars="0"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承包期限为</w:t>
      </w:r>
      <w:r>
        <w:rPr>
          <w:rFonts w:hint="eastAsia" w:ascii="仿宋" w:hAnsi="仿宋" w:eastAsia="仿宋" w:cs="仿宋"/>
          <w:color w:val="auto"/>
          <w:sz w:val="21"/>
          <w:szCs w:val="21"/>
          <w:highlight w:val="none"/>
          <w:lang w:val="en-US" w:eastAsia="zh-CN"/>
        </w:rPr>
        <w:t>1年。</w:t>
      </w:r>
      <w:r>
        <w:rPr>
          <w:rFonts w:hint="eastAsia" w:ascii="仿宋" w:hAnsi="仿宋" w:eastAsia="仿宋" w:cs="仿宋"/>
          <w:color w:val="auto"/>
          <w:sz w:val="21"/>
          <w:szCs w:val="21"/>
          <w:highlight w:val="none"/>
        </w:rPr>
        <w:t>若中标方的服务能满足</w:t>
      </w:r>
      <w:r>
        <w:rPr>
          <w:rFonts w:hint="eastAsia" w:ascii="仿宋" w:hAnsi="仿宋" w:eastAsia="仿宋" w:cs="仿宋"/>
          <w:color w:val="auto"/>
          <w:sz w:val="21"/>
          <w:szCs w:val="21"/>
          <w:highlight w:val="none"/>
          <w:lang w:val="en-US" w:eastAsia="zh-CN"/>
        </w:rPr>
        <w:t>采购人</w:t>
      </w:r>
      <w:r>
        <w:rPr>
          <w:rFonts w:hint="eastAsia" w:ascii="仿宋" w:hAnsi="仿宋" w:eastAsia="仿宋" w:cs="仿宋"/>
          <w:color w:val="auto"/>
          <w:sz w:val="21"/>
          <w:szCs w:val="21"/>
          <w:highlight w:val="none"/>
        </w:rPr>
        <w:t>要求，</w:t>
      </w:r>
      <w:r>
        <w:rPr>
          <w:rFonts w:hint="eastAsia" w:ascii="仿宋" w:hAnsi="仿宋" w:eastAsia="仿宋" w:cs="仿宋"/>
          <w:color w:val="auto"/>
          <w:sz w:val="21"/>
          <w:szCs w:val="21"/>
          <w:highlight w:val="none"/>
          <w:lang w:val="en-US" w:eastAsia="zh-CN"/>
        </w:rPr>
        <w:t>采购人</w:t>
      </w:r>
      <w:r>
        <w:rPr>
          <w:rFonts w:hint="eastAsia" w:ascii="仿宋" w:hAnsi="仿宋" w:eastAsia="仿宋" w:cs="仿宋"/>
          <w:color w:val="auto"/>
          <w:sz w:val="21"/>
          <w:szCs w:val="21"/>
          <w:highlight w:val="none"/>
        </w:rPr>
        <w:t>保留续签一年合同的权利，中标</w:t>
      </w:r>
      <w:r>
        <w:rPr>
          <w:rFonts w:hint="eastAsia" w:ascii="仿宋" w:hAnsi="仿宋" w:eastAsia="仿宋" w:cs="仿宋"/>
          <w:color w:val="auto"/>
          <w:sz w:val="21"/>
          <w:szCs w:val="21"/>
          <w:highlight w:val="none"/>
          <w:lang w:val="en-US" w:eastAsia="zh-CN"/>
        </w:rPr>
        <w:t>方</w:t>
      </w:r>
      <w:r>
        <w:rPr>
          <w:rFonts w:hint="eastAsia" w:ascii="仿宋" w:hAnsi="仿宋" w:eastAsia="仿宋" w:cs="仿宋"/>
          <w:color w:val="auto"/>
          <w:sz w:val="21"/>
          <w:szCs w:val="21"/>
          <w:highlight w:val="none"/>
        </w:rPr>
        <w:t>合同签订生效前需要提供详细的服务管理方案，包括管理和执行办法、各类事件的应急处理预案以及服务承诺等。</w:t>
      </w:r>
    </w:p>
    <w:p w14:paraId="16751B12">
      <w:pPr>
        <w:pageBreakBefore w:val="0"/>
        <w:widowControl w:val="0"/>
        <w:numPr>
          <w:ilvl w:val="0"/>
          <w:numId w:val="0"/>
        </w:numPr>
        <w:kinsoku/>
        <w:wordWrap w:val="0"/>
        <w:overflowPunct/>
        <w:topLinePunct w:val="0"/>
        <w:autoSpaceDE/>
        <w:autoSpaceDN/>
        <w:bidi w:val="0"/>
        <w:snapToGrid/>
        <w:spacing w:line="360" w:lineRule="auto"/>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六、</w:t>
      </w:r>
      <w:r>
        <w:rPr>
          <w:rFonts w:hint="eastAsia" w:ascii="仿宋" w:hAnsi="仿宋" w:eastAsia="仿宋" w:cs="仿宋"/>
          <w:b/>
          <w:bCs/>
          <w:color w:val="auto"/>
          <w:sz w:val="21"/>
          <w:szCs w:val="21"/>
          <w:highlight w:val="none"/>
        </w:rPr>
        <w:t>付款方式</w:t>
      </w:r>
    </w:p>
    <w:p w14:paraId="494ECD25">
      <w:pPr>
        <w:pageBreakBefore w:val="0"/>
        <w:widowControl w:val="0"/>
        <w:numPr>
          <w:ilvl w:val="0"/>
          <w:numId w:val="0"/>
        </w:numPr>
        <w:kinsoku/>
        <w:wordWrap w:val="0"/>
        <w:overflowPunct/>
        <w:topLinePunct w:val="0"/>
        <w:autoSpaceDE/>
        <w:autoSpaceDN/>
        <w:bidi w:val="0"/>
        <w:snapToGrid/>
        <w:spacing w:line="360" w:lineRule="auto"/>
        <w:ind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1.预付款：合同签订后七日内，供应商出具履约保证金保险/保函及预付款保险/保函后，采购人向中标人支付20%预付款。</w:t>
      </w:r>
    </w:p>
    <w:p w14:paraId="214F6866">
      <w:pPr>
        <w:pageBreakBefore w:val="0"/>
        <w:widowControl w:val="0"/>
        <w:numPr>
          <w:ilvl w:val="0"/>
          <w:numId w:val="0"/>
        </w:numPr>
        <w:kinsoku/>
        <w:wordWrap w:val="0"/>
        <w:overflowPunct/>
        <w:topLinePunct w:val="0"/>
        <w:autoSpaceDE/>
        <w:autoSpaceDN/>
        <w:bidi w:val="0"/>
        <w:snapToGrid/>
        <w:spacing w:line="360" w:lineRule="auto"/>
        <w:ind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中标供应商可通过政采云平台或其他渠道购买保险/保函。可登录政采云平台-金融服务-保险保函模块选购：https://jinrong.zcygov.cn/finance-service/#/letter，有疑问可咨询政采云金融热线400-903-9583。</w:t>
      </w:r>
    </w:p>
    <w:p w14:paraId="36FEDE2A">
      <w:pPr>
        <w:pageBreakBefore w:val="0"/>
        <w:widowControl w:val="0"/>
        <w:numPr>
          <w:ilvl w:val="0"/>
          <w:numId w:val="0"/>
        </w:numPr>
        <w:kinsoku/>
        <w:wordWrap w:val="0"/>
        <w:overflowPunct/>
        <w:topLinePunct w:val="0"/>
        <w:autoSpaceDE/>
        <w:autoSpaceDN/>
        <w:bidi w:val="0"/>
        <w:snapToGrid/>
        <w:spacing w:line="360" w:lineRule="auto"/>
        <w:ind w:firstLine="420" w:firstLineChars="20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付款方式：服务费按服务期内实际月数平均计算月平均额〔（合同价-预付款）/12个月）〕，并在第二个月的月初支付。中标供应商应出具正规发票作为结算凭证，采购人收到中标供应商出具的正规发票后10天以内支付。中标供应商未能按时提供正规发票，采购人有权暂缓结算。</w:t>
      </w:r>
    </w:p>
    <w:p w14:paraId="79548898">
      <w:pPr>
        <w:pageBreakBefore w:val="0"/>
        <w:widowControl w:val="0"/>
        <w:numPr>
          <w:ilvl w:val="0"/>
          <w:numId w:val="0"/>
        </w:numPr>
        <w:kinsoku/>
        <w:wordWrap w:val="0"/>
        <w:overflowPunct/>
        <w:topLinePunct w:val="0"/>
        <w:autoSpaceDE/>
        <w:autoSpaceDN/>
        <w:bidi w:val="0"/>
        <w:snapToGrid/>
        <w:spacing w:line="360" w:lineRule="auto"/>
        <w:ind w:firstLine="420" w:firstLineChars="200"/>
        <w:jc w:val="both"/>
        <w:textAlignment w:val="auto"/>
        <w:outlineLvl w:val="9"/>
        <w:rPr>
          <w:rFonts w:hint="default" w:ascii="仿宋" w:hAnsi="仿宋" w:eastAsia="仿宋" w:cs="仿宋"/>
          <w:color w:val="auto"/>
          <w:sz w:val="21"/>
          <w:szCs w:val="21"/>
          <w:highlight w:val="none"/>
          <w:lang w:val="en-US" w:eastAsia="zh-CN"/>
        </w:rPr>
      </w:pPr>
    </w:p>
    <w:p w14:paraId="567B7862">
      <w:pPr>
        <w:pStyle w:val="4"/>
        <w:wordWrap w:val="0"/>
        <w:ind w:left="0" w:leftChars="0" w:firstLine="0" w:firstLineChars="0"/>
        <w:rPr>
          <w:rFonts w:hint="eastAsia" w:ascii="仿宋" w:hAnsi="仿宋" w:eastAsia="仿宋" w:cs="仿宋"/>
          <w:color w:val="auto"/>
          <w:sz w:val="21"/>
          <w:szCs w:val="21"/>
          <w:highlight w:val="none"/>
        </w:rPr>
      </w:pPr>
    </w:p>
    <w:p w14:paraId="7C9AA8B2">
      <w:pPr>
        <w:pStyle w:val="4"/>
        <w:wordWrap w:val="0"/>
        <w:ind w:left="0" w:leftChars="0" w:firstLine="0" w:firstLineChars="0"/>
        <w:jc w:val="center"/>
        <w:rPr>
          <w:rFonts w:hint="eastAsia" w:ascii="仿宋" w:hAnsi="仿宋" w:eastAsia="仿宋" w:cs="仿宋"/>
          <w:b/>
          <w:color w:val="auto"/>
          <w:highlight w:val="none"/>
        </w:rPr>
      </w:pPr>
      <w:r>
        <w:rPr>
          <w:rFonts w:hint="eastAsia" w:ascii="仿宋" w:hAnsi="仿宋" w:eastAsia="仿宋" w:cs="仿宋"/>
          <w:b/>
          <w:color w:val="auto"/>
          <w:highlight w:val="none"/>
        </w:rPr>
        <w:br w:type="page"/>
      </w:r>
    </w:p>
    <w:p w14:paraId="08AA8C6D">
      <w:pPr>
        <w:pStyle w:val="4"/>
        <w:wordWrap w:val="0"/>
        <w:spacing w:beforeLines="100" w:afterLines="100" w:line="240" w:lineRule="auto"/>
        <w:ind w:left="0" w:leftChars="0" w:firstLine="0" w:firstLineChars="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w:t>
      </w:r>
      <w:bookmarkStart w:id="27" w:name="_Toc184310310"/>
      <w:bookmarkEnd w:id="27"/>
      <w:bookmarkStart w:id="28" w:name="_Toc184310303"/>
      <w:bookmarkEnd w:id="28"/>
      <w:bookmarkStart w:id="29" w:name="_Toc184313251"/>
      <w:bookmarkEnd w:id="29"/>
      <w:bookmarkStart w:id="30" w:name="_Toc184313244"/>
      <w:bookmarkEnd w:id="30"/>
      <w:bookmarkStart w:id="31" w:name="_Toc184310331"/>
      <w:bookmarkEnd w:id="31"/>
      <w:bookmarkStart w:id="32" w:name="_Toc184314433"/>
      <w:bookmarkEnd w:id="32"/>
      <w:bookmarkStart w:id="33" w:name="_Toc184314417"/>
      <w:bookmarkEnd w:id="33"/>
      <w:bookmarkStart w:id="34" w:name="_Toc184314447"/>
      <w:bookmarkEnd w:id="34"/>
      <w:bookmarkStart w:id="35" w:name="_Toc184312099"/>
      <w:bookmarkEnd w:id="35"/>
      <w:bookmarkStart w:id="36" w:name="_Toc184313304"/>
      <w:bookmarkEnd w:id="36"/>
      <w:bookmarkStart w:id="37" w:name="_Toc184313291"/>
      <w:bookmarkEnd w:id="37"/>
      <w:bookmarkStart w:id="38" w:name="_Toc184310285"/>
      <w:bookmarkEnd w:id="38"/>
      <w:bookmarkStart w:id="39" w:name="_Toc184314434"/>
      <w:bookmarkEnd w:id="39"/>
      <w:bookmarkStart w:id="40" w:name="_Toc184313278"/>
      <w:bookmarkEnd w:id="40"/>
      <w:bookmarkStart w:id="41" w:name="_Toc184312091"/>
      <w:bookmarkEnd w:id="41"/>
      <w:bookmarkStart w:id="42" w:name="_Toc184312120"/>
      <w:bookmarkEnd w:id="42"/>
      <w:bookmarkStart w:id="43" w:name="_Toc184308071"/>
      <w:bookmarkEnd w:id="43"/>
      <w:bookmarkStart w:id="44" w:name="_Toc184313248"/>
      <w:bookmarkEnd w:id="44"/>
      <w:bookmarkStart w:id="45" w:name="_Toc184308108"/>
      <w:bookmarkEnd w:id="45"/>
      <w:bookmarkStart w:id="46" w:name="_Toc184313265"/>
      <w:bookmarkEnd w:id="46"/>
      <w:bookmarkStart w:id="47" w:name="_Toc184312085"/>
      <w:bookmarkEnd w:id="47"/>
      <w:bookmarkStart w:id="48" w:name="_Toc184313266"/>
      <w:bookmarkEnd w:id="48"/>
      <w:bookmarkStart w:id="49" w:name="_Toc184308061"/>
      <w:bookmarkEnd w:id="49"/>
      <w:bookmarkStart w:id="50" w:name="_Toc184314420"/>
      <w:bookmarkEnd w:id="50"/>
      <w:bookmarkStart w:id="51" w:name="_Toc184310304"/>
      <w:bookmarkEnd w:id="51"/>
      <w:bookmarkStart w:id="52" w:name="_Toc184313263"/>
      <w:bookmarkEnd w:id="52"/>
      <w:bookmarkStart w:id="53" w:name="_Toc184308107"/>
      <w:bookmarkEnd w:id="53"/>
      <w:bookmarkStart w:id="54" w:name="_Toc184312128"/>
      <w:bookmarkEnd w:id="54"/>
      <w:bookmarkStart w:id="55" w:name="_Toc184310284"/>
      <w:bookmarkEnd w:id="55"/>
      <w:bookmarkStart w:id="56" w:name="_Toc184312101"/>
      <w:bookmarkEnd w:id="56"/>
      <w:bookmarkStart w:id="57" w:name="_Toc184310339"/>
      <w:bookmarkEnd w:id="57"/>
      <w:bookmarkStart w:id="58" w:name="_Toc184310324"/>
      <w:bookmarkEnd w:id="58"/>
      <w:bookmarkStart w:id="59" w:name="_Toc184313310"/>
      <w:bookmarkEnd w:id="59"/>
      <w:bookmarkStart w:id="60" w:name="_Toc184313245"/>
      <w:bookmarkEnd w:id="60"/>
      <w:bookmarkStart w:id="61" w:name="_Toc184308037"/>
      <w:bookmarkEnd w:id="61"/>
      <w:bookmarkStart w:id="62" w:name="_Toc184314449"/>
      <w:bookmarkEnd w:id="62"/>
      <w:bookmarkStart w:id="63" w:name="_Toc184308092"/>
      <w:bookmarkEnd w:id="63"/>
      <w:bookmarkStart w:id="64" w:name="_Toc184310316"/>
      <w:bookmarkEnd w:id="64"/>
      <w:bookmarkStart w:id="65" w:name="_Toc184314430"/>
      <w:bookmarkEnd w:id="65"/>
      <w:bookmarkStart w:id="66" w:name="_Toc184308080"/>
      <w:bookmarkEnd w:id="66"/>
      <w:bookmarkStart w:id="67" w:name="_Toc184314435"/>
      <w:bookmarkEnd w:id="67"/>
      <w:bookmarkStart w:id="68" w:name="_Toc184312117"/>
      <w:bookmarkEnd w:id="68"/>
      <w:bookmarkStart w:id="69" w:name="_Toc184308068"/>
      <w:bookmarkEnd w:id="69"/>
      <w:bookmarkStart w:id="70" w:name="_Toc184308095"/>
      <w:bookmarkEnd w:id="70"/>
      <w:bookmarkStart w:id="71" w:name="_Toc184310301"/>
      <w:bookmarkEnd w:id="71"/>
      <w:bookmarkStart w:id="72" w:name="_Toc184313279"/>
      <w:bookmarkEnd w:id="72"/>
      <w:bookmarkStart w:id="73" w:name="_Toc184314437"/>
      <w:bookmarkEnd w:id="73"/>
      <w:bookmarkStart w:id="74" w:name="_Toc184310278"/>
      <w:bookmarkEnd w:id="74"/>
      <w:bookmarkStart w:id="75" w:name="_Toc184313243"/>
      <w:bookmarkEnd w:id="75"/>
      <w:bookmarkStart w:id="76" w:name="_Toc184313276"/>
      <w:bookmarkEnd w:id="76"/>
      <w:bookmarkStart w:id="77" w:name="_Toc184313300"/>
      <w:bookmarkEnd w:id="77"/>
      <w:bookmarkStart w:id="78" w:name="_Toc184314454"/>
      <w:bookmarkEnd w:id="78"/>
      <w:bookmarkStart w:id="79" w:name="_Toc184314480"/>
      <w:bookmarkEnd w:id="79"/>
      <w:bookmarkStart w:id="80" w:name="_Toc184312102"/>
      <w:bookmarkEnd w:id="80"/>
      <w:bookmarkStart w:id="81" w:name="_Toc184314462"/>
      <w:bookmarkEnd w:id="81"/>
      <w:bookmarkStart w:id="82" w:name="_Toc184313280"/>
      <w:bookmarkEnd w:id="82"/>
      <w:bookmarkStart w:id="83" w:name="_Toc184314450"/>
      <w:bookmarkEnd w:id="83"/>
      <w:bookmarkStart w:id="84" w:name="_Toc184313302"/>
      <w:bookmarkEnd w:id="84"/>
      <w:bookmarkStart w:id="85" w:name="_Toc184314418"/>
      <w:bookmarkEnd w:id="85"/>
      <w:bookmarkStart w:id="86" w:name="_Toc184312131"/>
      <w:bookmarkEnd w:id="86"/>
      <w:bookmarkStart w:id="87" w:name="_Toc184310309"/>
      <w:bookmarkEnd w:id="87"/>
      <w:bookmarkStart w:id="88" w:name="_Toc184313295"/>
      <w:bookmarkEnd w:id="88"/>
      <w:bookmarkStart w:id="89" w:name="_Toc184310307"/>
      <w:bookmarkEnd w:id="89"/>
      <w:bookmarkStart w:id="90" w:name="_Toc184312115"/>
      <w:bookmarkEnd w:id="90"/>
      <w:bookmarkStart w:id="91" w:name="_Toc184310333"/>
      <w:bookmarkEnd w:id="91"/>
      <w:bookmarkStart w:id="92" w:name="_Toc184312107"/>
      <w:bookmarkEnd w:id="92"/>
      <w:bookmarkStart w:id="93" w:name="_Toc184314440"/>
      <w:bookmarkEnd w:id="93"/>
      <w:bookmarkStart w:id="94" w:name="_Toc184312123"/>
      <w:bookmarkEnd w:id="94"/>
      <w:bookmarkStart w:id="95" w:name="_Toc184308074"/>
      <w:bookmarkEnd w:id="95"/>
      <w:bookmarkStart w:id="96" w:name="_Toc184312106"/>
      <w:bookmarkEnd w:id="96"/>
      <w:bookmarkStart w:id="97" w:name="_Toc184314470"/>
      <w:bookmarkEnd w:id="97"/>
      <w:bookmarkStart w:id="98" w:name="_Toc184313301"/>
      <w:bookmarkEnd w:id="98"/>
      <w:bookmarkStart w:id="99" w:name="_Toc184308053"/>
      <w:bookmarkEnd w:id="99"/>
      <w:bookmarkStart w:id="100" w:name="_Toc184313262"/>
      <w:bookmarkEnd w:id="100"/>
      <w:bookmarkStart w:id="101" w:name="_Toc184312105"/>
      <w:bookmarkEnd w:id="101"/>
      <w:bookmarkStart w:id="102" w:name="_Toc184314448"/>
      <w:bookmarkEnd w:id="102"/>
      <w:bookmarkStart w:id="103" w:name="_Toc184313249"/>
      <w:bookmarkEnd w:id="103"/>
      <w:bookmarkStart w:id="104" w:name="_Toc184313270"/>
      <w:bookmarkEnd w:id="104"/>
      <w:bookmarkStart w:id="105" w:name="_Toc184310299"/>
      <w:bookmarkEnd w:id="105"/>
      <w:bookmarkStart w:id="106" w:name="_Toc184310340"/>
      <w:bookmarkEnd w:id="106"/>
      <w:bookmarkStart w:id="107" w:name="_Toc184314458"/>
      <w:bookmarkEnd w:id="107"/>
      <w:bookmarkStart w:id="108" w:name="_Toc184313253"/>
      <w:bookmarkEnd w:id="108"/>
      <w:bookmarkStart w:id="109" w:name="_Toc184308045"/>
      <w:bookmarkEnd w:id="109"/>
      <w:bookmarkStart w:id="110" w:name="_Toc184313306"/>
      <w:bookmarkEnd w:id="110"/>
      <w:bookmarkStart w:id="111" w:name="_Toc184312067"/>
      <w:bookmarkEnd w:id="111"/>
      <w:bookmarkStart w:id="112" w:name="_Toc184313283"/>
      <w:bookmarkEnd w:id="112"/>
      <w:bookmarkStart w:id="113" w:name="_Toc184308038"/>
      <w:bookmarkEnd w:id="113"/>
      <w:bookmarkStart w:id="114" w:name="_Toc184313284"/>
      <w:bookmarkEnd w:id="114"/>
      <w:bookmarkStart w:id="115" w:name="_Toc184313299"/>
      <w:bookmarkEnd w:id="115"/>
      <w:bookmarkStart w:id="116" w:name="_Toc184312087"/>
      <w:bookmarkEnd w:id="116"/>
      <w:bookmarkStart w:id="117" w:name="_Toc184310330"/>
      <w:bookmarkEnd w:id="117"/>
      <w:bookmarkStart w:id="118" w:name="_Toc184308044"/>
      <w:bookmarkEnd w:id="118"/>
      <w:bookmarkStart w:id="119" w:name="_Toc184314467"/>
      <w:bookmarkEnd w:id="119"/>
      <w:bookmarkStart w:id="120" w:name="_Toc184308085"/>
      <w:bookmarkEnd w:id="120"/>
      <w:bookmarkStart w:id="121" w:name="_Toc184314438"/>
      <w:bookmarkEnd w:id="121"/>
      <w:bookmarkStart w:id="122" w:name="_Toc184312133"/>
      <w:bookmarkEnd w:id="122"/>
      <w:bookmarkStart w:id="123" w:name="_Toc184308096"/>
      <w:bookmarkEnd w:id="123"/>
      <w:bookmarkStart w:id="124" w:name="_Toc184310337"/>
      <w:bookmarkEnd w:id="124"/>
      <w:bookmarkStart w:id="125" w:name="_Toc184310335"/>
      <w:bookmarkEnd w:id="125"/>
      <w:bookmarkStart w:id="126" w:name="_Toc184310336"/>
      <w:bookmarkEnd w:id="126"/>
      <w:bookmarkStart w:id="127" w:name="_Toc184312114"/>
      <w:bookmarkEnd w:id="127"/>
      <w:bookmarkStart w:id="128" w:name="_Toc184308075"/>
      <w:bookmarkEnd w:id="128"/>
      <w:bookmarkStart w:id="129" w:name="_Toc184313267"/>
      <w:bookmarkEnd w:id="129"/>
      <w:bookmarkStart w:id="130" w:name="_Toc184312081"/>
      <w:bookmarkEnd w:id="130"/>
      <w:bookmarkStart w:id="131" w:name="_Toc184312083"/>
      <w:bookmarkEnd w:id="131"/>
      <w:bookmarkStart w:id="132" w:name="_Toc184314453"/>
      <w:bookmarkEnd w:id="132"/>
      <w:bookmarkStart w:id="133" w:name="_Toc184308098"/>
      <w:bookmarkEnd w:id="133"/>
      <w:bookmarkStart w:id="134" w:name="_Toc184310305"/>
      <w:bookmarkEnd w:id="134"/>
      <w:bookmarkStart w:id="135" w:name="_Toc184313298"/>
      <w:bookmarkEnd w:id="135"/>
      <w:bookmarkStart w:id="136" w:name="_Toc184310291"/>
      <w:bookmarkEnd w:id="136"/>
      <w:bookmarkStart w:id="137" w:name="_Toc184312097"/>
      <w:bookmarkEnd w:id="137"/>
      <w:bookmarkStart w:id="138" w:name="_Toc184308101"/>
      <w:bookmarkEnd w:id="138"/>
      <w:bookmarkStart w:id="139" w:name="_Toc184313238"/>
      <w:bookmarkEnd w:id="139"/>
      <w:bookmarkStart w:id="140" w:name="_Toc184314472"/>
      <w:bookmarkEnd w:id="140"/>
      <w:bookmarkStart w:id="141" w:name="_Toc184310276"/>
      <w:bookmarkEnd w:id="141"/>
      <w:bookmarkStart w:id="142" w:name="_Toc184314441"/>
      <w:bookmarkEnd w:id="142"/>
      <w:bookmarkStart w:id="143" w:name="_Toc184308059"/>
      <w:bookmarkEnd w:id="143"/>
      <w:bookmarkStart w:id="144" w:name="_Toc184312078"/>
      <w:bookmarkEnd w:id="144"/>
      <w:bookmarkStart w:id="145" w:name="_Toc184312074"/>
      <w:bookmarkEnd w:id="145"/>
      <w:bookmarkStart w:id="146" w:name="_Toc184314431"/>
      <w:bookmarkEnd w:id="146"/>
      <w:bookmarkStart w:id="147" w:name="_Toc184312073"/>
      <w:bookmarkEnd w:id="147"/>
      <w:bookmarkStart w:id="148" w:name="_Toc184312094"/>
      <w:bookmarkEnd w:id="148"/>
      <w:bookmarkStart w:id="149" w:name="_Toc184313290"/>
      <w:bookmarkEnd w:id="149"/>
      <w:bookmarkStart w:id="150" w:name="_Toc184308100"/>
      <w:bookmarkEnd w:id="150"/>
      <w:bookmarkStart w:id="151" w:name="_Toc184308090"/>
      <w:bookmarkEnd w:id="151"/>
      <w:bookmarkStart w:id="152" w:name="_Toc184310287"/>
      <w:bookmarkEnd w:id="152"/>
      <w:bookmarkStart w:id="153" w:name="_Toc184308070"/>
      <w:bookmarkEnd w:id="153"/>
      <w:bookmarkStart w:id="154" w:name="_Toc184314412"/>
      <w:bookmarkEnd w:id="154"/>
      <w:bookmarkStart w:id="155" w:name="_Toc184312076"/>
      <w:bookmarkEnd w:id="155"/>
      <w:bookmarkStart w:id="156" w:name="_Toc184313250"/>
      <w:bookmarkEnd w:id="156"/>
      <w:bookmarkStart w:id="157" w:name="_Toc184312127"/>
      <w:bookmarkEnd w:id="157"/>
      <w:bookmarkStart w:id="158" w:name="_Toc184308084"/>
      <w:bookmarkEnd w:id="158"/>
      <w:bookmarkStart w:id="159" w:name="_Toc184313294"/>
      <w:bookmarkEnd w:id="159"/>
      <w:bookmarkStart w:id="160" w:name="_Toc184312138"/>
      <w:bookmarkEnd w:id="160"/>
      <w:bookmarkStart w:id="161" w:name="_Toc184314451"/>
      <w:bookmarkEnd w:id="161"/>
      <w:bookmarkStart w:id="162" w:name="_Toc184312130"/>
      <w:bookmarkEnd w:id="162"/>
      <w:bookmarkStart w:id="163" w:name="_Toc184312125"/>
      <w:bookmarkEnd w:id="163"/>
      <w:bookmarkStart w:id="164" w:name="_Toc184310326"/>
      <w:bookmarkEnd w:id="164"/>
      <w:bookmarkStart w:id="165" w:name="_Toc184308087"/>
      <w:bookmarkEnd w:id="165"/>
      <w:bookmarkStart w:id="166" w:name="_Toc184308097"/>
      <w:bookmarkEnd w:id="166"/>
      <w:bookmarkStart w:id="167" w:name="_Toc184314429"/>
      <w:bookmarkEnd w:id="167"/>
      <w:bookmarkStart w:id="168" w:name="_Toc184312129"/>
      <w:bookmarkEnd w:id="168"/>
      <w:bookmarkStart w:id="169" w:name="_Toc184310313"/>
      <w:bookmarkEnd w:id="169"/>
      <w:bookmarkStart w:id="170" w:name="_Toc184314457"/>
      <w:bookmarkEnd w:id="170"/>
      <w:bookmarkStart w:id="171" w:name="_Toc184314428"/>
      <w:bookmarkEnd w:id="171"/>
      <w:bookmarkStart w:id="172" w:name="_Toc184313260"/>
      <w:bookmarkEnd w:id="172"/>
      <w:bookmarkStart w:id="173" w:name="_Toc184312121"/>
      <w:bookmarkEnd w:id="173"/>
      <w:bookmarkStart w:id="174" w:name="_Toc184312124"/>
      <w:bookmarkEnd w:id="174"/>
      <w:bookmarkStart w:id="175" w:name="_Toc184308083"/>
      <w:bookmarkEnd w:id="175"/>
      <w:bookmarkStart w:id="176" w:name="_Toc184312134"/>
      <w:bookmarkEnd w:id="176"/>
      <w:bookmarkStart w:id="177" w:name="_Toc184310321"/>
      <w:bookmarkEnd w:id="177"/>
      <w:bookmarkStart w:id="178" w:name="_Toc184314432"/>
      <w:bookmarkEnd w:id="178"/>
      <w:bookmarkStart w:id="179" w:name="_Toc184310327"/>
      <w:bookmarkEnd w:id="179"/>
      <w:bookmarkStart w:id="180" w:name="_Toc184312113"/>
      <w:bookmarkEnd w:id="180"/>
      <w:bookmarkStart w:id="181" w:name="_Toc184308040"/>
      <w:bookmarkEnd w:id="181"/>
      <w:bookmarkStart w:id="182" w:name="_Toc184310277"/>
      <w:bookmarkEnd w:id="182"/>
      <w:bookmarkStart w:id="183" w:name="_Toc184314459"/>
      <w:bookmarkEnd w:id="183"/>
      <w:bookmarkStart w:id="184" w:name="_Toc184312096"/>
      <w:bookmarkEnd w:id="184"/>
      <w:bookmarkStart w:id="185" w:name="_Toc184312092"/>
      <w:bookmarkEnd w:id="185"/>
      <w:bookmarkStart w:id="186" w:name="_Toc184308077"/>
      <w:bookmarkEnd w:id="186"/>
      <w:bookmarkStart w:id="187" w:name="_Toc184310334"/>
      <w:bookmarkEnd w:id="187"/>
      <w:bookmarkStart w:id="188" w:name="_Toc184308072"/>
      <w:bookmarkEnd w:id="188"/>
      <w:bookmarkStart w:id="189" w:name="_Toc184308066"/>
      <w:bookmarkEnd w:id="189"/>
      <w:bookmarkStart w:id="190" w:name="_Toc184314439"/>
      <w:bookmarkEnd w:id="190"/>
      <w:bookmarkStart w:id="191" w:name="_Toc184313297"/>
      <w:bookmarkEnd w:id="191"/>
      <w:bookmarkStart w:id="192" w:name="_Toc184308081"/>
      <w:bookmarkEnd w:id="192"/>
      <w:bookmarkStart w:id="193" w:name="_Toc184313240"/>
      <w:bookmarkEnd w:id="193"/>
      <w:bookmarkStart w:id="194" w:name="_Toc184312100"/>
      <w:bookmarkEnd w:id="194"/>
      <w:bookmarkStart w:id="195" w:name="_Toc184310342"/>
      <w:bookmarkEnd w:id="195"/>
      <w:bookmarkStart w:id="196" w:name="_Toc184313271"/>
      <w:bookmarkEnd w:id="196"/>
      <w:bookmarkStart w:id="197" w:name="_Toc184313274"/>
      <w:bookmarkEnd w:id="197"/>
      <w:bookmarkStart w:id="198" w:name="_Toc184314477"/>
      <w:bookmarkEnd w:id="198"/>
      <w:bookmarkStart w:id="199" w:name="_Toc184310273"/>
      <w:bookmarkEnd w:id="199"/>
      <w:bookmarkStart w:id="200" w:name="_Toc184314421"/>
      <w:bookmarkEnd w:id="200"/>
      <w:bookmarkStart w:id="201" w:name="_Toc184310283"/>
      <w:bookmarkEnd w:id="201"/>
      <w:bookmarkStart w:id="202" w:name="_Toc184313293"/>
      <w:bookmarkEnd w:id="202"/>
      <w:bookmarkStart w:id="203" w:name="_Toc184314456"/>
      <w:bookmarkEnd w:id="203"/>
      <w:bookmarkStart w:id="204" w:name="_Toc184314425"/>
      <w:bookmarkEnd w:id="204"/>
      <w:bookmarkStart w:id="205" w:name="_Toc184312126"/>
      <w:bookmarkEnd w:id="205"/>
      <w:bookmarkStart w:id="206" w:name="_Toc184310323"/>
      <w:bookmarkEnd w:id="206"/>
      <w:bookmarkStart w:id="207" w:name="_Toc184308063"/>
      <w:bookmarkEnd w:id="207"/>
      <w:bookmarkStart w:id="208" w:name="_Toc184308042"/>
      <w:bookmarkEnd w:id="208"/>
      <w:bookmarkStart w:id="209" w:name="_Toc184313285"/>
      <w:bookmarkEnd w:id="209"/>
      <w:bookmarkStart w:id="210" w:name="_Toc184314436"/>
      <w:bookmarkEnd w:id="210"/>
      <w:bookmarkStart w:id="211" w:name="_Toc184313255"/>
      <w:bookmarkEnd w:id="211"/>
      <w:bookmarkStart w:id="212" w:name="_Toc184313307"/>
      <w:bookmarkEnd w:id="212"/>
      <w:bookmarkStart w:id="213" w:name="_Toc184313269"/>
      <w:bookmarkEnd w:id="213"/>
      <w:bookmarkStart w:id="214" w:name="_Toc184308076"/>
      <w:bookmarkEnd w:id="214"/>
      <w:bookmarkStart w:id="215" w:name="_Toc184308105"/>
      <w:bookmarkEnd w:id="215"/>
      <w:bookmarkStart w:id="216" w:name="_Toc184308106"/>
      <w:bookmarkEnd w:id="216"/>
      <w:bookmarkStart w:id="217" w:name="_Toc184314427"/>
      <w:bookmarkEnd w:id="217"/>
      <w:bookmarkStart w:id="218" w:name="_Toc184312103"/>
      <w:bookmarkEnd w:id="218"/>
      <w:bookmarkStart w:id="219" w:name="_Toc184310319"/>
      <w:bookmarkEnd w:id="219"/>
      <w:bookmarkStart w:id="220" w:name="_Toc184308051"/>
      <w:bookmarkEnd w:id="220"/>
      <w:bookmarkStart w:id="221" w:name="_Toc184313292"/>
      <w:bookmarkEnd w:id="221"/>
      <w:bookmarkStart w:id="222" w:name="_Toc184312098"/>
      <w:bookmarkEnd w:id="222"/>
      <w:bookmarkStart w:id="223" w:name="_Toc184314476"/>
      <w:bookmarkEnd w:id="223"/>
      <w:bookmarkStart w:id="224" w:name="_Toc184313239"/>
      <w:bookmarkEnd w:id="224"/>
      <w:bookmarkStart w:id="225" w:name="_Toc184312110"/>
      <w:bookmarkEnd w:id="225"/>
      <w:bookmarkStart w:id="226" w:name="_Toc184312137"/>
      <w:bookmarkEnd w:id="226"/>
      <w:bookmarkStart w:id="227" w:name="_Toc184310314"/>
      <w:bookmarkEnd w:id="227"/>
      <w:bookmarkStart w:id="228" w:name="_Toc184310297"/>
      <w:bookmarkEnd w:id="228"/>
      <w:bookmarkStart w:id="229" w:name="_Toc184308062"/>
      <w:bookmarkEnd w:id="229"/>
      <w:bookmarkStart w:id="230" w:name="_Toc184308057"/>
      <w:bookmarkEnd w:id="230"/>
      <w:bookmarkStart w:id="231" w:name="_Toc184313252"/>
      <w:bookmarkEnd w:id="231"/>
      <w:bookmarkStart w:id="232" w:name="_Toc184314468"/>
      <w:bookmarkEnd w:id="232"/>
      <w:bookmarkStart w:id="233" w:name="_Toc184308069"/>
      <w:bookmarkEnd w:id="233"/>
      <w:bookmarkStart w:id="234" w:name="_Toc184313259"/>
      <w:bookmarkEnd w:id="234"/>
      <w:bookmarkStart w:id="235" w:name="_Toc184310290"/>
      <w:bookmarkEnd w:id="235"/>
      <w:bookmarkStart w:id="236" w:name="_Toc184308082"/>
      <w:bookmarkEnd w:id="236"/>
      <w:bookmarkStart w:id="237" w:name="_Toc184313296"/>
      <w:bookmarkEnd w:id="237"/>
      <w:bookmarkStart w:id="238" w:name="_Toc184314452"/>
      <w:bookmarkEnd w:id="238"/>
      <w:bookmarkStart w:id="239" w:name="_Toc184314475"/>
      <w:bookmarkEnd w:id="239"/>
      <w:bookmarkStart w:id="240" w:name="_Toc184312071"/>
      <w:bookmarkEnd w:id="240"/>
      <w:bookmarkStart w:id="241" w:name="_Toc184312088"/>
      <w:bookmarkEnd w:id="241"/>
      <w:bookmarkStart w:id="242" w:name="_Toc184310325"/>
      <w:bookmarkEnd w:id="242"/>
      <w:bookmarkStart w:id="243" w:name="_Toc184314473"/>
      <w:bookmarkEnd w:id="243"/>
      <w:bookmarkStart w:id="244" w:name="_Toc184310292"/>
      <w:bookmarkEnd w:id="244"/>
      <w:bookmarkStart w:id="245" w:name="_Toc184310272"/>
      <w:bookmarkEnd w:id="245"/>
      <w:bookmarkStart w:id="246" w:name="_Toc184310280"/>
      <w:bookmarkEnd w:id="246"/>
      <w:bookmarkStart w:id="247" w:name="_Toc184314471"/>
      <w:bookmarkEnd w:id="247"/>
      <w:bookmarkStart w:id="248" w:name="_Toc184314463"/>
      <w:bookmarkEnd w:id="248"/>
      <w:bookmarkStart w:id="249" w:name="_Toc184308099"/>
      <w:bookmarkEnd w:id="249"/>
      <w:bookmarkStart w:id="250" w:name="_Toc184312139"/>
      <w:bookmarkEnd w:id="250"/>
      <w:bookmarkStart w:id="251" w:name="_Toc184313275"/>
      <w:bookmarkEnd w:id="251"/>
      <w:bookmarkStart w:id="252" w:name="_Toc184314464"/>
      <w:bookmarkEnd w:id="252"/>
      <w:bookmarkStart w:id="253" w:name="_Toc184313305"/>
      <w:bookmarkEnd w:id="253"/>
      <w:bookmarkStart w:id="254" w:name="_Toc184308036"/>
      <w:bookmarkEnd w:id="254"/>
      <w:bookmarkStart w:id="255" w:name="_Toc184312112"/>
      <w:bookmarkEnd w:id="255"/>
      <w:bookmarkStart w:id="256" w:name="_Toc184310343"/>
      <w:bookmarkEnd w:id="256"/>
      <w:bookmarkStart w:id="257" w:name="_Toc184310300"/>
      <w:bookmarkEnd w:id="257"/>
      <w:bookmarkStart w:id="258" w:name="_Toc184314422"/>
      <w:bookmarkEnd w:id="258"/>
      <w:bookmarkStart w:id="259" w:name="_Toc184314411"/>
      <w:bookmarkEnd w:id="259"/>
      <w:bookmarkStart w:id="260" w:name="_Toc184312116"/>
      <w:bookmarkEnd w:id="260"/>
      <w:bookmarkStart w:id="261" w:name="_Toc184313277"/>
      <w:bookmarkEnd w:id="261"/>
      <w:bookmarkStart w:id="262" w:name="_Toc184313287"/>
      <w:bookmarkEnd w:id="262"/>
      <w:bookmarkStart w:id="263" w:name="_Toc184314410"/>
      <w:bookmarkEnd w:id="263"/>
      <w:bookmarkStart w:id="264" w:name="_Toc184314478"/>
      <w:bookmarkEnd w:id="264"/>
      <w:bookmarkStart w:id="265" w:name="_Toc184313254"/>
      <w:bookmarkEnd w:id="265"/>
      <w:bookmarkStart w:id="266" w:name="_Toc184308052"/>
      <w:bookmarkEnd w:id="266"/>
      <w:bookmarkStart w:id="267" w:name="_Toc184310311"/>
      <w:bookmarkEnd w:id="267"/>
      <w:bookmarkStart w:id="268" w:name="_Toc184310281"/>
      <w:bookmarkEnd w:id="268"/>
      <w:bookmarkStart w:id="269" w:name="_Toc184313256"/>
      <w:bookmarkEnd w:id="269"/>
      <w:bookmarkStart w:id="270" w:name="_Toc184308079"/>
      <w:bookmarkEnd w:id="270"/>
      <w:bookmarkStart w:id="271" w:name="_Toc184313309"/>
      <w:bookmarkEnd w:id="271"/>
      <w:bookmarkStart w:id="272" w:name="_Toc184312084"/>
      <w:bookmarkEnd w:id="272"/>
      <w:bookmarkStart w:id="273" w:name="_Toc184310293"/>
      <w:bookmarkEnd w:id="273"/>
      <w:bookmarkStart w:id="274" w:name="_Toc184308078"/>
      <w:bookmarkEnd w:id="274"/>
      <w:bookmarkStart w:id="275" w:name="_Toc184310294"/>
      <w:bookmarkEnd w:id="275"/>
      <w:bookmarkStart w:id="276" w:name="_Toc184314482"/>
      <w:bookmarkEnd w:id="276"/>
      <w:bookmarkStart w:id="277" w:name="_Toc184308073"/>
      <w:bookmarkEnd w:id="277"/>
      <w:bookmarkStart w:id="278" w:name="_Toc184314461"/>
      <w:bookmarkEnd w:id="278"/>
      <w:bookmarkStart w:id="279" w:name="_Toc184312068"/>
      <w:bookmarkEnd w:id="279"/>
      <w:bookmarkStart w:id="280" w:name="_Toc184314460"/>
      <w:bookmarkEnd w:id="280"/>
      <w:bookmarkStart w:id="281" w:name="_Toc184314413"/>
      <w:bookmarkEnd w:id="281"/>
      <w:bookmarkStart w:id="282" w:name="_Toc184313289"/>
      <w:bookmarkEnd w:id="282"/>
      <w:bookmarkStart w:id="283" w:name="_Toc184310328"/>
      <w:bookmarkEnd w:id="283"/>
      <w:bookmarkStart w:id="284" w:name="_Toc184313288"/>
      <w:bookmarkEnd w:id="284"/>
      <w:bookmarkStart w:id="285" w:name="_Toc184314455"/>
      <w:bookmarkEnd w:id="285"/>
      <w:bookmarkStart w:id="286" w:name="_Toc184312119"/>
      <w:bookmarkEnd w:id="286"/>
      <w:bookmarkStart w:id="287" w:name="_Toc184308065"/>
      <w:bookmarkEnd w:id="287"/>
      <w:bookmarkStart w:id="288" w:name="_Toc184310344"/>
      <w:bookmarkEnd w:id="288"/>
      <w:bookmarkStart w:id="289" w:name="_Toc184310312"/>
      <w:bookmarkEnd w:id="289"/>
      <w:bookmarkStart w:id="290" w:name="_Toc184313273"/>
      <w:bookmarkEnd w:id="290"/>
      <w:bookmarkStart w:id="291" w:name="_Toc184308064"/>
      <w:bookmarkEnd w:id="291"/>
      <w:bookmarkStart w:id="292" w:name="_Toc184308088"/>
      <w:bookmarkEnd w:id="292"/>
      <w:bookmarkStart w:id="293" w:name="_Toc184313257"/>
      <w:bookmarkEnd w:id="293"/>
      <w:bookmarkStart w:id="294" w:name="_Toc184314416"/>
      <w:bookmarkEnd w:id="294"/>
      <w:bookmarkStart w:id="295" w:name="_Toc184314426"/>
      <w:bookmarkEnd w:id="295"/>
      <w:bookmarkStart w:id="296" w:name="_Toc184313241"/>
      <w:bookmarkEnd w:id="296"/>
      <w:bookmarkStart w:id="297" w:name="_Toc184312093"/>
      <w:bookmarkEnd w:id="297"/>
      <w:bookmarkStart w:id="298" w:name="_Toc184308054"/>
      <w:bookmarkEnd w:id="298"/>
      <w:bookmarkStart w:id="299" w:name="_Toc184308056"/>
      <w:bookmarkEnd w:id="299"/>
      <w:bookmarkStart w:id="300" w:name="_Toc184310275"/>
      <w:bookmarkEnd w:id="300"/>
      <w:bookmarkStart w:id="301" w:name="_Toc184314419"/>
      <w:bookmarkEnd w:id="301"/>
      <w:bookmarkStart w:id="302" w:name="_Toc184313286"/>
      <w:bookmarkEnd w:id="302"/>
      <w:bookmarkStart w:id="303" w:name="_Toc184313268"/>
      <w:bookmarkEnd w:id="303"/>
      <w:bookmarkStart w:id="304" w:name="_Toc184314466"/>
      <w:bookmarkEnd w:id="304"/>
      <w:bookmarkStart w:id="305" w:name="_Toc184314424"/>
      <w:bookmarkEnd w:id="305"/>
      <w:bookmarkStart w:id="306" w:name="_Toc184312089"/>
      <w:bookmarkEnd w:id="306"/>
      <w:bookmarkStart w:id="307" w:name="_Toc184310320"/>
      <w:bookmarkEnd w:id="307"/>
      <w:bookmarkStart w:id="308" w:name="_Toc184312082"/>
      <w:bookmarkEnd w:id="308"/>
      <w:bookmarkStart w:id="309" w:name="_Toc184313272"/>
      <w:bookmarkEnd w:id="309"/>
      <w:bookmarkStart w:id="310" w:name="_Toc184310279"/>
      <w:bookmarkEnd w:id="310"/>
      <w:bookmarkStart w:id="311" w:name="_Toc184308104"/>
      <w:bookmarkEnd w:id="311"/>
      <w:bookmarkStart w:id="312" w:name="_Toc184308043"/>
      <w:bookmarkEnd w:id="312"/>
      <w:bookmarkStart w:id="313" w:name="_Toc184312070"/>
      <w:bookmarkEnd w:id="313"/>
      <w:bookmarkStart w:id="314" w:name="_Toc184314443"/>
      <w:bookmarkEnd w:id="314"/>
      <w:bookmarkStart w:id="315" w:name="_Toc184308093"/>
      <w:bookmarkEnd w:id="315"/>
      <w:bookmarkStart w:id="316" w:name="_Toc184308086"/>
      <w:bookmarkEnd w:id="316"/>
      <w:bookmarkStart w:id="317" w:name="_Toc184314446"/>
      <w:bookmarkEnd w:id="317"/>
      <w:bookmarkStart w:id="318" w:name="_Toc184310341"/>
      <w:bookmarkEnd w:id="318"/>
      <w:bookmarkStart w:id="319" w:name="_Toc184308055"/>
      <w:bookmarkEnd w:id="319"/>
      <w:bookmarkStart w:id="320" w:name="_Toc184314444"/>
      <w:bookmarkEnd w:id="320"/>
      <w:bookmarkStart w:id="321" w:name="_Toc184312135"/>
      <w:bookmarkEnd w:id="321"/>
      <w:bookmarkStart w:id="322" w:name="_Toc184310332"/>
      <w:bookmarkEnd w:id="322"/>
      <w:bookmarkStart w:id="323" w:name="_Toc184310302"/>
      <w:bookmarkEnd w:id="323"/>
      <w:bookmarkStart w:id="324" w:name="_Toc184312086"/>
      <w:bookmarkEnd w:id="324"/>
      <w:bookmarkStart w:id="325" w:name="_Toc184312090"/>
      <w:bookmarkEnd w:id="325"/>
      <w:bookmarkStart w:id="326" w:name="_Toc184314445"/>
      <w:bookmarkEnd w:id="326"/>
      <w:bookmarkStart w:id="327" w:name="_Toc184312069"/>
      <w:bookmarkEnd w:id="327"/>
      <w:bookmarkStart w:id="328" w:name="_Toc184312104"/>
      <w:bookmarkEnd w:id="328"/>
      <w:bookmarkStart w:id="329" w:name="_Toc184314481"/>
      <w:bookmarkEnd w:id="329"/>
      <w:bookmarkStart w:id="330" w:name="_Toc184312109"/>
      <w:bookmarkEnd w:id="330"/>
      <w:bookmarkStart w:id="331" w:name="_Toc184312077"/>
      <w:bookmarkEnd w:id="331"/>
      <w:bookmarkStart w:id="332" w:name="_Toc184313242"/>
      <w:bookmarkEnd w:id="332"/>
      <w:bookmarkStart w:id="333" w:name="_Toc184310282"/>
      <w:bookmarkEnd w:id="333"/>
      <w:bookmarkStart w:id="334" w:name="_Toc184312132"/>
      <w:bookmarkEnd w:id="334"/>
      <w:bookmarkStart w:id="335" w:name="_Toc184313303"/>
      <w:bookmarkEnd w:id="335"/>
      <w:bookmarkStart w:id="336" w:name="_Toc184308041"/>
      <w:bookmarkEnd w:id="336"/>
      <w:bookmarkStart w:id="337" w:name="_Toc184313264"/>
      <w:bookmarkEnd w:id="337"/>
      <w:bookmarkStart w:id="338" w:name="_Toc184314465"/>
      <w:bookmarkEnd w:id="338"/>
      <w:bookmarkStart w:id="339" w:name="_Toc184314414"/>
      <w:bookmarkEnd w:id="339"/>
      <w:bookmarkStart w:id="340" w:name="_Toc184313281"/>
      <w:bookmarkEnd w:id="340"/>
      <w:bookmarkStart w:id="341" w:name="_Toc184312079"/>
      <w:bookmarkEnd w:id="341"/>
      <w:bookmarkStart w:id="342" w:name="_Toc184312080"/>
      <w:bookmarkEnd w:id="342"/>
      <w:bookmarkStart w:id="343" w:name="_Toc184312111"/>
      <w:bookmarkEnd w:id="343"/>
      <w:bookmarkStart w:id="344" w:name="_Toc184308094"/>
      <w:bookmarkEnd w:id="344"/>
      <w:bookmarkStart w:id="345" w:name="_Toc184314442"/>
      <w:bookmarkEnd w:id="345"/>
      <w:bookmarkStart w:id="346" w:name="_Toc184312118"/>
      <w:bookmarkEnd w:id="346"/>
      <w:bookmarkStart w:id="347" w:name="_Toc184313308"/>
      <w:bookmarkEnd w:id="347"/>
      <w:bookmarkStart w:id="348" w:name="_Toc184312136"/>
      <w:bookmarkEnd w:id="348"/>
      <w:bookmarkStart w:id="349" w:name="_Toc184308048"/>
      <w:bookmarkEnd w:id="349"/>
      <w:bookmarkStart w:id="350" w:name="_Toc184313258"/>
      <w:bookmarkEnd w:id="350"/>
      <w:bookmarkStart w:id="351" w:name="_Toc184310322"/>
      <w:bookmarkEnd w:id="351"/>
      <w:bookmarkStart w:id="352" w:name="_Toc184310329"/>
      <w:bookmarkEnd w:id="352"/>
      <w:bookmarkStart w:id="353" w:name="_Toc184308067"/>
      <w:bookmarkEnd w:id="353"/>
      <w:bookmarkStart w:id="354" w:name="_Toc184308091"/>
      <w:bookmarkEnd w:id="354"/>
      <w:bookmarkStart w:id="355" w:name="_Toc184313261"/>
      <w:bookmarkEnd w:id="355"/>
      <w:bookmarkStart w:id="356" w:name="_Toc184312095"/>
      <w:bookmarkEnd w:id="356"/>
      <w:bookmarkStart w:id="357" w:name="_Toc184310318"/>
      <w:bookmarkEnd w:id="357"/>
      <w:bookmarkStart w:id="358" w:name="_Toc184308047"/>
      <w:bookmarkEnd w:id="358"/>
      <w:bookmarkStart w:id="359" w:name="_Toc184310298"/>
      <w:bookmarkEnd w:id="359"/>
      <w:bookmarkStart w:id="360" w:name="_Toc184308050"/>
      <w:bookmarkEnd w:id="360"/>
      <w:bookmarkStart w:id="361" w:name="_Toc184314474"/>
      <w:bookmarkEnd w:id="361"/>
      <w:bookmarkStart w:id="362" w:name="_Toc184313247"/>
      <w:bookmarkEnd w:id="362"/>
      <w:bookmarkStart w:id="363" w:name="_Toc184308049"/>
      <w:bookmarkEnd w:id="363"/>
      <w:bookmarkStart w:id="364" w:name="_Toc184312075"/>
      <w:bookmarkEnd w:id="364"/>
      <w:bookmarkStart w:id="365" w:name="_Toc184310338"/>
      <w:bookmarkEnd w:id="365"/>
      <w:bookmarkStart w:id="366" w:name="_Toc184314415"/>
      <w:bookmarkEnd w:id="366"/>
      <w:bookmarkStart w:id="367" w:name="_Toc184308058"/>
      <w:bookmarkEnd w:id="367"/>
      <w:bookmarkStart w:id="368" w:name="_Toc184314469"/>
      <w:bookmarkEnd w:id="368"/>
      <w:bookmarkStart w:id="369" w:name="_Toc184310274"/>
      <w:bookmarkEnd w:id="369"/>
      <w:bookmarkStart w:id="370" w:name="_Toc184312122"/>
      <w:bookmarkEnd w:id="370"/>
      <w:bookmarkStart w:id="371" w:name="_Toc184310288"/>
      <w:bookmarkEnd w:id="371"/>
      <w:bookmarkStart w:id="372" w:name="_Toc184314479"/>
      <w:bookmarkEnd w:id="372"/>
      <w:bookmarkStart w:id="373" w:name="_Toc184312072"/>
      <w:bookmarkEnd w:id="373"/>
      <w:bookmarkStart w:id="374" w:name="_Toc184313282"/>
      <w:bookmarkEnd w:id="374"/>
      <w:bookmarkStart w:id="375" w:name="_Toc184308103"/>
      <w:bookmarkEnd w:id="375"/>
      <w:bookmarkStart w:id="376" w:name="_Toc184310308"/>
      <w:bookmarkEnd w:id="376"/>
      <w:bookmarkStart w:id="377" w:name="_Toc184314423"/>
      <w:bookmarkEnd w:id="377"/>
      <w:bookmarkStart w:id="378" w:name="_Toc184308102"/>
      <w:bookmarkEnd w:id="378"/>
      <w:bookmarkStart w:id="379" w:name="_Toc184310315"/>
      <w:bookmarkEnd w:id="379"/>
      <w:bookmarkStart w:id="380" w:name="_Toc184308089"/>
      <w:bookmarkEnd w:id="380"/>
      <w:bookmarkStart w:id="381" w:name="_Toc184308060"/>
      <w:bookmarkEnd w:id="381"/>
      <w:bookmarkStart w:id="382" w:name="_Toc184312108"/>
      <w:bookmarkEnd w:id="382"/>
      <w:bookmarkStart w:id="383" w:name="_Toc184310296"/>
      <w:bookmarkEnd w:id="383"/>
      <w:bookmarkStart w:id="384" w:name="_Toc184308039"/>
      <w:bookmarkEnd w:id="384"/>
      <w:bookmarkStart w:id="385" w:name="_Toc184310289"/>
      <w:bookmarkEnd w:id="385"/>
      <w:bookmarkStart w:id="386" w:name="_Toc184310295"/>
      <w:bookmarkEnd w:id="386"/>
      <w:bookmarkStart w:id="387" w:name="_Toc184310306"/>
      <w:bookmarkEnd w:id="387"/>
      <w:bookmarkStart w:id="388" w:name="_Toc184308046"/>
      <w:bookmarkEnd w:id="388"/>
      <w:bookmarkStart w:id="389" w:name="_Toc184313246"/>
      <w:bookmarkEnd w:id="389"/>
      <w:bookmarkStart w:id="390" w:name="_Toc184310317"/>
      <w:bookmarkEnd w:id="390"/>
      <w:bookmarkStart w:id="391" w:name="_Toc184310286"/>
      <w:bookmarkEnd w:id="391"/>
      <w:r>
        <w:rPr>
          <w:rFonts w:hint="eastAsia" w:ascii="仿宋" w:hAnsi="仿宋" w:eastAsia="仿宋" w:cs="仿宋"/>
          <w:b/>
          <w:color w:val="auto"/>
          <w:sz w:val="36"/>
          <w:szCs w:val="36"/>
          <w:highlight w:val="none"/>
        </w:rPr>
        <w:t>评标办法</w:t>
      </w:r>
    </w:p>
    <w:p w14:paraId="657A1B69">
      <w:pPr>
        <w:snapToGrid w:val="0"/>
        <w:spacing w:beforeLines="100" w:afterLines="100"/>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6"/>
        <w:tblW w:w="95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5"/>
        <w:gridCol w:w="1363"/>
        <w:gridCol w:w="4880"/>
        <w:gridCol w:w="576"/>
        <w:gridCol w:w="935"/>
        <w:gridCol w:w="1261"/>
      </w:tblGrid>
      <w:tr w14:paraId="38EF5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535" w:type="dxa"/>
            <w:vAlign w:val="center"/>
          </w:tcPr>
          <w:p w14:paraId="4F4F0EA3">
            <w:pPr>
              <w:snapToGrid w:val="0"/>
              <w:jc w:val="center"/>
              <w:rPr>
                <w:rFonts w:hint="eastAsia" w:ascii="仿宋" w:hAnsi="仿宋" w:eastAsia="仿宋" w:cs="仿宋"/>
                <w:bCs/>
                <w:color w:val="auto"/>
                <w:sz w:val="18"/>
                <w:szCs w:val="18"/>
                <w:highlight w:val="none"/>
              </w:rPr>
            </w:pPr>
            <w:r>
              <w:rPr>
                <w:rFonts w:hint="eastAsia" w:ascii="仿宋" w:hAnsi="仿宋" w:eastAsia="仿宋" w:cs="仿宋"/>
                <w:bCs/>
                <w:color w:val="auto"/>
                <w:sz w:val="18"/>
                <w:szCs w:val="18"/>
                <w:highlight w:val="none"/>
              </w:rPr>
              <w:t>序号</w:t>
            </w:r>
          </w:p>
        </w:tc>
        <w:tc>
          <w:tcPr>
            <w:tcW w:w="1363" w:type="dxa"/>
            <w:vAlign w:val="center"/>
          </w:tcPr>
          <w:p w14:paraId="148647D2">
            <w:pPr>
              <w:snapToGrid w:val="0"/>
              <w:jc w:val="center"/>
              <w:rPr>
                <w:rFonts w:hint="eastAsia" w:ascii="仿宋" w:hAnsi="仿宋" w:eastAsia="仿宋" w:cs="仿宋"/>
                <w:bCs/>
                <w:color w:val="auto"/>
                <w:sz w:val="18"/>
                <w:szCs w:val="18"/>
                <w:highlight w:val="none"/>
              </w:rPr>
            </w:pPr>
            <w:r>
              <w:rPr>
                <w:rFonts w:hint="eastAsia" w:ascii="仿宋" w:hAnsi="仿宋" w:eastAsia="仿宋" w:cs="仿宋"/>
                <w:bCs/>
                <w:color w:val="auto"/>
                <w:sz w:val="18"/>
                <w:szCs w:val="18"/>
                <w:highlight w:val="none"/>
              </w:rPr>
              <w:t>评分内容</w:t>
            </w:r>
          </w:p>
        </w:tc>
        <w:tc>
          <w:tcPr>
            <w:tcW w:w="4880" w:type="dxa"/>
            <w:vAlign w:val="center"/>
          </w:tcPr>
          <w:p w14:paraId="115C117F">
            <w:pPr>
              <w:snapToGrid w:val="0"/>
              <w:jc w:val="center"/>
              <w:rPr>
                <w:rFonts w:hint="eastAsia" w:ascii="仿宋" w:hAnsi="仿宋" w:eastAsia="仿宋" w:cs="仿宋"/>
                <w:bCs/>
                <w:color w:val="auto"/>
                <w:sz w:val="18"/>
                <w:szCs w:val="18"/>
                <w:highlight w:val="none"/>
              </w:rPr>
            </w:pPr>
            <w:r>
              <w:rPr>
                <w:rFonts w:hint="eastAsia" w:ascii="仿宋" w:hAnsi="仿宋" w:eastAsia="仿宋" w:cs="仿宋"/>
                <w:bCs/>
                <w:color w:val="auto"/>
                <w:sz w:val="18"/>
                <w:szCs w:val="18"/>
                <w:highlight w:val="none"/>
              </w:rPr>
              <w:t>评标标准</w:t>
            </w:r>
          </w:p>
        </w:tc>
        <w:tc>
          <w:tcPr>
            <w:tcW w:w="576" w:type="dxa"/>
            <w:vAlign w:val="center"/>
          </w:tcPr>
          <w:p w14:paraId="777A8B58">
            <w:pPr>
              <w:snapToGrid w:val="0"/>
              <w:jc w:val="center"/>
              <w:rPr>
                <w:rFonts w:hint="eastAsia" w:ascii="仿宋" w:hAnsi="仿宋" w:eastAsia="仿宋" w:cs="仿宋"/>
                <w:bCs/>
                <w:color w:val="auto"/>
                <w:sz w:val="18"/>
                <w:szCs w:val="18"/>
                <w:highlight w:val="none"/>
              </w:rPr>
            </w:pPr>
            <w:r>
              <w:rPr>
                <w:rFonts w:hint="eastAsia" w:ascii="仿宋" w:hAnsi="仿宋" w:eastAsia="仿宋" w:cs="仿宋"/>
                <w:bCs/>
                <w:color w:val="auto"/>
                <w:sz w:val="18"/>
                <w:szCs w:val="18"/>
                <w:highlight w:val="none"/>
              </w:rPr>
              <w:t>权值</w:t>
            </w:r>
          </w:p>
        </w:tc>
        <w:tc>
          <w:tcPr>
            <w:tcW w:w="935" w:type="dxa"/>
            <w:vAlign w:val="center"/>
          </w:tcPr>
          <w:p w14:paraId="6029ACED">
            <w:pPr>
              <w:snapToGrid w:val="0"/>
              <w:jc w:val="center"/>
              <w:rPr>
                <w:rFonts w:hint="eastAsia" w:ascii="仿宋" w:hAnsi="仿宋" w:eastAsia="仿宋" w:cs="仿宋"/>
                <w:bCs/>
                <w:color w:val="auto"/>
                <w:sz w:val="18"/>
                <w:szCs w:val="18"/>
                <w:highlight w:val="none"/>
              </w:rPr>
            </w:pPr>
            <w:r>
              <w:rPr>
                <w:rFonts w:hint="eastAsia" w:ascii="仿宋" w:hAnsi="仿宋" w:eastAsia="仿宋" w:cs="仿宋"/>
                <w:bCs/>
                <w:color w:val="auto"/>
                <w:sz w:val="18"/>
                <w:szCs w:val="18"/>
                <w:highlight w:val="none"/>
              </w:rPr>
              <w:t>主观分/客观分属性</w:t>
            </w:r>
          </w:p>
        </w:tc>
        <w:tc>
          <w:tcPr>
            <w:tcW w:w="1261" w:type="dxa"/>
            <w:vAlign w:val="center"/>
          </w:tcPr>
          <w:p w14:paraId="0A38CB61">
            <w:pPr>
              <w:snapToGrid w:val="0"/>
              <w:jc w:val="center"/>
              <w:rPr>
                <w:rFonts w:hint="eastAsia" w:ascii="仿宋" w:hAnsi="仿宋" w:eastAsia="仿宋" w:cs="仿宋"/>
                <w:bCs/>
                <w:color w:val="auto"/>
                <w:sz w:val="18"/>
                <w:szCs w:val="18"/>
                <w:highlight w:val="none"/>
              </w:rPr>
            </w:pPr>
            <w:r>
              <w:rPr>
                <w:rFonts w:hint="eastAsia" w:ascii="仿宋" w:hAnsi="仿宋" w:eastAsia="仿宋" w:cs="仿宋"/>
                <w:bCs/>
                <w:color w:val="auto"/>
                <w:sz w:val="18"/>
                <w:szCs w:val="18"/>
                <w:highlight w:val="none"/>
              </w:rPr>
              <w:t>投标文件中评标标准相应的商务技术资料目录</w:t>
            </w:r>
          </w:p>
        </w:tc>
      </w:tr>
      <w:tr w14:paraId="56720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75D096ED">
            <w:pPr>
              <w:snapToGrid w:val="0"/>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w:t>
            </w:r>
          </w:p>
        </w:tc>
        <w:tc>
          <w:tcPr>
            <w:tcW w:w="1363" w:type="dxa"/>
            <w:vAlign w:val="center"/>
          </w:tcPr>
          <w:p w14:paraId="0498EAC9">
            <w:pPr>
              <w:snapToGrid w:val="0"/>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业绩</w:t>
            </w:r>
          </w:p>
        </w:tc>
        <w:tc>
          <w:tcPr>
            <w:tcW w:w="4880" w:type="dxa"/>
            <w:vAlign w:val="center"/>
          </w:tcPr>
          <w:p w14:paraId="36106912">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投标人自202</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年</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月</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日以来承担类似保安服务项目的经验情况，每提供一个合同得0.5分，最高得1分。</w:t>
            </w:r>
          </w:p>
          <w:p w14:paraId="096C90B4">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注：提供合同</w:t>
            </w:r>
            <w:r>
              <w:rPr>
                <w:rFonts w:hint="eastAsia" w:ascii="仿宋" w:hAnsi="仿宋" w:eastAsia="仿宋" w:cs="仿宋"/>
                <w:color w:val="auto"/>
                <w:sz w:val="18"/>
                <w:szCs w:val="18"/>
                <w:highlight w:val="none"/>
                <w:lang w:val="en-US" w:eastAsia="zh-CN"/>
              </w:rPr>
              <w:t>复印件</w:t>
            </w:r>
            <w:r>
              <w:rPr>
                <w:rFonts w:hint="eastAsia" w:ascii="仿宋" w:hAnsi="仿宋" w:eastAsia="仿宋" w:cs="仿宋"/>
                <w:color w:val="auto"/>
                <w:sz w:val="18"/>
                <w:szCs w:val="18"/>
                <w:highlight w:val="none"/>
              </w:rPr>
              <w:t>加盖公章，时间以合同签订的时间为准。</w:t>
            </w:r>
          </w:p>
        </w:tc>
        <w:tc>
          <w:tcPr>
            <w:tcW w:w="576" w:type="dxa"/>
            <w:vAlign w:val="center"/>
          </w:tcPr>
          <w:p w14:paraId="5C07A059">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w:t>
            </w:r>
          </w:p>
        </w:tc>
        <w:tc>
          <w:tcPr>
            <w:tcW w:w="935" w:type="dxa"/>
            <w:vAlign w:val="center"/>
          </w:tcPr>
          <w:p w14:paraId="7D344FFF">
            <w:pPr>
              <w:widowControl/>
              <w:snapToGrid w:val="0"/>
              <w:spacing w:line="340" w:lineRule="exact"/>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客观分</w:t>
            </w:r>
          </w:p>
        </w:tc>
        <w:tc>
          <w:tcPr>
            <w:tcW w:w="1261" w:type="dxa"/>
            <w:vAlign w:val="center"/>
          </w:tcPr>
          <w:p w14:paraId="74226A3D">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0B17D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3DBA551D">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2</w:t>
            </w:r>
          </w:p>
        </w:tc>
        <w:tc>
          <w:tcPr>
            <w:tcW w:w="1363" w:type="dxa"/>
            <w:vAlign w:val="center"/>
          </w:tcPr>
          <w:p w14:paraId="7E72BC2C">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企业荣誉</w:t>
            </w:r>
          </w:p>
        </w:tc>
        <w:tc>
          <w:tcPr>
            <w:tcW w:w="4880" w:type="dxa"/>
            <w:vAlign w:val="center"/>
          </w:tcPr>
          <w:p w14:paraId="297B8FCF">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投标人获得有效的质量管理体系认证得1分；有效的职业健康安全管理体系认证的得1分。最高2分。</w:t>
            </w:r>
          </w:p>
          <w:p w14:paraId="41F52DCE">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注：</w:t>
            </w:r>
            <w:r>
              <w:rPr>
                <w:rFonts w:hint="eastAsia" w:ascii="仿宋" w:hAnsi="仿宋" w:eastAsia="仿宋" w:cs="仿宋"/>
                <w:color w:val="auto"/>
                <w:sz w:val="18"/>
                <w:szCs w:val="18"/>
                <w:highlight w:val="none"/>
              </w:rPr>
              <w:t>有效证明材料</w:t>
            </w:r>
            <w:r>
              <w:rPr>
                <w:rFonts w:hint="eastAsia" w:ascii="仿宋" w:hAnsi="仿宋" w:eastAsia="仿宋" w:cs="仿宋"/>
                <w:color w:val="auto"/>
                <w:sz w:val="18"/>
                <w:szCs w:val="18"/>
                <w:highlight w:val="none"/>
                <w:lang w:val="en-US" w:eastAsia="zh-CN"/>
              </w:rPr>
              <w:t>指</w:t>
            </w:r>
            <w:r>
              <w:rPr>
                <w:rFonts w:hint="eastAsia" w:ascii="仿宋" w:hAnsi="仿宋" w:eastAsia="仿宋" w:cs="仿宋"/>
                <w:color w:val="auto"/>
                <w:sz w:val="18"/>
                <w:szCs w:val="18"/>
                <w:highlight w:val="none"/>
              </w:rPr>
              <w:t>认证证书复印件附加盖公章及须在全国认证认可信息公共服务平台（</w:t>
            </w:r>
            <w:r>
              <w:rPr>
                <w:rFonts w:hint="eastAsia" w:ascii="仿宋" w:hAnsi="仿宋" w:eastAsia="仿宋" w:cs="仿宋"/>
                <w:color w:val="auto"/>
                <w:sz w:val="18"/>
                <w:szCs w:val="18"/>
                <w:highlight w:val="none"/>
                <w:lang w:eastAsia="zh-CN"/>
              </w:rPr>
              <w:t>http://cx.cnca.cn/CertECloud/index/index/page</w:t>
            </w:r>
            <w:r>
              <w:rPr>
                <w:rFonts w:hint="eastAsia" w:ascii="仿宋" w:hAnsi="仿宋" w:eastAsia="仿宋" w:cs="仿宋"/>
                <w:color w:val="auto"/>
                <w:sz w:val="18"/>
                <w:szCs w:val="18"/>
                <w:highlight w:val="none"/>
              </w:rPr>
              <w:t>）查询截图</w:t>
            </w:r>
            <w:r>
              <w:rPr>
                <w:rFonts w:hint="eastAsia" w:ascii="仿宋" w:hAnsi="仿宋" w:eastAsia="仿宋" w:cs="仿宋"/>
                <w:color w:val="auto"/>
                <w:sz w:val="18"/>
                <w:szCs w:val="18"/>
                <w:highlight w:val="none"/>
                <w:lang w:eastAsia="zh-CN"/>
              </w:rPr>
              <w:t>。</w:t>
            </w:r>
          </w:p>
        </w:tc>
        <w:tc>
          <w:tcPr>
            <w:tcW w:w="576" w:type="dxa"/>
            <w:vAlign w:val="center"/>
          </w:tcPr>
          <w:p w14:paraId="4846E191">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2</w:t>
            </w:r>
          </w:p>
        </w:tc>
        <w:tc>
          <w:tcPr>
            <w:tcW w:w="935" w:type="dxa"/>
            <w:vAlign w:val="center"/>
          </w:tcPr>
          <w:p w14:paraId="621DE50E">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客观分</w:t>
            </w:r>
          </w:p>
        </w:tc>
        <w:tc>
          <w:tcPr>
            <w:tcW w:w="1261" w:type="dxa"/>
            <w:vAlign w:val="center"/>
          </w:tcPr>
          <w:p w14:paraId="281D318B">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10508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0AEED1F2">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363" w:type="dxa"/>
            <w:vAlign w:val="center"/>
          </w:tcPr>
          <w:p w14:paraId="40531EE2">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投标方案</w:t>
            </w:r>
          </w:p>
        </w:tc>
        <w:tc>
          <w:tcPr>
            <w:tcW w:w="4880" w:type="dxa"/>
            <w:vAlign w:val="center"/>
          </w:tcPr>
          <w:p w14:paraId="4EBF7ED4">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投标方案与采购需求的吻合程度，应答是否详尽、明晰，是否满足招标文件要求；内容是否完整齐全、表述准确、条理清晰，内容无前后矛盾，符合招标文件要求。对需求表述完整、分析到位，符合需求的得3分；较符合需求的得2分；符合程度低的得1分；不合理不得分。</w:t>
            </w:r>
          </w:p>
          <w:p w14:paraId="2016D3E8">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注：</w:t>
            </w:r>
            <w:r>
              <w:rPr>
                <w:rFonts w:hint="eastAsia" w:ascii="仿宋" w:hAnsi="仿宋" w:eastAsia="仿宋" w:cs="仿宋"/>
                <w:color w:val="auto"/>
                <w:sz w:val="18"/>
                <w:szCs w:val="18"/>
                <w:highlight w:val="none"/>
              </w:rPr>
              <w:t>评委自主评分，分值 3、2、1、0</w:t>
            </w:r>
            <w:r>
              <w:rPr>
                <w:rFonts w:hint="eastAsia" w:ascii="仿宋" w:hAnsi="仿宋" w:eastAsia="仿宋" w:cs="仿宋"/>
                <w:color w:val="auto"/>
                <w:sz w:val="18"/>
                <w:szCs w:val="18"/>
                <w:highlight w:val="none"/>
                <w:lang w:eastAsia="zh-CN"/>
              </w:rPr>
              <w:t>。</w:t>
            </w:r>
          </w:p>
        </w:tc>
        <w:tc>
          <w:tcPr>
            <w:tcW w:w="576" w:type="dxa"/>
            <w:vAlign w:val="center"/>
          </w:tcPr>
          <w:p w14:paraId="25DB5223">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935" w:type="dxa"/>
            <w:vAlign w:val="center"/>
          </w:tcPr>
          <w:p w14:paraId="453697D8">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主观分</w:t>
            </w:r>
          </w:p>
        </w:tc>
        <w:tc>
          <w:tcPr>
            <w:tcW w:w="1261" w:type="dxa"/>
            <w:vAlign w:val="center"/>
          </w:tcPr>
          <w:p w14:paraId="7CD5C327">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69D19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jc w:val="center"/>
        </w:trPr>
        <w:tc>
          <w:tcPr>
            <w:tcW w:w="535" w:type="dxa"/>
            <w:vAlign w:val="center"/>
          </w:tcPr>
          <w:p w14:paraId="2CB1EF1F">
            <w:pPr>
              <w:snapToGrid w:val="0"/>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4</w:t>
            </w:r>
          </w:p>
        </w:tc>
        <w:tc>
          <w:tcPr>
            <w:tcW w:w="1363" w:type="dxa"/>
            <w:vAlign w:val="center"/>
          </w:tcPr>
          <w:p w14:paraId="3278C643">
            <w:pPr>
              <w:snapToGrid w:val="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组织架构及难点、要点分析</w:t>
            </w:r>
          </w:p>
        </w:tc>
        <w:tc>
          <w:tcPr>
            <w:tcW w:w="4880" w:type="dxa"/>
            <w:vAlign w:val="center"/>
          </w:tcPr>
          <w:p w14:paraId="150550E9">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投标方案针对本项目的组织架构、管理机制包括对运作流程图、激励机制、监督机制、自我约束机制、信息反馈渠道及处理机制具有合理操作性且符合实际需求的； 符合需求、针对性强的得3分；较符合需求的得2分；符合程度低的得1分；不合理不得分。</w:t>
            </w:r>
          </w:p>
          <w:p w14:paraId="7855A8B2">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注：</w:t>
            </w:r>
            <w:r>
              <w:rPr>
                <w:rFonts w:hint="eastAsia" w:ascii="仿宋" w:hAnsi="仿宋" w:eastAsia="仿宋" w:cs="仿宋"/>
                <w:color w:val="auto"/>
                <w:sz w:val="18"/>
                <w:szCs w:val="18"/>
                <w:highlight w:val="none"/>
              </w:rPr>
              <w:t>评委自主评分，分值 3、2、1、0</w:t>
            </w:r>
            <w:r>
              <w:rPr>
                <w:rFonts w:hint="eastAsia" w:ascii="仿宋" w:hAnsi="仿宋" w:eastAsia="仿宋" w:cs="仿宋"/>
                <w:color w:val="auto"/>
                <w:sz w:val="18"/>
                <w:szCs w:val="18"/>
                <w:highlight w:val="none"/>
                <w:lang w:eastAsia="zh-CN"/>
              </w:rPr>
              <w:t>。</w:t>
            </w:r>
          </w:p>
          <w:p w14:paraId="11628295">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投标人对项目现状、存在的问题和保安服务的难点、要点等问题以及突发事件的应急措施进行调查剖析，并针对性的提出克服难点和要点技术措施。符合需求、针对性强的得3分； 较符合需求的得2分；符合程度低的得1分； 不合理不得分。</w:t>
            </w:r>
          </w:p>
          <w:p w14:paraId="4C6C1AFD">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注：</w:t>
            </w:r>
            <w:r>
              <w:rPr>
                <w:rFonts w:hint="eastAsia" w:ascii="仿宋" w:hAnsi="仿宋" w:eastAsia="仿宋" w:cs="仿宋"/>
                <w:color w:val="auto"/>
                <w:sz w:val="18"/>
                <w:szCs w:val="18"/>
                <w:highlight w:val="none"/>
              </w:rPr>
              <w:t>评委自主评分，分值 3、2、1、0</w:t>
            </w:r>
            <w:r>
              <w:rPr>
                <w:rFonts w:hint="eastAsia" w:ascii="仿宋" w:hAnsi="仿宋" w:eastAsia="仿宋" w:cs="仿宋"/>
                <w:color w:val="auto"/>
                <w:sz w:val="18"/>
                <w:szCs w:val="18"/>
                <w:highlight w:val="none"/>
                <w:lang w:eastAsia="zh-CN"/>
              </w:rPr>
              <w:t>。</w:t>
            </w:r>
          </w:p>
        </w:tc>
        <w:tc>
          <w:tcPr>
            <w:tcW w:w="576" w:type="dxa"/>
            <w:vAlign w:val="center"/>
          </w:tcPr>
          <w:p w14:paraId="47A08F0E">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6</w:t>
            </w:r>
          </w:p>
        </w:tc>
        <w:tc>
          <w:tcPr>
            <w:tcW w:w="935" w:type="dxa"/>
            <w:vAlign w:val="center"/>
          </w:tcPr>
          <w:p w14:paraId="15217E4E">
            <w:pPr>
              <w:widowControl/>
              <w:snapToGrid w:val="0"/>
              <w:spacing w:line="340" w:lineRule="exact"/>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主观分</w:t>
            </w:r>
          </w:p>
        </w:tc>
        <w:tc>
          <w:tcPr>
            <w:tcW w:w="1261" w:type="dxa"/>
            <w:vAlign w:val="center"/>
          </w:tcPr>
          <w:p w14:paraId="0A6A2321">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71742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jc w:val="center"/>
        </w:trPr>
        <w:tc>
          <w:tcPr>
            <w:tcW w:w="535" w:type="dxa"/>
            <w:vAlign w:val="center"/>
          </w:tcPr>
          <w:p w14:paraId="46F00123">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5</w:t>
            </w:r>
          </w:p>
        </w:tc>
        <w:tc>
          <w:tcPr>
            <w:tcW w:w="1363" w:type="dxa"/>
            <w:vAlign w:val="center"/>
          </w:tcPr>
          <w:p w14:paraId="61FBD108">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管理制度</w:t>
            </w:r>
          </w:p>
        </w:tc>
        <w:tc>
          <w:tcPr>
            <w:tcW w:w="4880" w:type="dxa"/>
            <w:vAlign w:val="center"/>
          </w:tcPr>
          <w:p w14:paraId="579FD505">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投标人制定的《保安工作人员职责》、《保安交接班制度》、《保安队伍例会制度》、《保安员义务消防队方案》、《保安员等级考核管理制度》、《队伍绩效考核管理》、《队伍奖惩制度》、《保安员等级考核管理制度》考核等规章制度是否符合要求。每项制度符合采购需求得 1分，较符合需求的得0.5分；符合程度低的不得分。（本项最多得8分）</w:t>
            </w:r>
          </w:p>
          <w:p w14:paraId="1F2B6A4D">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（2）供应商建立规范的人力资源管理体系情况。（1分）；</w:t>
            </w:r>
          </w:p>
          <w:p w14:paraId="5AE662EF">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（3）内部管理制度和员工考核管理办法等设定的科学、合理和有效性， 制订切实可行的考核办法情况。（1分）；</w:t>
            </w:r>
          </w:p>
          <w:p w14:paraId="63313B79">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（4）制订针对考核结果的补救措施和奖励办法的情况；（1分）；</w:t>
            </w:r>
          </w:p>
          <w:p w14:paraId="44EC2A75">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（5）建立专门成立的考核组织进行内部考核的情况；（1分）；</w:t>
            </w:r>
          </w:p>
          <w:p w14:paraId="1BA302A1">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（6）建立和完善档案管理制度等，体现标准化服务情况（1分）；</w:t>
            </w:r>
          </w:p>
          <w:p w14:paraId="62901036">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（7）建立激励机制的科学、合理和有效性情况（1分）；</w:t>
            </w:r>
          </w:p>
          <w:p w14:paraId="3484E6FF">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（8）保安服务标准，且与服务对象和环境相适应的情况（1分）；</w:t>
            </w:r>
          </w:p>
        </w:tc>
        <w:tc>
          <w:tcPr>
            <w:tcW w:w="576" w:type="dxa"/>
            <w:vAlign w:val="center"/>
          </w:tcPr>
          <w:p w14:paraId="4714E2E4">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15</w:t>
            </w:r>
          </w:p>
        </w:tc>
        <w:tc>
          <w:tcPr>
            <w:tcW w:w="935" w:type="dxa"/>
            <w:vAlign w:val="center"/>
          </w:tcPr>
          <w:p w14:paraId="2E6E2C84">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主观分</w:t>
            </w:r>
          </w:p>
        </w:tc>
        <w:tc>
          <w:tcPr>
            <w:tcW w:w="1261" w:type="dxa"/>
            <w:vAlign w:val="center"/>
          </w:tcPr>
          <w:p w14:paraId="49C5155F">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27106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08020378">
            <w:pPr>
              <w:snapToGrid w:val="0"/>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6</w:t>
            </w:r>
          </w:p>
        </w:tc>
        <w:tc>
          <w:tcPr>
            <w:tcW w:w="1363" w:type="dxa"/>
            <w:vAlign w:val="center"/>
          </w:tcPr>
          <w:p w14:paraId="0383F79C">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项目负责人</w:t>
            </w:r>
          </w:p>
        </w:tc>
        <w:tc>
          <w:tcPr>
            <w:tcW w:w="4880" w:type="dxa"/>
            <w:vAlign w:val="center"/>
          </w:tcPr>
          <w:p w14:paraId="04458708">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拟投入的项目负责人（保安队长）：年龄</w:t>
            </w:r>
            <w:r>
              <w:rPr>
                <w:rFonts w:hint="eastAsia" w:ascii="仿宋" w:hAnsi="仿宋" w:eastAsia="仿宋" w:cs="仿宋"/>
                <w:color w:val="auto"/>
                <w:sz w:val="18"/>
                <w:szCs w:val="18"/>
                <w:highlight w:val="none"/>
                <w:lang w:val="en-US" w:eastAsia="zh-CN"/>
              </w:rPr>
              <w:t>50</w:t>
            </w:r>
            <w:r>
              <w:rPr>
                <w:rFonts w:hint="eastAsia" w:ascii="仿宋" w:hAnsi="仿宋" w:eastAsia="仿宋" w:cs="仿宋"/>
                <w:color w:val="auto"/>
                <w:sz w:val="18"/>
                <w:szCs w:val="18"/>
                <w:highlight w:val="none"/>
              </w:rPr>
              <w:t>周岁（含）以下的，得1分；提供确保100%到位的承诺的得1分；具有职业资格为保安员（二级/技师及以上）的得2分；具有本科（含）以上文化程度的2分；为退伍军人的得2分</w:t>
            </w:r>
            <w:r>
              <w:rPr>
                <w:rFonts w:hint="eastAsia" w:ascii="仿宋" w:hAnsi="仿宋" w:eastAsia="仿宋" w:cs="仿宋"/>
                <w:color w:val="auto"/>
                <w:sz w:val="18"/>
                <w:szCs w:val="18"/>
                <w:highlight w:val="none"/>
                <w:lang w:eastAsia="zh-CN"/>
              </w:rPr>
              <w:t>。</w:t>
            </w:r>
          </w:p>
          <w:p w14:paraId="5C0E2B49">
            <w:pPr>
              <w:widowControl/>
              <w:snapToGrid w:val="0"/>
              <w:spacing w:line="340" w:lineRule="exact"/>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rPr>
              <w:t>注：提供有效的相关证明材料及近3个月任一期社保证明</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军队退休干部提供返聘合同</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否则该项不得分。</w:t>
            </w:r>
          </w:p>
        </w:tc>
        <w:tc>
          <w:tcPr>
            <w:tcW w:w="576" w:type="dxa"/>
            <w:vAlign w:val="center"/>
          </w:tcPr>
          <w:p w14:paraId="72C0EF9A">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8</w:t>
            </w:r>
          </w:p>
        </w:tc>
        <w:tc>
          <w:tcPr>
            <w:tcW w:w="935" w:type="dxa"/>
            <w:vAlign w:val="center"/>
          </w:tcPr>
          <w:p w14:paraId="7A12BB72">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客观分</w:t>
            </w:r>
          </w:p>
        </w:tc>
        <w:tc>
          <w:tcPr>
            <w:tcW w:w="1261" w:type="dxa"/>
            <w:vAlign w:val="center"/>
          </w:tcPr>
          <w:p w14:paraId="7C5B9FC5">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03700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59D4069C">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7</w:t>
            </w:r>
          </w:p>
        </w:tc>
        <w:tc>
          <w:tcPr>
            <w:tcW w:w="1363" w:type="dxa"/>
            <w:vAlign w:val="center"/>
          </w:tcPr>
          <w:p w14:paraId="71A785D4">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人员配置</w:t>
            </w:r>
          </w:p>
        </w:tc>
        <w:tc>
          <w:tcPr>
            <w:tcW w:w="4880" w:type="dxa"/>
            <w:vAlign w:val="center"/>
          </w:tcPr>
          <w:p w14:paraId="1619A148">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投标人针对本项目的公司人员配置</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不包括项目负责人</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（28分）：</w:t>
            </w:r>
          </w:p>
          <w:p w14:paraId="23B05AC9">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拟派本项目保安人员拥有保安员证书，每个得</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分，最高得</w:t>
            </w:r>
            <w:r>
              <w:rPr>
                <w:rFonts w:hint="eastAsia" w:ascii="仿宋" w:hAnsi="仿宋" w:eastAsia="仿宋" w:cs="仿宋"/>
                <w:color w:val="auto"/>
                <w:sz w:val="18"/>
                <w:szCs w:val="18"/>
                <w:highlight w:val="none"/>
                <w:lang w:val="en-US" w:eastAsia="zh-CN"/>
              </w:rPr>
              <w:t>7</w:t>
            </w:r>
            <w:r>
              <w:rPr>
                <w:rFonts w:hint="eastAsia" w:ascii="仿宋" w:hAnsi="仿宋" w:eastAsia="仿宋" w:cs="仿宋"/>
                <w:color w:val="auto"/>
                <w:sz w:val="18"/>
                <w:szCs w:val="18"/>
                <w:highlight w:val="none"/>
              </w:rPr>
              <w:t>分（</w:t>
            </w:r>
            <w:r>
              <w:rPr>
                <w:rFonts w:hint="eastAsia" w:ascii="仿宋" w:hAnsi="仿宋" w:eastAsia="仿宋" w:cs="仿宋"/>
                <w:color w:val="auto"/>
                <w:sz w:val="18"/>
                <w:szCs w:val="18"/>
                <w:highlight w:val="none"/>
                <w:lang w:val="en-US" w:eastAsia="zh-CN"/>
              </w:rPr>
              <w:t>7</w:t>
            </w:r>
            <w:r>
              <w:rPr>
                <w:rFonts w:hint="eastAsia" w:ascii="仿宋" w:hAnsi="仿宋" w:eastAsia="仿宋" w:cs="仿宋"/>
                <w:color w:val="auto"/>
                <w:sz w:val="18"/>
                <w:szCs w:val="18"/>
                <w:highlight w:val="none"/>
              </w:rPr>
              <w:t>分）（以提供的</w:t>
            </w:r>
            <w:r>
              <w:rPr>
                <w:rFonts w:hint="eastAsia" w:ascii="仿宋" w:hAnsi="仿宋" w:eastAsia="仿宋" w:cs="仿宋"/>
                <w:color w:val="auto"/>
                <w:sz w:val="18"/>
                <w:szCs w:val="18"/>
                <w:highlight w:val="none"/>
                <w:lang w:val="en-US" w:eastAsia="zh-CN"/>
              </w:rPr>
              <w:t>证书复印件加盖公章</w:t>
            </w:r>
            <w:r>
              <w:rPr>
                <w:rFonts w:hint="eastAsia" w:ascii="仿宋" w:hAnsi="仿宋" w:eastAsia="仿宋" w:cs="仿宋"/>
                <w:color w:val="auto"/>
                <w:sz w:val="18"/>
                <w:szCs w:val="18"/>
                <w:highlight w:val="none"/>
              </w:rPr>
              <w:t>为准）；</w:t>
            </w:r>
          </w:p>
          <w:p w14:paraId="44D95867">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拟派本项目保安人员中有退伍军人的</w:t>
            </w:r>
            <w:r>
              <w:rPr>
                <w:rFonts w:hint="eastAsia" w:ascii="仿宋" w:hAnsi="仿宋" w:eastAsia="仿宋" w:cs="仿宋"/>
                <w:color w:val="auto"/>
                <w:sz w:val="18"/>
                <w:szCs w:val="18"/>
                <w:highlight w:val="none"/>
                <w:lang w:val="en-US" w:eastAsia="zh-CN"/>
              </w:rPr>
              <w:t>每人</w:t>
            </w:r>
            <w:r>
              <w:rPr>
                <w:rFonts w:hint="eastAsia" w:ascii="仿宋" w:hAnsi="仿宋" w:eastAsia="仿宋" w:cs="仿宋"/>
                <w:color w:val="auto"/>
                <w:sz w:val="18"/>
                <w:szCs w:val="18"/>
                <w:highlight w:val="none"/>
              </w:rPr>
              <w:t>得</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最高3分（3分）；（以提供的退伍证</w:t>
            </w:r>
            <w:r>
              <w:rPr>
                <w:rFonts w:hint="eastAsia" w:ascii="仿宋" w:hAnsi="仿宋" w:eastAsia="仿宋" w:cs="仿宋"/>
                <w:color w:val="auto"/>
                <w:sz w:val="18"/>
                <w:szCs w:val="18"/>
                <w:highlight w:val="none"/>
                <w:lang w:val="en-US" w:eastAsia="zh-CN"/>
              </w:rPr>
              <w:t>复印件加盖公章</w:t>
            </w:r>
            <w:r>
              <w:rPr>
                <w:rFonts w:hint="eastAsia" w:ascii="仿宋" w:hAnsi="仿宋" w:eastAsia="仿宋" w:cs="仿宋"/>
                <w:color w:val="auto"/>
                <w:sz w:val="18"/>
                <w:szCs w:val="18"/>
                <w:highlight w:val="none"/>
              </w:rPr>
              <w:t>为准）</w:t>
            </w:r>
          </w:p>
          <w:p w14:paraId="5A917465">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投标人是否承诺为所有项目组成员购买“五险”和意外险。承诺的得2分，未承诺的不得分。在投标文件中提供承诺书证明材料；</w:t>
            </w:r>
          </w:p>
          <w:p w14:paraId="5D2A0B43">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4</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投标人是否承诺项目组人员扣除“五险”和意外险后的月均实际收入不低于当年</w:t>
            </w:r>
            <w:r>
              <w:rPr>
                <w:rFonts w:hint="eastAsia" w:ascii="仿宋" w:hAnsi="仿宋" w:eastAsia="仿宋" w:cs="仿宋"/>
                <w:color w:val="auto"/>
                <w:sz w:val="18"/>
                <w:szCs w:val="18"/>
                <w:highlight w:val="none"/>
                <w:lang w:val="en-US" w:eastAsia="zh-CN"/>
              </w:rPr>
              <w:t>嘉兴</w:t>
            </w:r>
            <w:r>
              <w:rPr>
                <w:rFonts w:hint="eastAsia" w:ascii="仿宋" w:hAnsi="仿宋" w:eastAsia="仿宋" w:cs="仿宋"/>
                <w:color w:val="auto"/>
                <w:sz w:val="18"/>
                <w:szCs w:val="18"/>
                <w:highlight w:val="none"/>
              </w:rPr>
              <w:t>市最低工资标准数额。承诺的得2分，未承诺不得分。在投标文件中提供承诺书证明材料；</w:t>
            </w:r>
          </w:p>
          <w:p w14:paraId="13C155E4">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5</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投标人承诺中标后在服务过程中，因保安人过失造成第三方人员人身伤亡或财产损失的， 投标人负责处理及赔偿事宜的，得2分。</w:t>
            </w:r>
          </w:p>
          <w:p w14:paraId="6B2AF554">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6</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投标人</w:t>
            </w:r>
            <w:r>
              <w:rPr>
                <w:rFonts w:hint="eastAsia" w:ascii="仿宋" w:hAnsi="仿宋" w:eastAsia="仿宋" w:cs="仿宋"/>
                <w:color w:val="auto"/>
                <w:sz w:val="18"/>
                <w:szCs w:val="18"/>
                <w:highlight w:val="none"/>
              </w:rPr>
              <w:t>承诺保安人员每周工作时间满足需求及符合劳动法相关规定的得2分；</w:t>
            </w:r>
          </w:p>
          <w:p w14:paraId="64085E50">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7</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投标人</w:t>
            </w:r>
            <w:r>
              <w:rPr>
                <w:rFonts w:hint="eastAsia" w:ascii="仿宋" w:hAnsi="仿宋" w:eastAsia="仿宋" w:cs="仿宋"/>
                <w:color w:val="auto"/>
                <w:sz w:val="18"/>
                <w:szCs w:val="18"/>
                <w:highlight w:val="none"/>
              </w:rPr>
              <w:t>承诺如遇人员临时换岗调整，公司能及时安排人员到岗执勤的得2分；</w:t>
            </w:r>
          </w:p>
          <w:p w14:paraId="5A42EDFB">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8</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投标人</w:t>
            </w:r>
            <w:r>
              <w:rPr>
                <w:rFonts w:hint="eastAsia" w:ascii="仿宋" w:hAnsi="仿宋" w:eastAsia="仿宋" w:cs="仿宋"/>
                <w:color w:val="auto"/>
                <w:sz w:val="18"/>
                <w:szCs w:val="18"/>
                <w:highlight w:val="none"/>
              </w:rPr>
              <w:t>承诺保安队长每天向采购人提交保安人员签到情况，各具体岗位安排的人员名单，执勤班次时长的得2分；</w:t>
            </w:r>
          </w:p>
          <w:p w14:paraId="01E1488D">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9</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提供针对本项目稳定员工队伍的措施的得2分；</w:t>
            </w:r>
          </w:p>
          <w:p w14:paraId="72D2F70F">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10</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投标人</w:t>
            </w:r>
            <w:r>
              <w:rPr>
                <w:rFonts w:hint="eastAsia" w:ascii="仿宋" w:hAnsi="仿宋" w:eastAsia="仿宋" w:cs="仿宋"/>
                <w:color w:val="auto"/>
                <w:sz w:val="18"/>
                <w:szCs w:val="18"/>
                <w:highlight w:val="none"/>
              </w:rPr>
              <w:t>承诺在特殊需要时迅速派出足够数量的增援人员的的得2分；</w:t>
            </w:r>
          </w:p>
          <w:p w14:paraId="41794FCD">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11</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投标人</w:t>
            </w:r>
            <w:r>
              <w:rPr>
                <w:rFonts w:hint="eastAsia" w:ascii="仿宋" w:hAnsi="仿宋" w:eastAsia="仿宋" w:cs="仿宋"/>
                <w:color w:val="auto"/>
                <w:sz w:val="18"/>
                <w:szCs w:val="18"/>
                <w:highlight w:val="none"/>
              </w:rPr>
              <w:t>承诺在特殊需要时迅速派出专业应急队伍、专用机动车辆的得2分</w:t>
            </w:r>
            <w:r>
              <w:rPr>
                <w:rFonts w:hint="eastAsia" w:ascii="仿宋" w:hAnsi="仿宋" w:eastAsia="仿宋" w:cs="仿宋"/>
                <w:color w:val="auto"/>
                <w:sz w:val="18"/>
                <w:szCs w:val="18"/>
                <w:highlight w:val="none"/>
                <w:lang w:eastAsia="zh-CN"/>
              </w:rPr>
              <w:t>。</w:t>
            </w:r>
          </w:p>
        </w:tc>
        <w:tc>
          <w:tcPr>
            <w:tcW w:w="576" w:type="dxa"/>
            <w:vAlign w:val="center"/>
          </w:tcPr>
          <w:p w14:paraId="7CC00E79">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28</w:t>
            </w:r>
          </w:p>
        </w:tc>
        <w:tc>
          <w:tcPr>
            <w:tcW w:w="935" w:type="dxa"/>
            <w:vAlign w:val="center"/>
          </w:tcPr>
          <w:p w14:paraId="3D3080AE">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客观分</w:t>
            </w:r>
          </w:p>
        </w:tc>
        <w:tc>
          <w:tcPr>
            <w:tcW w:w="1261" w:type="dxa"/>
            <w:vAlign w:val="center"/>
          </w:tcPr>
          <w:p w14:paraId="0665FA23">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55310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4D14C2CF">
            <w:pPr>
              <w:snapToGrid w:val="0"/>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8</w:t>
            </w:r>
          </w:p>
        </w:tc>
        <w:tc>
          <w:tcPr>
            <w:tcW w:w="1363" w:type="dxa"/>
            <w:vAlign w:val="center"/>
          </w:tcPr>
          <w:p w14:paraId="763267B5">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装备配置</w:t>
            </w:r>
          </w:p>
        </w:tc>
        <w:tc>
          <w:tcPr>
            <w:tcW w:w="4880" w:type="dxa"/>
            <w:vAlign w:val="center"/>
          </w:tcPr>
          <w:p w14:paraId="2E8E77ED">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提供的保安人员的各季节服装、防暑防雨用品配备是否完整合理。符合需求、针对性强的得2分；较符合需求的得1分；符合程度低的得0.5分；不合理不得分。</w:t>
            </w:r>
          </w:p>
          <w:p w14:paraId="40A52FCB">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注：</w:t>
            </w:r>
            <w:r>
              <w:rPr>
                <w:rFonts w:hint="eastAsia" w:ascii="仿宋" w:hAnsi="仿宋" w:eastAsia="仿宋" w:cs="仿宋"/>
                <w:color w:val="auto"/>
                <w:sz w:val="18"/>
                <w:szCs w:val="18"/>
                <w:highlight w:val="none"/>
              </w:rPr>
              <w:t>评委自主评分，分值 2、1、0.5、0</w:t>
            </w:r>
            <w:r>
              <w:rPr>
                <w:rFonts w:hint="eastAsia" w:ascii="仿宋" w:hAnsi="仿宋" w:eastAsia="仿宋" w:cs="仿宋"/>
                <w:color w:val="auto"/>
                <w:sz w:val="18"/>
                <w:szCs w:val="18"/>
                <w:highlight w:val="none"/>
                <w:lang w:eastAsia="zh-CN"/>
              </w:rPr>
              <w:t>。</w:t>
            </w:r>
          </w:p>
          <w:p w14:paraId="31F5F41B">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提供的保安人员的通讯器材、保安装备配置是否完整合理。符合需求、针对性强的得3分；较符合需求的得2分；符合程度低的得1分；不合理不得分。</w:t>
            </w:r>
          </w:p>
          <w:p w14:paraId="238F0E8F">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注：</w:t>
            </w:r>
            <w:r>
              <w:rPr>
                <w:rFonts w:hint="eastAsia" w:ascii="仿宋" w:hAnsi="仿宋" w:eastAsia="仿宋" w:cs="仿宋"/>
                <w:color w:val="auto"/>
                <w:sz w:val="18"/>
                <w:szCs w:val="18"/>
                <w:highlight w:val="none"/>
              </w:rPr>
              <w:t>评委自主评分，分值 3、2、1、0</w:t>
            </w:r>
            <w:r>
              <w:rPr>
                <w:rFonts w:hint="eastAsia" w:ascii="仿宋" w:hAnsi="仿宋" w:eastAsia="仿宋" w:cs="仿宋"/>
                <w:color w:val="auto"/>
                <w:sz w:val="18"/>
                <w:szCs w:val="18"/>
                <w:highlight w:val="none"/>
                <w:lang w:eastAsia="zh-CN"/>
              </w:rPr>
              <w:t>。</w:t>
            </w:r>
          </w:p>
        </w:tc>
        <w:tc>
          <w:tcPr>
            <w:tcW w:w="576" w:type="dxa"/>
            <w:vAlign w:val="center"/>
          </w:tcPr>
          <w:p w14:paraId="243CEEDE">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5</w:t>
            </w:r>
          </w:p>
        </w:tc>
        <w:tc>
          <w:tcPr>
            <w:tcW w:w="935" w:type="dxa"/>
            <w:vAlign w:val="center"/>
          </w:tcPr>
          <w:p w14:paraId="02897743">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主观分</w:t>
            </w:r>
          </w:p>
        </w:tc>
        <w:tc>
          <w:tcPr>
            <w:tcW w:w="1261" w:type="dxa"/>
            <w:vAlign w:val="center"/>
          </w:tcPr>
          <w:p w14:paraId="00505088">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2ABFA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1E74CE9C">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9</w:t>
            </w:r>
          </w:p>
        </w:tc>
        <w:tc>
          <w:tcPr>
            <w:tcW w:w="1363" w:type="dxa"/>
            <w:vAlign w:val="center"/>
          </w:tcPr>
          <w:p w14:paraId="147F13AD">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应急方案</w:t>
            </w:r>
          </w:p>
        </w:tc>
        <w:tc>
          <w:tcPr>
            <w:tcW w:w="4880" w:type="dxa"/>
            <w:vAlign w:val="center"/>
          </w:tcPr>
          <w:p w14:paraId="48DE96D9">
            <w:pPr>
              <w:widowControl/>
              <w:snapToGrid w:val="0"/>
              <w:spacing w:line="340" w:lineRule="exac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投标人应在突发特殊情况下具备应急保障预案，针对服务单位突发性事件（自然灾害、突发疫情、临时任务等），投标人应急人员配备完善、应急响应时间充分：①有应对突发事件（包括发生交通堵塞、暴雨等灾害性天气及其他突发事件）时的应急预案，且合理可行的；②有针对抗台、 抗震等恶劣天气导致的特殊情况紧急处置预案，且合理可行的；③有应对人员非法聚集、暴恐事件、重大活动或重要接待任务等类型的应急预案，且合理可行的；④有针对防盗、防火的安全防范巡查方案，且合理可行的；⑤有对服务区域内交通突发事件紧急预案，且合理可行的；⑥有对服务区域各类突发治安事件、纠纷、投诉等的应急预案， 且合理可行的；⑦有防止人员意外情况或重大过失的预防方案，且合理可行的；⑧若遇突发事件，增援人员需30分钟内到达的可行性现场方案。根据提供的方案每项内容完整合理、措施有效进行打分，每一项内容完整、符合采购需求得2分，单项内容描述不完整，部分符合采购需求的得1分，不符合不得分。</w:t>
            </w:r>
          </w:p>
        </w:tc>
        <w:tc>
          <w:tcPr>
            <w:tcW w:w="576" w:type="dxa"/>
            <w:vAlign w:val="center"/>
          </w:tcPr>
          <w:p w14:paraId="1DBE2CAA">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16</w:t>
            </w:r>
          </w:p>
        </w:tc>
        <w:tc>
          <w:tcPr>
            <w:tcW w:w="935" w:type="dxa"/>
            <w:vAlign w:val="center"/>
          </w:tcPr>
          <w:p w14:paraId="2C81C81E">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主观分</w:t>
            </w:r>
          </w:p>
        </w:tc>
        <w:tc>
          <w:tcPr>
            <w:tcW w:w="1261" w:type="dxa"/>
            <w:vAlign w:val="center"/>
          </w:tcPr>
          <w:p w14:paraId="37F5214A">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35737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1755AE34">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10</w:t>
            </w:r>
          </w:p>
        </w:tc>
        <w:tc>
          <w:tcPr>
            <w:tcW w:w="1363" w:type="dxa"/>
            <w:vAlign w:val="center"/>
          </w:tcPr>
          <w:p w14:paraId="1E3A3384">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人员培训</w:t>
            </w:r>
          </w:p>
        </w:tc>
        <w:tc>
          <w:tcPr>
            <w:tcW w:w="4880" w:type="dxa"/>
            <w:vAlign w:val="center"/>
          </w:tcPr>
          <w:p w14:paraId="002B6321">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供应商人员的选聘及培训计划（含培训内容、时间、地点、人次等）方案合理周全、贴合实际需求的的得3分，比较合理周全的得</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 xml:space="preserve">分，一般的得1分，没有的不得分。 </w:t>
            </w:r>
          </w:p>
          <w:p w14:paraId="5100AF58">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注：</w:t>
            </w:r>
            <w:r>
              <w:rPr>
                <w:rFonts w:hint="eastAsia" w:ascii="仿宋" w:hAnsi="仿宋" w:eastAsia="仿宋" w:cs="仿宋"/>
                <w:color w:val="auto"/>
                <w:sz w:val="18"/>
                <w:szCs w:val="18"/>
                <w:highlight w:val="none"/>
              </w:rPr>
              <w:t>评委自主评分，分值 3、2、1、0</w:t>
            </w:r>
            <w:r>
              <w:rPr>
                <w:rFonts w:hint="eastAsia" w:ascii="仿宋" w:hAnsi="仿宋" w:eastAsia="仿宋" w:cs="仿宋"/>
                <w:color w:val="auto"/>
                <w:sz w:val="18"/>
                <w:szCs w:val="18"/>
                <w:highlight w:val="none"/>
                <w:lang w:eastAsia="zh-CN"/>
              </w:rPr>
              <w:t>。</w:t>
            </w:r>
          </w:p>
          <w:p w14:paraId="07CEF1E3">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有切实可行的每月不少于一次的训练演练计划的，得2分, 否则本项不得分。</w:t>
            </w:r>
          </w:p>
        </w:tc>
        <w:tc>
          <w:tcPr>
            <w:tcW w:w="576" w:type="dxa"/>
            <w:vAlign w:val="center"/>
          </w:tcPr>
          <w:p w14:paraId="5C1780DB">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5</w:t>
            </w:r>
          </w:p>
        </w:tc>
        <w:tc>
          <w:tcPr>
            <w:tcW w:w="935" w:type="dxa"/>
            <w:vAlign w:val="center"/>
          </w:tcPr>
          <w:p w14:paraId="79607320">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主观分</w:t>
            </w:r>
          </w:p>
        </w:tc>
        <w:tc>
          <w:tcPr>
            <w:tcW w:w="1261" w:type="dxa"/>
            <w:vAlign w:val="center"/>
          </w:tcPr>
          <w:p w14:paraId="209B50F9">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40322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69D225B2">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11</w:t>
            </w:r>
          </w:p>
        </w:tc>
        <w:tc>
          <w:tcPr>
            <w:tcW w:w="1363" w:type="dxa"/>
            <w:vAlign w:val="center"/>
          </w:tcPr>
          <w:p w14:paraId="671EA983">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合理化建议</w:t>
            </w:r>
          </w:p>
        </w:tc>
        <w:tc>
          <w:tcPr>
            <w:tcW w:w="4880" w:type="dxa"/>
            <w:vAlign w:val="center"/>
          </w:tcPr>
          <w:p w14:paraId="079C5517">
            <w:pPr>
              <w:widowControl/>
              <w:snapToGrid w:val="0"/>
              <w:spacing w:line="340" w:lineRule="exact"/>
              <w:textAlignment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根据供应商对本项目的理解，提出针对项目实施较为实用的建议和意见，确实合理有效的每项得0.5分，最高1分</w:t>
            </w:r>
          </w:p>
        </w:tc>
        <w:tc>
          <w:tcPr>
            <w:tcW w:w="576" w:type="dxa"/>
            <w:vAlign w:val="center"/>
          </w:tcPr>
          <w:p w14:paraId="29588D4C">
            <w:pPr>
              <w:widowControl/>
              <w:snapToGrid w:val="0"/>
              <w:spacing w:line="340" w:lineRule="exact"/>
              <w:jc w:val="center"/>
              <w:textAlignment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w:t>
            </w:r>
          </w:p>
        </w:tc>
        <w:tc>
          <w:tcPr>
            <w:tcW w:w="935" w:type="dxa"/>
            <w:vAlign w:val="center"/>
          </w:tcPr>
          <w:p w14:paraId="7BF14FB9">
            <w:pPr>
              <w:widowControl/>
              <w:snapToGrid w:val="0"/>
              <w:spacing w:line="340" w:lineRule="exact"/>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主观分</w:t>
            </w:r>
          </w:p>
        </w:tc>
        <w:tc>
          <w:tcPr>
            <w:tcW w:w="1261" w:type="dxa"/>
            <w:vAlign w:val="center"/>
          </w:tcPr>
          <w:p w14:paraId="2503E120">
            <w:pPr>
              <w:widowControl/>
              <w:snapToGrid w:val="0"/>
              <w:spacing w:line="340" w:lineRule="exact"/>
              <w:jc w:val="center"/>
              <w:textAlignment w:val="center"/>
              <w:rPr>
                <w:rFonts w:hint="eastAsia" w:ascii="仿宋" w:hAnsi="仿宋" w:eastAsia="仿宋" w:cs="仿宋"/>
                <w:color w:val="auto"/>
                <w:sz w:val="18"/>
                <w:szCs w:val="18"/>
                <w:highlight w:val="none"/>
              </w:rPr>
            </w:pPr>
          </w:p>
        </w:tc>
      </w:tr>
      <w:tr w14:paraId="5F0B6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5" w:type="dxa"/>
            <w:vAlign w:val="center"/>
          </w:tcPr>
          <w:p w14:paraId="44A30559">
            <w:pPr>
              <w:snapToGrid w:val="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12</w:t>
            </w:r>
          </w:p>
        </w:tc>
        <w:tc>
          <w:tcPr>
            <w:tcW w:w="1363" w:type="dxa"/>
            <w:vAlign w:val="center"/>
          </w:tcPr>
          <w:p w14:paraId="36F3CE05">
            <w:pPr>
              <w:snapToGrid w:val="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报价部分</w:t>
            </w:r>
          </w:p>
          <w:p w14:paraId="38B265E5">
            <w:pPr>
              <w:snapToGrid w:val="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（10分）</w:t>
            </w:r>
          </w:p>
        </w:tc>
        <w:tc>
          <w:tcPr>
            <w:tcW w:w="4880" w:type="dxa"/>
            <w:vAlign w:val="center"/>
          </w:tcPr>
          <w:p w14:paraId="16620FEF">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有效投标报价的最低价作为评标基准价，其最低报价为满分；按［投标报价得分=（评标基准价/投标报价）*权重］的计算公式计算。</w:t>
            </w:r>
          </w:p>
          <w:p w14:paraId="7CAB8AB1">
            <w:pPr>
              <w:widowControl/>
              <w:snapToGrid w:val="0"/>
              <w:spacing w:line="340" w:lineRule="exac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评标过程中，不得去掉报价中的最高报价和最低报价。</w:t>
            </w:r>
          </w:p>
        </w:tc>
        <w:tc>
          <w:tcPr>
            <w:tcW w:w="576" w:type="dxa"/>
            <w:vAlign w:val="center"/>
          </w:tcPr>
          <w:p w14:paraId="6B13DA58">
            <w:pPr>
              <w:widowControl/>
              <w:snapToGrid w:val="0"/>
              <w:spacing w:line="340" w:lineRule="exact"/>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w:t>
            </w:r>
          </w:p>
        </w:tc>
        <w:tc>
          <w:tcPr>
            <w:tcW w:w="935" w:type="dxa"/>
            <w:vAlign w:val="center"/>
          </w:tcPr>
          <w:p w14:paraId="108B19B9">
            <w:pPr>
              <w:widowControl/>
              <w:snapToGrid w:val="0"/>
              <w:spacing w:line="340" w:lineRule="exact"/>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p>
        </w:tc>
        <w:tc>
          <w:tcPr>
            <w:tcW w:w="1261" w:type="dxa"/>
            <w:vAlign w:val="center"/>
          </w:tcPr>
          <w:p w14:paraId="12ECC645">
            <w:pPr>
              <w:widowControl/>
              <w:snapToGrid w:val="0"/>
              <w:spacing w:line="340" w:lineRule="exact"/>
              <w:jc w:val="center"/>
              <w:textAlignment w:val="center"/>
              <w:rPr>
                <w:rFonts w:hint="eastAsia" w:ascii="仿宋" w:hAnsi="仿宋" w:eastAsia="仿宋" w:cs="仿宋"/>
                <w:color w:val="auto"/>
                <w:sz w:val="18"/>
                <w:szCs w:val="18"/>
                <w:highlight w:val="none"/>
              </w:rPr>
            </w:pPr>
          </w:p>
        </w:tc>
      </w:tr>
    </w:tbl>
    <w:p w14:paraId="077780D7">
      <w:pPr>
        <w:snapToGrid w:val="0"/>
        <w:spacing w:line="360" w:lineRule="auto"/>
        <w:rPr>
          <w:rFonts w:hint="eastAsia" w:ascii="仿宋" w:hAnsi="仿宋" w:eastAsia="仿宋" w:cs="仿宋"/>
          <w:b/>
          <w:color w:val="auto"/>
          <w:szCs w:val="21"/>
          <w:highlight w:val="none"/>
        </w:rPr>
      </w:pPr>
      <w:r>
        <w:rPr>
          <w:rFonts w:hint="eastAsia" w:ascii="仿宋" w:hAnsi="仿宋" w:eastAsia="仿宋" w:cs="仿宋"/>
          <w:color w:val="auto"/>
          <w:szCs w:val="21"/>
          <w:highlight w:val="none"/>
          <w:shd w:val="clear" w:color="auto" w:fill="FFFFFF"/>
        </w:rPr>
        <w:t>*</w:t>
      </w:r>
      <w:r>
        <w:rPr>
          <w:rFonts w:hint="eastAsia" w:ascii="仿宋" w:hAnsi="仿宋" w:eastAsia="仿宋" w:cs="仿宋"/>
          <w:b/>
          <w:color w:val="auto"/>
          <w:szCs w:val="21"/>
          <w:highlight w:val="none"/>
        </w:rPr>
        <w:t>备注：上述内容缺项不得分，投标人编制投标文件（商务技术文件部分）时，建议按此目录（序号和内容）提供评标标准相应的商务技术资料。 </w:t>
      </w:r>
    </w:p>
    <w:p w14:paraId="624C2AA4">
      <w:pPr>
        <w:snapToGrid w:val="0"/>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一、评标方法</w:t>
      </w:r>
    </w:p>
    <w:p w14:paraId="4E7F277B">
      <w:pPr>
        <w:adjustRightInd/>
        <w:spacing w:line="360" w:lineRule="auto"/>
        <w:ind w:firstLine="413" w:firstLineChars="196"/>
        <w:rPr>
          <w:rFonts w:hint="eastAsia" w:ascii="仿宋" w:hAnsi="仿宋" w:eastAsia="仿宋" w:cs="仿宋"/>
          <w:color w:val="auto"/>
          <w:kern w:val="0"/>
          <w:szCs w:val="21"/>
          <w:highlight w:val="none"/>
        </w:rPr>
      </w:pPr>
      <w:r>
        <w:rPr>
          <w:rFonts w:hint="eastAsia" w:ascii="仿宋" w:hAnsi="仿宋" w:eastAsia="仿宋" w:cs="仿宋"/>
          <w:b/>
          <w:color w:val="auto"/>
          <w:kern w:val="0"/>
          <w:szCs w:val="21"/>
          <w:highlight w:val="none"/>
        </w:rPr>
        <w:t>1.本项目采用综合评分法。</w:t>
      </w:r>
      <w:r>
        <w:rPr>
          <w:rFonts w:hint="eastAsia" w:ascii="仿宋" w:hAnsi="仿宋" w:eastAsia="仿宋" w:cs="仿宋"/>
          <w:color w:val="auto"/>
          <w:kern w:val="0"/>
          <w:szCs w:val="21"/>
          <w:highlight w:val="none"/>
        </w:rPr>
        <w:t>综合评分法，是指投标文件满足招标文件全部实质性要求，且按照评审因素的量化指标评审得分最高的投标人为中标候选人的评标方法。</w:t>
      </w:r>
    </w:p>
    <w:p w14:paraId="68DDCE19">
      <w:pPr>
        <w:snapToGrid w:val="0"/>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二、评标标准</w:t>
      </w:r>
    </w:p>
    <w:p w14:paraId="1E20F98E">
      <w:pPr>
        <w:spacing w:line="360" w:lineRule="auto"/>
        <w:ind w:firstLine="413" w:firstLineChars="196"/>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2.评标标准：</w:t>
      </w:r>
      <w:r>
        <w:rPr>
          <w:rFonts w:hint="eastAsia" w:ascii="仿宋" w:hAnsi="仿宋" w:eastAsia="仿宋" w:cs="仿宋"/>
          <w:color w:val="auto"/>
          <w:kern w:val="0"/>
          <w:szCs w:val="21"/>
          <w:highlight w:val="none"/>
        </w:rPr>
        <w:t>见评标办法前附表。</w:t>
      </w:r>
    </w:p>
    <w:p w14:paraId="22423548">
      <w:pPr>
        <w:snapToGrid w:val="0"/>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三、评标程序</w:t>
      </w:r>
    </w:p>
    <w:p w14:paraId="3D32E36C">
      <w:pPr>
        <w:spacing w:line="360" w:lineRule="auto"/>
        <w:ind w:firstLine="413" w:firstLineChars="196"/>
        <w:rPr>
          <w:rFonts w:hint="eastAsia" w:ascii="仿宋" w:hAnsi="仿宋" w:eastAsia="仿宋" w:cs="仿宋"/>
          <w:color w:val="auto"/>
          <w:kern w:val="0"/>
          <w:szCs w:val="21"/>
          <w:highlight w:val="none"/>
        </w:rPr>
      </w:pPr>
      <w:r>
        <w:rPr>
          <w:rFonts w:hint="eastAsia" w:ascii="仿宋" w:hAnsi="仿宋" w:eastAsia="仿宋" w:cs="仿宋"/>
          <w:b/>
          <w:color w:val="auto"/>
          <w:kern w:val="0"/>
          <w:szCs w:val="21"/>
          <w:highlight w:val="none"/>
        </w:rPr>
        <w:t>3.1符合性审查。</w:t>
      </w:r>
      <w:r>
        <w:rPr>
          <w:rFonts w:hint="eastAsia" w:ascii="仿宋" w:hAnsi="仿宋" w:eastAsia="仿宋" w:cs="仿宋"/>
          <w:color w:val="auto"/>
          <w:kern w:val="0"/>
          <w:szCs w:val="21"/>
          <w:highlight w:val="none"/>
        </w:rPr>
        <w:t>评标委员会应当对符合资格的投标人的投标文件进行符合性审查，以确定其是否满足招标文件的实质性要求。不满足招标文件的实质性要求的，投标无效。</w:t>
      </w:r>
    </w:p>
    <w:p w14:paraId="699F831A">
      <w:pPr>
        <w:spacing w:line="360" w:lineRule="auto"/>
        <w:ind w:firstLine="413" w:firstLineChars="196"/>
        <w:rPr>
          <w:rFonts w:hint="eastAsia" w:ascii="仿宋" w:hAnsi="仿宋" w:eastAsia="仿宋" w:cs="仿宋"/>
          <w:color w:val="auto"/>
          <w:kern w:val="0"/>
          <w:szCs w:val="21"/>
          <w:highlight w:val="none"/>
        </w:rPr>
      </w:pPr>
      <w:r>
        <w:rPr>
          <w:rFonts w:hint="eastAsia" w:ascii="仿宋" w:hAnsi="仿宋" w:eastAsia="仿宋" w:cs="仿宋"/>
          <w:b/>
          <w:color w:val="auto"/>
          <w:kern w:val="0"/>
          <w:szCs w:val="21"/>
          <w:highlight w:val="none"/>
        </w:rPr>
        <w:t>3.2 比较与评价。</w:t>
      </w:r>
      <w:r>
        <w:rPr>
          <w:rFonts w:hint="eastAsia" w:ascii="仿宋" w:hAnsi="仿宋" w:eastAsia="仿宋" w:cs="仿宋"/>
          <w:color w:val="auto"/>
          <w:kern w:val="0"/>
          <w:szCs w:val="21"/>
          <w:highlight w:val="none"/>
        </w:rPr>
        <w:t>评标委员会应当按照招标文件中规定的评标方法和标准，对符合性审查合格的投标文件进行商务和技术评估，综合比较与评价。</w:t>
      </w:r>
    </w:p>
    <w:p w14:paraId="15ECB3FF">
      <w:pPr>
        <w:spacing w:line="360" w:lineRule="auto"/>
        <w:ind w:firstLine="413" w:firstLineChars="196"/>
        <w:rPr>
          <w:rFonts w:hint="eastAsia" w:ascii="仿宋" w:hAnsi="仿宋" w:eastAsia="仿宋" w:cs="仿宋"/>
          <w:color w:val="auto"/>
          <w:kern w:val="0"/>
          <w:szCs w:val="21"/>
          <w:highlight w:val="none"/>
        </w:rPr>
      </w:pPr>
      <w:r>
        <w:rPr>
          <w:rFonts w:hint="eastAsia" w:ascii="仿宋" w:hAnsi="仿宋" w:eastAsia="仿宋" w:cs="仿宋"/>
          <w:b/>
          <w:color w:val="auto"/>
          <w:kern w:val="0"/>
          <w:szCs w:val="21"/>
          <w:highlight w:val="none"/>
        </w:rPr>
        <w:t>3.3汇总商务技术得分。</w:t>
      </w:r>
      <w:r>
        <w:rPr>
          <w:rFonts w:hint="eastAsia" w:ascii="仿宋" w:hAnsi="仿宋" w:eastAsia="仿宋" w:cs="仿宋"/>
          <w:color w:val="auto"/>
          <w:kern w:val="0"/>
          <w:szCs w:val="21"/>
          <w:highlight w:val="none"/>
        </w:rPr>
        <w:t>评标委员会各成员应当独立对每个投标人的商务和技术文件进行评价，并汇总商务技术得分情况。</w:t>
      </w:r>
    </w:p>
    <w:p w14:paraId="4F885425">
      <w:pPr>
        <w:spacing w:line="360" w:lineRule="auto"/>
        <w:ind w:firstLine="413" w:firstLineChars="196"/>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3.4报价评审。</w:t>
      </w:r>
    </w:p>
    <w:p w14:paraId="58861E2A">
      <w:pPr>
        <w:pStyle w:val="133"/>
        <w:spacing w:before="0"/>
        <w:ind w:firstLine="445" w:firstLineChars="212"/>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3.4.1投标文件报价出现前后不一致的，按照下列规定修正：</w:t>
      </w:r>
    </w:p>
    <w:p w14:paraId="7118EDA8">
      <w:pPr>
        <w:pStyle w:val="133"/>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3.4.1.1投标文件中开标一览表(报价表)内容与投标文件中相应内容不一致的，以开标一览表(报价表)为准;</w:t>
      </w:r>
    </w:p>
    <w:p w14:paraId="0D24CC2F">
      <w:pPr>
        <w:pStyle w:val="133"/>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3.4.1.2大写金额和小写金额不一致的，以大写金额为准;</w:t>
      </w:r>
    </w:p>
    <w:p w14:paraId="557E9DF4">
      <w:pPr>
        <w:pStyle w:val="133"/>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3.4.1.3单价金额小数点或者百分比有明显错位的，以开标一览表的总价为准，并修改单价;</w:t>
      </w:r>
    </w:p>
    <w:p w14:paraId="6BECF92D">
      <w:pPr>
        <w:pStyle w:val="133"/>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3.4.1.4总价金额与按单价汇总金额不一致的，以单价金额计算结果为准。</w:t>
      </w:r>
    </w:p>
    <w:p w14:paraId="5E59D540">
      <w:pPr>
        <w:pStyle w:val="133"/>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3.4.1.5同时出现两种以上不一致的，按照3.4.1规定的顺序修正。修正后的报价按照财政部第87号令《政府采购货物和服务招标投标管理办法》第五十一条第二款的规定经投标人确认后产生约束力。</w:t>
      </w:r>
    </w:p>
    <w:p w14:paraId="38C89BEA">
      <w:pPr>
        <w:snapToGrid w:val="0"/>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3.4.2投标文件出现不是唯一的、有选择性投标报价的，投标无效。</w:t>
      </w:r>
    </w:p>
    <w:p w14:paraId="572A2C6C">
      <w:pPr>
        <w:snapToGrid w:val="0"/>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3.4.3投标报价超过招标文件中规定的预算金额或者最高限价的，投标无效。</w:t>
      </w:r>
    </w:p>
    <w:p w14:paraId="1D80CA89">
      <w:pPr>
        <w:pStyle w:val="133"/>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AE4A9AA">
      <w:pPr>
        <w:pStyle w:val="133"/>
        <w:spacing w:before="0"/>
        <w:ind w:firstLine="42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3.4.5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13B8D119">
      <w:pPr>
        <w:spacing w:line="360" w:lineRule="auto"/>
        <w:ind w:firstLine="422" w:firstLineChars="200"/>
        <w:rPr>
          <w:rFonts w:hint="eastAsia" w:ascii="仿宋" w:hAnsi="仿宋" w:eastAsia="仿宋" w:cs="仿宋"/>
          <w:color w:val="auto"/>
          <w:kern w:val="0"/>
          <w:szCs w:val="21"/>
          <w:highlight w:val="none"/>
        </w:rPr>
      </w:pPr>
      <w:r>
        <w:rPr>
          <w:rFonts w:hint="eastAsia" w:ascii="仿宋" w:hAnsi="仿宋" w:eastAsia="仿宋" w:cs="仿宋"/>
          <w:b/>
          <w:color w:val="auto"/>
          <w:kern w:val="0"/>
          <w:szCs w:val="21"/>
          <w:highlight w:val="none"/>
        </w:rPr>
        <w:t>3.5排序与推荐。</w:t>
      </w:r>
      <w:r>
        <w:rPr>
          <w:rFonts w:hint="eastAsia" w:ascii="仿宋" w:hAnsi="仿宋" w:eastAsia="仿宋" w:cs="仿宋"/>
          <w:color w:val="auto"/>
          <w:kern w:val="0"/>
          <w:szCs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96857AC">
      <w:pPr>
        <w:spacing w:line="360" w:lineRule="auto"/>
        <w:ind w:firstLine="420" w:firstLineChars="200"/>
        <w:rPr>
          <w:rFonts w:hint="eastAsia" w:ascii="仿宋" w:hAnsi="仿宋" w:eastAsia="仿宋" w:cs="仿宋"/>
          <w:b/>
          <w:color w:val="auto"/>
          <w:kern w:val="0"/>
          <w:szCs w:val="21"/>
          <w:highlight w:val="none"/>
        </w:rPr>
      </w:pPr>
      <w:r>
        <w:rPr>
          <w:rFonts w:hint="eastAsia" w:ascii="仿宋" w:hAnsi="仿宋" w:eastAsia="仿宋" w:cs="仿宋"/>
          <w:color w:val="auto"/>
          <w:kern w:val="0"/>
          <w:szCs w:val="21"/>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048EA48">
      <w:pPr>
        <w:spacing w:line="360" w:lineRule="auto"/>
        <w:ind w:firstLine="413" w:firstLineChars="196"/>
        <w:rPr>
          <w:rFonts w:hint="eastAsia" w:ascii="仿宋" w:hAnsi="仿宋" w:eastAsia="仿宋" w:cs="仿宋"/>
          <w:color w:val="auto"/>
          <w:kern w:val="0"/>
          <w:szCs w:val="21"/>
          <w:highlight w:val="none"/>
        </w:rPr>
      </w:pPr>
      <w:r>
        <w:rPr>
          <w:rFonts w:hint="eastAsia" w:ascii="仿宋" w:hAnsi="仿宋" w:eastAsia="仿宋" w:cs="仿宋"/>
          <w:b/>
          <w:color w:val="auto"/>
          <w:kern w:val="0"/>
          <w:szCs w:val="21"/>
          <w:highlight w:val="none"/>
        </w:rPr>
        <w:t>3.6编写评标报告。</w:t>
      </w:r>
      <w:r>
        <w:rPr>
          <w:rFonts w:hint="eastAsia" w:ascii="仿宋" w:hAnsi="仿宋" w:eastAsia="仿宋" w:cs="仿宋"/>
          <w:color w:val="auto"/>
          <w:kern w:val="0"/>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F9E7475">
      <w:pPr>
        <w:snapToGrid w:val="0"/>
        <w:spacing w:beforeLines="100" w:afterLine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四、评标中的其他事项</w:t>
      </w:r>
    </w:p>
    <w:p w14:paraId="572DA391">
      <w:pPr>
        <w:pStyle w:val="133"/>
        <w:spacing w:before="0"/>
        <w:ind w:firstLine="422"/>
        <w:rPr>
          <w:rFonts w:hint="eastAsia" w:ascii="仿宋" w:hAnsi="仿宋" w:eastAsia="仿宋" w:cs="仿宋"/>
          <w:color w:val="auto"/>
          <w:kern w:val="0"/>
          <w:sz w:val="21"/>
          <w:szCs w:val="21"/>
          <w:highlight w:val="none"/>
        </w:rPr>
      </w:pPr>
      <w:r>
        <w:rPr>
          <w:rFonts w:hint="eastAsia" w:ascii="仿宋" w:hAnsi="仿宋" w:eastAsia="仿宋" w:cs="仿宋"/>
          <w:b/>
          <w:color w:val="auto"/>
          <w:kern w:val="0"/>
          <w:sz w:val="21"/>
          <w:szCs w:val="21"/>
          <w:highlight w:val="none"/>
        </w:rPr>
        <w:t>4.1投标人澄清、说明或者补正。</w:t>
      </w:r>
      <w:r>
        <w:rPr>
          <w:rFonts w:hint="eastAsia" w:ascii="仿宋" w:hAnsi="仿宋" w:eastAsia="仿宋" w:cs="仿宋"/>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D2A3AC8">
      <w:pPr>
        <w:pStyle w:val="18"/>
        <w:spacing w:line="360" w:lineRule="auto"/>
        <w:ind w:firstLine="422"/>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rPr>
        <w:t>4.2投标无效。</w:t>
      </w:r>
      <w:r>
        <w:rPr>
          <w:rFonts w:hint="eastAsia" w:ascii="仿宋" w:hAnsi="仿宋" w:eastAsia="仿宋" w:cs="仿宋"/>
          <w:color w:val="auto"/>
          <w:sz w:val="21"/>
          <w:szCs w:val="21"/>
          <w:highlight w:val="none"/>
        </w:rPr>
        <w:t>有下列情况之一的，投标无效：</w:t>
      </w:r>
    </w:p>
    <w:p w14:paraId="730E1DA8">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4.2.1投标人不具备招标文件中规定的资格要求的（投标人未提供有效的资格文件的，视为投标人不具备招标文件中规定的资格要求）；</w:t>
      </w:r>
    </w:p>
    <w:p w14:paraId="71D1FD43">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4.2.2投标文件未按照招标文件要求签署、盖章的；</w:t>
      </w:r>
    </w:p>
    <w:p w14:paraId="5665AF29">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4.2.3采购人拟采购的产品属于政府强制采购的节能产品品目清单范围的，投标人相应的投标产品未获得国家确定的认证机构出具的、处于有效期之内的节能产品认证证书的；</w:t>
      </w:r>
    </w:p>
    <w:p w14:paraId="4FC49165">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4.2.4投标文件含有采购人不能接受的附加条件的；</w:t>
      </w:r>
    </w:p>
    <w:p w14:paraId="19AAFFFE">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4.2.5投标文件中承诺的投标有效期少于招标文件中载明的投标有效期的；</w:t>
      </w:r>
    </w:p>
    <w:p w14:paraId="6DD47F1D">
      <w:pPr>
        <w:snapToGrid w:val="0"/>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4.2.6投标文件出现不是唯一的、有选择性投标报价的;</w:t>
      </w:r>
    </w:p>
    <w:p w14:paraId="18D3E8BF">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4.2.7投标报价超过招标文件中规定的预算金额或者最高限价的;</w:t>
      </w:r>
    </w:p>
    <w:p w14:paraId="5C868E29">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4.2.8报价明显低于其他通过符合性审查投标人的报价，有可能影响产品质量或者不能诚信履约的，未能按要求提供书面说明或者提交相关证明材料，不能证明其报价合理性的;</w:t>
      </w:r>
    </w:p>
    <w:p w14:paraId="213D6D6F">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4.2.9投标人对根据修正原则修正后的报价不确认的；</w:t>
      </w:r>
    </w:p>
    <w:p w14:paraId="2A695442">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4.2.10投标人提供虚假材料投标的；</w:t>
      </w:r>
    </w:p>
    <w:p w14:paraId="2907391D">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4.2.11投标人有恶意串通、妨碍其他投标人的竞争行为、损害采购人或者其他投标人的合法权益情形的；</w:t>
      </w:r>
    </w:p>
    <w:p w14:paraId="51AD8977">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4.2.12投标人仅提交备份投标文件，未在电子交易平台传输递交投标文件的，投标无效；</w:t>
      </w:r>
    </w:p>
    <w:p w14:paraId="4DF8D891">
      <w:pPr>
        <w:pStyle w:val="3"/>
        <w:ind w:left="0" w:firstLine="420" w:firstLineChars="200"/>
        <w:rPr>
          <w:rFonts w:hint="eastAsia" w:ascii="仿宋" w:hAnsi="仿宋" w:eastAsia="仿宋" w:cs="仿宋"/>
          <w:b w:val="0"/>
          <w:bCs w:val="0"/>
          <w:color w:val="auto"/>
          <w:kern w:val="0"/>
          <w:sz w:val="21"/>
          <w:szCs w:val="21"/>
          <w:highlight w:val="none"/>
          <w:lang w:val="en-US"/>
        </w:rPr>
      </w:pPr>
      <w:r>
        <w:rPr>
          <w:rFonts w:hint="eastAsia" w:ascii="仿宋" w:hAnsi="仿宋" w:eastAsia="仿宋" w:cs="仿宋"/>
          <w:b w:val="0"/>
          <w:bCs w:val="0"/>
          <w:color w:val="auto"/>
          <w:kern w:val="0"/>
          <w:sz w:val="21"/>
          <w:szCs w:val="21"/>
          <w:highlight w:val="none"/>
          <w:lang w:val="en-US"/>
        </w:rPr>
        <w:t>4.2.13投标文件不满足招标文件的其它实质性要求的；</w:t>
      </w:r>
    </w:p>
    <w:p w14:paraId="2B4B92FC">
      <w:pPr>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4.2.14法律、法规、规章（适用本市的）及省级以上规范性文件（适用本市的）规定的其他无效情形。</w:t>
      </w:r>
    </w:p>
    <w:p w14:paraId="08585F8F">
      <w:pPr>
        <w:pStyle w:val="18"/>
        <w:snapToGrid w:val="0"/>
        <w:spacing w:line="360" w:lineRule="auto"/>
        <w:ind w:firstLine="422"/>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5.废标。</w:t>
      </w:r>
      <w:r>
        <w:rPr>
          <w:rFonts w:hint="eastAsia" w:ascii="仿宋" w:hAnsi="仿宋" w:eastAsia="仿宋" w:cs="仿宋"/>
          <w:color w:val="auto"/>
          <w:sz w:val="21"/>
          <w:szCs w:val="21"/>
          <w:highlight w:val="none"/>
        </w:rPr>
        <w:t>根据《中华人民共和国政府采购法》第三十六条之规定，在采购中，出现下列情形之一的，应予废标：</w:t>
      </w:r>
    </w:p>
    <w:p w14:paraId="73DD6ED7">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5.1符合专业条件的供应商或者对招标文件作实质响应的供应商不足3家的；</w:t>
      </w:r>
    </w:p>
    <w:p w14:paraId="0BE91C4D">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5.2出现影响采购公正的违法、违规行为的；</w:t>
      </w:r>
    </w:p>
    <w:p w14:paraId="4E7AC4E6">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5.3投标人的报价均超过了采购预算，采购人不能支付的；</w:t>
      </w:r>
    </w:p>
    <w:p w14:paraId="2F984E47">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5.4因重大变故，采购任务取消的。</w:t>
      </w:r>
    </w:p>
    <w:p w14:paraId="6346B68B">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废标后，采购代理机构应当将废标理由通知所有投标人。</w:t>
      </w:r>
    </w:p>
    <w:p w14:paraId="603D8F8B">
      <w:pPr>
        <w:pStyle w:val="18"/>
        <w:snapToGrid w:val="0"/>
        <w:spacing w:line="360" w:lineRule="auto"/>
        <w:ind w:firstLine="422"/>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6.修改招标文件，重新组织采购活动。</w:t>
      </w:r>
      <w:r>
        <w:rPr>
          <w:rFonts w:hint="eastAsia" w:ascii="仿宋" w:hAnsi="仿宋" w:eastAsia="仿宋" w:cs="仿宋"/>
          <w:color w:val="auto"/>
          <w:sz w:val="21"/>
          <w:szCs w:val="21"/>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C9909A1">
      <w:pPr>
        <w:pStyle w:val="18"/>
        <w:snapToGrid w:val="0"/>
        <w:spacing w:line="360" w:lineRule="auto"/>
        <w:ind w:firstLine="422"/>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rPr>
        <w:t>7.重新开展采购。</w:t>
      </w:r>
      <w:r>
        <w:rPr>
          <w:rFonts w:hint="eastAsia" w:ascii="仿宋" w:hAnsi="仿宋" w:eastAsia="仿宋" w:cs="仿宋"/>
          <w:color w:val="auto"/>
          <w:sz w:val="21"/>
          <w:szCs w:val="21"/>
          <w:highlight w:val="none"/>
        </w:rPr>
        <w:t>有政府采购法第七十一条、第七十二条规定的违法行为之一，影响或者可能影响中标、成交结果的，依照下列规定处理：</w:t>
      </w:r>
    </w:p>
    <w:p w14:paraId="746BD9B0">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7.1未确定中标供应商的，终止本次政府采购活动，重新开展政府采购活动。</w:t>
      </w:r>
    </w:p>
    <w:p w14:paraId="3920E4B8">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7.2已确定中标供应商但尚未签订政府采购合同的，中标结果无效，从合格的中标候选人中另行确定中标供应商；没有合格的中标候选人的，重新开展政府采购活动。</w:t>
      </w:r>
    </w:p>
    <w:p w14:paraId="153D4CA6">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7.3政府采购合同已签订但尚未履行的，撤销合同，从合格的中标候选人中另行确定中标供应商；没有合格的中标候选人的，重新开展政府采购活动。</w:t>
      </w:r>
    </w:p>
    <w:p w14:paraId="3A19CF23">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7.4政府采购合同已经履行，给采购人、供应商造成损失的，由责任人承担赔偿责任。</w:t>
      </w:r>
    </w:p>
    <w:p w14:paraId="2C6B1D9C">
      <w:pPr>
        <w:pStyle w:val="18"/>
        <w:snapToGrid w:val="0"/>
        <w:spacing w:line="360" w:lineRule="auto"/>
        <w:ind w:firstLine="42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3976789">
      <w:pPr>
        <w:pStyle w:val="17"/>
        <w:rPr>
          <w:rFonts w:hint="eastAsia" w:ascii="仿宋" w:hAnsi="仿宋" w:eastAsia="仿宋" w:cs="仿宋"/>
          <w:color w:val="auto"/>
          <w:highlight w:val="none"/>
        </w:rPr>
      </w:pPr>
    </w:p>
    <w:p w14:paraId="6158E071">
      <w:pPr>
        <w:pStyle w:val="18"/>
        <w:snapToGrid w:val="0"/>
        <w:spacing w:line="360" w:lineRule="auto"/>
        <w:ind w:firstLine="0" w:firstLineChars="0"/>
        <w:rPr>
          <w:rFonts w:hint="eastAsia" w:ascii="仿宋" w:hAnsi="仿宋" w:eastAsia="仿宋" w:cs="仿宋"/>
          <w:color w:val="auto"/>
          <w:highlight w:val="none"/>
        </w:rPr>
      </w:pPr>
    </w:p>
    <w:bookmarkEnd w:id="26"/>
    <w:p w14:paraId="6104C691">
      <w:pPr>
        <w:spacing w:beforeLines="100" w:afterLines="100"/>
        <w:jc w:val="center"/>
        <w:outlineLvl w:val="0"/>
        <w:rPr>
          <w:rFonts w:hint="eastAsia" w:ascii="仿宋" w:hAnsi="仿宋" w:eastAsia="仿宋" w:cs="仿宋"/>
          <w:b/>
          <w:color w:val="auto"/>
          <w:sz w:val="36"/>
          <w:szCs w:val="36"/>
          <w:highlight w:val="none"/>
        </w:rPr>
      </w:pPr>
      <w:bookmarkStart w:id="392" w:name="_Toc86217003"/>
      <w:bookmarkStart w:id="393" w:name="第五部分"/>
    </w:p>
    <w:p w14:paraId="24A05722">
      <w:pPr>
        <w:spacing w:beforeLines="100" w:afterLines="100"/>
        <w:jc w:val="center"/>
        <w:outlineLvl w:val="0"/>
        <w:rPr>
          <w:rFonts w:hint="eastAsia" w:ascii="仿宋" w:hAnsi="仿宋" w:eastAsia="仿宋" w:cs="仿宋"/>
          <w:b/>
          <w:color w:val="auto"/>
          <w:sz w:val="36"/>
          <w:szCs w:val="36"/>
          <w:highlight w:val="none"/>
        </w:rPr>
      </w:pPr>
    </w:p>
    <w:p w14:paraId="7E52DFE2">
      <w:pPr>
        <w:spacing w:beforeLines="100" w:afterLines="100"/>
        <w:jc w:val="center"/>
        <w:outlineLvl w:val="0"/>
        <w:rPr>
          <w:rFonts w:hint="eastAsia" w:ascii="仿宋" w:hAnsi="仿宋" w:eastAsia="仿宋" w:cs="仿宋"/>
          <w:b/>
          <w:color w:val="auto"/>
          <w:sz w:val="36"/>
          <w:szCs w:val="36"/>
          <w:highlight w:val="none"/>
        </w:rPr>
      </w:pPr>
    </w:p>
    <w:p w14:paraId="4C655061">
      <w:pPr>
        <w:spacing w:beforeLines="100" w:afterLines="100"/>
        <w:jc w:val="center"/>
        <w:outlineLvl w:val="0"/>
        <w:rPr>
          <w:rFonts w:hint="eastAsia" w:ascii="仿宋" w:hAnsi="仿宋" w:eastAsia="仿宋" w:cs="仿宋"/>
          <w:b/>
          <w:color w:val="auto"/>
          <w:sz w:val="36"/>
          <w:szCs w:val="36"/>
          <w:highlight w:val="none"/>
        </w:rPr>
      </w:pPr>
    </w:p>
    <w:p w14:paraId="5517A77A">
      <w:pPr>
        <w:spacing w:beforeLines="100" w:afterLines="100"/>
        <w:jc w:val="center"/>
        <w:outlineLvl w:val="0"/>
        <w:rPr>
          <w:rFonts w:hint="eastAsia" w:ascii="仿宋" w:hAnsi="仿宋" w:eastAsia="仿宋" w:cs="仿宋"/>
          <w:b/>
          <w:color w:val="auto"/>
          <w:sz w:val="36"/>
          <w:szCs w:val="36"/>
          <w:highlight w:val="none"/>
        </w:rPr>
      </w:pPr>
    </w:p>
    <w:p w14:paraId="1061BB9D">
      <w:pPr>
        <w:spacing w:beforeLines="100" w:afterLines="100"/>
        <w:jc w:val="center"/>
        <w:outlineLvl w:val="0"/>
        <w:rPr>
          <w:rFonts w:hint="eastAsia" w:ascii="仿宋" w:hAnsi="仿宋" w:eastAsia="仿宋" w:cs="仿宋"/>
          <w:b/>
          <w:color w:val="auto"/>
          <w:sz w:val="36"/>
          <w:szCs w:val="36"/>
          <w:highlight w:val="none"/>
        </w:rPr>
        <w:sectPr>
          <w:headerReference r:id="rId8" w:type="default"/>
          <w:footerReference r:id="rId9" w:type="default"/>
          <w:pgSz w:w="11905" w:h="16838"/>
          <w:pgMar w:top="1327" w:right="1519" w:bottom="1327" w:left="1519" w:header="851" w:footer="992" w:gutter="0"/>
          <w:cols w:space="0" w:num="1"/>
          <w:docGrid w:type="lines" w:linePitch="319" w:charSpace="0"/>
        </w:sectPr>
      </w:pPr>
    </w:p>
    <w:p w14:paraId="087AB4FB">
      <w:pPr>
        <w:spacing w:beforeLines="100" w:afterLines="10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拟签订的合同文本</w:t>
      </w:r>
    </w:p>
    <w:p w14:paraId="761B3E9F">
      <w:pPr>
        <w:spacing w:beforeLines="100" w:afterLines="100"/>
        <w:jc w:val="left"/>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合同编号：</w:t>
      </w:r>
    </w:p>
    <w:p w14:paraId="7E73CE49">
      <w:pPr>
        <w:spacing w:line="360" w:lineRule="auto"/>
        <w:rPr>
          <w:rFonts w:hint="eastAsia" w:ascii="仿宋" w:hAnsi="仿宋" w:eastAsia="仿宋" w:cs="仿宋"/>
          <w:color w:val="auto"/>
          <w:sz w:val="28"/>
          <w:highlight w:val="none"/>
        </w:rPr>
      </w:pPr>
    </w:p>
    <w:p w14:paraId="11A887F8">
      <w:pPr>
        <w:spacing w:line="360" w:lineRule="auto"/>
        <w:rPr>
          <w:rFonts w:hint="eastAsia" w:ascii="仿宋" w:hAnsi="仿宋" w:eastAsia="仿宋" w:cs="仿宋"/>
          <w:color w:val="auto"/>
          <w:sz w:val="28"/>
          <w:highlight w:val="none"/>
        </w:rPr>
      </w:pPr>
    </w:p>
    <w:p w14:paraId="3465E2E0">
      <w:pPr>
        <w:spacing w:beforeLines="100" w:afterLines="10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政府采购合同参考范本</w:t>
      </w:r>
    </w:p>
    <w:p w14:paraId="74E4A24C">
      <w:pPr>
        <w:spacing w:beforeLines="100" w:afterLines="10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（服务类）</w:t>
      </w:r>
    </w:p>
    <w:p w14:paraId="5AF7AB6D">
      <w:pPr>
        <w:spacing w:line="360" w:lineRule="auto"/>
        <w:rPr>
          <w:rFonts w:hint="eastAsia" w:ascii="仿宋" w:hAnsi="仿宋" w:eastAsia="仿宋" w:cs="仿宋"/>
          <w:color w:val="auto"/>
          <w:sz w:val="28"/>
          <w:highlight w:val="none"/>
        </w:rPr>
      </w:pPr>
    </w:p>
    <w:p w14:paraId="62D56BE4">
      <w:pPr>
        <w:pStyle w:val="49"/>
        <w:spacing w:before="20" w:after="20"/>
        <w:rPr>
          <w:rFonts w:hint="eastAsia" w:ascii="仿宋" w:hAnsi="仿宋" w:eastAsia="仿宋" w:cs="仿宋"/>
          <w:color w:val="auto"/>
          <w:sz w:val="32"/>
          <w:highlight w:val="none"/>
        </w:rPr>
      </w:pPr>
      <w:bookmarkStart w:id="394" w:name="_Toc97118735"/>
      <w:bookmarkStart w:id="395" w:name="_Toc117259210"/>
      <w:bookmarkStart w:id="396" w:name="_Toc132308033"/>
      <w:bookmarkStart w:id="397" w:name="_Toc97118341"/>
      <w:bookmarkStart w:id="398" w:name="_Toc104208269"/>
      <w:r>
        <w:rPr>
          <w:rFonts w:hint="eastAsia" w:ascii="仿宋" w:hAnsi="仿宋" w:eastAsia="仿宋" w:cs="仿宋"/>
          <w:color w:val="auto"/>
          <w:sz w:val="32"/>
          <w:highlight w:val="none"/>
        </w:rPr>
        <w:t>第一部分 合同书</w:t>
      </w:r>
      <w:bookmarkEnd w:id="394"/>
      <w:bookmarkEnd w:id="395"/>
      <w:bookmarkEnd w:id="396"/>
      <w:bookmarkEnd w:id="397"/>
      <w:bookmarkEnd w:id="398"/>
    </w:p>
    <w:p w14:paraId="33B157D9">
      <w:pPr>
        <w:spacing w:line="360" w:lineRule="auto"/>
        <w:rPr>
          <w:rFonts w:hint="eastAsia" w:ascii="仿宋" w:hAnsi="仿宋" w:eastAsia="仿宋" w:cs="仿宋"/>
          <w:color w:val="auto"/>
          <w:sz w:val="28"/>
          <w:highlight w:val="none"/>
        </w:rPr>
      </w:pPr>
    </w:p>
    <w:p w14:paraId="01343584">
      <w:pPr>
        <w:spacing w:line="360" w:lineRule="auto"/>
        <w:rPr>
          <w:rFonts w:hint="eastAsia" w:ascii="仿宋" w:hAnsi="仿宋" w:eastAsia="仿宋" w:cs="仿宋"/>
          <w:color w:val="auto"/>
          <w:sz w:val="28"/>
          <w:highlight w:val="none"/>
        </w:rPr>
      </w:pPr>
    </w:p>
    <w:tbl>
      <w:tblPr>
        <w:tblStyle w:val="65"/>
        <w:tblW w:w="8505" w:type="dxa"/>
        <w:jc w:val="center"/>
        <w:tblLayout w:type="fixed"/>
        <w:tblCellMar>
          <w:top w:w="0" w:type="dxa"/>
          <w:left w:w="108" w:type="dxa"/>
          <w:bottom w:w="0" w:type="dxa"/>
          <w:right w:w="108" w:type="dxa"/>
        </w:tblCellMar>
      </w:tblPr>
      <w:tblGrid>
        <w:gridCol w:w="8505"/>
      </w:tblGrid>
      <w:tr w14:paraId="31205CBF">
        <w:tblPrEx>
          <w:tblCellMar>
            <w:top w:w="0" w:type="dxa"/>
            <w:left w:w="108" w:type="dxa"/>
            <w:bottom w:w="0" w:type="dxa"/>
            <w:right w:w="108" w:type="dxa"/>
          </w:tblCellMar>
        </w:tblPrEx>
        <w:trPr>
          <w:trHeight w:val="680" w:hRule="atLeast"/>
          <w:jc w:val="center"/>
        </w:trPr>
        <w:tc>
          <w:tcPr>
            <w:tcW w:w="8505" w:type="dxa"/>
            <w:vAlign w:val="center"/>
          </w:tcPr>
          <w:p w14:paraId="023C9671">
            <w:pPr>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项目名称：</w:t>
            </w:r>
            <w:r>
              <w:rPr>
                <w:rFonts w:hint="eastAsia" w:ascii="仿宋" w:hAnsi="仿宋" w:eastAsia="仿宋" w:cs="仿宋"/>
                <w:color w:val="auto"/>
                <w:sz w:val="28"/>
                <w:highlight w:val="none"/>
                <w:lang w:eastAsia="zh-CN"/>
              </w:rPr>
              <w:t>2025年秀洲区交通运输局交通大楼保安服务</w:t>
            </w:r>
          </w:p>
        </w:tc>
      </w:tr>
      <w:tr w14:paraId="6BF26B12">
        <w:tblPrEx>
          <w:tblCellMar>
            <w:top w:w="0" w:type="dxa"/>
            <w:left w:w="108" w:type="dxa"/>
            <w:bottom w:w="0" w:type="dxa"/>
            <w:right w:w="108" w:type="dxa"/>
          </w:tblCellMar>
        </w:tblPrEx>
        <w:trPr>
          <w:trHeight w:val="680" w:hRule="atLeast"/>
          <w:jc w:val="center"/>
        </w:trPr>
        <w:tc>
          <w:tcPr>
            <w:tcW w:w="8505" w:type="dxa"/>
            <w:vAlign w:val="center"/>
          </w:tcPr>
          <w:p w14:paraId="59B2A0BD">
            <w:pPr>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甲    方：</w:t>
            </w:r>
            <w:r>
              <w:rPr>
                <w:rFonts w:hint="eastAsia" w:ascii="仿宋" w:hAnsi="仿宋" w:eastAsia="仿宋" w:cs="仿宋"/>
                <w:color w:val="auto"/>
                <w:sz w:val="28"/>
                <w:highlight w:val="none"/>
                <w:lang w:eastAsia="zh-CN"/>
              </w:rPr>
              <w:t>嘉兴市秀洲区交通运输局</w:t>
            </w:r>
          </w:p>
        </w:tc>
      </w:tr>
      <w:tr w14:paraId="1A39CBD2">
        <w:tblPrEx>
          <w:tblCellMar>
            <w:top w:w="0" w:type="dxa"/>
            <w:left w:w="108" w:type="dxa"/>
            <w:bottom w:w="0" w:type="dxa"/>
            <w:right w:w="108" w:type="dxa"/>
          </w:tblCellMar>
        </w:tblPrEx>
        <w:trPr>
          <w:trHeight w:val="680" w:hRule="atLeast"/>
          <w:jc w:val="center"/>
        </w:trPr>
        <w:tc>
          <w:tcPr>
            <w:tcW w:w="8505" w:type="dxa"/>
            <w:vAlign w:val="center"/>
          </w:tcPr>
          <w:p w14:paraId="5094A636">
            <w:pPr>
              <w:rPr>
                <w:rFonts w:hint="eastAsia" w:ascii="仿宋" w:hAnsi="仿宋" w:eastAsia="仿宋" w:cs="仿宋"/>
                <w:color w:val="auto"/>
                <w:sz w:val="28"/>
                <w:highlight w:val="none"/>
              </w:rPr>
            </w:pPr>
            <w:r>
              <w:rPr>
                <w:rFonts w:hint="eastAsia" w:ascii="仿宋" w:hAnsi="仿宋" w:eastAsia="仿宋" w:cs="仿宋"/>
                <w:color w:val="auto"/>
                <w:sz w:val="28"/>
                <w:highlight w:val="none"/>
              </w:rPr>
              <w:t>乙    方：</w:t>
            </w:r>
            <w:r>
              <w:rPr>
                <w:rFonts w:hint="eastAsia" w:ascii="仿宋" w:hAnsi="仿宋" w:eastAsia="仿宋" w:cs="仿宋"/>
                <w:i/>
                <w:color w:val="auto"/>
                <w:sz w:val="28"/>
                <w:highlight w:val="none"/>
                <w:u w:val="single"/>
              </w:rPr>
              <w:t>（中标人名称）</w:t>
            </w:r>
          </w:p>
        </w:tc>
      </w:tr>
      <w:tr w14:paraId="44986337">
        <w:tblPrEx>
          <w:tblCellMar>
            <w:top w:w="0" w:type="dxa"/>
            <w:left w:w="108" w:type="dxa"/>
            <w:bottom w:w="0" w:type="dxa"/>
            <w:right w:w="108" w:type="dxa"/>
          </w:tblCellMar>
        </w:tblPrEx>
        <w:trPr>
          <w:trHeight w:val="680" w:hRule="atLeast"/>
          <w:jc w:val="center"/>
        </w:trPr>
        <w:tc>
          <w:tcPr>
            <w:tcW w:w="8505" w:type="dxa"/>
            <w:vAlign w:val="center"/>
          </w:tcPr>
          <w:p w14:paraId="7C4EE1B0">
            <w:pPr>
              <w:rPr>
                <w:rFonts w:hint="eastAsia" w:ascii="仿宋" w:hAnsi="仿宋" w:eastAsia="仿宋" w:cs="仿宋"/>
                <w:color w:val="auto"/>
                <w:sz w:val="28"/>
                <w:highlight w:val="none"/>
                <w:u w:val="single"/>
              </w:rPr>
            </w:pPr>
            <w:r>
              <w:rPr>
                <w:rFonts w:hint="eastAsia" w:ascii="仿宋" w:hAnsi="仿宋" w:eastAsia="仿宋" w:cs="仿宋"/>
                <w:color w:val="auto"/>
                <w:sz w:val="28"/>
                <w:highlight w:val="none"/>
              </w:rPr>
              <w:t>签 订 地：</w:t>
            </w:r>
          </w:p>
        </w:tc>
      </w:tr>
      <w:tr w14:paraId="747C4E33">
        <w:tblPrEx>
          <w:tblCellMar>
            <w:top w:w="0" w:type="dxa"/>
            <w:left w:w="108" w:type="dxa"/>
            <w:bottom w:w="0" w:type="dxa"/>
            <w:right w:w="108" w:type="dxa"/>
          </w:tblCellMar>
        </w:tblPrEx>
        <w:trPr>
          <w:trHeight w:val="680" w:hRule="atLeast"/>
          <w:jc w:val="center"/>
        </w:trPr>
        <w:tc>
          <w:tcPr>
            <w:tcW w:w="8505" w:type="dxa"/>
            <w:vAlign w:val="center"/>
          </w:tcPr>
          <w:p w14:paraId="30C22D96">
            <w:pPr>
              <w:rPr>
                <w:rFonts w:hint="eastAsia" w:ascii="仿宋" w:hAnsi="仿宋" w:eastAsia="仿宋" w:cs="仿宋"/>
                <w:color w:val="auto"/>
                <w:sz w:val="28"/>
                <w:highlight w:val="none"/>
              </w:rPr>
            </w:pPr>
            <w:r>
              <w:rPr>
                <w:rFonts w:hint="eastAsia" w:ascii="仿宋" w:hAnsi="仿宋" w:eastAsia="仿宋" w:cs="仿宋"/>
                <w:color w:val="auto"/>
                <w:sz w:val="28"/>
                <w:highlight w:val="none"/>
              </w:rPr>
              <w:t>签订日期：年月日</w:t>
            </w:r>
          </w:p>
        </w:tc>
      </w:tr>
    </w:tbl>
    <w:p w14:paraId="404DCCAF">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highlight w:val="none"/>
        </w:rPr>
        <w:br w:type="page"/>
      </w:r>
      <w:bookmarkStart w:id="399" w:name="_Toc22618"/>
      <w:bookmarkStart w:id="400" w:name="_Toc1814"/>
      <w:bookmarkStart w:id="401" w:name="_Toc10340"/>
      <w:r>
        <w:rPr>
          <w:rFonts w:hint="eastAsia" w:ascii="仿宋" w:hAnsi="仿宋" w:eastAsia="仿宋" w:cs="仿宋"/>
          <w:color w:val="auto"/>
          <w:szCs w:val="21"/>
          <w:highlight w:val="none"/>
          <w:lang w:val="zh-CN"/>
        </w:rPr>
        <w:t>年月日</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rPr>
        <w:t xml:space="preserve">   （采购人）   </w:t>
      </w:r>
      <w:r>
        <w:rPr>
          <w:rFonts w:hint="eastAsia" w:ascii="仿宋" w:hAnsi="仿宋" w:eastAsia="仿宋" w:cs="仿宋"/>
          <w:color w:val="auto"/>
          <w:szCs w:val="21"/>
          <w:highlight w:val="none"/>
        </w:rPr>
        <w:t>以</w:t>
      </w:r>
      <w:r>
        <w:rPr>
          <w:rFonts w:hint="eastAsia" w:ascii="仿宋" w:hAnsi="仿宋" w:eastAsia="仿宋" w:cs="仿宋"/>
          <w:color w:val="auto"/>
          <w:szCs w:val="21"/>
          <w:highlight w:val="none"/>
          <w:u w:val="single"/>
        </w:rPr>
        <w:t xml:space="preserve">   （政府采购方式）  </w:t>
      </w:r>
      <w:r>
        <w:rPr>
          <w:rFonts w:hint="eastAsia" w:ascii="仿宋" w:hAnsi="仿宋" w:eastAsia="仿宋" w:cs="仿宋"/>
          <w:color w:val="auto"/>
          <w:szCs w:val="21"/>
          <w:highlight w:val="none"/>
        </w:rPr>
        <w:t>对</w:t>
      </w:r>
      <w:r>
        <w:rPr>
          <w:rFonts w:hint="eastAsia" w:ascii="仿宋" w:hAnsi="仿宋" w:eastAsia="仿宋" w:cs="仿宋"/>
          <w:color w:val="auto"/>
          <w:szCs w:val="21"/>
          <w:highlight w:val="none"/>
          <w:u w:val="single"/>
        </w:rPr>
        <w:t xml:space="preserve">  （项目名称）    </w:t>
      </w:r>
      <w:r>
        <w:rPr>
          <w:rFonts w:hint="eastAsia" w:ascii="仿宋" w:hAnsi="仿宋" w:eastAsia="仿宋" w:cs="仿宋"/>
          <w:color w:val="auto"/>
          <w:szCs w:val="21"/>
          <w:highlight w:val="none"/>
        </w:rPr>
        <w:t>项目进行了采购。经</w:t>
      </w:r>
      <w:r>
        <w:rPr>
          <w:rFonts w:hint="eastAsia" w:ascii="仿宋" w:hAnsi="仿宋" w:eastAsia="仿宋" w:cs="仿宋"/>
          <w:color w:val="auto"/>
          <w:szCs w:val="21"/>
          <w:highlight w:val="none"/>
          <w:u w:val="single"/>
        </w:rPr>
        <w:t xml:space="preserve">   （相关评定主体名称）   </w:t>
      </w:r>
      <w:r>
        <w:rPr>
          <w:rFonts w:hint="eastAsia" w:ascii="仿宋" w:hAnsi="仿宋" w:eastAsia="仿宋" w:cs="仿宋"/>
          <w:color w:val="auto"/>
          <w:szCs w:val="21"/>
          <w:highlight w:val="none"/>
        </w:rPr>
        <w:t>评定，</w:t>
      </w:r>
      <w:r>
        <w:rPr>
          <w:rFonts w:hint="eastAsia" w:ascii="仿宋" w:hAnsi="仿宋" w:eastAsia="仿宋" w:cs="仿宋"/>
          <w:color w:val="auto"/>
          <w:szCs w:val="21"/>
          <w:highlight w:val="none"/>
          <w:u w:val="single"/>
        </w:rPr>
        <w:t xml:space="preserve">   （中标或者成交供应商名称） </w:t>
      </w:r>
      <w:r>
        <w:rPr>
          <w:rFonts w:hint="eastAsia" w:ascii="仿宋" w:hAnsi="仿宋" w:eastAsia="仿宋" w:cs="仿宋"/>
          <w:color w:val="auto"/>
          <w:szCs w:val="21"/>
          <w:highlight w:val="none"/>
        </w:rPr>
        <w:t>为该项目中标或者成交供应商。现于中标或者成交通知书发出之日起10个工作日内，按照采购文件确定的事项签订本合同。</w:t>
      </w:r>
    </w:p>
    <w:p w14:paraId="286C328E">
      <w:pPr>
        <w:adjustRightInd/>
        <w:spacing w:line="360" w:lineRule="auto"/>
        <w:ind w:firstLine="420" w:firstLineChars="200"/>
        <w:rPr>
          <w:rFonts w:hint="eastAsia" w:ascii="仿宋" w:hAnsi="仿宋" w:eastAsia="仿宋" w:cs="仿宋"/>
          <w:color w:val="auto"/>
          <w:sz w:val="24"/>
          <w:highlight w:val="none"/>
        </w:rPr>
      </w:pPr>
      <w:r>
        <w:rPr>
          <w:rFonts w:hint="eastAsia" w:ascii="仿宋" w:hAnsi="仿宋" w:eastAsia="仿宋" w:cs="仿宋"/>
          <w:color w:val="auto"/>
          <w:szCs w:val="21"/>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Cs w:val="21"/>
          <w:highlight w:val="none"/>
          <w:u w:val="single"/>
        </w:rPr>
        <w:t xml:space="preserve">   （采购人）   </w:t>
      </w:r>
      <w:r>
        <w:rPr>
          <w:rFonts w:hint="eastAsia" w:ascii="仿宋" w:hAnsi="仿宋" w:eastAsia="仿宋" w:cs="仿宋"/>
          <w:color w:val="auto"/>
          <w:szCs w:val="21"/>
          <w:highlight w:val="none"/>
          <w:lang w:val="zh-CN"/>
        </w:rPr>
        <w:t>(以下简称：甲方)和</w:t>
      </w:r>
      <w:r>
        <w:rPr>
          <w:rFonts w:hint="eastAsia" w:ascii="仿宋" w:hAnsi="仿宋" w:eastAsia="仿宋" w:cs="仿宋"/>
          <w:color w:val="auto"/>
          <w:szCs w:val="21"/>
          <w:highlight w:val="none"/>
          <w:u w:val="single"/>
        </w:rPr>
        <w:t xml:space="preserve">   （中或者成交标供应商名称）   </w:t>
      </w:r>
      <w:r>
        <w:rPr>
          <w:rFonts w:hint="eastAsia" w:ascii="仿宋" w:hAnsi="仿宋" w:eastAsia="仿宋" w:cs="仿宋"/>
          <w:color w:val="auto"/>
          <w:szCs w:val="21"/>
          <w:highlight w:val="none"/>
          <w:lang w:val="zh-CN"/>
        </w:rPr>
        <w:t>(以下简称：乙方)协商一致，约定以下合同</w:t>
      </w:r>
      <w:r>
        <w:rPr>
          <w:rFonts w:hint="eastAsia" w:ascii="仿宋" w:hAnsi="仿宋" w:eastAsia="仿宋" w:cs="仿宋"/>
          <w:color w:val="auto"/>
          <w:szCs w:val="21"/>
          <w:highlight w:val="none"/>
        </w:rPr>
        <w:t>条款，以兹共同遵守、全面履行。</w:t>
      </w:r>
    </w:p>
    <w:p w14:paraId="2DD56E63">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02" w:name="_Toc22967"/>
      <w:bookmarkStart w:id="403" w:name="_Toc20421"/>
      <w:bookmarkStart w:id="404" w:name="_Toc28855"/>
      <w:bookmarkStart w:id="405" w:name="_Toc19273"/>
      <w:bookmarkStart w:id="406" w:name="_Toc15367"/>
      <w:r>
        <w:rPr>
          <w:rFonts w:hint="eastAsia" w:ascii="仿宋" w:hAnsi="仿宋" w:eastAsia="仿宋" w:cs="仿宋"/>
          <w:color w:val="auto"/>
          <w:sz w:val="21"/>
          <w:szCs w:val="21"/>
          <w:highlight w:val="none"/>
        </w:rPr>
        <w:t>1.1 合同组成部分</w:t>
      </w:r>
      <w:bookmarkEnd w:id="402"/>
      <w:bookmarkEnd w:id="403"/>
      <w:bookmarkEnd w:id="404"/>
      <w:bookmarkEnd w:id="405"/>
      <w:bookmarkEnd w:id="406"/>
    </w:p>
    <w:p w14:paraId="5734AF3F">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12F5419">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1.1.1本合同及其补充合同、变更协议；</w:t>
      </w:r>
    </w:p>
    <w:p w14:paraId="4CC97642">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1.1.2中标或者成交通知书；</w:t>
      </w:r>
    </w:p>
    <w:p w14:paraId="3470480F">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1.1.3投标或者响应文件（含澄清或者说明文件）；</w:t>
      </w:r>
    </w:p>
    <w:p w14:paraId="04C9814A">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1.1.4采购文件（含澄清或者修改文件）；</w:t>
      </w:r>
    </w:p>
    <w:p w14:paraId="63E20D18">
      <w:pPr>
        <w:adjustRightInd/>
        <w:spacing w:line="360" w:lineRule="auto"/>
        <w:ind w:firstLine="420" w:firstLineChars="200"/>
        <w:rPr>
          <w:rFonts w:hint="eastAsia" w:ascii="仿宋" w:hAnsi="仿宋" w:eastAsia="仿宋" w:cs="仿宋"/>
          <w:color w:val="auto"/>
          <w:sz w:val="24"/>
          <w:highlight w:val="none"/>
        </w:rPr>
      </w:pPr>
      <w:r>
        <w:rPr>
          <w:rFonts w:hint="eastAsia" w:ascii="仿宋" w:hAnsi="仿宋" w:eastAsia="仿宋" w:cs="仿宋"/>
          <w:color w:val="auto"/>
          <w:szCs w:val="21"/>
          <w:highlight w:val="none"/>
        </w:rPr>
        <w:t>1.1.5其他相关采购文件。</w:t>
      </w:r>
    </w:p>
    <w:p w14:paraId="65B14463">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07" w:name="_Toc18585"/>
      <w:bookmarkStart w:id="408" w:name="_Toc2918"/>
      <w:bookmarkStart w:id="409" w:name="_Toc22185"/>
      <w:bookmarkStart w:id="410" w:name="_Toc6773"/>
      <w:bookmarkStart w:id="411" w:name="_Toc6311"/>
      <w:r>
        <w:rPr>
          <w:rFonts w:hint="eastAsia" w:ascii="仿宋" w:hAnsi="仿宋" w:eastAsia="仿宋" w:cs="仿宋"/>
          <w:color w:val="auto"/>
          <w:sz w:val="21"/>
          <w:szCs w:val="21"/>
          <w:highlight w:val="none"/>
        </w:rPr>
        <w:t>1.2 标的</w:t>
      </w:r>
      <w:bookmarkEnd w:id="407"/>
      <w:bookmarkEnd w:id="408"/>
      <w:bookmarkEnd w:id="409"/>
      <w:bookmarkEnd w:id="410"/>
      <w:bookmarkEnd w:id="411"/>
    </w:p>
    <w:p w14:paraId="2FC2FAAB">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1.2.1服务内容：</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w:t>
      </w:r>
    </w:p>
    <w:p w14:paraId="68CD6D0C">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1.2.2服务标准：</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w:t>
      </w:r>
    </w:p>
    <w:p w14:paraId="4BCF1ADE">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1.2.3技术保障：</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BC77A21">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1.2.4服务人员组成：</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w:t>
      </w:r>
    </w:p>
    <w:p w14:paraId="6BC48CFA">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1.2.5合同（是/否）涉及货物。若涉及货物的的，则：</w:t>
      </w:r>
    </w:p>
    <w:p w14:paraId="6383628B">
      <w:pPr>
        <w:adjustRightInd/>
        <w:spacing w:line="360" w:lineRule="auto"/>
        <w:ind w:firstLine="420" w:firstLineChars="200"/>
        <w:rPr>
          <w:rFonts w:hint="eastAsia" w:ascii="仿宋" w:hAnsi="仿宋" w:eastAsia="仿宋" w:cs="仿宋"/>
          <w:color w:val="auto"/>
          <w:szCs w:val="21"/>
          <w:highlight w:val="none"/>
        </w:rPr>
      </w:pPr>
      <w:bookmarkStart w:id="412" w:name="_Toc5635"/>
      <w:bookmarkStart w:id="413" w:name="_Toc21124"/>
      <w:bookmarkStart w:id="414" w:name="_Toc4929"/>
      <w:bookmarkStart w:id="415" w:name="_Toc1386"/>
      <w:bookmarkStart w:id="416" w:name="_Toc13918"/>
      <w:r>
        <w:rPr>
          <w:rFonts w:hint="eastAsia" w:ascii="仿宋" w:hAnsi="仿宋" w:eastAsia="仿宋" w:cs="仿宋"/>
          <w:color w:val="auto"/>
          <w:szCs w:val="21"/>
          <w:highlight w:val="none"/>
        </w:rPr>
        <w:t>1.2.5.1货物名称、品牌、规格型号、花色：；</w:t>
      </w:r>
    </w:p>
    <w:p w14:paraId="3D6E804C">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1.2.5.2货物数量：；</w:t>
      </w:r>
    </w:p>
    <w:p w14:paraId="264F2831">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1.2.5.3货物质量：</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1D90A12">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 价款</w:t>
      </w:r>
      <w:bookmarkEnd w:id="412"/>
      <w:bookmarkEnd w:id="413"/>
      <w:bookmarkEnd w:id="414"/>
      <w:bookmarkEnd w:id="415"/>
      <w:bookmarkEnd w:id="416"/>
    </w:p>
    <w:p w14:paraId="575E320C">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本项目采用以下第条款规定的计价方式计价。</w:t>
      </w:r>
    </w:p>
    <w:p w14:paraId="4E60D7EF">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1.3.1总价合同，本合同总价（含税）为：￥元（大写：元人民币）。</w:t>
      </w:r>
    </w:p>
    <w:p w14:paraId="224DF062">
      <w:pPr>
        <w:adjustRightInd/>
        <w:spacing w:line="360" w:lineRule="auto"/>
        <w:ind w:firstLine="420" w:firstLineChars="200"/>
        <w:rPr>
          <w:rFonts w:hint="eastAsia" w:ascii="仿宋" w:hAnsi="仿宋" w:eastAsia="仿宋" w:cs="仿宋"/>
          <w:color w:val="auto"/>
          <w:sz w:val="24"/>
          <w:highlight w:val="none"/>
          <w:u w:val="single"/>
        </w:rPr>
      </w:pPr>
      <w:r>
        <w:rPr>
          <w:rFonts w:hint="eastAsia" w:ascii="仿宋" w:hAnsi="仿宋" w:eastAsia="仿宋" w:cs="仿宋"/>
          <w:color w:val="auto"/>
          <w:szCs w:val="21"/>
          <w:highlight w:val="none"/>
        </w:rPr>
        <w:t>分项价格：</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0"/>
        <w:gridCol w:w="2874"/>
        <w:gridCol w:w="3250"/>
      </w:tblGrid>
      <w:tr w14:paraId="4F8E7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590" w:type="dxa"/>
            <w:vAlign w:val="center"/>
          </w:tcPr>
          <w:p w14:paraId="2C20D552">
            <w:pPr>
              <w:pStyle w:val="322"/>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2874" w:type="dxa"/>
            <w:vAlign w:val="center"/>
          </w:tcPr>
          <w:p w14:paraId="6D73E685">
            <w:pPr>
              <w:pStyle w:val="322"/>
              <w:ind w:firstLine="20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分项名称</w:t>
            </w:r>
          </w:p>
        </w:tc>
        <w:tc>
          <w:tcPr>
            <w:tcW w:w="3250" w:type="dxa"/>
            <w:vAlign w:val="center"/>
          </w:tcPr>
          <w:p w14:paraId="0724FF47">
            <w:pPr>
              <w:pStyle w:val="322"/>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分项价格</w:t>
            </w:r>
          </w:p>
        </w:tc>
      </w:tr>
      <w:tr w14:paraId="65C83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90" w:type="dxa"/>
            <w:vAlign w:val="center"/>
          </w:tcPr>
          <w:p w14:paraId="31049607">
            <w:pPr>
              <w:pStyle w:val="322"/>
              <w:spacing w:line="560" w:lineRule="exact"/>
              <w:ind w:firstLine="200"/>
              <w:jc w:val="center"/>
              <w:rPr>
                <w:rFonts w:hint="eastAsia" w:ascii="仿宋" w:hAnsi="仿宋" w:eastAsia="仿宋" w:cs="仿宋"/>
                <w:color w:val="auto"/>
                <w:sz w:val="21"/>
                <w:szCs w:val="21"/>
                <w:highlight w:val="none"/>
              </w:rPr>
            </w:pPr>
          </w:p>
        </w:tc>
        <w:tc>
          <w:tcPr>
            <w:tcW w:w="2874" w:type="dxa"/>
            <w:vAlign w:val="center"/>
          </w:tcPr>
          <w:p w14:paraId="193AD055">
            <w:pPr>
              <w:pStyle w:val="322"/>
              <w:spacing w:line="560" w:lineRule="exact"/>
              <w:ind w:firstLine="200"/>
              <w:jc w:val="center"/>
              <w:rPr>
                <w:rFonts w:hint="eastAsia" w:ascii="仿宋" w:hAnsi="仿宋" w:eastAsia="仿宋" w:cs="仿宋"/>
                <w:color w:val="auto"/>
                <w:sz w:val="21"/>
                <w:szCs w:val="21"/>
                <w:highlight w:val="none"/>
              </w:rPr>
            </w:pPr>
          </w:p>
        </w:tc>
        <w:tc>
          <w:tcPr>
            <w:tcW w:w="3250" w:type="dxa"/>
            <w:vAlign w:val="center"/>
          </w:tcPr>
          <w:p w14:paraId="6CD1C70B">
            <w:pPr>
              <w:pStyle w:val="322"/>
              <w:spacing w:line="560" w:lineRule="exact"/>
              <w:ind w:firstLine="200"/>
              <w:jc w:val="center"/>
              <w:rPr>
                <w:rFonts w:hint="eastAsia" w:ascii="仿宋" w:hAnsi="仿宋" w:eastAsia="仿宋" w:cs="仿宋"/>
                <w:color w:val="auto"/>
                <w:sz w:val="21"/>
                <w:szCs w:val="21"/>
                <w:highlight w:val="none"/>
              </w:rPr>
            </w:pPr>
          </w:p>
        </w:tc>
      </w:tr>
      <w:tr w14:paraId="544D2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90" w:type="dxa"/>
            <w:vAlign w:val="center"/>
          </w:tcPr>
          <w:p w14:paraId="0FF693C4">
            <w:pPr>
              <w:pStyle w:val="322"/>
              <w:spacing w:line="560" w:lineRule="exact"/>
              <w:ind w:firstLine="200"/>
              <w:jc w:val="center"/>
              <w:rPr>
                <w:rFonts w:hint="eastAsia" w:ascii="仿宋" w:hAnsi="仿宋" w:eastAsia="仿宋" w:cs="仿宋"/>
                <w:color w:val="auto"/>
                <w:sz w:val="21"/>
                <w:szCs w:val="21"/>
                <w:highlight w:val="none"/>
              </w:rPr>
            </w:pPr>
          </w:p>
        </w:tc>
        <w:tc>
          <w:tcPr>
            <w:tcW w:w="2874" w:type="dxa"/>
            <w:vAlign w:val="center"/>
          </w:tcPr>
          <w:p w14:paraId="11C1A610">
            <w:pPr>
              <w:pStyle w:val="322"/>
              <w:spacing w:line="560" w:lineRule="exact"/>
              <w:ind w:firstLine="200"/>
              <w:jc w:val="center"/>
              <w:rPr>
                <w:rFonts w:hint="eastAsia" w:ascii="仿宋" w:hAnsi="仿宋" w:eastAsia="仿宋" w:cs="仿宋"/>
                <w:color w:val="auto"/>
                <w:sz w:val="21"/>
                <w:szCs w:val="21"/>
                <w:highlight w:val="none"/>
              </w:rPr>
            </w:pPr>
          </w:p>
        </w:tc>
        <w:tc>
          <w:tcPr>
            <w:tcW w:w="3250" w:type="dxa"/>
            <w:vAlign w:val="center"/>
          </w:tcPr>
          <w:p w14:paraId="1DACD19F">
            <w:pPr>
              <w:pStyle w:val="322"/>
              <w:spacing w:line="560" w:lineRule="exact"/>
              <w:ind w:firstLine="200"/>
              <w:jc w:val="center"/>
              <w:rPr>
                <w:rFonts w:hint="eastAsia" w:ascii="仿宋" w:hAnsi="仿宋" w:eastAsia="仿宋" w:cs="仿宋"/>
                <w:color w:val="auto"/>
                <w:sz w:val="21"/>
                <w:szCs w:val="21"/>
                <w:highlight w:val="none"/>
              </w:rPr>
            </w:pPr>
          </w:p>
        </w:tc>
      </w:tr>
      <w:tr w14:paraId="64FB5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90" w:type="dxa"/>
            <w:vAlign w:val="center"/>
          </w:tcPr>
          <w:p w14:paraId="2E431CF4">
            <w:pPr>
              <w:pStyle w:val="322"/>
              <w:spacing w:line="560" w:lineRule="exact"/>
              <w:ind w:firstLine="200"/>
              <w:jc w:val="center"/>
              <w:rPr>
                <w:rFonts w:hint="eastAsia" w:ascii="仿宋" w:hAnsi="仿宋" w:eastAsia="仿宋" w:cs="仿宋"/>
                <w:color w:val="auto"/>
                <w:sz w:val="21"/>
                <w:szCs w:val="21"/>
                <w:highlight w:val="none"/>
              </w:rPr>
            </w:pPr>
          </w:p>
        </w:tc>
        <w:tc>
          <w:tcPr>
            <w:tcW w:w="2874" w:type="dxa"/>
            <w:vAlign w:val="center"/>
          </w:tcPr>
          <w:p w14:paraId="533CBBDF">
            <w:pPr>
              <w:pStyle w:val="322"/>
              <w:spacing w:line="560" w:lineRule="exact"/>
              <w:ind w:firstLine="200"/>
              <w:jc w:val="center"/>
              <w:rPr>
                <w:rFonts w:hint="eastAsia" w:ascii="仿宋" w:hAnsi="仿宋" w:eastAsia="仿宋" w:cs="仿宋"/>
                <w:color w:val="auto"/>
                <w:sz w:val="21"/>
                <w:szCs w:val="21"/>
                <w:highlight w:val="none"/>
              </w:rPr>
            </w:pPr>
          </w:p>
        </w:tc>
        <w:tc>
          <w:tcPr>
            <w:tcW w:w="3250" w:type="dxa"/>
            <w:vAlign w:val="center"/>
          </w:tcPr>
          <w:p w14:paraId="26870849">
            <w:pPr>
              <w:pStyle w:val="322"/>
              <w:spacing w:line="560" w:lineRule="exact"/>
              <w:ind w:firstLine="200"/>
              <w:jc w:val="center"/>
              <w:rPr>
                <w:rFonts w:hint="eastAsia" w:ascii="仿宋" w:hAnsi="仿宋" w:eastAsia="仿宋" w:cs="仿宋"/>
                <w:color w:val="auto"/>
                <w:sz w:val="21"/>
                <w:szCs w:val="21"/>
                <w:highlight w:val="none"/>
              </w:rPr>
            </w:pPr>
          </w:p>
        </w:tc>
      </w:tr>
      <w:tr w14:paraId="41E48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90" w:type="dxa"/>
            <w:vAlign w:val="center"/>
          </w:tcPr>
          <w:p w14:paraId="059D8270">
            <w:pPr>
              <w:pStyle w:val="322"/>
              <w:spacing w:line="560" w:lineRule="exact"/>
              <w:ind w:firstLine="200"/>
              <w:jc w:val="center"/>
              <w:rPr>
                <w:rFonts w:hint="eastAsia" w:ascii="仿宋" w:hAnsi="仿宋" w:eastAsia="仿宋" w:cs="仿宋"/>
                <w:color w:val="auto"/>
                <w:sz w:val="21"/>
                <w:szCs w:val="21"/>
                <w:highlight w:val="none"/>
              </w:rPr>
            </w:pPr>
          </w:p>
        </w:tc>
        <w:tc>
          <w:tcPr>
            <w:tcW w:w="2874" w:type="dxa"/>
            <w:vAlign w:val="center"/>
          </w:tcPr>
          <w:p w14:paraId="1EF77975">
            <w:pPr>
              <w:pStyle w:val="322"/>
              <w:spacing w:line="560" w:lineRule="exact"/>
              <w:ind w:firstLine="200"/>
              <w:jc w:val="center"/>
              <w:rPr>
                <w:rFonts w:hint="eastAsia" w:ascii="仿宋" w:hAnsi="仿宋" w:eastAsia="仿宋" w:cs="仿宋"/>
                <w:color w:val="auto"/>
                <w:sz w:val="21"/>
                <w:szCs w:val="21"/>
                <w:highlight w:val="none"/>
              </w:rPr>
            </w:pPr>
          </w:p>
        </w:tc>
        <w:tc>
          <w:tcPr>
            <w:tcW w:w="3250" w:type="dxa"/>
            <w:vAlign w:val="center"/>
          </w:tcPr>
          <w:p w14:paraId="3B95BAB1">
            <w:pPr>
              <w:pStyle w:val="322"/>
              <w:spacing w:line="560" w:lineRule="exact"/>
              <w:ind w:firstLine="200"/>
              <w:jc w:val="center"/>
              <w:rPr>
                <w:rFonts w:hint="eastAsia" w:ascii="仿宋" w:hAnsi="仿宋" w:eastAsia="仿宋" w:cs="仿宋"/>
                <w:color w:val="auto"/>
                <w:sz w:val="21"/>
                <w:szCs w:val="21"/>
                <w:highlight w:val="none"/>
              </w:rPr>
            </w:pPr>
          </w:p>
        </w:tc>
      </w:tr>
      <w:tr w14:paraId="72227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464" w:type="dxa"/>
            <w:gridSpan w:val="2"/>
            <w:vAlign w:val="center"/>
          </w:tcPr>
          <w:p w14:paraId="4EF309DE">
            <w:pPr>
              <w:pStyle w:val="322"/>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总价</w:t>
            </w:r>
          </w:p>
        </w:tc>
        <w:tc>
          <w:tcPr>
            <w:tcW w:w="3250" w:type="dxa"/>
            <w:vAlign w:val="center"/>
          </w:tcPr>
          <w:p w14:paraId="44BDCF5A">
            <w:pPr>
              <w:pStyle w:val="322"/>
              <w:spacing w:line="560" w:lineRule="exact"/>
              <w:ind w:firstLine="200"/>
              <w:jc w:val="center"/>
              <w:rPr>
                <w:rFonts w:hint="eastAsia" w:ascii="仿宋" w:hAnsi="仿宋" w:eastAsia="仿宋" w:cs="仿宋"/>
                <w:color w:val="auto"/>
                <w:sz w:val="21"/>
                <w:szCs w:val="21"/>
                <w:highlight w:val="none"/>
              </w:rPr>
            </w:pPr>
          </w:p>
        </w:tc>
      </w:tr>
    </w:tbl>
    <w:p w14:paraId="4EBB1AFC">
      <w:pPr>
        <w:adjustRightInd/>
        <w:spacing w:line="360" w:lineRule="auto"/>
        <w:ind w:firstLine="420" w:firstLineChars="200"/>
        <w:rPr>
          <w:rFonts w:hint="eastAsia" w:ascii="仿宋" w:hAnsi="仿宋" w:eastAsia="仿宋" w:cs="仿宋"/>
          <w:color w:val="auto"/>
          <w:szCs w:val="21"/>
          <w:highlight w:val="none"/>
        </w:rPr>
      </w:pPr>
      <w:bookmarkStart w:id="417" w:name="_Toc8772"/>
      <w:bookmarkStart w:id="418" w:name="_Toc3625"/>
      <w:bookmarkStart w:id="419" w:name="_Toc11108"/>
      <w:bookmarkStart w:id="420" w:name="_Toc31421"/>
      <w:bookmarkStart w:id="421" w:name="_Toc4760"/>
      <w:r>
        <w:rPr>
          <w:rFonts w:hint="eastAsia" w:ascii="仿宋" w:hAnsi="仿宋" w:eastAsia="仿宋" w:cs="仿宋"/>
          <w:color w:val="auto"/>
          <w:szCs w:val="21"/>
          <w:highlight w:val="none"/>
        </w:rPr>
        <w:t>1.3.2单价合同，本合同单价（含税）标准为：。服务工作量的计量方式为：</w:t>
      </w:r>
      <w:r>
        <w:rPr>
          <w:rFonts w:hint="eastAsia" w:ascii="仿宋" w:hAnsi="仿宋" w:eastAsia="仿宋" w:cs="仿宋"/>
          <w:b/>
          <w:bCs/>
          <w:i/>
          <w:iCs/>
          <w:color w:val="auto"/>
          <w:szCs w:val="21"/>
          <w:highlight w:val="none"/>
          <w:u w:val="single"/>
        </w:rPr>
        <w:t>合同专用条款</w:t>
      </w:r>
      <w:r>
        <w:rPr>
          <w:rFonts w:hint="eastAsia" w:ascii="仿宋" w:hAnsi="仿宋" w:eastAsia="仿宋" w:cs="仿宋"/>
          <w:color w:val="auto"/>
          <w:szCs w:val="21"/>
          <w:highlight w:val="none"/>
        </w:rPr>
        <w:t>。单价合同，在合同履行期间内，根据实际完成的工作量据实结算，但结算总价上限不得超过预算金额或者双方确定的金额￥元（大写：元人民币）。</w:t>
      </w:r>
    </w:p>
    <w:p w14:paraId="6D719018">
      <w:pPr>
        <w:adjustRightInd/>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1.3.3其他计价方式：。</w:t>
      </w:r>
    </w:p>
    <w:p w14:paraId="1B990B59">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1.4履约保证金</w:t>
      </w:r>
    </w:p>
    <w:p w14:paraId="33EC0374">
      <w:pPr>
        <w:pStyle w:val="960"/>
        <w:spacing w:before="0" w:beforeAutospacing="0" w:after="0" w:afterAutospacing="0"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乙方（是/否）需要支付履约保证金。若需要支付履约保证金的，则：</w:t>
      </w:r>
    </w:p>
    <w:p w14:paraId="0D1F65FC">
      <w:pPr>
        <w:adjustRightInd/>
        <w:spacing w:line="360" w:lineRule="auto"/>
        <w:ind w:firstLine="420" w:firstLineChars="200"/>
        <w:outlineLvl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1.4.1履约保证金的比例为合同金额的%；</w:t>
      </w:r>
    </w:p>
    <w:p w14:paraId="7EFBC634">
      <w:pPr>
        <w:adjustRightInd/>
        <w:spacing w:line="360" w:lineRule="auto"/>
        <w:ind w:firstLine="420" w:firstLineChars="200"/>
        <w:outlineLvl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1.4.2履约保证金支付方式详见</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kern w:val="0"/>
          <w:szCs w:val="21"/>
          <w:highlight w:val="none"/>
        </w:rPr>
        <w:t>；</w:t>
      </w:r>
    </w:p>
    <w:p w14:paraId="514E5EF5">
      <w:pPr>
        <w:pStyle w:val="3"/>
        <w:tabs>
          <w:tab w:val="left" w:pos="0"/>
        </w:tabs>
        <w:ind w:left="0" w:firstLine="420" w:firstLineChars="200"/>
        <w:rPr>
          <w:rFonts w:hint="eastAsia" w:ascii="仿宋" w:hAnsi="仿宋" w:eastAsia="仿宋" w:cs="仿宋"/>
          <w:color w:val="auto"/>
          <w:sz w:val="21"/>
          <w:szCs w:val="21"/>
          <w:highlight w:val="none"/>
          <w:lang w:val="en-US"/>
        </w:rPr>
      </w:pPr>
      <w:r>
        <w:rPr>
          <w:rFonts w:hint="eastAsia" w:ascii="仿宋" w:hAnsi="仿宋" w:eastAsia="仿宋" w:cs="仿宋"/>
          <w:b w:val="0"/>
          <w:bCs w:val="0"/>
          <w:color w:val="auto"/>
          <w:kern w:val="0"/>
          <w:sz w:val="21"/>
          <w:szCs w:val="21"/>
          <w:highlight w:val="none"/>
          <w:lang w:val="en-US"/>
        </w:rPr>
        <w:t>1.4.3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13592EB">
      <w:pPr>
        <w:adjustRightInd/>
        <w:spacing w:line="360" w:lineRule="auto"/>
        <w:ind w:firstLine="42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Cs w:val="21"/>
          <w:highlight w:val="none"/>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Cs w:val="21"/>
          <w:highlight w:val="none"/>
          <w:u w:val="single"/>
        </w:rPr>
        <w:t xml:space="preserve">  0.05  </w:t>
      </w:r>
      <w:r>
        <w:rPr>
          <w:rFonts w:hint="eastAsia" w:ascii="仿宋" w:hAnsi="仿宋" w:eastAsia="仿宋" w:cs="仿宋"/>
          <w:color w:val="auto"/>
          <w:kern w:val="0"/>
          <w:szCs w:val="21"/>
          <w:highlight w:val="none"/>
        </w:rPr>
        <w:t>%计算，最高限额为本合同履约保证金的</w:t>
      </w:r>
      <w:r>
        <w:rPr>
          <w:rFonts w:hint="eastAsia" w:ascii="仿宋" w:hAnsi="仿宋" w:eastAsia="仿宋" w:cs="仿宋"/>
          <w:color w:val="auto"/>
          <w:kern w:val="0"/>
          <w:szCs w:val="21"/>
          <w:highlight w:val="none"/>
          <w:u w:val="single"/>
        </w:rPr>
        <w:t xml:space="preserve">  20  </w:t>
      </w:r>
      <w:r>
        <w:rPr>
          <w:rFonts w:hint="eastAsia" w:ascii="仿宋" w:hAnsi="仿宋" w:eastAsia="仿宋" w:cs="仿宋"/>
          <w:color w:val="auto"/>
          <w:kern w:val="0"/>
          <w:szCs w:val="21"/>
          <w:highlight w:val="none"/>
        </w:rPr>
        <w:t xml:space="preserve"> %。</w:t>
      </w:r>
    </w:p>
    <w:p w14:paraId="21C78DA9">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1.5预付款</w:t>
      </w:r>
    </w:p>
    <w:p w14:paraId="23EFE464">
      <w:pPr>
        <w:pStyle w:val="960"/>
        <w:spacing w:before="0" w:beforeAutospacing="0" w:after="0" w:afterAutospacing="0"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甲方（是/否）需要支付预付款。若需要支付预付款的，则：</w:t>
      </w:r>
    </w:p>
    <w:p w14:paraId="22D6EA2A">
      <w:pPr>
        <w:adjustRightInd/>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1.5.1预付款比例、支付方式、时间详见</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kern w:val="0"/>
          <w:szCs w:val="21"/>
          <w:highlight w:val="none"/>
        </w:rPr>
        <w:t>；</w:t>
      </w:r>
    </w:p>
    <w:p w14:paraId="184F446F">
      <w:pPr>
        <w:pStyle w:val="960"/>
        <w:spacing w:before="0" w:beforeAutospacing="0" w:after="0" w:afterAutospacing="0"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1.5.2预付款的扣回方式详见</w:t>
      </w:r>
      <w:r>
        <w:rPr>
          <w:rFonts w:hint="eastAsia" w:ascii="仿宋" w:hAnsi="仿宋" w:eastAsia="仿宋" w:cs="仿宋"/>
          <w:b/>
          <w:i/>
          <w:color w:val="auto"/>
          <w:sz w:val="21"/>
          <w:szCs w:val="21"/>
          <w:highlight w:val="none"/>
          <w:u w:val="single"/>
        </w:rPr>
        <w:t>合同专用条款</w:t>
      </w:r>
      <w:r>
        <w:rPr>
          <w:rFonts w:hint="eastAsia" w:ascii="仿宋" w:hAnsi="仿宋" w:eastAsia="仿宋" w:cs="仿宋"/>
          <w:color w:val="auto"/>
          <w:sz w:val="21"/>
          <w:szCs w:val="21"/>
          <w:highlight w:val="none"/>
        </w:rPr>
        <w:t>；</w:t>
      </w:r>
    </w:p>
    <w:p w14:paraId="0FC3DB34">
      <w:pPr>
        <w:pStyle w:val="960"/>
        <w:spacing w:before="0" w:beforeAutospacing="0" w:after="0" w:afterAutospacing="0" w:line="360" w:lineRule="auto"/>
        <w:ind w:firstLine="420" w:firstLineChars="200"/>
        <w:rPr>
          <w:rFonts w:hint="eastAsia" w:ascii="仿宋" w:hAnsi="仿宋" w:eastAsia="仿宋" w:cs="仿宋"/>
          <w:color w:val="auto"/>
          <w:highlight w:val="none"/>
          <w:u w:val="single"/>
        </w:rPr>
      </w:pPr>
      <w:r>
        <w:rPr>
          <w:rFonts w:hint="eastAsia" w:ascii="仿宋" w:hAnsi="仿宋" w:eastAsia="仿宋" w:cs="仿宋"/>
          <w:color w:val="auto"/>
          <w:sz w:val="21"/>
          <w:szCs w:val="21"/>
          <w:highlight w:val="none"/>
        </w:rPr>
        <w:t>1.5.3预付款的担保措施详见</w:t>
      </w:r>
      <w:r>
        <w:rPr>
          <w:rFonts w:hint="eastAsia" w:ascii="仿宋" w:hAnsi="仿宋" w:eastAsia="仿宋" w:cs="仿宋"/>
          <w:b/>
          <w:i/>
          <w:color w:val="auto"/>
          <w:sz w:val="21"/>
          <w:szCs w:val="21"/>
          <w:highlight w:val="none"/>
          <w:u w:val="single"/>
        </w:rPr>
        <w:t>合同专用条款</w:t>
      </w:r>
      <w:r>
        <w:rPr>
          <w:rFonts w:hint="eastAsia" w:ascii="仿宋" w:hAnsi="仿宋" w:eastAsia="仿宋" w:cs="仿宋"/>
          <w:color w:val="auto"/>
          <w:sz w:val="21"/>
          <w:szCs w:val="21"/>
          <w:highlight w:val="none"/>
        </w:rPr>
        <w:t>。</w:t>
      </w:r>
    </w:p>
    <w:p w14:paraId="7B0D3D07">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1.6资金支付</w:t>
      </w:r>
    </w:p>
    <w:p w14:paraId="43743E9F">
      <w:pPr>
        <w:pStyle w:val="960"/>
        <w:spacing w:before="0" w:beforeAutospacing="0" w:after="0" w:afterAutospacing="0"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DD443B">
      <w:pPr>
        <w:adjustRightInd/>
        <w:spacing w:line="360" w:lineRule="auto"/>
        <w:ind w:firstLine="420" w:firstLineChars="200"/>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1.6.2资金支付的方式、时间和条件详见</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w:t>
      </w:r>
    </w:p>
    <w:p w14:paraId="6DFE644E">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1.7 履行期限、地点和方式</w:t>
      </w:r>
      <w:bookmarkEnd w:id="417"/>
      <w:bookmarkEnd w:id="418"/>
      <w:bookmarkEnd w:id="419"/>
      <w:bookmarkEnd w:id="420"/>
      <w:bookmarkEnd w:id="421"/>
    </w:p>
    <w:p w14:paraId="657A3ED7">
      <w:pPr>
        <w:adjustRightInd/>
        <w:spacing w:line="360" w:lineRule="auto"/>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1.7.1服务交付（实施）的时间（期限）：</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w:t>
      </w:r>
    </w:p>
    <w:p w14:paraId="74DD0C5F">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1.7.2服务交付（实施）的地点（地域范围）：</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w:t>
      </w:r>
    </w:p>
    <w:p w14:paraId="31588F75">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1.7.3服务交付（实施）的方式：</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w:t>
      </w:r>
    </w:p>
    <w:p w14:paraId="0224B892">
      <w:pPr>
        <w:adjustRightInd/>
        <w:spacing w:line="360" w:lineRule="auto"/>
        <w:ind w:firstLine="420" w:firstLineChars="200"/>
        <w:outlineLvl w:val="0"/>
        <w:rPr>
          <w:rFonts w:hint="eastAsia" w:ascii="仿宋" w:hAnsi="仿宋" w:eastAsia="仿宋" w:cs="仿宋"/>
          <w:bCs/>
          <w:color w:val="auto"/>
          <w:szCs w:val="21"/>
          <w:highlight w:val="none"/>
        </w:rPr>
      </w:pPr>
      <w:bookmarkStart w:id="422" w:name="_Toc5698"/>
      <w:bookmarkStart w:id="423" w:name="_Toc2375"/>
      <w:bookmarkStart w:id="424" w:name="_Toc3079"/>
      <w:bookmarkStart w:id="425" w:name="_Toc24662"/>
      <w:bookmarkStart w:id="426" w:name="_Toc8586"/>
      <w:r>
        <w:rPr>
          <w:rFonts w:hint="eastAsia" w:ascii="仿宋" w:hAnsi="仿宋" w:eastAsia="仿宋" w:cs="仿宋"/>
          <w:bCs/>
          <w:color w:val="auto"/>
          <w:szCs w:val="21"/>
          <w:highlight w:val="none"/>
        </w:rPr>
        <w:t>1.7.4若服务涉及货物的，则货物的：</w:t>
      </w:r>
    </w:p>
    <w:p w14:paraId="1596950A">
      <w:pPr>
        <w:adjustRightInd/>
        <w:spacing w:line="360" w:lineRule="auto"/>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1.7.4.1交付期限：详见</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w:t>
      </w:r>
    </w:p>
    <w:p w14:paraId="7B46A6D2">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1.7.4.2交付地点：</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w:t>
      </w:r>
    </w:p>
    <w:p w14:paraId="7823B3DF">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1.7.4.3交付方式：</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w:t>
      </w:r>
    </w:p>
    <w:p w14:paraId="71AE88D7">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1.8违约责任</w:t>
      </w:r>
      <w:bookmarkEnd w:id="422"/>
      <w:bookmarkEnd w:id="423"/>
      <w:bookmarkEnd w:id="424"/>
      <w:bookmarkEnd w:id="425"/>
      <w:bookmarkEnd w:id="426"/>
    </w:p>
    <w:p w14:paraId="131BFDDB">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1.8.1除不可抗力外，如果乙方没有按照本合同约定的期限、地点和方式交付服务成果或者实施服务，那么甲方可要求乙方支付违约金，迟延履行违约金按每迟延履行一日的应提供而未提供服务价格的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Cs w:val="21"/>
          <w:highlight w:val="none"/>
          <w:u w:val="single"/>
        </w:rPr>
        <w:t xml:space="preserve">0.05 </w:t>
      </w:r>
      <w:r>
        <w:rPr>
          <w:rFonts w:hint="eastAsia" w:ascii="仿宋" w:hAnsi="仿宋" w:eastAsia="仿宋" w:cs="仿宋"/>
          <w:color w:val="auto"/>
          <w:szCs w:val="21"/>
          <w:highlight w:val="none"/>
        </w:rPr>
        <w:t>%计算，最高限额为本合同总价的</w:t>
      </w:r>
      <w:r>
        <w:rPr>
          <w:rFonts w:hint="eastAsia" w:ascii="仿宋" w:hAnsi="仿宋" w:eastAsia="仿宋" w:cs="仿宋"/>
          <w:color w:val="auto"/>
          <w:szCs w:val="21"/>
          <w:highlight w:val="none"/>
          <w:u w:val="single"/>
        </w:rPr>
        <w:t xml:space="preserve">  20   </w:t>
      </w:r>
      <w:r>
        <w:rPr>
          <w:rFonts w:hint="eastAsia" w:ascii="仿宋" w:hAnsi="仿宋" w:eastAsia="仿宋" w:cs="仿宋"/>
          <w:color w:val="auto"/>
          <w:szCs w:val="21"/>
          <w:highlight w:val="none"/>
        </w:rPr>
        <w:t>%；迟延履行的违约金计算数额达到前述最高限额之日起，甲方有权在要求乙方支付违约金的同时，书面通知乙方解除本合同；</w:t>
      </w:r>
    </w:p>
    <w:p w14:paraId="02670031">
      <w:pPr>
        <w:pStyle w:val="3"/>
        <w:ind w:left="0" w:firstLine="420" w:firstLineChars="200"/>
        <w:rPr>
          <w:rFonts w:hint="eastAsia" w:ascii="仿宋" w:hAnsi="仿宋" w:eastAsia="仿宋" w:cs="仿宋"/>
          <w:b w:val="0"/>
          <w:bCs w:val="0"/>
          <w:color w:val="auto"/>
          <w:sz w:val="21"/>
          <w:szCs w:val="21"/>
          <w:highlight w:val="none"/>
          <w:lang w:val="en-US"/>
        </w:rPr>
      </w:pPr>
      <w:r>
        <w:rPr>
          <w:rFonts w:hint="eastAsia" w:ascii="仿宋" w:hAnsi="仿宋" w:eastAsia="仿宋" w:cs="仿宋"/>
          <w:b w:val="0"/>
          <w:bCs w:val="0"/>
          <w:color w:val="auto"/>
          <w:sz w:val="21"/>
          <w:szCs w:val="21"/>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1"/>
          <w:szCs w:val="21"/>
          <w:highlight w:val="none"/>
          <w:u w:val="single"/>
          <w:lang w:val="en-US"/>
        </w:rPr>
        <w:t xml:space="preserve">  0.05   </w:t>
      </w:r>
      <w:r>
        <w:rPr>
          <w:rFonts w:hint="eastAsia" w:ascii="仿宋" w:hAnsi="仿宋" w:eastAsia="仿宋" w:cs="仿宋"/>
          <w:b w:val="0"/>
          <w:bCs w:val="0"/>
          <w:color w:val="auto"/>
          <w:sz w:val="21"/>
          <w:szCs w:val="21"/>
          <w:highlight w:val="none"/>
          <w:lang w:val="en-US"/>
        </w:rPr>
        <w:t>%计算，最高限额为本合同总价的</w:t>
      </w:r>
      <w:r>
        <w:rPr>
          <w:rFonts w:hint="eastAsia" w:ascii="仿宋" w:hAnsi="仿宋" w:eastAsia="仿宋" w:cs="仿宋"/>
          <w:b w:val="0"/>
          <w:bCs w:val="0"/>
          <w:color w:val="auto"/>
          <w:sz w:val="21"/>
          <w:szCs w:val="21"/>
          <w:highlight w:val="none"/>
          <w:u w:val="single"/>
          <w:lang w:val="en-US"/>
        </w:rPr>
        <w:t xml:space="preserve">  20  </w:t>
      </w:r>
      <w:r>
        <w:rPr>
          <w:rFonts w:hint="eastAsia" w:ascii="仿宋" w:hAnsi="仿宋" w:eastAsia="仿宋" w:cs="仿宋"/>
          <w:b w:val="0"/>
          <w:bCs w:val="0"/>
          <w:color w:val="auto"/>
          <w:sz w:val="21"/>
          <w:szCs w:val="21"/>
          <w:highlight w:val="none"/>
          <w:lang w:val="en-US"/>
        </w:rPr>
        <w:t>%；迟延交付货物的违约金计算数额达到前述最高限额之日起，甲方有权在要求乙方支付违约金的同时，书面通知乙方解除本合同；</w:t>
      </w:r>
    </w:p>
    <w:p w14:paraId="48FDDF5B">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Cs w:val="21"/>
          <w:highlight w:val="none"/>
          <w:u w:val="single"/>
        </w:rPr>
        <w:t xml:space="preserve">   0.05   </w:t>
      </w:r>
      <w:r>
        <w:rPr>
          <w:rFonts w:hint="eastAsia" w:ascii="仿宋" w:hAnsi="仿宋" w:eastAsia="仿宋" w:cs="仿宋"/>
          <w:color w:val="auto"/>
          <w:szCs w:val="21"/>
          <w:highlight w:val="none"/>
        </w:rPr>
        <w:t>%计算，最高限额为本合同总价的</w:t>
      </w:r>
      <w:r>
        <w:rPr>
          <w:rFonts w:hint="eastAsia" w:ascii="仿宋" w:hAnsi="仿宋" w:eastAsia="仿宋" w:cs="仿宋"/>
          <w:color w:val="auto"/>
          <w:szCs w:val="21"/>
          <w:highlight w:val="none"/>
          <w:u w:val="single"/>
        </w:rPr>
        <w:t xml:space="preserve">   20   </w:t>
      </w:r>
      <w:r>
        <w:rPr>
          <w:rFonts w:hint="eastAsia" w:ascii="仿宋" w:hAnsi="仿宋" w:eastAsia="仿宋" w:cs="仿宋"/>
          <w:color w:val="auto"/>
          <w:szCs w:val="21"/>
          <w:highlight w:val="none"/>
        </w:rPr>
        <w:t>%；迟延付款的违约金计算数额达到前述最高限额之日起，乙方有权在要求甲方支付违约金的同时，书面通知甲方解除本合同；</w:t>
      </w:r>
    </w:p>
    <w:p w14:paraId="6FE720C3">
      <w:pPr>
        <w:adjustRightInd/>
        <w:spacing w:line="360" w:lineRule="auto"/>
        <w:ind w:firstLine="420" w:firstLineChars="200"/>
        <w:rPr>
          <w:rFonts w:hint="eastAsia" w:ascii="仿宋" w:hAnsi="仿宋" w:eastAsia="仿宋" w:cs="仿宋"/>
          <w:color w:val="auto"/>
          <w:szCs w:val="21"/>
          <w:highlight w:val="none"/>
        </w:rPr>
      </w:pPr>
      <w:bookmarkStart w:id="427" w:name="_Toc32454"/>
      <w:bookmarkStart w:id="428" w:name="_Toc18683"/>
      <w:bookmarkStart w:id="429" w:name="_Toc26807"/>
      <w:bookmarkStart w:id="430" w:name="_Toc9497"/>
      <w:bookmarkStart w:id="431" w:name="_Toc30329"/>
      <w:r>
        <w:rPr>
          <w:rFonts w:hint="eastAsia" w:ascii="仿宋" w:hAnsi="仿宋" w:eastAsia="仿宋" w:cs="仿宋"/>
          <w:color w:val="auto"/>
          <w:szCs w:val="21"/>
          <w:highlight w:val="none"/>
        </w:rPr>
        <w:t>1.8.4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3D84298">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1.8.5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3F9E158">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6A43308D">
      <w:pPr>
        <w:adjustRightInd/>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1.8.7违约责任</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另有约定的，从其约定。</w:t>
      </w:r>
    </w:p>
    <w:bookmarkEnd w:id="427"/>
    <w:bookmarkEnd w:id="428"/>
    <w:bookmarkEnd w:id="429"/>
    <w:bookmarkEnd w:id="430"/>
    <w:bookmarkEnd w:id="431"/>
    <w:p w14:paraId="7243B34D">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32" w:name="_Toc15583"/>
      <w:bookmarkStart w:id="433" w:name="_Toc16021"/>
      <w:bookmarkStart w:id="434" w:name="_Toc28375"/>
      <w:r>
        <w:rPr>
          <w:rFonts w:hint="eastAsia" w:ascii="仿宋" w:hAnsi="仿宋" w:eastAsia="仿宋" w:cs="仿宋"/>
          <w:color w:val="auto"/>
          <w:sz w:val="21"/>
          <w:szCs w:val="21"/>
          <w:highlight w:val="none"/>
        </w:rPr>
        <w:t>1.9合同争议的解决</w:t>
      </w:r>
      <w:bookmarkEnd w:id="432"/>
      <w:bookmarkEnd w:id="433"/>
      <w:bookmarkEnd w:id="434"/>
    </w:p>
    <w:p w14:paraId="29B7A581">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本合同履行过程中发生的任何争议，双方当事人均可通过和解或者调解解决；不愿和解、调解或者和解、调解不成的，可以选择以下第</w:t>
      </w:r>
      <w:r>
        <w:rPr>
          <w:rFonts w:hint="eastAsia" w:ascii="仿宋" w:hAnsi="仿宋" w:eastAsia="仿宋" w:cs="仿宋"/>
          <w:color w:val="auto"/>
          <w:szCs w:val="21"/>
          <w:highlight w:val="none"/>
          <w:u w:val="single"/>
        </w:rPr>
        <w:t>1.9.2</w:t>
      </w:r>
      <w:r>
        <w:rPr>
          <w:rFonts w:hint="eastAsia" w:ascii="仿宋" w:hAnsi="仿宋" w:eastAsia="仿宋" w:cs="仿宋"/>
          <w:color w:val="auto"/>
          <w:szCs w:val="21"/>
          <w:highlight w:val="none"/>
        </w:rPr>
        <w:t>条款规定的方式解决：</w:t>
      </w:r>
    </w:p>
    <w:p w14:paraId="4A1B2042">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1.9.1将争议提交</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仲裁委员会依申请仲裁时其现行有效的仲裁规则裁决；</w:t>
      </w:r>
    </w:p>
    <w:p w14:paraId="079606AE">
      <w:pPr>
        <w:adjustRightInd/>
        <w:spacing w:line="360" w:lineRule="auto"/>
        <w:ind w:firstLine="420" w:firstLineChars="200"/>
        <w:rPr>
          <w:rFonts w:hint="eastAsia" w:ascii="仿宋" w:hAnsi="仿宋" w:eastAsia="仿宋" w:cs="仿宋"/>
          <w:color w:val="auto"/>
          <w:sz w:val="24"/>
          <w:highlight w:val="none"/>
        </w:rPr>
      </w:pPr>
      <w:r>
        <w:rPr>
          <w:rFonts w:hint="eastAsia" w:ascii="仿宋" w:hAnsi="仿宋" w:eastAsia="仿宋" w:cs="仿宋"/>
          <w:color w:val="auto"/>
          <w:szCs w:val="21"/>
          <w:highlight w:val="none"/>
        </w:rPr>
        <w:t>1.9.2向</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人民法院起诉。</w:t>
      </w:r>
    </w:p>
    <w:p w14:paraId="123E63D1">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35" w:name="_Toc11173"/>
      <w:bookmarkStart w:id="436" w:name="_Toc15322"/>
      <w:bookmarkStart w:id="437" w:name="_Toc7245"/>
      <w:r>
        <w:rPr>
          <w:rFonts w:hint="eastAsia" w:ascii="仿宋" w:hAnsi="仿宋" w:eastAsia="仿宋" w:cs="仿宋"/>
          <w:color w:val="auto"/>
          <w:sz w:val="21"/>
          <w:szCs w:val="21"/>
          <w:highlight w:val="none"/>
        </w:rPr>
        <w:t>2.0 合同生效</w:t>
      </w:r>
      <w:bookmarkEnd w:id="435"/>
      <w:bookmarkEnd w:id="436"/>
      <w:bookmarkEnd w:id="437"/>
    </w:p>
    <w:p w14:paraId="26487E60">
      <w:pPr>
        <w:adjustRightInd/>
        <w:spacing w:line="360" w:lineRule="auto"/>
        <w:ind w:firstLine="420" w:firstLineChars="200"/>
        <w:rPr>
          <w:rFonts w:hint="eastAsia" w:ascii="仿宋" w:hAnsi="仿宋" w:eastAsia="仿宋" w:cs="仿宋"/>
          <w:color w:val="auto"/>
          <w:sz w:val="24"/>
          <w:highlight w:val="none"/>
        </w:rPr>
      </w:pPr>
      <w:r>
        <w:rPr>
          <w:rFonts w:hint="eastAsia" w:ascii="仿宋" w:hAnsi="仿宋" w:eastAsia="仿宋" w:cs="仿宋"/>
          <w:color w:val="auto"/>
          <w:szCs w:val="21"/>
          <w:highlight w:val="none"/>
        </w:rPr>
        <w:t>本合同自双方当事人盖章签字时生效。</w:t>
      </w:r>
    </w:p>
    <w:p w14:paraId="780FDF56">
      <w:pPr>
        <w:keepNext w:val="0"/>
        <w:keepLines w:val="0"/>
        <w:pageBreakBefore w:val="0"/>
        <w:widowControl w:val="0"/>
        <w:kinsoku/>
        <w:wordWrap/>
        <w:overflowPunct/>
        <w:topLinePunct w:val="0"/>
        <w:autoSpaceDE w:val="0"/>
        <w:autoSpaceDN w:val="0"/>
        <w:bidi w:val="0"/>
        <w:adjustRightInd w:val="0"/>
        <w:snapToGrid/>
        <w:spacing w:line="360" w:lineRule="auto"/>
        <w:ind w:firstLine="422"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b/>
          <w:color w:val="auto"/>
          <w:szCs w:val="21"/>
          <w:highlight w:val="none"/>
          <w:lang w:val="zh-CN"/>
        </w:rPr>
        <w:t>甲方</w:t>
      </w:r>
      <w:r>
        <w:rPr>
          <w:rFonts w:hint="eastAsia" w:ascii="仿宋" w:hAnsi="仿宋" w:eastAsia="仿宋" w:cs="仿宋"/>
          <w:color w:val="auto"/>
          <w:szCs w:val="21"/>
          <w:highlight w:val="none"/>
          <w:lang w:val="zh-CN"/>
        </w:rPr>
        <w:t xml:space="preserve">：                             </w:t>
      </w:r>
      <w:r>
        <w:rPr>
          <w:rFonts w:hint="eastAsia" w:ascii="仿宋" w:hAnsi="仿宋" w:eastAsia="仿宋" w:cs="仿宋"/>
          <w:b/>
          <w:color w:val="auto"/>
          <w:szCs w:val="21"/>
          <w:highlight w:val="none"/>
          <w:lang w:val="zh-CN"/>
        </w:rPr>
        <w:t xml:space="preserve">      乙方</w:t>
      </w:r>
      <w:r>
        <w:rPr>
          <w:rFonts w:hint="eastAsia" w:ascii="仿宋" w:hAnsi="仿宋" w:eastAsia="仿宋" w:cs="仿宋"/>
          <w:color w:val="auto"/>
          <w:szCs w:val="21"/>
          <w:highlight w:val="none"/>
          <w:lang w:val="zh-CN"/>
        </w:rPr>
        <w:t>：</w:t>
      </w:r>
    </w:p>
    <w:p w14:paraId="0CFE409F">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统一社会信用代码：                        统一社会信用代码或身份证号码：</w:t>
      </w:r>
    </w:p>
    <w:p w14:paraId="4C822E86">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住所：                                   住所：</w:t>
      </w:r>
    </w:p>
    <w:p w14:paraId="5DEB2039">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法定代表人或                             法定代表人或</w:t>
      </w:r>
    </w:p>
    <w:p w14:paraId="07662579">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 xml:space="preserve">授权代表（签字）：                       授权代表（签字）: </w:t>
      </w:r>
    </w:p>
    <w:p w14:paraId="5EF6F91C">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联系人：                                 联系人：</w:t>
      </w:r>
    </w:p>
    <w:p w14:paraId="5CAD5CEF">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约定送达地址：                           约定送达地址：</w:t>
      </w:r>
    </w:p>
    <w:p w14:paraId="3A35B765">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邮政编码：                               邮政编码：</w:t>
      </w:r>
    </w:p>
    <w:p w14:paraId="4FDB7432">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 xml:space="preserve">电话:                                    电话: </w:t>
      </w:r>
    </w:p>
    <w:p w14:paraId="142EB15F">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传真:                                    传真:</w:t>
      </w:r>
    </w:p>
    <w:p w14:paraId="22672AB9">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电子邮箱：                               电子邮箱：</w:t>
      </w:r>
    </w:p>
    <w:p w14:paraId="2D95AE97">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开户银行：                               开户银行： </w:t>
      </w:r>
    </w:p>
    <w:p w14:paraId="1902E41D">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开户名称：                               开户名称： </w:t>
      </w:r>
    </w:p>
    <w:p w14:paraId="248372F9">
      <w:pPr>
        <w:keepNext w:val="0"/>
        <w:keepLines w:val="0"/>
        <w:pageBreakBefore w:val="0"/>
        <w:widowControl w:val="0"/>
        <w:kinsoku/>
        <w:wordWrap/>
        <w:overflowPunct/>
        <w:topLinePunct w:val="0"/>
        <w:bidi w:val="0"/>
        <w:adjustRightInd w:val="0"/>
        <w:snapToGrid/>
        <w:spacing w:line="360" w:lineRule="auto"/>
        <w:ind w:firstLine="420" w:firstLineChars="200"/>
        <w:textAlignment w:val="auto"/>
        <w:rPr>
          <w:rFonts w:hint="eastAsia" w:ascii="仿宋" w:hAnsi="仿宋" w:eastAsia="仿宋" w:cs="仿宋"/>
          <w:color w:val="auto"/>
          <w:highlight w:val="none"/>
        </w:rPr>
      </w:pPr>
      <w:r>
        <w:rPr>
          <w:rFonts w:hint="eastAsia" w:ascii="仿宋" w:hAnsi="仿宋" w:eastAsia="仿宋" w:cs="仿宋"/>
          <w:color w:val="auto"/>
          <w:szCs w:val="21"/>
          <w:highlight w:val="none"/>
        </w:rPr>
        <w:t>开户账号：开户账号：</w:t>
      </w:r>
    </w:p>
    <w:bookmarkEnd w:id="399"/>
    <w:bookmarkEnd w:id="400"/>
    <w:bookmarkEnd w:id="401"/>
    <w:p w14:paraId="31225AF9">
      <w:pPr>
        <w:pStyle w:val="49"/>
        <w:rPr>
          <w:rFonts w:hint="eastAsia" w:ascii="仿宋" w:hAnsi="仿宋" w:eastAsia="仿宋" w:cs="仿宋"/>
          <w:color w:val="auto"/>
          <w:highlight w:val="none"/>
        </w:rPr>
      </w:pPr>
      <w:bookmarkStart w:id="438" w:name="_Toc331685783"/>
      <w:r>
        <w:rPr>
          <w:rFonts w:hint="eastAsia" w:ascii="仿宋" w:hAnsi="仿宋" w:eastAsia="仿宋" w:cs="仿宋"/>
          <w:color w:val="auto"/>
          <w:highlight w:val="none"/>
        </w:rPr>
        <w:br w:type="page"/>
      </w:r>
      <w:bookmarkStart w:id="439" w:name="_Toc97118342"/>
      <w:bookmarkStart w:id="440" w:name="_Toc132308034"/>
      <w:bookmarkStart w:id="441" w:name="_Toc97118736"/>
      <w:bookmarkStart w:id="442" w:name="_Toc126654845"/>
      <w:r>
        <w:rPr>
          <w:rFonts w:hint="eastAsia" w:ascii="仿宋" w:hAnsi="仿宋" w:eastAsia="仿宋" w:cs="仿宋"/>
          <w:color w:val="auto"/>
          <w:sz w:val="32"/>
          <w:highlight w:val="none"/>
        </w:rPr>
        <w:t>第二部分 合同一般条款</w:t>
      </w:r>
      <w:bookmarkEnd w:id="438"/>
      <w:bookmarkEnd w:id="439"/>
      <w:bookmarkEnd w:id="440"/>
      <w:bookmarkEnd w:id="441"/>
      <w:bookmarkEnd w:id="442"/>
    </w:p>
    <w:p w14:paraId="79F484FE">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43" w:name="_Toc19680"/>
      <w:bookmarkStart w:id="444" w:name="_Toc5228"/>
      <w:bookmarkStart w:id="445" w:name="_Toc31297"/>
      <w:bookmarkStart w:id="446" w:name="_Toc25079"/>
      <w:bookmarkStart w:id="447" w:name="_Toc14021"/>
      <w:r>
        <w:rPr>
          <w:rFonts w:hint="eastAsia" w:ascii="仿宋" w:hAnsi="仿宋" w:eastAsia="仿宋" w:cs="仿宋"/>
          <w:color w:val="auto"/>
          <w:sz w:val="21"/>
          <w:szCs w:val="21"/>
          <w:highlight w:val="none"/>
        </w:rPr>
        <w:t>2.1 定义</w:t>
      </w:r>
      <w:bookmarkEnd w:id="443"/>
      <w:bookmarkEnd w:id="444"/>
      <w:bookmarkEnd w:id="445"/>
      <w:bookmarkEnd w:id="446"/>
      <w:bookmarkEnd w:id="447"/>
    </w:p>
    <w:p w14:paraId="2D706225">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本合同中的下列词语应按以下内容进行解释：</w:t>
      </w:r>
    </w:p>
    <w:p w14:paraId="7A165524">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2.1.1“合同”系指采购人和中标或成交供应商签订的载明双方当事人所达成的协议，并包括所有的附件、附录和构成合同的其他文件。</w:t>
      </w:r>
    </w:p>
    <w:p w14:paraId="05660163">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2.1.2“合同价”系指根据合同约定，中标或成交供应商在完全履行合同义务后，采购人应支付给中标或成交供应商的价格。</w:t>
      </w:r>
    </w:p>
    <w:p w14:paraId="56EB341C">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2.1.3“服务”系指中标或成交供应商根据合同约定应向采购人履行的除货物和工程以外的其他政府采购对象，包括采购人自身需要的服务和向社会公众提供的公共服务。</w:t>
      </w:r>
    </w:p>
    <w:p w14:paraId="0C8E2EA5">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2.1.4“甲方”系指与中标或成交供应商签署合同的采购人；采购人委托采购代理机构代表其与乙方签订合同的，采购人的授权委托书作为合同附件。</w:t>
      </w:r>
    </w:p>
    <w:p w14:paraId="73E63EAF">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2.1.5“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21DC4B4">
      <w:pPr>
        <w:adjustRightInd/>
        <w:spacing w:line="360" w:lineRule="auto"/>
        <w:ind w:firstLine="420" w:firstLineChars="200"/>
        <w:rPr>
          <w:rFonts w:hint="eastAsia" w:ascii="仿宋" w:hAnsi="仿宋" w:eastAsia="仿宋" w:cs="仿宋"/>
          <w:color w:val="auto"/>
          <w:sz w:val="24"/>
          <w:highlight w:val="none"/>
        </w:rPr>
      </w:pPr>
      <w:r>
        <w:rPr>
          <w:rFonts w:hint="eastAsia" w:ascii="仿宋" w:hAnsi="仿宋" w:eastAsia="仿宋" w:cs="仿宋"/>
          <w:color w:val="auto"/>
          <w:szCs w:val="21"/>
          <w:highlight w:val="none"/>
        </w:rPr>
        <w:t>2.1.6“现场”系指合同约定提供服务的地点。</w:t>
      </w:r>
    </w:p>
    <w:p w14:paraId="69B05D32">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48" w:name="_Toc23289"/>
      <w:bookmarkStart w:id="449" w:name="_Toc16752"/>
      <w:bookmarkStart w:id="450" w:name="_Toc31402"/>
      <w:bookmarkStart w:id="451" w:name="_Toc3769"/>
      <w:bookmarkStart w:id="452" w:name="_Toc19539"/>
      <w:r>
        <w:rPr>
          <w:rFonts w:hint="eastAsia" w:ascii="仿宋" w:hAnsi="仿宋" w:eastAsia="仿宋" w:cs="仿宋"/>
          <w:color w:val="auto"/>
          <w:sz w:val="21"/>
          <w:szCs w:val="21"/>
          <w:highlight w:val="none"/>
        </w:rPr>
        <w:t>2.2 技术规范</w:t>
      </w:r>
      <w:bookmarkEnd w:id="448"/>
      <w:bookmarkEnd w:id="449"/>
      <w:bookmarkEnd w:id="450"/>
      <w:bookmarkEnd w:id="451"/>
      <w:bookmarkEnd w:id="452"/>
    </w:p>
    <w:p w14:paraId="412E21A5">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DA84E3C">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53" w:name="_Toc4133"/>
      <w:bookmarkStart w:id="454" w:name="_Toc27945"/>
      <w:bookmarkStart w:id="455" w:name="_Toc12412"/>
      <w:bookmarkStart w:id="456" w:name="_Toc9161"/>
      <w:bookmarkStart w:id="457" w:name="_Toc13673"/>
      <w:r>
        <w:rPr>
          <w:rFonts w:hint="eastAsia" w:ascii="仿宋" w:hAnsi="仿宋" w:eastAsia="仿宋" w:cs="仿宋"/>
          <w:color w:val="auto"/>
          <w:sz w:val="21"/>
          <w:szCs w:val="21"/>
          <w:highlight w:val="none"/>
        </w:rPr>
        <w:t>2.3 知识产权</w:t>
      </w:r>
      <w:bookmarkEnd w:id="453"/>
      <w:bookmarkEnd w:id="454"/>
      <w:bookmarkEnd w:id="455"/>
      <w:bookmarkEnd w:id="456"/>
      <w:bookmarkEnd w:id="457"/>
    </w:p>
    <w:p w14:paraId="629648B0">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2.3.1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537C244">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2.3.2合同涉及技术成果的归属和收益的分成办法的，详见合同专用条款。</w:t>
      </w:r>
    </w:p>
    <w:p w14:paraId="7EFDC7AE">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2.4 履约检查和问题反馈</w:t>
      </w:r>
    </w:p>
    <w:p w14:paraId="2D71600B">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5A7A9CCF">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2.4.2合同履行期间，甲方有权将履行过程中出现的问题反馈给乙方，双方当事人应以书面形式约定需要完善和改进的内容。</w:t>
      </w:r>
    </w:p>
    <w:p w14:paraId="49228C6A">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58" w:name="_Toc26555"/>
      <w:bookmarkStart w:id="459" w:name="_Toc32670"/>
      <w:bookmarkStart w:id="460" w:name="_Toc22011"/>
      <w:bookmarkStart w:id="461" w:name="_Toc31233"/>
      <w:bookmarkStart w:id="462" w:name="_Toc15447"/>
      <w:r>
        <w:rPr>
          <w:rFonts w:hint="eastAsia" w:ascii="仿宋" w:hAnsi="仿宋" w:eastAsia="仿宋" w:cs="仿宋"/>
          <w:color w:val="auto"/>
          <w:sz w:val="21"/>
          <w:szCs w:val="21"/>
          <w:highlight w:val="none"/>
        </w:rPr>
        <w:t>2.5 结算方式和付款条件</w:t>
      </w:r>
      <w:bookmarkEnd w:id="458"/>
      <w:bookmarkEnd w:id="459"/>
      <w:bookmarkEnd w:id="460"/>
      <w:bookmarkEnd w:id="461"/>
      <w:bookmarkEnd w:id="462"/>
    </w:p>
    <w:p w14:paraId="2EB6B5C5">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详见</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w:t>
      </w:r>
    </w:p>
    <w:p w14:paraId="502DAE01">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63" w:name="_Toc13467"/>
      <w:bookmarkStart w:id="464" w:name="_Toc16163"/>
      <w:bookmarkStart w:id="465" w:name="_Toc13154"/>
      <w:bookmarkStart w:id="466" w:name="_Toc18990"/>
      <w:bookmarkStart w:id="467" w:name="_Toc30507"/>
      <w:r>
        <w:rPr>
          <w:rFonts w:hint="eastAsia" w:ascii="仿宋" w:hAnsi="仿宋" w:eastAsia="仿宋" w:cs="仿宋"/>
          <w:color w:val="auto"/>
          <w:sz w:val="21"/>
          <w:szCs w:val="21"/>
          <w:highlight w:val="none"/>
        </w:rPr>
        <w:t>2.6 技术资料和保密义务</w:t>
      </w:r>
      <w:bookmarkEnd w:id="463"/>
      <w:bookmarkEnd w:id="464"/>
      <w:bookmarkEnd w:id="465"/>
      <w:bookmarkEnd w:id="466"/>
      <w:bookmarkEnd w:id="467"/>
    </w:p>
    <w:p w14:paraId="6D1FBD56">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2.6.1乙方有权依据合同约定和项目需要，向甲方了解有关情况，调阅有关资料等，甲方应予积极配合；</w:t>
      </w:r>
    </w:p>
    <w:p w14:paraId="55E82073">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2.6.2乙方有义务妥善保管和保护由甲方提供的前款信息和资料等；</w:t>
      </w:r>
    </w:p>
    <w:p w14:paraId="72F82F7B">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EB3E3EF">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68" w:name="_Toc19069"/>
      <w:r>
        <w:rPr>
          <w:rFonts w:hint="eastAsia" w:ascii="仿宋" w:hAnsi="仿宋" w:eastAsia="仿宋" w:cs="仿宋"/>
          <w:color w:val="auto"/>
          <w:sz w:val="21"/>
          <w:szCs w:val="21"/>
          <w:highlight w:val="none"/>
        </w:rPr>
        <w:t>2.7 质量保证</w:t>
      </w:r>
      <w:bookmarkEnd w:id="468"/>
    </w:p>
    <w:p w14:paraId="5A09C336">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2.7.1乙方应建立和完善履行合同的内部质量保证体系，并提供相关内部规章制度给甲方，以便甲方进行监督检查；</w:t>
      </w:r>
    </w:p>
    <w:p w14:paraId="47B0B4F8">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2.7.2乙方应保证履行合同的人员数量和素质、软件和硬件设备的配置、场地、环境和设施等满足全面履行合同的要求，并应接受甲方的监督检查。</w:t>
      </w:r>
    </w:p>
    <w:p w14:paraId="70C945F3">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69" w:name="_Toc22267"/>
      <w:r>
        <w:rPr>
          <w:rFonts w:hint="eastAsia" w:ascii="仿宋" w:hAnsi="仿宋" w:eastAsia="仿宋" w:cs="仿宋"/>
          <w:color w:val="auto"/>
          <w:sz w:val="21"/>
          <w:szCs w:val="21"/>
          <w:highlight w:val="none"/>
        </w:rPr>
        <w:t>2.8 延迟履行</w:t>
      </w:r>
      <w:bookmarkEnd w:id="469"/>
    </w:p>
    <w:p w14:paraId="61489E55">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69011247">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70" w:name="_Toc10611"/>
      <w:r>
        <w:rPr>
          <w:rFonts w:hint="eastAsia" w:ascii="仿宋" w:hAnsi="仿宋" w:eastAsia="仿宋" w:cs="仿宋"/>
          <w:color w:val="auto"/>
          <w:sz w:val="21"/>
          <w:szCs w:val="21"/>
          <w:highlight w:val="none"/>
        </w:rPr>
        <w:t>2.9 合同变更</w:t>
      </w:r>
      <w:bookmarkEnd w:id="470"/>
    </w:p>
    <w:p w14:paraId="5E8C19FD">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合同继续履行将损害国家利益和社会公共利益的，双方当事人应当以书面形式变更合同。有过错的一方应当承担赔偿责任，双方当事人都有过错的，各自承担相应的责任。</w:t>
      </w:r>
    </w:p>
    <w:p w14:paraId="224D93C8">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71" w:name="_Toc26689"/>
      <w:bookmarkStart w:id="472" w:name="_Toc21830"/>
      <w:bookmarkStart w:id="473" w:name="_Toc23368"/>
      <w:bookmarkStart w:id="474" w:name="_Toc42"/>
      <w:bookmarkStart w:id="475" w:name="_Toc10663"/>
      <w:r>
        <w:rPr>
          <w:rFonts w:hint="eastAsia" w:ascii="仿宋" w:hAnsi="仿宋" w:eastAsia="仿宋" w:cs="仿宋"/>
          <w:color w:val="auto"/>
          <w:sz w:val="21"/>
          <w:szCs w:val="21"/>
          <w:highlight w:val="none"/>
        </w:rPr>
        <w:t>2.10 合同转让和分包</w:t>
      </w:r>
      <w:bookmarkEnd w:id="471"/>
      <w:bookmarkEnd w:id="472"/>
      <w:bookmarkEnd w:id="473"/>
      <w:bookmarkEnd w:id="474"/>
      <w:bookmarkEnd w:id="475"/>
    </w:p>
    <w:p w14:paraId="7F50BB3B">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D85DD4B">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76" w:name="_Toc4720"/>
      <w:bookmarkStart w:id="477" w:name="_Toc32494"/>
      <w:bookmarkStart w:id="478" w:name="_Toc26633"/>
      <w:bookmarkStart w:id="479" w:name="_Toc14371"/>
      <w:bookmarkStart w:id="480" w:name="_Toc25571"/>
      <w:r>
        <w:rPr>
          <w:rFonts w:hint="eastAsia" w:ascii="仿宋" w:hAnsi="仿宋" w:eastAsia="仿宋" w:cs="仿宋"/>
          <w:color w:val="auto"/>
          <w:sz w:val="21"/>
          <w:szCs w:val="21"/>
          <w:highlight w:val="none"/>
        </w:rPr>
        <w:t>2.11 不可抗力</w:t>
      </w:r>
      <w:bookmarkEnd w:id="476"/>
      <w:bookmarkEnd w:id="477"/>
      <w:bookmarkEnd w:id="478"/>
      <w:bookmarkEnd w:id="479"/>
      <w:bookmarkEnd w:id="480"/>
    </w:p>
    <w:p w14:paraId="31FD18F4">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2.11.1如果任何一方遭遇法律规定的不可抗力，致使合同履行受阻时，履行合同的期限应予延长，延长的期限应相当于不可抗力所影响的时间；</w:t>
      </w:r>
    </w:p>
    <w:p w14:paraId="401CA8AC">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2.11.2因不可抗力致使不能实现合同目的的，当事人可以解除合同；</w:t>
      </w:r>
    </w:p>
    <w:p w14:paraId="7A7B0F5D">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2.11.3因不可抗力致使合同有变更必要的，双方当事人应在</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约定时间内以书面形式变更合同；</w:t>
      </w:r>
    </w:p>
    <w:p w14:paraId="330350F5">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2.11.4受不可抗力影响的一方在不可抗力发生后，应在</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约定时间内以书面形式通知对方当事人，并在</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约定时间内，将有关部门出具的证明文件送达对方当事人。</w:t>
      </w:r>
    </w:p>
    <w:p w14:paraId="075495B8">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81" w:name="_Toc3638"/>
      <w:bookmarkStart w:id="482" w:name="_Toc14115"/>
      <w:bookmarkStart w:id="483" w:name="_Toc23854"/>
      <w:bookmarkStart w:id="484" w:name="_Toc25783"/>
      <w:bookmarkStart w:id="485" w:name="_Toc24465"/>
      <w:r>
        <w:rPr>
          <w:rFonts w:hint="eastAsia" w:ascii="仿宋" w:hAnsi="仿宋" w:eastAsia="仿宋" w:cs="仿宋"/>
          <w:color w:val="auto"/>
          <w:sz w:val="21"/>
          <w:szCs w:val="21"/>
          <w:highlight w:val="none"/>
        </w:rPr>
        <w:t>2.12 税费</w:t>
      </w:r>
      <w:bookmarkEnd w:id="481"/>
      <w:bookmarkEnd w:id="482"/>
      <w:bookmarkEnd w:id="483"/>
      <w:bookmarkEnd w:id="484"/>
      <w:bookmarkEnd w:id="485"/>
    </w:p>
    <w:p w14:paraId="05358201">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与合同有关的一切税费，均按照中华人民共和国法律的相关规定缴纳。</w:t>
      </w:r>
    </w:p>
    <w:p w14:paraId="0C5A28C8">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86" w:name="_Toc25525"/>
      <w:bookmarkStart w:id="487" w:name="_Toc7315"/>
      <w:bookmarkStart w:id="488" w:name="_Toc30105"/>
      <w:bookmarkStart w:id="489" w:name="_Toc14814"/>
      <w:bookmarkStart w:id="490" w:name="_Toc26883"/>
      <w:r>
        <w:rPr>
          <w:rFonts w:hint="eastAsia" w:ascii="仿宋" w:hAnsi="仿宋" w:eastAsia="仿宋" w:cs="仿宋"/>
          <w:color w:val="auto"/>
          <w:sz w:val="21"/>
          <w:szCs w:val="21"/>
          <w:highlight w:val="none"/>
        </w:rPr>
        <w:t>2.13 乙方破产</w:t>
      </w:r>
      <w:bookmarkEnd w:id="486"/>
      <w:bookmarkEnd w:id="487"/>
      <w:bookmarkEnd w:id="488"/>
      <w:bookmarkEnd w:id="489"/>
      <w:bookmarkEnd w:id="490"/>
    </w:p>
    <w:p w14:paraId="1064260E">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717F832">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91" w:name="_Toc2016"/>
      <w:bookmarkStart w:id="492" w:name="_Toc23323"/>
      <w:bookmarkStart w:id="493" w:name="_Toc1123"/>
      <w:r>
        <w:rPr>
          <w:rFonts w:hint="eastAsia" w:ascii="仿宋" w:hAnsi="仿宋" w:eastAsia="仿宋" w:cs="仿宋"/>
          <w:color w:val="auto"/>
          <w:sz w:val="21"/>
          <w:szCs w:val="21"/>
          <w:highlight w:val="none"/>
        </w:rPr>
        <w:t>2.14 合同中止、终止</w:t>
      </w:r>
      <w:bookmarkEnd w:id="491"/>
      <w:bookmarkEnd w:id="492"/>
      <w:bookmarkEnd w:id="493"/>
    </w:p>
    <w:p w14:paraId="3C450A01">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2.14.1双方当事人不得擅自中止或者终止合同；</w:t>
      </w:r>
    </w:p>
    <w:p w14:paraId="1B69191C">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2.14.2合同继续履行将损害国家利益和社会公共利益的，双方当事人应当中止或者终止合同。有过错的一方应当承担赔偿责任，双方当事人都有过错的，各自承担相应的责任。</w:t>
      </w:r>
    </w:p>
    <w:p w14:paraId="17439D32">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94" w:name="_Toc1969"/>
      <w:bookmarkStart w:id="495" w:name="_Toc17363"/>
      <w:bookmarkStart w:id="496" w:name="_Toc14525"/>
      <w:r>
        <w:rPr>
          <w:rFonts w:hint="eastAsia" w:ascii="仿宋" w:hAnsi="仿宋" w:eastAsia="仿宋" w:cs="仿宋"/>
          <w:color w:val="auto"/>
          <w:sz w:val="21"/>
          <w:szCs w:val="21"/>
          <w:highlight w:val="none"/>
        </w:rPr>
        <w:t>2.15 检验和验收</w:t>
      </w:r>
      <w:bookmarkEnd w:id="494"/>
      <w:bookmarkEnd w:id="495"/>
      <w:bookmarkEnd w:id="496"/>
    </w:p>
    <w:p w14:paraId="65483864">
      <w:pPr>
        <w:tabs>
          <w:tab w:val="left" w:pos="360"/>
          <w:tab w:val="left" w:pos="540"/>
          <w:tab w:val="left" w:pos="1080"/>
        </w:tabs>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2.15.1乙方按照</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的约定，定期提交服务报告，甲方按照</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的约定进行定期验收；</w:t>
      </w:r>
    </w:p>
    <w:p w14:paraId="16318A90">
      <w:pPr>
        <w:tabs>
          <w:tab w:val="left" w:pos="360"/>
          <w:tab w:val="left" w:pos="540"/>
          <w:tab w:val="left" w:pos="1080"/>
        </w:tabs>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57C987C">
      <w:pPr>
        <w:tabs>
          <w:tab w:val="left" w:pos="360"/>
          <w:tab w:val="left" w:pos="540"/>
          <w:tab w:val="left" w:pos="1080"/>
        </w:tabs>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2.15.3检验和验收标准、程序等具体内容以及前述验收书的效力详见</w:t>
      </w:r>
      <w:r>
        <w:rPr>
          <w:rFonts w:hint="eastAsia" w:ascii="仿宋" w:hAnsi="仿宋" w:eastAsia="仿宋" w:cs="仿宋"/>
          <w:b/>
          <w:i/>
          <w:color w:val="auto"/>
          <w:szCs w:val="21"/>
          <w:highlight w:val="none"/>
          <w:u w:val="single"/>
        </w:rPr>
        <w:t>合同专用条款</w:t>
      </w:r>
      <w:r>
        <w:rPr>
          <w:rFonts w:hint="eastAsia" w:ascii="仿宋" w:hAnsi="仿宋" w:eastAsia="仿宋" w:cs="仿宋"/>
          <w:i/>
          <w:color w:val="auto"/>
          <w:szCs w:val="21"/>
          <w:highlight w:val="none"/>
        </w:rPr>
        <w:t>。</w:t>
      </w:r>
    </w:p>
    <w:p w14:paraId="55AFE89D">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497" w:name="_Toc25198"/>
      <w:bookmarkStart w:id="498" w:name="_Toc12666"/>
      <w:bookmarkStart w:id="499" w:name="_Toc2308"/>
      <w:bookmarkStart w:id="500" w:name="_Toc31892"/>
      <w:bookmarkStart w:id="501" w:name="_Toc9808"/>
      <w:r>
        <w:rPr>
          <w:rFonts w:hint="eastAsia" w:ascii="仿宋" w:hAnsi="仿宋" w:eastAsia="仿宋" w:cs="仿宋"/>
          <w:color w:val="auto"/>
          <w:sz w:val="21"/>
          <w:szCs w:val="21"/>
          <w:highlight w:val="none"/>
        </w:rPr>
        <w:t>2.16 通知和送达</w:t>
      </w:r>
      <w:bookmarkEnd w:id="497"/>
      <w:bookmarkEnd w:id="498"/>
      <w:bookmarkEnd w:id="499"/>
      <w:bookmarkEnd w:id="500"/>
      <w:bookmarkEnd w:id="501"/>
    </w:p>
    <w:p w14:paraId="697914CD">
      <w:pPr>
        <w:wordWrap w:val="0"/>
        <w:adjustRightInd/>
        <w:spacing w:line="360" w:lineRule="auto"/>
        <w:ind w:firstLine="420" w:firstLineChars="200"/>
        <w:rPr>
          <w:rFonts w:hint="eastAsia" w:ascii="仿宋" w:hAnsi="仿宋" w:eastAsia="仿宋" w:cs="仿宋"/>
          <w:color w:val="auto"/>
          <w:szCs w:val="21"/>
          <w:highlight w:val="none"/>
        </w:rPr>
      </w:pPr>
      <w:bookmarkStart w:id="502" w:name="_Toc18401"/>
      <w:bookmarkStart w:id="503" w:name="_Toc27674"/>
      <w:r>
        <w:rPr>
          <w:rFonts w:hint="eastAsia" w:ascii="仿宋" w:hAnsi="仿宋" w:eastAsia="仿宋" w:cs="仿宋"/>
          <w:color w:val="auto"/>
          <w:szCs w:val="21"/>
          <w:highlight w:val="none"/>
        </w:rPr>
        <w:t>2.16.1任何一方因履行合同而以合同第一部分尾部所列明的传真或电子邮件发出的所有通知、文件、材料，均视为已向对方当事人送达；任何一方变更上述送达方式或者地址的，应于3个工作日内书面通知对方当事人，在对方当事人收到有关变更通知之前，变更前的约定送达方式或者地址仍视为有效。</w:t>
      </w:r>
    </w:p>
    <w:p w14:paraId="584E544D">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2"/>
      <w:bookmarkEnd w:id="503"/>
    </w:p>
    <w:p w14:paraId="40043D6E">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504" w:name="_Toc27644"/>
      <w:bookmarkStart w:id="505" w:name="_Toc12254"/>
      <w:bookmarkStart w:id="506" w:name="_Toc20808"/>
      <w:bookmarkStart w:id="507" w:name="_Toc28906"/>
      <w:bookmarkStart w:id="508" w:name="_Toc5063"/>
      <w:r>
        <w:rPr>
          <w:rFonts w:hint="eastAsia" w:ascii="仿宋" w:hAnsi="仿宋" w:eastAsia="仿宋" w:cs="仿宋"/>
          <w:color w:val="auto"/>
          <w:sz w:val="21"/>
          <w:szCs w:val="21"/>
          <w:highlight w:val="none"/>
        </w:rPr>
        <w:t>2.17 合同使用的文字和适用的法律</w:t>
      </w:r>
      <w:bookmarkEnd w:id="504"/>
      <w:bookmarkEnd w:id="505"/>
      <w:bookmarkEnd w:id="506"/>
      <w:bookmarkEnd w:id="507"/>
      <w:bookmarkEnd w:id="508"/>
    </w:p>
    <w:p w14:paraId="2A878AC7">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2.17.1 合同使用汉语书就、变更和解释；</w:t>
      </w:r>
    </w:p>
    <w:p w14:paraId="6194DA24">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2.17.2 合同适用中华人民共和国法律。</w:t>
      </w:r>
    </w:p>
    <w:p w14:paraId="7629B30F">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bookmarkStart w:id="509" w:name="_Toc4355"/>
      <w:bookmarkStart w:id="510" w:name="_Toc18540"/>
      <w:bookmarkStart w:id="511" w:name="_Toc30599"/>
      <w:r>
        <w:rPr>
          <w:rFonts w:hint="eastAsia" w:ascii="仿宋" w:hAnsi="仿宋" w:eastAsia="仿宋" w:cs="仿宋"/>
          <w:color w:val="auto"/>
          <w:sz w:val="21"/>
          <w:szCs w:val="21"/>
          <w:highlight w:val="none"/>
        </w:rPr>
        <w:t>2.18 计量单位</w:t>
      </w:r>
      <w:bookmarkEnd w:id="509"/>
      <w:bookmarkEnd w:id="510"/>
      <w:bookmarkEnd w:id="511"/>
    </w:p>
    <w:p w14:paraId="010AFA61">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除技术规范中另有规定外,合同的计量单位均使用国家法定计量单位。</w:t>
      </w:r>
    </w:p>
    <w:p w14:paraId="76C520A3">
      <w:pPr>
        <w:pStyle w:val="5"/>
        <w:adjustRightInd/>
        <w:spacing w:beforeLines="100" w:afterLines="100" w:line="240" w:lineRule="auto"/>
        <w:ind w:left="0" w:firstLine="422"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2.19合同份数</w:t>
      </w:r>
    </w:p>
    <w:p w14:paraId="18D3D1D2">
      <w:pPr>
        <w:adjustRightInd/>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合同份数按</w:t>
      </w:r>
      <w:r>
        <w:rPr>
          <w:rFonts w:hint="eastAsia" w:ascii="仿宋" w:hAnsi="仿宋" w:eastAsia="仿宋" w:cs="仿宋"/>
          <w:b/>
          <w:i/>
          <w:color w:val="auto"/>
          <w:szCs w:val="21"/>
          <w:highlight w:val="none"/>
          <w:u w:val="single"/>
        </w:rPr>
        <w:t>合同专用条款</w:t>
      </w:r>
      <w:r>
        <w:rPr>
          <w:rFonts w:hint="eastAsia" w:ascii="仿宋" w:hAnsi="仿宋" w:eastAsia="仿宋" w:cs="仿宋"/>
          <w:color w:val="auto"/>
          <w:szCs w:val="21"/>
          <w:highlight w:val="none"/>
        </w:rPr>
        <w:t>规定，每份均具有同等法律效力。</w:t>
      </w:r>
    </w:p>
    <w:p w14:paraId="46A723D4">
      <w:pPr>
        <w:widowControl/>
        <w:jc w:val="left"/>
        <w:rPr>
          <w:rFonts w:hint="eastAsia" w:ascii="仿宋" w:hAnsi="仿宋" w:eastAsia="仿宋" w:cs="仿宋"/>
          <w:color w:val="auto"/>
          <w:sz w:val="24"/>
          <w:szCs w:val="20"/>
          <w:highlight w:val="none"/>
        </w:rPr>
      </w:pPr>
      <w:r>
        <w:rPr>
          <w:rFonts w:hint="eastAsia" w:ascii="仿宋" w:hAnsi="仿宋" w:eastAsia="仿宋" w:cs="仿宋"/>
          <w:color w:val="auto"/>
          <w:highlight w:val="none"/>
        </w:rPr>
        <w:br w:type="page"/>
      </w:r>
    </w:p>
    <w:p w14:paraId="613CB207">
      <w:pPr>
        <w:pStyle w:val="49"/>
        <w:spacing w:beforeLines="100" w:afterLines="100"/>
        <w:rPr>
          <w:rFonts w:hint="eastAsia" w:ascii="仿宋" w:hAnsi="仿宋" w:eastAsia="仿宋" w:cs="仿宋"/>
          <w:color w:val="auto"/>
          <w:sz w:val="32"/>
          <w:highlight w:val="none"/>
        </w:rPr>
      </w:pPr>
      <w:bookmarkStart w:id="512" w:name="_Toc126654846"/>
      <w:bookmarkStart w:id="513" w:name="_Toc132308035"/>
      <w:r>
        <w:rPr>
          <w:rFonts w:hint="eastAsia" w:ascii="仿宋" w:hAnsi="仿宋" w:eastAsia="仿宋" w:cs="仿宋"/>
          <w:color w:val="auto"/>
          <w:sz w:val="32"/>
          <w:highlight w:val="none"/>
        </w:rPr>
        <w:t>第三部分 合同专用条款</w:t>
      </w:r>
      <w:bookmarkEnd w:id="512"/>
      <w:bookmarkEnd w:id="513"/>
    </w:p>
    <w:p w14:paraId="4B0BEDE1">
      <w:pPr>
        <w:pStyle w:val="6"/>
        <w:adjustRightInd/>
        <w:spacing w:line="360" w:lineRule="auto"/>
        <w:ind w:firstLine="420" w:firstLineChars="200"/>
        <w:rPr>
          <w:rFonts w:hint="eastAsia" w:ascii="仿宋" w:hAnsi="仿宋" w:eastAsia="仿宋" w:cs="仿宋"/>
          <w:b/>
          <w:i/>
          <w:color w:val="auto"/>
          <w:sz w:val="24"/>
          <w:szCs w:val="24"/>
          <w:highlight w:val="none"/>
          <w:u w:val="single"/>
        </w:rPr>
      </w:pPr>
      <w:r>
        <w:rPr>
          <w:rFonts w:hint="eastAsia" w:ascii="仿宋" w:hAnsi="仿宋" w:eastAsia="仿宋" w:cs="仿宋"/>
          <w:color w:val="auto"/>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130"/>
        <w:gridCol w:w="7793"/>
      </w:tblGrid>
      <w:tr w14:paraId="355100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633" w:type="pct"/>
            <w:tcBorders>
              <w:left w:val="single" w:color="auto" w:sz="4" w:space="0"/>
            </w:tcBorders>
            <w:vAlign w:val="center"/>
          </w:tcPr>
          <w:p w14:paraId="147794A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条款号</w:t>
            </w:r>
          </w:p>
        </w:tc>
        <w:tc>
          <w:tcPr>
            <w:tcW w:w="4366" w:type="pct"/>
            <w:vAlign w:val="center"/>
          </w:tcPr>
          <w:p w14:paraId="75977C4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约定内容</w:t>
            </w:r>
          </w:p>
        </w:tc>
      </w:tr>
      <w:tr w14:paraId="5D12CA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04" w:hRule="exact"/>
        </w:trPr>
        <w:tc>
          <w:tcPr>
            <w:tcW w:w="633" w:type="pct"/>
            <w:tcBorders>
              <w:left w:val="single" w:color="auto" w:sz="4" w:space="0"/>
            </w:tcBorders>
            <w:vAlign w:val="center"/>
          </w:tcPr>
          <w:p w14:paraId="454E63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1.3.2</w:t>
            </w:r>
          </w:p>
        </w:tc>
        <w:tc>
          <w:tcPr>
            <w:tcW w:w="4366" w:type="pct"/>
            <w:vAlign w:val="center"/>
          </w:tcPr>
          <w:p w14:paraId="530EEB31">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服务工作量的计量方式：</w:t>
            </w:r>
            <w:r>
              <w:rPr>
                <w:rFonts w:hint="eastAsia" w:ascii="仿宋" w:hAnsi="仿宋" w:eastAsia="仿宋" w:cs="仿宋"/>
                <w:color w:val="auto"/>
                <w:szCs w:val="21"/>
                <w:highlight w:val="none"/>
                <w:u w:val="single"/>
              </w:rPr>
              <w:t xml:space="preserve"> / </w:t>
            </w:r>
          </w:p>
        </w:tc>
      </w:tr>
      <w:tr w14:paraId="57AA58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exact"/>
        </w:trPr>
        <w:tc>
          <w:tcPr>
            <w:tcW w:w="633" w:type="pct"/>
            <w:tcBorders>
              <w:left w:val="single" w:color="auto" w:sz="4" w:space="0"/>
            </w:tcBorders>
            <w:vAlign w:val="center"/>
          </w:tcPr>
          <w:p w14:paraId="6ECB2C4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1.4.2</w:t>
            </w:r>
          </w:p>
        </w:tc>
        <w:tc>
          <w:tcPr>
            <w:tcW w:w="4366" w:type="pct"/>
            <w:vAlign w:val="center"/>
          </w:tcPr>
          <w:p w14:paraId="4420AE01">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履约保证金支付方式：</w:t>
            </w:r>
            <w:r>
              <w:rPr>
                <w:rFonts w:hint="eastAsia" w:ascii="仿宋" w:hAnsi="仿宋" w:eastAsia="仿宋" w:cs="仿宋"/>
                <w:color w:val="auto"/>
                <w:szCs w:val="21"/>
                <w:highlight w:val="none"/>
                <w:u w:val="single"/>
              </w:rPr>
              <w:t xml:space="preserve"> / </w:t>
            </w:r>
          </w:p>
        </w:tc>
      </w:tr>
      <w:tr w14:paraId="2717B5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17" w:hRule="exact"/>
        </w:trPr>
        <w:tc>
          <w:tcPr>
            <w:tcW w:w="633" w:type="pct"/>
            <w:tcBorders>
              <w:left w:val="single" w:color="auto" w:sz="4" w:space="0"/>
            </w:tcBorders>
            <w:vAlign w:val="center"/>
          </w:tcPr>
          <w:p w14:paraId="4C19C9E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1.5.1</w:t>
            </w:r>
          </w:p>
        </w:tc>
        <w:tc>
          <w:tcPr>
            <w:tcW w:w="4366" w:type="pct"/>
            <w:vAlign w:val="center"/>
          </w:tcPr>
          <w:p w14:paraId="1824180A">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预付款比例：</w:t>
            </w:r>
            <w:r>
              <w:rPr>
                <w:rFonts w:hint="eastAsia" w:ascii="仿宋" w:hAnsi="仿宋" w:eastAsia="仿宋" w:cs="仿宋"/>
                <w:color w:val="auto"/>
                <w:szCs w:val="21"/>
                <w:highlight w:val="none"/>
                <w:u w:val="single"/>
              </w:rPr>
              <w:t>合同金额的</w:t>
            </w:r>
            <w:r>
              <w:rPr>
                <w:rFonts w:hint="eastAsia" w:ascii="仿宋" w:hAnsi="仿宋" w:eastAsia="仿宋" w:cs="仿宋"/>
                <w:color w:val="auto"/>
                <w:szCs w:val="21"/>
                <w:highlight w:val="none"/>
                <w:u w:val="single"/>
                <w:lang w:val="en-US" w:eastAsia="zh-CN"/>
              </w:rPr>
              <w:t>2</w:t>
            </w:r>
            <w:r>
              <w:rPr>
                <w:rFonts w:hint="eastAsia" w:ascii="仿宋" w:hAnsi="仿宋" w:eastAsia="仿宋" w:cs="仿宋"/>
                <w:color w:val="auto"/>
                <w:szCs w:val="21"/>
                <w:highlight w:val="none"/>
                <w:u w:val="single"/>
              </w:rPr>
              <w:t>0％</w:t>
            </w:r>
          </w:p>
          <w:p w14:paraId="401C2886">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预付款支付方式：</w:t>
            </w:r>
            <w:r>
              <w:rPr>
                <w:rFonts w:hint="eastAsia" w:ascii="仿宋" w:hAnsi="仿宋" w:eastAsia="仿宋" w:cs="仿宋"/>
                <w:color w:val="auto"/>
                <w:szCs w:val="21"/>
                <w:highlight w:val="none"/>
                <w:u w:val="single"/>
              </w:rPr>
              <w:t>转账方式，支付至乙方账户</w:t>
            </w:r>
          </w:p>
          <w:p w14:paraId="336B4AA1">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预付款支付时间：</w:t>
            </w:r>
            <w:r>
              <w:rPr>
                <w:rFonts w:hint="eastAsia" w:ascii="仿宋" w:hAnsi="仿宋" w:eastAsia="仿宋" w:cs="仿宋"/>
                <w:color w:val="auto"/>
                <w:szCs w:val="21"/>
                <w:highlight w:val="none"/>
                <w:u w:val="single"/>
              </w:rPr>
              <w:t>合同签订后7个工作日内</w:t>
            </w:r>
          </w:p>
        </w:tc>
      </w:tr>
      <w:tr w14:paraId="527801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exact"/>
        </w:trPr>
        <w:tc>
          <w:tcPr>
            <w:tcW w:w="633" w:type="pct"/>
            <w:tcBorders>
              <w:left w:val="single" w:color="auto" w:sz="4" w:space="0"/>
            </w:tcBorders>
            <w:vAlign w:val="center"/>
          </w:tcPr>
          <w:p w14:paraId="62EE5F5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1.5.2</w:t>
            </w:r>
          </w:p>
        </w:tc>
        <w:tc>
          <w:tcPr>
            <w:tcW w:w="4366" w:type="pct"/>
            <w:vAlign w:val="center"/>
          </w:tcPr>
          <w:p w14:paraId="07F29BC5">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预付款的扣回方式：</w:t>
            </w:r>
            <w:r>
              <w:rPr>
                <w:rFonts w:hint="eastAsia" w:ascii="仿宋" w:hAnsi="仿宋" w:eastAsia="仿宋" w:cs="仿宋"/>
                <w:color w:val="auto"/>
                <w:szCs w:val="21"/>
                <w:highlight w:val="none"/>
                <w:u w:val="single"/>
              </w:rPr>
              <w:t>不扣回，资金支付时转为合同款</w:t>
            </w:r>
          </w:p>
        </w:tc>
      </w:tr>
      <w:tr w14:paraId="262C22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16" w:hRule="exact"/>
        </w:trPr>
        <w:tc>
          <w:tcPr>
            <w:tcW w:w="633" w:type="pct"/>
            <w:tcBorders>
              <w:left w:val="single" w:color="auto" w:sz="4" w:space="0"/>
            </w:tcBorders>
            <w:vAlign w:val="center"/>
          </w:tcPr>
          <w:p w14:paraId="0CB59F1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1.5.3</w:t>
            </w:r>
          </w:p>
        </w:tc>
        <w:tc>
          <w:tcPr>
            <w:tcW w:w="4366" w:type="pct"/>
            <w:vAlign w:val="center"/>
          </w:tcPr>
          <w:p w14:paraId="07E7B065">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预付款的担保措施：</w:t>
            </w:r>
            <w:r>
              <w:rPr>
                <w:rFonts w:hint="eastAsia" w:ascii="仿宋" w:hAnsi="仿宋" w:eastAsia="仿宋" w:cs="仿宋"/>
                <w:color w:val="auto"/>
                <w:szCs w:val="21"/>
                <w:highlight w:val="none"/>
                <w:u w:val="single"/>
              </w:rPr>
              <w:t xml:space="preserve"> 无 </w:t>
            </w:r>
          </w:p>
        </w:tc>
      </w:tr>
      <w:tr w14:paraId="71EFB0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82" w:hRule="exact"/>
        </w:trPr>
        <w:tc>
          <w:tcPr>
            <w:tcW w:w="633" w:type="pct"/>
            <w:tcBorders>
              <w:left w:val="single" w:color="auto" w:sz="4" w:space="0"/>
            </w:tcBorders>
            <w:vAlign w:val="center"/>
          </w:tcPr>
          <w:p w14:paraId="119484B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1.6.2</w:t>
            </w:r>
          </w:p>
        </w:tc>
        <w:tc>
          <w:tcPr>
            <w:tcW w:w="4366" w:type="pct"/>
            <w:vAlign w:val="center"/>
          </w:tcPr>
          <w:p w14:paraId="76C7A2CD">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资金支付的方式、时间和条件：</w:t>
            </w:r>
            <w:r>
              <w:rPr>
                <w:rFonts w:hint="eastAsia" w:ascii="仿宋" w:hAnsi="仿宋" w:eastAsia="仿宋" w:cs="仿宋"/>
                <w:color w:val="auto"/>
                <w:szCs w:val="21"/>
                <w:highlight w:val="none"/>
                <w:u w:val="single"/>
              </w:rPr>
              <w:t>服务费按服务期内实际月数平均计算月平均额〔（合同价-预付款）/12个月）〕，并在第二个月的月初支付。</w:t>
            </w:r>
            <w:r>
              <w:rPr>
                <w:rFonts w:hint="eastAsia" w:ascii="仿宋" w:hAnsi="仿宋" w:eastAsia="仿宋" w:cs="仿宋"/>
                <w:color w:val="auto"/>
                <w:szCs w:val="21"/>
                <w:highlight w:val="none"/>
                <w:u w:val="single"/>
                <w:lang w:val="en-US" w:eastAsia="zh-CN"/>
              </w:rPr>
              <w:t>乙方</w:t>
            </w:r>
            <w:r>
              <w:rPr>
                <w:rFonts w:hint="eastAsia" w:ascii="仿宋" w:hAnsi="仿宋" w:eastAsia="仿宋" w:cs="仿宋"/>
                <w:color w:val="auto"/>
                <w:szCs w:val="21"/>
                <w:highlight w:val="none"/>
                <w:u w:val="single"/>
              </w:rPr>
              <w:t>应出具正规发票作为结算凭证，</w:t>
            </w:r>
            <w:r>
              <w:rPr>
                <w:rFonts w:hint="eastAsia" w:ascii="仿宋" w:hAnsi="仿宋" w:eastAsia="仿宋" w:cs="仿宋"/>
                <w:color w:val="auto"/>
                <w:szCs w:val="21"/>
                <w:highlight w:val="none"/>
                <w:u w:val="single"/>
                <w:lang w:val="en-US" w:eastAsia="zh-CN"/>
              </w:rPr>
              <w:t>甲方</w:t>
            </w:r>
            <w:r>
              <w:rPr>
                <w:rFonts w:hint="eastAsia" w:ascii="仿宋" w:hAnsi="仿宋" w:eastAsia="仿宋" w:cs="仿宋"/>
                <w:color w:val="auto"/>
                <w:szCs w:val="21"/>
                <w:highlight w:val="none"/>
                <w:u w:val="single"/>
              </w:rPr>
              <w:t>收到</w:t>
            </w:r>
            <w:r>
              <w:rPr>
                <w:rFonts w:hint="eastAsia" w:ascii="仿宋" w:hAnsi="仿宋" w:eastAsia="仿宋" w:cs="仿宋"/>
                <w:color w:val="auto"/>
                <w:szCs w:val="21"/>
                <w:highlight w:val="none"/>
                <w:u w:val="single"/>
                <w:lang w:val="en-US" w:eastAsia="zh-CN"/>
              </w:rPr>
              <w:t>乙方</w:t>
            </w:r>
            <w:r>
              <w:rPr>
                <w:rFonts w:hint="eastAsia" w:ascii="仿宋" w:hAnsi="仿宋" w:eastAsia="仿宋" w:cs="仿宋"/>
                <w:color w:val="auto"/>
                <w:szCs w:val="21"/>
                <w:highlight w:val="none"/>
                <w:u w:val="single"/>
              </w:rPr>
              <w:t>出具的正规发票后10天以内支付。</w:t>
            </w:r>
            <w:r>
              <w:rPr>
                <w:rFonts w:hint="eastAsia" w:ascii="仿宋" w:hAnsi="仿宋" w:eastAsia="仿宋" w:cs="仿宋"/>
                <w:color w:val="auto"/>
                <w:szCs w:val="21"/>
                <w:highlight w:val="none"/>
                <w:u w:val="single"/>
                <w:lang w:val="en-US" w:eastAsia="zh-CN"/>
              </w:rPr>
              <w:t>乙方</w:t>
            </w:r>
            <w:r>
              <w:rPr>
                <w:rFonts w:hint="eastAsia" w:ascii="仿宋" w:hAnsi="仿宋" w:eastAsia="仿宋" w:cs="仿宋"/>
                <w:color w:val="auto"/>
                <w:szCs w:val="21"/>
                <w:highlight w:val="none"/>
                <w:u w:val="single"/>
              </w:rPr>
              <w:t>未能按时提供正规发票，</w:t>
            </w:r>
            <w:r>
              <w:rPr>
                <w:rFonts w:hint="eastAsia" w:ascii="仿宋" w:hAnsi="仿宋" w:eastAsia="仿宋" w:cs="仿宋"/>
                <w:color w:val="auto"/>
                <w:szCs w:val="21"/>
                <w:highlight w:val="none"/>
                <w:u w:val="single"/>
                <w:lang w:val="en-US" w:eastAsia="zh-CN"/>
              </w:rPr>
              <w:t>甲方</w:t>
            </w:r>
            <w:r>
              <w:rPr>
                <w:rFonts w:hint="eastAsia" w:ascii="仿宋" w:hAnsi="仿宋" w:eastAsia="仿宋" w:cs="仿宋"/>
                <w:color w:val="auto"/>
                <w:szCs w:val="21"/>
                <w:highlight w:val="none"/>
                <w:u w:val="single"/>
              </w:rPr>
              <w:t>有权暂缓结算。</w:t>
            </w:r>
          </w:p>
        </w:tc>
      </w:tr>
      <w:tr w14:paraId="43B30E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63" w:hRule="exact"/>
        </w:trPr>
        <w:tc>
          <w:tcPr>
            <w:tcW w:w="633" w:type="pct"/>
            <w:tcBorders>
              <w:left w:val="single" w:color="auto" w:sz="4" w:space="0"/>
            </w:tcBorders>
            <w:vAlign w:val="center"/>
          </w:tcPr>
          <w:p w14:paraId="71B95E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1.7.1</w:t>
            </w:r>
          </w:p>
        </w:tc>
        <w:tc>
          <w:tcPr>
            <w:tcW w:w="4366" w:type="pct"/>
            <w:vAlign w:val="center"/>
          </w:tcPr>
          <w:p w14:paraId="32564FFA">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服务交付（实施）的时间（期限）：</w:t>
            </w:r>
            <w:r>
              <w:rPr>
                <w:rFonts w:hint="eastAsia" w:ascii="仿宋" w:hAnsi="仿宋" w:eastAsia="仿宋" w:cs="仿宋"/>
                <w:color w:val="auto"/>
                <w:szCs w:val="21"/>
                <w:highlight w:val="none"/>
                <w:u w:val="single"/>
                <w:lang w:val="en-US" w:eastAsia="zh-CN"/>
              </w:rPr>
              <w:t>1年</w:t>
            </w:r>
            <w:r>
              <w:rPr>
                <w:rFonts w:hint="eastAsia" w:ascii="仿宋" w:hAnsi="仿宋" w:eastAsia="仿宋" w:cs="仿宋"/>
                <w:color w:val="auto"/>
                <w:szCs w:val="21"/>
                <w:highlight w:val="none"/>
                <w:u w:val="single"/>
              </w:rPr>
              <w:t>。若</w:t>
            </w:r>
            <w:r>
              <w:rPr>
                <w:rFonts w:hint="eastAsia" w:ascii="仿宋" w:hAnsi="仿宋" w:eastAsia="仿宋" w:cs="仿宋"/>
                <w:color w:val="auto"/>
                <w:szCs w:val="21"/>
                <w:highlight w:val="none"/>
                <w:u w:val="single"/>
                <w:lang w:val="en-US" w:eastAsia="zh-CN"/>
              </w:rPr>
              <w:t>乙方</w:t>
            </w:r>
            <w:r>
              <w:rPr>
                <w:rFonts w:hint="eastAsia" w:ascii="仿宋" w:hAnsi="仿宋" w:eastAsia="仿宋" w:cs="仿宋"/>
                <w:color w:val="auto"/>
                <w:szCs w:val="21"/>
                <w:highlight w:val="none"/>
                <w:u w:val="single"/>
              </w:rPr>
              <w:t>的服务能满足</w:t>
            </w:r>
            <w:r>
              <w:rPr>
                <w:rFonts w:hint="eastAsia" w:ascii="仿宋" w:hAnsi="仿宋" w:eastAsia="仿宋" w:cs="仿宋"/>
                <w:color w:val="auto"/>
                <w:szCs w:val="21"/>
                <w:highlight w:val="none"/>
                <w:u w:val="single"/>
                <w:lang w:val="en-US" w:eastAsia="zh-CN"/>
              </w:rPr>
              <w:t>甲方</w:t>
            </w:r>
            <w:r>
              <w:rPr>
                <w:rFonts w:hint="eastAsia" w:ascii="仿宋" w:hAnsi="仿宋" w:eastAsia="仿宋" w:cs="仿宋"/>
                <w:color w:val="auto"/>
                <w:szCs w:val="21"/>
                <w:highlight w:val="none"/>
                <w:u w:val="single"/>
              </w:rPr>
              <w:t>要求，</w:t>
            </w:r>
            <w:r>
              <w:rPr>
                <w:rFonts w:hint="eastAsia" w:ascii="仿宋" w:hAnsi="仿宋" w:eastAsia="仿宋" w:cs="仿宋"/>
                <w:color w:val="auto"/>
                <w:szCs w:val="21"/>
                <w:highlight w:val="none"/>
                <w:u w:val="single"/>
                <w:lang w:val="en-US" w:eastAsia="zh-CN"/>
              </w:rPr>
              <w:t>甲方</w:t>
            </w:r>
            <w:r>
              <w:rPr>
                <w:rFonts w:hint="eastAsia" w:ascii="仿宋" w:hAnsi="仿宋" w:eastAsia="仿宋" w:cs="仿宋"/>
                <w:color w:val="auto"/>
                <w:szCs w:val="21"/>
                <w:highlight w:val="none"/>
                <w:u w:val="single"/>
              </w:rPr>
              <w:t>保留续签一年合同的权利，</w:t>
            </w:r>
            <w:r>
              <w:rPr>
                <w:rFonts w:hint="eastAsia" w:ascii="仿宋" w:hAnsi="仿宋" w:eastAsia="仿宋" w:cs="仿宋"/>
                <w:color w:val="auto"/>
                <w:szCs w:val="21"/>
                <w:highlight w:val="none"/>
                <w:u w:val="single"/>
                <w:lang w:val="en-US" w:eastAsia="zh-CN"/>
              </w:rPr>
              <w:t>乙方在</w:t>
            </w:r>
            <w:r>
              <w:rPr>
                <w:rFonts w:hint="eastAsia" w:ascii="仿宋" w:hAnsi="仿宋" w:eastAsia="仿宋" w:cs="仿宋"/>
                <w:color w:val="auto"/>
                <w:szCs w:val="21"/>
                <w:highlight w:val="none"/>
                <w:u w:val="single"/>
              </w:rPr>
              <w:t>合同签订生效前需要提供详细的服务管理方案，包括管理和执行办法、各类事件的应急处理预案以及服务承诺等。</w:t>
            </w:r>
          </w:p>
        </w:tc>
      </w:tr>
      <w:tr w14:paraId="4C0125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28" w:hRule="exact"/>
        </w:trPr>
        <w:tc>
          <w:tcPr>
            <w:tcW w:w="633" w:type="pct"/>
            <w:tcBorders>
              <w:left w:val="single" w:color="auto" w:sz="4" w:space="0"/>
            </w:tcBorders>
            <w:vAlign w:val="center"/>
          </w:tcPr>
          <w:p w14:paraId="7B48B68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1.7.2</w:t>
            </w:r>
          </w:p>
        </w:tc>
        <w:tc>
          <w:tcPr>
            <w:tcW w:w="4366" w:type="pct"/>
            <w:vAlign w:val="center"/>
          </w:tcPr>
          <w:p w14:paraId="5DBAD6CF">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服务交付（实施）的地点（地域范围）：</w:t>
            </w:r>
            <w:r>
              <w:rPr>
                <w:rFonts w:hint="eastAsia" w:ascii="仿宋" w:hAnsi="仿宋" w:eastAsia="仿宋" w:cs="仿宋"/>
                <w:color w:val="auto"/>
                <w:szCs w:val="21"/>
                <w:highlight w:val="none"/>
                <w:u w:val="single"/>
              </w:rPr>
              <w:t>甲方指定地点</w:t>
            </w:r>
          </w:p>
        </w:tc>
      </w:tr>
      <w:tr w14:paraId="0E57CD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16" w:hRule="exact"/>
        </w:trPr>
        <w:tc>
          <w:tcPr>
            <w:tcW w:w="633" w:type="pct"/>
            <w:tcBorders>
              <w:left w:val="single" w:color="auto" w:sz="4" w:space="0"/>
            </w:tcBorders>
            <w:vAlign w:val="center"/>
          </w:tcPr>
          <w:p w14:paraId="716AE5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1.7.3</w:t>
            </w:r>
          </w:p>
        </w:tc>
        <w:tc>
          <w:tcPr>
            <w:tcW w:w="4366" w:type="pct"/>
            <w:vAlign w:val="center"/>
          </w:tcPr>
          <w:p w14:paraId="6FA0078E">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服务交付（实施）的方式：</w:t>
            </w:r>
            <w:r>
              <w:rPr>
                <w:rFonts w:hint="eastAsia" w:ascii="仿宋" w:hAnsi="仿宋" w:eastAsia="仿宋" w:cs="仿宋"/>
                <w:color w:val="auto"/>
                <w:szCs w:val="21"/>
                <w:highlight w:val="none"/>
                <w:u w:val="single"/>
              </w:rPr>
              <w:t>采购标的的所有内容均由乙方负责，完成本项目各</w:t>
            </w:r>
          </w:p>
          <w:p w14:paraId="7BBE2B64">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u w:val="single"/>
              </w:rPr>
              <w:t>项服务可能发生的全部费用均包含在合同总价中。</w:t>
            </w:r>
          </w:p>
        </w:tc>
      </w:tr>
      <w:tr w14:paraId="66A3A6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exact"/>
        </w:trPr>
        <w:tc>
          <w:tcPr>
            <w:tcW w:w="633" w:type="pct"/>
            <w:tcBorders>
              <w:left w:val="single" w:color="auto" w:sz="4" w:space="0"/>
            </w:tcBorders>
            <w:vAlign w:val="center"/>
          </w:tcPr>
          <w:p w14:paraId="3ED9B40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1.7.4.1</w:t>
            </w:r>
          </w:p>
        </w:tc>
        <w:tc>
          <w:tcPr>
            <w:tcW w:w="4366" w:type="pct"/>
            <w:vAlign w:val="center"/>
          </w:tcPr>
          <w:p w14:paraId="69CA6F07">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交付期限：</w:t>
            </w:r>
            <w:r>
              <w:rPr>
                <w:rFonts w:hint="eastAsia" w:ascii="仿宋" w:hAnsi="仿宋" w:eastAsia="仿宋" w:cs="仿宋"/>
                <w:color w:val="auto"/>
                <w:szCs w:val="21"/>
                <w:highlight w:val="none"/>
                <w:u w:val="single"/>
              </w:rPr>
              <w:t xml:space="preserve"> / </w:t>
            </w:r>
          </w:p>
        </w:tc>
      </w:tr>
      <w:tr w14:paraId="451BDB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exact"/>
        </w:trPr>
        <w:tc>
          <w:tcPr>
            <w:tcW w:w="633" w:type="pct"/>
            <w:tcBorders>
              <w:left w:val="single" w:color="auto" w:sz="4" w:space="0"/>
            </w:tcBorders>
            <w:vAlign w:val="center"/>
          </w:tcPr>
          <w:p w14:paraId="3EB466E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1.7.4.2</w:t>
            </w:r>
          </w:p>
        </w:tc>
        <w:tc>
          <w:tcPr>
            <w:tcW w:w="4366" w:type="pct"/>
            <w:vAlign w:val="center"/>
          </w:tcPr>
          <w:p w14:paraId="5217D1B1">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交付地点：</w:t>
            </w:r>
            <w:r>
              <w:rPr>
                <w:rFonts w:hint="eastAsia" w:ascii="仿宋" w:hAnsi="仿宋" w:eastAsia="仿宋" w:cs="仿宋"/>
                <w:color w:val="auto"/>
                <w:szCs w:val="21"/>
                <w:highlight w:val="none"/>
                <w:u w:val="single"/>
              </w:rPr>
              <w:t xml:space="preserve"> / </w:t>
            </w:r>
          </w:p>
        </w:tc>
      </w:tr>
      <w:tr w14:paraId="412D1D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exact"/>
        </w:trPr>
        <w:tc>
          <w:tcPr>
            <w:tcW w:w="633" w:type="pct"/>
            <w:tcBorders>
              <w:left w:val="single" w:color="auto" w:sz="4" w:space="0"/>
            </w:tcBorders>
            <w:vAlign w:val="center"/>
          </w:tcPr>
          <w:p w14:paraId="3625DE0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1.7.4.3</w:t>
            </w:r>
          </w:p>
        </w:tc>
        <w:tc>
          <w:tcPr>
            <w:tcW w:w="4366" w:type="pct"/>
            <w:vAlign w:val="center"/>
          </w:tcPr>
          <w:p w14:paraId="39B3479F">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交付方式：</w:t>
            </w:r>
            <w:r>
              <w:rPr>
                <w:rFonts w:hint="eastAsia" w:ascii="仿宋" w:hAnsi="仿宋" w:eastAsia="仿宋" w:cs="仿宋"/>
                <w:color w:val="auto"/>
                <w:szCs w:val="21"/>
                <w:highlight w:val="none"/>
                <w:u w:val="single"/>
              </w:rPr>
              <w:t xml:space="preserve"> / </w:t>
            </w:r>
          </w:p>
        </w:tc>
      </w:tr>
      <w:tr w14:paraId="0F54F6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exact"/>
        </w:trPr>
        <w:tc>
          <w:tcPr>
            <w:tcW w:w="633" w:type="pct"/>
            <w:tcBorders>
              <w:left w:val="single" w:color="auto" w:sz="4" w:space="0"/>
            </w:tcBorders>
            <w:vAlign w:val="center"/>
          </w:tcPr>
          <w:p w14:paraId="489CA57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1.8.7</w:t>
            </w:r>
          </w:p>
        </w:tc>
        <w:tc>
          <w:tcPr>
            <w:tcW w:w="4366" w:type="pct"/>
            <w:vAlign w:val="center"/>
          </w:tcPr>
          <w:p w14:paraId="0F4C2625">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违约责任特殊约定：</w:t>
            </w:r>
            <w:r>
              <w:rPr>
                <w:rFonts w:hint="eastAsia" w:ascii="仿宋" w:hAnsi="仿宋" w:eastAsia="仿宋" w:cs="仿宋"/>
                <w:color w:val="auto"/>
                <w:szCs w:val="21"/>
                <w:highlight w:val="none"/>
                <w:u w:val="single"/>
              </w:rPr>
              <w:t xml:space="preserve"> / </w:t>
            </w:r>
          </w:p>
        </w:tc>
      </w:tr>
      <w:tr w14:paraId="08FC42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exact"/>
        </w:trPr>
        <w:tc>
          <w:tcPr>
            <w:tcW w:w="633" w:type="pct"/>
            <w:tcBorders>
              <w:left w:val="single" w:color="auto" w:sz="4" w:space="0"/>
            </w:tcBorders>
            <w:vAlign w:val="center"/>
          </w:tcPr>
          <w:p w14:paraId="155AEF3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1.9.1</w:t>
            </w:r>
          </w:p>
        </w:tc>
        <w:tc>
          <w:tcPr>
            <w:tcW w:w="4366" w:type="pct"/>
            <w:vAlign w:val="center"/>
          </w:tcPr>
          <w:p w14:paraId="5D21E7BA">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仲裁委员会名称：</w:t>
            </w:r>
            <w:r>
              <w:rPr>
                <w:rFonts w:hint="eastAsia" w:ascii="仿宋" w:hAnsi="仿宋" w:eastAsia="仿宋" w:cs="仿宋"/>
                <w:color w:val="auto"/>
                <w:szCs w:val="21"/>
                <w:highlight w:val="none"/>
                <w:u w:val="single"/>
              </w:rPr>
              <w:t xml:space="preserve"> / </w:t>
            </w:r>
          </w:p>
        </w:tc>
      </w:tr>
      <w:tr w14:paraId="776CF6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exact"/>
        </w:trPr>
        <w:tc>
          <w:tcPr>
            <w:tcW w:w="633" w:type="pct"/>
            <w:tcBorders>
              <w:left w:val="single" w:color="auto" w:sz="4" w:space="0"/>
            </w:tcBorders>
            <w:vAlign w:val="center"/>
          </w:tcPr>
          <w:p w14:paraId="09D4FFF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1.9.2</w:t>
            </w:r>
          </w:p>
        </w:tc>
        <w:tc>
          <w:tcPr>
            <w:tcW w:w="4366" w:type="pct"/>
            <w:vAlign w:val="center"/>
          </w:tcPr>
          <w:p w14:paraId="5DB502BF">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起诉机构：</w:t>
            </w:r>
            <w:r>
              <w:rPr>
                <w:rFonts w:hint="eastAsia" w:ascii="仿宋" w:hAnsi="仿宋" w:eastAsia="仿宋" w:cs="仿宋"/>
                <w:color w:val="auto"/>
                <w:szCs w:val="21"/>
                <w:highlight w:val="none"/>
                <w:u w:val="single"/>
              </w:rPr>
              <w:t>甲方所在地人民法院</w:t>
            </w:r>
          </w:p>
        </w:tc>
      </w:tr>
      <w:tr w14:paraId="615908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20" w:hRule="exact"/>
        </w:trPr>
        <w:tc>
          <w:tcPr>
            <w:tcW w:w="633" w:type="pct"/>
            <w:tcBorders>
              <w:left w:val="single" w:color="auto" w:sz="4" w:space="0"/>
            </w:tcBorders>
            <w:vAlign w:val="center"/>
          </w:tcPr>
          <w:p w14:paraId="2C8975C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2.3.2</w:t>
            </w:r>
          </w:p>
        </w:tc>
        <w:tc>
          <w:tcPr>
            <w:tcW w:w="4366" w:type="pct"/>
            <w:vAlign w:val="center"/>
          </w:tcPr>
          <w:p w14:paraId="0CA0A46D">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技术成果的归属和收益：</w:t>
            </w:r>
            <w:r>
              <w:rPr>
                <w:rFonts w:hint="eastAsia" w:ascii="仿宋" w:hAnsi="仿宋" w:eastAsia="仿宋" w:cs="仿宋"/>
                <w:color w:val="auto"/>
                <w:szCs w:val="21"/>
                <w:highlight w:val="none"/>
                <w:u w:val="single"/>
              </w:rPr>
              <w:t>双方共有，未经对方同意，任何一方不得将资料、文件提供给与本项目无关的第三方使用</w:t>
            </w:r>
          </w:p>
        </w:tc>
      </w:tr>
      <w:tr w14:paraId="3F1C49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17" w:hRule="exact"/>
        </w:trPr>
        <w:tc>
          <w:tcPr>
            <w:tcW w:w="633" w:type="pct"/>
            <w:tcBorders>
              <w:left w:val="single" w:color="auto" w:sz="4" w:space="0"/>
            </w:tcBorders>
            <w:vAlign w:val="center"/>
          </w:tcPr>
          <w:p w14:paraId="57A2F84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2.5</w:t>
            </w:r>
          </w:p>
        </w:tc>
        <w:tc>
          <w:tcPr>
            <w:tcW w:w="4366" w:type="pct"/>
            <w:vAlign w:val="center"/>
          </w:tcPr>
          <w:p w14:paraId="18B972AC">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服务费按服务期内实际月数平均计算月平均额，并在每月末进行结算。中标供应商应出具正规发票作为结算凭证，采购人收到中标供应商出具的正规发票后10天以内支付。中标供应商未能按时提供正规发票，采购人有权暂缓结算。</w:t>
            </w:r>
          </w:p>
        </w:tc>
      </w:tr>
      <w:tr w14:paraId="545EF0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3" w:hRule="exact"/>
        </w:trPr>
        <w:tc>
          <w:tcPr>
            <w:tcW w:w="633" w:type="pct"/>
            <w:tcBorders>
              <w:left w:val="single" w:color="auto" w:sz="4" w:space="0"/>
            </w:tcBorders>
            <w:vAlign w:val="center"/>
          </w:tcPr>
          <w:p w14:paraId="263FC4A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2.11.3</w:t>
            </w:r>
          </w:p>
        </w:tc>
        <w:tc>
          <w:tcPr>
            <w:tcW w:w="4366" w:type="pct"/>
            <w:vAlign w:val="center"/>
          </w:tcPr>
          <w:p w14:paraId="40F2F57B">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因不可抗力致使合同有变更必要的，双方当事人应在3个工作日内以书面形式变更合同</w:t>
            </w:r>
          </w:p>
        </w:tc>
      </w:tr>
      <w:tr w14:paraId="2998B5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298" w:hRule="exact"/>
        </w:trPr>
        <w:tc>
          <w:tcPr>
            <w:tcW w:w="633" w:type="pct"/>
            <w:tcBorders>
              <w:left w:val="single" w:color="auto" w:sz="4" w:space="0"/>
            </w:tcBorders>
            <w:vAlign w:val="center"/>
          </w:tcPr>
          <w:p w14:paraId="3E584F5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2.11.4</w:t>
            </w:r>
          </w:p>
        </w:tc>
        <w:tc>
          <w:tcPr>
            <w:tcW w:w="4366" w:type="pct"/>
            <w:vAlign w:val="center"/>
          </w:tcPr>
          <w:p w14:paraId="0B4A3D97">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受不可抗力影响的一方在不可抗力发生后，应在1个工作日内以书面形式通知对方当事人，并在3个工作日约定时间内，将有关部门出具的证明文件送达对方当事人</w:t>
            </w:r>
          </w:p>
        </w:tc>
      </w:tr>
      <w:tr w14:paraId="50CA79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exact"/>
        </w:trPr>
        <w:tc>
          <w:tcPr>
            <w:tcW w:w="633" w:type="pct"/>
            <w:tcBorders>
              <w:left w:val="single" w:color="auto" w:sz="4" w:space="0"/>
            </w:tcBorders>
            <w:vAlign w:val="center"/>
          </w:tcPr>
          <w:p w14:paraId="7BD3431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2.15.1</w:t>
            </w:r>
          </w:p>
        </w:tc>
        <w:tc>
          <w:tcPr>
            <w:tcW w:w="4366" w:type="pct"/>
            <w:vAlign w:val="center"/>
          </w:tcPr>
          <w:p w14:paraId="70D9CC2A">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乙方按合同要求提供服务，甲方每月根据相关要求及考核办法进行验收</w:t>
            </w:r>
          </w:p>
        </w:tc>
      </w:tr>
      <w:tr w14:paraId="653B7E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7" w:hRule="exact"/>
        </w:trPr>
        <w:tc>
          <w:tcPr>
            <w:tcW w:w="633" w:type="pct"/>
            <w:tcBorders>
              <w:left w:val="single" w:color="auto" w:sz="4" w:space="0"/>
            </w:tcBorders>
            <w:vAlign w:val="center"/>
          </w:tcPr>
          <w:p w14:paraId="4502516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2.15.3</w:t>
            </w:r>
          </w:p>
        </w:tc>
        <w:tc>
          <w:tcPr>
            <w:tcW w:w="4366" w:type="pct"/>
            <w:vAlign w:val="center"/>
          </w:tcPr>
          <w:p w14:paraId="3CE28D04">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检验和验收标准、程序等具体内容以及前述验收书的效力：</w:t>
            </w:r>
            <w:r>
              <w:rPr>
                <w:rFonts w:hint="eastAsia" w:ascii="仿宋" w:hAnsi="仿宋" w:eastAsia="仿宋" w:cs="仿宋"/>
                <w:color w:val="auto"/>
                <w:szCs w:val="21"/>
                <w:highlight w:val="none"/>
                <w:u w:val="single"/>
              </w:rPr>
              <w:t>满足相关规范要求</w:t>
            </w:r>
            <w:r>
              <w:rPr>
                <w:rFonts w:hint="eastAsia" w:ascii="仿宋" w:hAnsi="仿宋" w:eastAsia="仿宋" w:cs="仿宋"/>
                <w:color w:val="auto"/>
                <w:szCs w:val="21"/>
                <w:highlight w:val="none"/>
                <w:u w:val="single"/>
                <w:lang w:val="en-US" w:eastAsia="zh-CN"/>
              </w:rPr>
              <w:t>以及甲方制定的考核办法（如有）</w:t>
            </w:r>
          </w:p>
        </w:tc>
      </w:tr>
      <w:tr w14:paraId="30FFAD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exact"/>
        </w:trPr>
        <w:tc>
          <w:tcPr>
            <w:tcW w:w="633" w:type="pct"/>
            <w:tcBorders>
              <w:left w:val="single" w:color="auto" w:sz="4" w:space="0"/>
            </w:tcBorders>
            <w:vAlign w:val="center"/>
          </w:tcPr>
          <w:p w14:paraId="55AAE07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2.19</w:t>
            </w:r>
          </w:p>
        </w:tc>
        <w:tc>
          <w:tcPr>
            <w:tcW w:w="4366" w:type="pct"/>
            <w:vAlign w:val="center"/>
          </w:tcPr>
          <w:p w14:paraId="36B78A8E">
            <w:pPr>
              <w:keepNext w:val="0"/>
              <w:keepLines w:val="0"/>
              <w:pageBreakBefore w:val="0"/>
              <w:widowControl w:val="0"/>
              <w:kinsoku/>
              <w:wordWrap/>
              <w:overflowPunct/>
              <w:topLinePunct w:val="0"/>
              <w:autoSpaceDE/>
              <w:autoSpaceDN/>
              <w:bidi w:val="0"/>
              <w:adjustRightInd/>
              <w:snapToGrid/>
              <w:spacing w:line="240" w:lineRule="auto"/>
              <w:ind w:left="105" w:leftChars="50" w:right="105" w:rightChars="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合同份数：</w:t>
            </w:r>
            <w:r>
              <w:rPr>
                <w:rFonts w:hint="eastAsia" w:ascii="仿宋" w:hAnsi="仿宋" w:eastAsia="仿宋" w:cs="仿宋"/>
                <w:color w:val="auto"/>
                <w:szCs w:val="21"/>
                <w:highlight w:val="none"/>
                <w:u w:val="single"/>
              </w:rPr>
              <w:t>一式肆份，双方各执贰份</w:t>
            </w:r>
          </w:p>
        </w:tc>
      </w:tr>
    </w:tbl>
    <w:p w14:paraId="0410281B">
      <w:pPr>
        <w:pStyle w:val="6"/>
        <w:snapToGrid w:val="0"/>
        <w:spacing w:before="120" w:after="120" w:line="360" w:lineRule="auto"/>
        <w:rPr>
          <w:rFonts w:hint="eastAsia" w:ascii="仿宋" w:hAnsi="仿宋" w:eastAsia="仿宋" w:cs="仿宋"/>
          <w:color w:val="auto"/>
          <w:highlight w:val="none"/>
        </w:rPr>
      </w:pPr>
    </w:p>
    <w:p w14:paraId="5A020779">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0B0B7DBE">
      <w:pPr>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2"/>
      <w:bookmarkEnd w:id="393"/>
      <w:r>
        <w:rPr>
          <w:rFonts w:hint="eastAsia" w:ascii="仿宋" w:hAnsi="仿宋" w:eastAsia="仿宋" w:cs="仿宋"/>
          <w:b/>
          <w:color w:val="auto"/>
          <w:sz w:val="36"/>
          <w:szCs w:val="20"/>
          <w:highlight w:val="none"/>
        </w:rPr>
        <w:t xml:space="preserve"> 应提交的有关格式范例</w:t>
      </w:r>
    </w:p>
    <w:p w14:paraId="4B5AEC0E">
      <w:pPr>
        <w:spacing w:beforeLines="100" w:afterLines="100"/>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资格文件部分</w:t>
      </w:r>
    </w:p>
    <w:p w14:paraId="299C2B97">
      <w:pPr>
        <w:spacing w:beforeLines="100" w:afterLines="100"/>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1BB4A718">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（1）符合参加政府采购活动应当具备的一般条件的承诺函………………（页码）</w:t>
      </w:r>
    </w:p>
    <w:p w14:paraId="65DA1FB7">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（2）联合协议…………………………………………………………………（页码）</w:t>
      </w:r>
    </w:p>
    <w:p w14:paraId="0162A9EF">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（3）落实政府采购政策需满足的资格要求…………………………………（页码）</w:t>
      </w:r>
    </w:p>
    <w:p w14:paraId="120DD198">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（4）本项目的特定资格要求…………………………………………………（页码）</w:t>
      </w:r>
    </w:p>
    <w:p w14:paraId="23294CD6">
      <w:pPr>
        <w:snapToGrid w:val="0"/>
        <w:spacing w:line="360" w:lineRule="auto"/>
        <w:ind w:firstLine="480" w:firstLineChars="200"/>
        <w:rPr>
          <w:rFonts w:hint="eastAsia" w:ascii="仿宋" w:hAnsi="仿宋" w:eastAsia="仿宋" w:cs="仿宋"/>
          <w:color w:val="auto"/>
          <w:sz w:val="24"/>
          <w:highlight w:val="none"/>
        </w:rPr>
      </w:pPr>
    </w:p>
    <w:p w14:paraId="314A9B16">
      <w:pPr>
        <w:spacing w:line="360" w:lineRule="auto"/>
        <w:ind w:firstLine="480" w:firstLineChars="200"/>
        <w:rPr>
          <w:rFonts w:hint="eastAsia" w:ascii="仿宋" w:hAnsi="仿宋" w:eastAsia="仿宋" w:cs="仿宋"/>
          <w:color w:val="auto"/>
          <w:sz w:val="24"/>
          <w:highlight w:val="none"/>
        </w:rPr>
      </w:pPr>
    </w:p>
    <w:p w14:paraId="6DF79723">
      <w:pPr>
        <w:jc w:val="center"/>
        <w:rPr>
          <w:rFonts w:hint="eastAsia" w:ascii="仿宋" w:hAnsi="仿宋" w:eastAsia="仿宋" w:cs="仿宋"/>
          <w:color w:val="auto"/>
          <w:highlight w:val="none"/>
        </w:rPr>
      </w:pPr>
      <w:r>
        <w:rPr>
          <w:rFonts w:hint="eastAsia" w:ascii="仿宋" w:hAnsi="仿宋" w:eastAsia="仿宋" w:cs="仿宋"/>
          <w:color w:val="auto"/>
          <w:kern w:val="0"/>
          <w:sz w:val="24"/>
          <w:highlight w:val="none"/>
        </w:rPr>
        <w:br w:type="page"/>
      </w:r>
    </w:p>
    <w:p w14:paraId="531B0E28">
      <w:pPr>
        <w:snapToGrid w:val="0"/>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一、 符合参加政府采购活动应当具备的一般条件的承诺函</w:t>
      </w:r>
    </w:p>
    <w:p w14:paraId="49B97D12">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（采购人）、（采购代理机构）：</w:t>
      </w:r>
    </w:p>
    <w:p w14:paraId="401AF325">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我方参与（项目名称）【招标编号：（采购编号）】政府采购活动，郑重承诺：</w:t>
      </w:r>
    </w:p>
    <w:p w14:paraId="4024F748">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（一）具备《中华人民共和国政府采购法》第二十二条第一款规定的条件：</w:t>
      </w:r>
    </w:p>
    <w:p w14:paraId="387A19EE">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1、具有独立承担民事责任的能力；</w:t>
      </w:r>
    </w:p>
    <w:p w14:paraId="61EDF8CA">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2、具有良好的商业信誉和健全的财务会计制度； </w:t>
      </w:r>
    </w:p>
    <w:p w14:paraId="6540D25D">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3、具有履行合同所必需的设备和专业技术能力；</w:t>
      </w:r>
    </w:p>
    <w:p w14:paraId="5056BC00">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4、有依法缴纳税收和社会保障资金的良好记录；</w:t>
      </w:r>
    </w:p>
    <w:p w14:paraId="65052E44">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5、参加政府采购活动前三年内，在经营活动中没有重大违法记录；</w:t>
      </w:r>
    </w:p>
    <w:p w14:paraId="110C9100">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6、具有法律、行政法规规定的其他条件。</w:t>
      </w:r>
    </w:p>
    <w:p w14:paraId="50F30B07">
      <w:pPr>
        <w:wordWrap w:val="0"/>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（二）未被信用中国（www.creditchina.gov.cn)、中国政府采购网（www.ccgp.gov.cn）列入失信被执行人、重大税收违法案件当事人名单、政府采购严重违法失信行为记录名单。</w:t>
      </w:r>
    </w:p>
    <w:p w14:paraId="6E6B1A46">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（三）不存在以下情况：</w:t>
      </w:r>
    </w:p>
    <w:p w14:paraId="463D556B">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1、单位负责人为同一人或者存在直接控股、管理关系的不同供应商参加同一合同项下的政府采购活动的；</w:t>
      </w:r>
    </w:p>
    <w:p w14:paraId="395C96F2">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2、为采购项目提供整体设计、规范编制或者项目管理、监理、检测等服务后再参加该采购项目的其他采购活动的。</w:t>
      </w:r>
    </w:p>
    <w:p w14:paraId="652CD829">
      <w:pPr>
        <w:snapToGrid w:val="0"/>
        <w:spacing w:line="360" w:lineRule="auto"/>
        <w:ind w:firstLine="4830" w:firstLineChars="2300"/>
        <w:rPr>
          <w:rFonts w:hint="eastAsia" w:ascii="仿宋" w:hAnsi="仿宋" w:eastAsia="仿宋" w:cs="仿宋"/>
          <w:color w:val="auto"/>
          <w:kern w:val="0"/>
          <w:szCs w:val="21"/>
          <w:highlight w:val="none"/>
          <w:lang w:val="zh-CN"/>
        </w:rPr>
      </w:pPr>
    </w:p>
    <w:p w14:paraId="7F8FD86B">
      <w:pPr>
        <w:snapToGrid w:val="0"/>
        <w:spacing w:line="360" w:lineRule="auto"/>
        <w:ind w:firstLine="4830" w:firstLineChars="23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zh-CN"/>
        </w:rPr>
        <w:t>投标人名称(电子签名)：</w:t>
      </w:r>
    </w:p>
    <w:p w14:paraId="64471AC4">
      <w:pPr>
        <w:snapToGri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Cs w:val="21"/>
          <w:highlight w:val="none"/>
          <w:lang w:val="zh-CN"/>
        </w:rPr>
        <w:t>日期</w:t>
      </w:r>
      <w:r>
        <w:rPr>
          <w:rFonts w:hint="eastAsia" w:ascii="仿宋" w:hAnsi="仿宋" w:eastAsia="仿宋" w:cs="仿宋"/>
          <w:color w:val="auto"/>
          <w:kern w:val="0"/>
          <w:szCs w:val="21"/>
          <w:highlight w:val="none"/>
        </w:rPr>
        <w:t xml:space="preserve">：  年  </w:t>
      </w:r>
      <w:r>
        <w:rPr>
          <w:rFonts w:hint="eastAsia" w:ascii="仿宋" w:hAnsi="仿宋" w:eastAsia="仿宋" w:cs="仿宋"/>
          <w:color w:val="auto"/>
          <w:kern w:val="0"/>
          <w:szCs w:val="21"/>
          <w:highlight w:val="none"/>
          <w:lang w:val="zh-CN"/>
        </w:rPr>
        <w:t>月日</w:t>
      </w:r>
    </w:p>
    <w:p w14:paraId="0103D8AC">
      <w:pPr>
        <w:snapToGrid w:val="0"/>
        <w:spacing w:line="360" w:lineRule="auto"/>
        <w:ind w:right="480"/>
        <w:jc w:val="center"/>
        <w:rPr>
          <w:rFonts w:hint="eastAsia" w:ascii="仿宋" w:hAnsi="仿宋" w:eastAsia="仿宋" w:cs="仿宋"/>
          <w:b/>
          <w:color w:val="auto"/>
          <w:kern w:val="0"/>
          <w:sz w:val="32"/>
          <w:szCs w:val="32"/>
          <w:highlight w:val="none"/>
        </w:rPr>
      </w:pPr>
    </w:p>
    <w:p w14:paraId="47CAFF96">
      <w:pPr>
        <w:pStyle w:val="3"/>
        <w:rPr>
          <w:rFonts w:hint="eastAsia" w:ascii="仿宋" w:hAnsi="仿宋" w:eastAsia="仿宋" w:cs="仿宋"/>
          <w:color w:val="auto"/>
          <w:kern w:val="0"/>
          <w:highlight w:val="none"/>
        </w:rPr>
      </w:pPr>
    </w:p>
    <w:p w14:paraId="6A5ACB49">
      <w:pPr>
        <w:rPr>
          <w:rFonts w:hint="eastAsia" w:ascii="仿宋" w:hAnsi="仿宋" w:eastAsia="仿宋" w:cs="仿宋"/>
          <w:b/>
          <w:color w:val="auto"/>
          <w:kern w:val="0"/>
          <w:sz w:val="32"/>
          <w:szCs w:val="32"/>
          <w:highlight w:val="none"/>
        </w:rPr>
      </w:pPr>
    </w:p>
    <w:p w14:paraId="530BC8F6">
      <w:pPr>
        <w:pStyle w:val="3"/>
        <w:rPr>
          <w:rFonts w:hint="eastAsia" w:ascii="仿宋" w:hAnsi="仿宋" w:eastAsia="仿宋" w:cs="仿宋"/>
          <w:color w:val="auto"/>
          <w:kern w:val="0"/>
          <w:highlight w:val="none"/>
        </w:rPr>
      </w:pPr>
    </w:p>
    <w:p w14:paraId="58F7FA5A">
      <w:pPr>
        <w:rPr>
          <w:rFonts w:hint="eastAsia" w:ascii="仿宋" w:hAnsi="仿宋" w:eastAsia="仿宋" w:cs="仿宋"/>
          <w:b/>
          <w:color w:val="auto"/>
          <w:kern w:val="0"/>
          <w:sz w:val="32"/>
          <w:szCs w:val="32"/>
          <w:highlight w:val="none"/>
        </w:rPr>
      </w:pPr>
    </w:p>
    <w:p w14:paraId="690FD156">
      <w:pPr>
        <w:pStyle w:val="3"/>
        <w:rPr>
          <w:rFonts w:hint="eastAsia" w:ascii="仿宋" w:hAnsi="仿宋" w:eastAsia="仿宋" w:cs="仿宋"/>
          <w:color w:val="auto"/>
          <w:kern w:val="0"/>
          <w:highlight w:val="none"/>
        </w:rPr>
      </w:pPr>
    </w:p>
    <w:p w14:paraId="3A766255">
      <w:pPr>
        <w:rPr>
          <w:rFonts w:hint="eastAsia" w:ascii="仿宋" w:hAnsi="仿宋" w:eastAsia="仿宋" w:cs="仿宋"/>
          <w:b/>
          <w:color w:val="auto"/>
          <w:kern w:val="0"/>
          <w:sz w:val="32"/>
          <w:szCs w:val="32"/>
          <w:highlight w:val="none"/>
        </w:rPr>
      </w:pPr>
    </w:p>
    <w:p w14:paraId="57B4325A">
      <w:pPr>
        <w:snapToGrid w:val="0"/>
        <w:spacing w:line="360" w:lineRule="auto"/>
        <w:ind w:right="480"/>
        <w:jc w:val="center"/>
        <w:rPr>
          <w:rFonts w:hint="eastAsia" w:ascii="仿宋" w:hAnsi="仿宋" w:eastAsia="仿宋" w:cs="仿宋"/>
          <w:b/>
          <w:color w:val="auto"/>
          <w:kern w:val="0"/>
          <w:sz w:val="32"/>
          <w:szCs w:val="32"/>
          <w:highlight w:val="none"/>
        </w:rPr>
      </w:pPr>
    </w:p>
    <w:p w14:paraId="572791A8">
      <w:pPr>
        <w:snapToGrid w:val="0"/>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二、联合协议（如果有）</w:t>
      </w:r>
    </w:p>
    <w:p w14:paraId="28EAF9D9">
      <w:pPr>
        <w:widowControl/>
        <w:spacing w:line="360" w:lineRule="auto"/>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[以联合体形式投标的，提供联合协议（附件5）；本项目不接受联合体投标或者投标人不以联合体形式投标的，则不需要提供。]</w:t>
      </w:r>
    </w:p>
    <w:p w14:paraId="20C3BAD9">
      <w:pPr>
        <w:snapToGrid w:val="0"/>
        <w:spacing w:beforeLines="100" w:afterLines="100"/>
        <w:jc w:val="center"/>
        <w:rPr>
          <w:rFonts w:hint="eastAsia" w:ascii="仿宋" w:hAnsi="仿宋" w:eastAsia="仿宋" w:cs="仿宋"/>
          <w:b/>
          <w:color w:val="auto"/>
          <w:kern w:val="0"/>
          <w:sz w:val="28"/>
          <w:szCs w:val="28"/>
          <w:highlight w:val="none"/>
        </w:rPr>
      </w:pPr>
    </w:p>
    <w:p w14:paraId="003318CA">
      <w:pPr>
        <w:snapToGrid w:val="0"/>
        <w:spacing w:beforeLines="100" w:afterLines="100"/>
        <w:jc w:val="center"/>
        <w:rPr>
          <w:rFonts w:hint="eastAsia" w:ascii="仿宋" w:hAnsi="仿宋" w:eastAsia="仿宋" w:cs="仿宋"/>
          <w:b/>
          <w:color w:val="auto"/>
          <w:kern w:val="0"/>
          <w:sz w:val="28"/>
          <w:szCs w:val="28"/>
          <w:highlight w:val="none"/>
        </w:rPr>
      </w:pPr>
    </w:p>
    <w:p w14:paraId="42858372">
      <w:pPr>
        <w:snapToGrid w:val="0"/>
        <w:spacing w:beforeLines="100" w:afterLines="100"/>
        <w:jc w:val="center"/>
        <w:rPr>
          <w:rFonts w:hint="eastAsia" w:ascii="仿宋" w:hAnsi="仿宋" w:eastAsia="仿宋" w:cs="仿宋"/>
          <w:b/>
          <w:color w:val="auto"/>
          <w:kern w:val="0"/>
          <w:sz w:val="28"/>
          <w:szCs w:val="28"/>
          <w:highlight w:val="none"/>
        </w:rPr>
      </w:pPr>
    </w:p>
    <w:p w14:paraId="4D2A9BF6">
      <w:pPr>
        <w:snapToGrid w:val="0"/>
        <w:spacing w:beforeLines="100" w:afterLines="100"/>
        <w:jc w:val="center"/>
        <w:rPr>
          <w:rFonts w:hint="eastAsia" w:ascii="仿宋" w:hAnsi="仿宋" w:eastAsia="仿宋" w:cs="仿宋"/>
          <w:b/>
          <w:color w:val="auto"/>
          <w:kern w:val="0"/>
          <w:sz w:val="28"/>
          <w:szCs w:val="28"/>
          <w:highlight w:val="none"/>
        </w:rPr>
      </w:pPr>
    </w:p>
    <w:p w14:paraId="67D9663E">
      <w:pPr>
        <w:pStyle w:val="3"/>
        <w:rPr>
          <w:rFonts w:hint="eastAsia" w:ascii="仿宋" w:hAnsi="仿宋" w:eastAsia="仿宋" w:cs="仿宋"/>
          <w:color w:val="auto"/>
          <w:kern w:val="0"/>
          <w:sz w:val="28"/>
          <w:szCs w:val="28"/>
          <w:highlight w:val="none"/>
        </w:rPr>
      </w:pPr>
    </w:p>
    <w:p w14:paraId="52482B3B">
      <w:pPr>
        <w:rPr>
          <w:rFonts w:hint="eastAsia" w:ascii="仿宋" w:hAnsi="仿宋" w:eastAsia="仿宋" w:cs="仿宋"/>
          <w:b/>
          <w:color w:val="auto"/>
          <w:kern w:val="0"/>
          <w:sz w:val="28"/>
          <w:szCs w:val="28"/>
          <w:highlight w:val="none"/>
        </w:rPr>
      </w:pPr>
    </w:p>
    <w:p w14:paraId="4E775980">
      <w:pPr>
        <w:pStyle w:val="3"/>
        <w:rPr>
          <w:rFonts w:hint="eastAsia" w:ascii="仿宋" w:hAnsi="仿宋" w:eastAsia="仿宋" w:cs="仿宋"/>
          <w:color w:val="auto"/>
          <w:kern w:val="0"/>
          <w:sz w:val="28"/>
          <w:szCs w:val="28"/>
          <w:highlight w:val="none"/>
        </w:rPr>
      </w:pPr>
    </w:p>
    <w:p w14:paraId="32A81456">
      <w:pPr>
        <w:rPr>
          <w:rFonts w:hint="eastAsia" w:ascii="仿宋" w:hAnsi="仿宋" w:eastAsia="仿宋" w:cs="仿宋"/>
          <w:b/>
          <w:color w:val="auto"/>
          <w:kern w:val="0"/>
          <w:sz w:val="28"/>
          <w:szCs w:val="28"/>
          <w:highlight w:val="none"/>
        </w:rPr>
      </w:pPr>
    </w:p>
    <w:p w14:paraId="37E4FBBB">
      <w:pPr>
        <w:pStyle w:val="3"/>
        <w:rPr>
          <w:rFonts w:hint="eastAsia" w:ascii="仿宋" w:hAnsi="仿宋" w:eastAsia="仿宋" w:cs="仿宋"/>
          <w:color w:val="auto"/>
          <w:kern w:val="0"/>
          <w:sz w:val="28"/>
          <w:szCs w:val="28"/>
          <w:highlight w:val="none"/>
        </w:rPr>
      </w:pPr>
    </w:p>
    <w:p w14:paraId="73E9A05F">
      <w:pPr>
        <w:rPr>
          <w:rFonts w:hint="eastAsia" w:ascii="仿宋" w:hAnsi="仿宋" w:eastAsia="仿宋" w:cs="仿宋"/>
          <w:b/>
          <w:color w:val="auto"/>
          <w:kern w:val="0"/>
          <w:sz w:val="28"/>
          <w:szCs w:val="28"/>
          <w:highlight w:val="none"/>
        </w:rPr>
      </w:pPr>
    </w:p>
    <w:p w14:paraId="3A17DFD8">
      <w:pPr>
        <w:pStyle w:val="3"/>
        <w:rPr>
          <w:rFonts w:hint="eastAsia" w:ascii="仿宋" w:hAnsi="仿宋" w:eastAsia="仿宋" w:cs="仿宋"/>
          <w:color w:val="auto"/>
          <w:kern w:val="0"/>
          <w:sz w:val="28"/>
          <w:szCs w:val="28"/>
          <w:highlight w:val="none"/>
        </w:rPr>
      </w:pPr>
    </w:p>
    <w:p w14:paraId="0EE503A7">
      <w:pPr>
        <w:rPr>
          <w:rFonts w:hint="eastAsia" w:ascii="仿宋" w:hAnsi="仿宋" w:eastAsia="仿宋" w:cs="仿宋"/>
          <w:b/>
          <w:color w:val="auto"/>
          <w:kern w:val="0"/>
          <w:sz w:val="28"/>
          <w:szCs w:val="28"/>
          <w:highlight w:val="none"/>
        </w:rPr>
      </w:pPr>
    </w:p>
    <w:p w14:paraId="2A02080B">
      <w:pPr>
        <w:pStyle w:val="3"/>
        <w:rPr>
          <w:rFonts w:hint="eastAsia" w:ascii="仿宋" w:hAnsi="仿宋" w:eastAsia="仿宋" w:cs="仿宋"/>
          <w:color w:val="auto"/>
          <w:kern w:val="0"/>
          <w:sz w:val="28"/>
          <w:szCs w:val="28"/>
          <w:highlight w:val="none"/>
        </w:rPr>
      </w:pPr>
    </w:p>
    <w:p w14:paraId="18605D53">
      <w:pPr>
        <w:rPr>
          <w:rFonts w:hint="eastAsia" w:ascii="仿宋" w:hAnsi="仿宋" w:eastAsia="仿宋" w:cs="仿宋"/>
          <w:b/>
          <w:color w:val="auto"/>
          <w:kern w:val="0"/>
          <w:sz w:val="28"/>
          <w:szCs w:val="28"/>
          <w:highlight w:val="none"/>
        </w:rPr>
      </w:pPr>
    </w:p>
    <w:p w14:paraId="38E3092B">
      <w:pPr>
        <w:pStyle w:val="3"/>
        <w:rPr>
          <w:rFonts w:hint="eastAsia" w:ascii="仿宋" w:hAnsi="仿宋" w:eastAsia="仿宋" w:cs="仿宋"/>
          <w:color w:val="auto"/>
          <w:kern w:val="0"/>
          <w:sz w:val="28"/>
          <w:szCs w:val="28"/>
          <w:highlight w:val="none"/>
        </w:rPr>
      </w:pPr>
    </w:p>
    <w:p w14:paraId="1224A91D">
      <w:pPr>
        <w:rPr>
          <w:rFonts w:hint="eastAsia" w:ascii="仿宋" w:hAnsi="仿宋" w:eastAsia="仿宋" w:cs="仿宋"/>
          <w:b/>
          <w:color w:val="auto"/>
          <w:kern w:val="0"/>
          <w:sz w:val="28"/>
          <w:szCs w:val="28"/>
          <w:highlight w:val="none"/>
        </w:rPr>
      </w:pPr>
    </w:p>
    <w:p w14:paraId="68B64640">
      <w:pPr>
        <w:pStyle w:val="3"/>
        <w:rPr>
          <w:rFonts w:hint="eastAsia" w:ascii="仿宋" w:hAnsi="仿宋" w:eastAsia="仿宋" w:cs="仿宋"/>
          <w:color w:val="auto"/>
          <w:kern w:val="0"/>
          <w:sz w:val="28"/>
          <w:szCs w:val="28"/>
          <w:highlight w:val="none"/>
        </w:rPr>
      </w:pPr>
    </w:p>
    <w:p w14:paraId="1A433817">
      <w:pPr>
        <w:rPr>
          <w:rFonts w:hint="eastAsia" w:ascii="仿宋" w:hAnsi="仿宋" w:eastAsia="仿宋" w:cs="仿宋"/>
          <w:b/>
          <w:color w:val="auto"/>
          <w:kern w:val="0"/>
          <w:sz w:val="28"/>
          <w:szCs w:val="28"/>
          <w:highlight w:val="none"/>
        </w:rPr>
      </w:pPr>
    </w:p>
    <w:p w14:paraId="67333C26">
      <w:pPr>
        <w:snapToGrid w:val="0"/>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三、落实政府采购政策需满足的资格要求</w:t>
      </w:r>
    </w:p>
    <w:p w14:paraId="3B7B942E">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[根据招标公告落实政府采购政策需满足的资格要求选择提供相应的材料；未要求的，无需提供。]</w:t>
      </w:r>
    </w:p>
    <w:p w14:paraId="1BDC583E">
      <w:pPr>
        <w:snapToGrid w:val="0"/>
        <w:spacing w:line="360" w:lineRule="auto"/>
        <w:ind w:firstLine="422" w:firstLineChars="200"/>
        <w:jc w:val="left"/>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A</w:t>
      </w:r>
      <w:r>
        <w:rPr>
          <w:rFonts w:hint="eastAsia" w:ascii="仿宋" w:hAnsi="仿宋" w:eastAsia="仿宋" w:cs="仿宋"/>
          <w:color w:val="auto"/>
          <w:szCs w:val="21"/>
          <w:highlight w:val="none"/>
        </w:rPr>
        <w:t>.专门面向中小企业，服务全部由符合政策要求的中小企业（或小微企业）承接的，提供相应的中小企业声明函（附件7）。</w:t>
      </w:r>
    </w:p>
    <w:p w14:paraId="3C21BD49">
      <w:pPr>
        <w:widowControl/>
        <w:spacing w:line="360" w:lineRule="auto"/>
        <w:ind w:firstLine="420" w:firstLineChars="200"/>
        <w:jc w:val="left"/>
        <w:rPr>
          <w:rFonts w:hint="eastAsia" w:ascii="仿宋" w:hAnsi="仿宋" w:eastAsia="仿宋" w:cs="仿宋"/>
          <w:color w:val="auto"/>
          <w:szCs w:val="21"/>
          <w:highlight w:val="none"/>
        </w:rPr>
      </w:pPr>
    </w:p>
    <w:p w14:paraId="0FE0204B">
      <w:pPr>
        <w:widowControl/>
        <w:spacing w:line="360" w:lineRule="auto"/>
        <w:ind w:firstLine="422" w:firstLineChars="200"/>
        <w:jc w:val="left"/>
        <w:rPr>
          <w:rFonts w:hint="eastAsia" w:ascii="仿宋" w:hAnsi="仿宋" w:eastAsia="仿宋" w:cs="仿宋"/>
          <w:color w:val="auto"/>
          <w:sz w:val="24"/>
          <w:highlight w:val="none"/>
        </w:rPr>
      </w:pPr>
      <w:r>
        <w:rPr>
          <w:rFonts w:hint="eastAsia" w:ascii="仿宋" w:hAnsi="仿宋" w:eastAsia="仿宋" w:cs="仿宋"/>
          <w:b/>
          <w:color w:val="auto"/>
          <w:szCs w:val="21"/>
          <w:highlight w:val="none"/>
        </w:rPr>
        <w:t>B.</w:t>
      </w:r>
      <w:r>
        <w:rPr>
          <w:rFonts w:hint="eastAsia" w:ascii="仿宋" w:hAnsi="仿宋" w:eastAsia="仿宋" w:cs="仿宋"/>
          <w:color w:val="auto"/>
          <w:szCs w:val="21"/>
          <w:highlight w:val="none"/>
        </w:rPr>
        <w:t>要求以联合体形式参加的，提供联合协议（附件5）和中小企业声明函（附件7），联合协议中中小企业合同金额应当达到招标公告载明的比例；如果供应商本身提供所有标的均由中小企业承接的，并相应达到了前述比例要求，视同符合了资格条件，无需再与其他中小企业组成联合体参加政府采购活动，无需提供联合协议。</w:t>
      </w:r>
    </w:p>
    <w:p w14:paraId="0B852073">
      <w:pPr>
        <w:spacing w:line="360" w:lineRule="auto"/>
        <w:ind w:firstLine="422" w:firstLineChars="200"/>
        <w:rPr>
          <w:rFonts w:hint="eastAsia" w:ascii="仿宋" w:hAnsi="仿宋" w:eastAsia="仿宋" w:cs="仿宋"/>
          <w:b/>
          <w:color w:val="auto"/>
          <w:szCs w:val="21"/>
          <w:highlight w:val="none"/>
        </w:rPr>
      </w:pPr>
    </w:p>
    <w:p w14:paraId="1BCA632D">
      <w:pPr>
        <w:spacing w:line="360" w:lineRule="auto"/>
        <w:ind w:firstLine="422" w:firstLineChars="200"/>
        <w:rPr>
          <w:rFonts w:hint="eastAsia" w:ascii="仿宋" w:hAnsi="仿宋" w:eastAsia="仿宋" w:cs="仿宋"/>
          <w:color w:val="auto"/>
          <w:sz w:val="24"/>
          <w:highlight w:val="none"/>
        </w:rPr>
      </w:pPr>
      <w:r>
        <w:rPr>
          <w:rFonts w:hint="eastAsia" w:ascii="仿宋" w:hAnsi="仿宋" w:eastAsia="仿宋" w:cs="仿宋"/>
          <w:b/>
          <w:color w:val="auto"/>
          <w:szCs w:val="21"/>
          <w:highlight w:val="none"/>
        </w:rPr>
        <w:t>C.</w:t>
      </w:r>
      <w:r>
        <w:rPr>
          <w:rFonts w:hint="eastAsia" w:ascii="仿宋" w:hAnsi="仿宋" w:eastAsia="仿宋" w:cs="仿宋"/>
          <w:color w:val="auto"/>
          <w:szCs w:val="21"/>
          <w:highlight w:val="none"/>
        </w:rPr>
        <w:t>要求合同分包的，提供分包意向协议（附件6）和中小企业声明函（附件7），分包意向协议中中小企业合同金额应当达到招标公告载明的比例；如果供应商本身提供所有标的均由中小企业承接的，并相应达到了前述比例要求，视同符合了资格条件，无需再向中小企业分包，无需提供分包意向协议。</w:t>
      </w:r>
    </w:p>
    <w:p w14:paraId="2AC25ECD">
      <w:pPr>
        <w:spacing w:line="360" w:lineRule="auto"/>
        <w:jc w:val="center"/>
        <w:rPr>
          <w:rFonts w:hint="eastAsia" w:ascii="仿宋" w:hAnsi="仿宋" w:eastAsia="仿宋" w:cs="仿宋"/>
          <w:color w:val="auto"/>
          <w:kern w:val="0"/>
          <w:sz w:val="24"/>
          <w:highlight w:val="none"/>
          <w:lang w:val="zh-CN"/>
        </w:rPr>
      </w:pPr>
    </w:p>
    <w:p w14:paraId="46B0780B">
      <w:pPr>
        <w:widowControl/>
        <w:spacing w:line="360" w:lineRule="auto"/>
        <w:ind w:left="150"/>
        <w:jc w:val="center"/>
        <w:rPr>
          <w:rFonts w:hint="eastAsia" w:ascii="仿宋" w:hAnsi="仿宋" w:eastAsia="仿宋" w:cs="仿宋"/>
          <w:b/>
          <w:color w:val="auto"/>
          <w:kern w:val="0"/>
          <w:sz w:val="32"/>
          <w:szCs w:val="32"/>
          <w:highlight w:val="none"/>
        </w:rPr>
      </w:pPr>
    </w:p>
    <w:p w14:paraId="65F31C41">
      <w:pPr>
        <w:widowControl/>
        <w:spacing w:line="360" w:lineRule="auto"/>
        <w:ind w:left="150"/>
        <w:jc w:val="center"/>
        <w:rPr>
          <w:rFonts w:hint="eastAsia" w:ascii="仿宋" w:hAnsi="仿宋" w:eastAsia="仿宋" w:cs="仿宋"/>
          <w:b/>
          <w:color w:val="auto"/>
          <w:kern w:val="0"/>
          <w:sz w:val="32"/>
          <w:szCs w:val="32"/>
          <w:highlight w:val="none"/>
        </w:rPr>
      </w:pPr>
    </w:p>
    <w:p w14:paraId="0F9B76D8">
      <w:pPr>
        <w:widowControl/>
        <w:spacing w:line="360" w:lineRule="auto"/>
        <w:ind w:left="150"/>
        <w:jc w:val="center"/>
        <w:rPr>
          <w:rFonts w:hint="eastAsia" w:ascii="仿宋" w:hAnsi="仿宋" w:eastAsia="仿宋" w:cs="仿宋"/>
          <w:b/>
          <w:color w:val="auto"/>
          <w:kern w:val="0"/>
          <w:sz w:val="32"/>
          <w:szCs w:val="32"/>
          <w:highlight w:val="none"/>
        </w:rPr>
      </w:pPr>
    </w:p>
    <w:p w14:paraId="11A2CC69">
      <w:pPr>
        <w:widowControl/>
        <w:spacing w:line="360" w:lineRule="auto"/>
        <w:ind w:left="150"/>
        <w:jc w:val="center"/>
        <w:rPr>
          <w:rFonts w:hint="eastAsia" w:ascii="仿宋" w:hAnsi="仿宋" w:eastAsia="仿宋" w:cs="仿宋"/>
          <w:b/>
          <w:color w:val="auto"/>
          <w:kern w:val="0"/>
          <w:sz w:val="32"/>
          <w:szCs w:val="32"/>
          <w:highlight w:val="none"/>
        </w:rPr>
      </w:pPr>
    </w:p>
    <w:p w14:paraId="252B3FFE">
      <w:pPr>
        <w:widowControl/>
        <w:spacing w:line="360" w:lineRule="auto"/>
        <w:ind w:left="150"/>
        <w:jc w:val="center"/>
        <w:rPr>
          <w:rFonts w:hint="eastAsia" w:ascii="仿宋" w:hAnsi="仿宋" w:eastAsia="仿宋" w:cs="仿宋"/>
          <w:b/>
          <w:color w:val="auto"/>
          <w:kern w:val="0"/>
          <w:sz w:val="32"/>
          <w:szCs w:val="32"/>
          <w:highlight w:val="none"/>
        </w:rPr>
      </w:pPr>
    </w:p>
    <w:p w14:paraId="7E7DEB08">
      <w:pPr>
        <w:widowControl/>
        <w:spacing w:line="360" w:lineRule="auto"/>
        <w:ind w:left="150"/>
        <w:jc w:val="center"/>
        <w:rPr>
          <w:rFonts w:hint="eastAsia" w:ascii="仿宋" w:hAnsi="仿宋" w:eastAsia="仿宋" w:cs="仿宋"/>
          <w:b/>
          <w:color w:val="auto"/>
          <w:kern w:val="0"/>
          <w:sz w:val="32"/>
          <w:szCs w:val="32"/>
          <w:highlight w:val="none"/>
        </w:rPr>
      </w:pPr>
    </w:p>
    <w:p w14:paraId="36873AA1">
      <w:pPr>
        <w:widowControl/>
        <w:spacing w:line="360" w:lineRule="auto"/>
        <w:ind w:left="150"/>
        <w:jc w:val="center"/>
        <w:rPr>
          <w:rFonts w:hint="eastAsia" w:ascii="仿宋" w:hAnsi="仿宋" w:eastAsia="仿宋" w:cs="仿宋"/>
          <w:b/>
          <w:color w:val="auto"/>
          <w:kern w:val="0"/>
          <w:sz w:val="32"/>
          <w:szCs w:val="32"/>
          <w:highlight w:val="none"/>
        </w:rPr>
      </w:pPr>
    </w:p>
    <w:p w14:paraId="0BC12871">
      <w:pPr>
        <w:widowControl/>
        <w:spacing w:line="360" w:lineRule="auto"/>
        <w:ind w:left="150"/>
        <w:jc w:val="center"/>
        <w:rPr>
          <w:rFonts w:hint="eastAsia" w:ascii="仿宋" w:hAnsi="仿宋" w:eastAsia="仿宋" w:cs="仿宋"/>
          <w:b/>
          <w:color w:val="auto"/>
          <w:kern w:val="0"/>
          <w:sz w:val="32"/>
          <w:szCs w:val="32"/>
          <w:highlight w:val="none"/>
        </w:rPr>
      </w:pPr>
    </w:p>
    <w:p w14:paraId="622DBA7C">
      <w:pPr>
        <w:widowControl/>
        <w:spacing w:line="360" w:lineRule="auto"/>
        <w:ind w:left="150"/>
        <w:jc w:val="center"/>
        <w:rPr>
          <w:rFonts w:hint="eastAsia" w:ascii="仿宋" w:hAnsi="仿宋" w:eastAsia="仿宋" w:cs="仿宋"/>
          <w:b/>
          <w:color w:val="auto"/>
          <w:kern w:val="0"/>
          <w:sz w:val="32"/>
          <w:szCs w:val="32"/>
          <w:highlight w:val="none"/>
        </w:rPr>
      </w:pPr>
    </w:p>
    <w:p w14:paraId="572CC470">
      <w:pPr>
        <w:snapToGrid w:val="0"/>
        <w:spacing w:beforeLines="100" w:afterLines="100"/>
        <w:jc w:val="center"/>
        <w:rPr>
          <w:rFonts w:hint="eastAsia" w:ascii="仿宋" w:hAnsi="仿宋" w:eastAsia="仿宋" w:cs="仿宋"/>
          <w:b/>
          <w:color w:val="auto"/>
          <w:kern w:val="0"/>
          <w:sz w:val="28"/>
          <w:szCs w:val="28"/>
          <w:highlight w:val="none"/>
        </w:rPr>
        <w:sectPr>
          <w:pgSz w:w="11905" w:h="16838"/>
          <w:pgMar w:top="1327" w:right="1519" w:bottom="1327" w:left="1519" w:header="851" w:footer="992" w:gutter="0"/>
          <w:cols w:space="0" w:num="1"/>
          <w:docGrid w:type="lines" w:linePitch="319" w:charSpace="0"/>
        </w:sectPr>
      </w:pPr>
    </w:p>
    <w:p w14:paraId="44B7B6DC">
      <w:pPr>
        <w:snapToGrid w:val="0"/>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四、本项目的特定资格要求</w:t>
      </w:r>
    </w:p>
    <w:p w14:paraId="3A97EADF">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[根据招标公告本项目的特定资格要求提供相应的材料；未要求的，无需提供。]</w:t>
      </w:r>
    </w:p>
    <w:p w14:paraId="45FD17E5">
      <w:pPr>
        <w:rPr>
          <w:rFonts w:hint="eastAsia" w:ascii="仿宋" w:hAnsi="仿宋" w:eastAsia="仿宋" w:cs="仿宋"/>
          <w:color w:val="auto"/>
          <w:highlight w:val="none"/>
        </w:rPr>
      </w:pPr>
    </w:p>
    <w:p w14:paraId="3A43B936">
      <w:pPr>
        <w:snapToGrid w:val="0"/>
        <w:spacing w:line="360" w:lineRule="auto"/>
        <w:ind w:right="480"/>
        <w:jc w:val="center"/>
        <w:rPr>
          <w:rFonts w:hint="eastAsia" w:ascii="仿宋" w:hAnsi="仿宋" w:eastAsia="仿宋" w:cs="仿宋"/>
          <w:b/>
          <w:color w:val="auto"/>
          <w:kern w:val="0"/>
          <w:sz w:val="32"/>
          <w:szCs w:val="32"/>
          <w:highlight w:val="none"/>
        </w:rPr>
      </w:pPr>
    </w:p>
    <w:p w14:paraId="7117BE44">
      <w:pPr>
        <w:snapToGrid w:val="0"/>
        <w:spacing w:line="360" w:lineRule="auto"/>
        <w:ind w:right="480"/>
        <w:jc w:val="center"/>
        <w:rPr>
          <w:rFonts w:hint="eastAsia" w:ascii="仿宋" w:hAnsi="仿宋" w:eastAsia="仿宋" w:cs="仿宋"/>
          <w:b/>
          <w:color w:val="auto"/>
          <w:kern w:val="0"/>
          <w:sz w:val="32"/>
          <w:szCs w:val="32"/>
          <w:highlight w:val="none"/>
        </w:rPr>
      </w:pPr>
    </w:p>
    <w:p w14:paraId="66506746">
      <w:pPr>
        <w:snapToGrid w:val="0"/>
        <w:spacing w:line="360" w:lineRule="auto"/>
        <w:ind w:right="480"/>
        <w:jc w:val="center"/>
        <w:rPr>
          <w:rFonts w:hint="eastAsia" w:ascii="仿宋" w:hAnsi="仿宋" w:eastAsia="仿宋" w:cs="仿宋"/>
          <w:b/>
          <w:color w:val="auto"/>
          <w:kern w:val="0"/>
          <w:sz w:val="32"/>
          <w:szCs w:val="32"/>
          <w:highlight w:val="none"/>
        </w:rPr>
      </w:pPr>
    </w:p>
    <w:p w14:paraId="4845E608">
      <w:pPr>
        <w:snapToGrid w:val="0"/>
        <w:spacing w:line="360" w:lineRule="auto"/>
        <w:ind w:right="480"/>
        <w:jc w:val="center"/>
        <w:rPr>
          <w:rFonts w:hint="eastAsia" w:ascii="仿宋" w:hAnsi="仿宋" w:eastAsia="仿宋" w:cs="仿宋"/>
          <w:b/>
          <w:color w:val="auto"/>
          <w:kern w:val="0"/>
          <w:sz w:val="32"/>
          <w:szCs w:val="32"/>
          <w:highlight w:val="none"/>
        </w:rPr>
      </w:pPr>
    </w:p>
    <w:p w14:paraId="08C769C8">
      <w:pPr>
        <w:snapToGrid w:val="0"/>
        <w:spacing w:line="360" w:lineRule="auto"/>
        <w:ind w:right="480"/>
        <w:jc w:val="center"/>
        <w:rPr>
          <w:rFonts w:hint="eastAsia" w:ascii="仿宋" w:hAnsi="仿宋" w:eastAsia="仿宋" w:cs="仿宋"/>
          <w:b/>
          <w:color w:val="auto"/>
          <w:kern w:val="0"/>
          <w:sz w:val="32"/>
          <w:szCs w:val="32"/>
          <w:highlight w:val="none"/>
        </w:rPr>
      </w:pPr>
    </w:p>
    <w:p w14:paraId="49DDCCE6">
      <w:pPr>
        <w:snapToGrid w:val="0"/>
        <w:spacing w:line="360" w:lineRule="auto"/>
        <w:ind w:right="480"/>
        <w:jc w:val="center"/>
        <w:rPr>
          <w:rFonts w:hint="eastAsia" w:ascii="仿宋" w:hAnsi="仿宋" w:eastAsia="仿宋" w:cs="仿宋"/>
          <w:b/>
          <w:color w:val="auto"/>
          <w:kern w:val="0"/>
          <w:sz w:val="32"/>
          <w:szCs w:val="32"/>
          <w:highlight w:val="none"/>
        </w:rPr>
      </w:pPr>
    </w:p>
    <w:p w14:paraId="4B5F8F9C">
      <w:pPr>
        <w:spacing w:line="360" w:lineRule="auto"/>
        <w:jc w:val="center"/>
        <w:outlineLvl w:val="0"/>
        <w:rPr>
          <w:rFonts w:hint="eastAsia" w:ascii="仿宋" w:hAnsi="仿宋" w:eastAsia="仿宋" w:cs="仿宋"/>
          <w:b/>
          <w:color w:val="auto"/>
          <w:kern w:val="0"/>
          <w:sz w:val="36"/>
          <w:szCs w:val="36"/>
          <w:highlight w:val="none"/>
        </w:rPr>
      </w:pPr>
    </w:p>
    <w:p w14:paraId="7DA394F2">
      <w:pPr>
        <w:snapToGrid w:val="0"/>
        <w:spacing w:line="360" w:lineRule="auto"/>
        <w:ind w:right="480"/>
        <w:jc w:val="center"/>
        <w:rPr>
          <w:rFonts w:hint="eastAsia" w:ascii="仿宋" w:hAnsi="仿宋" w:eastAsia="仿宋" w:cs="仿宋"/>
          <w:b/>
          <w:color w:val="auto"/>
          <w:kern w:val="0"/>
          <w:sz w:val="32"/>
          <w:szCs w:val="32"/>
          <w:highlight w:val="none"/>
        </w:rPr>
      </w:pPr>
    </w:p>
    <w:p w14:paraId="332F479F">
      <w:pPr>
        <w:spacing w:line="360" w:lineRule="auto"/>
        <w:jc w:val="center"/>
        <w:outlineLvl w:val="0"/>
        <w:rPr>
          <w:rFonts w:hint="eastAsia" w:ascii="仿宋" w:hAnsi="仿宋" w:eastAsia="仿宋" w:cs="仿宋"/>
          <w:b/>
          <w:color w:val="auto"/>
          <w:kern w:val="0"/>
          <w:sz w:val="36"/>
          <w:szCs w:val="36"/>
          <w:highlight w:val="none"/>
        </w:rPr>
      </w:pPr>
    </w:p>
    <w:p w14:paraId="71D3AC36">
      <w:pPr>
        <w:snapToGrid w:val="0"/>
        <w:spacing w:line="360" w:lineRule="auto"/>
        <w:ind w:right="480"/>
        <w:jc w:val="center"/>
        <w:rPr>
          <w:rFonts w:hint="eastAsia" w:ascii="仿宋" w:hAnsi="仿宋" w:eastAsia="仿宋" w:cs="仿宋"/>
          <w:b/>
          <w:color w:val="auto"/>
          <w:kern w:val="0"/>
          <w:sz w:val="32"/>
          <w:szCs w:val="32"/>
          <w:highlight w:val="none"/>
        </w:rPr>
      </w:pPr>
    </w:p>
    <w:p w14:paraId="69BC62FB">
      <w:pPr>
        <w:spacing w:line="360" w:lineRule="auto"/>
        <w:jc w:val="center"/>
        <w:outlineLvl w:val="0"/>
        <w:rPr>
          <w:rFonts w:hint="eastAsia" w:ascii="仿宋" w:hAnsi="仿宋" w:eastAsia="仿宋" w:cs="仿宋"/>
          <w:b/>
          <w:color w:val="auto"/>
          <w:kern w:val="0"/>
          <w:sz w:val="36"/>
          <w:szCs w:val="36"/>
          <w:highlight w:val="none"/>
        </w:rPr>
      </w:pPr>
    </w:p>
    <w:p w14:paraId="26A0BA36">
      <w:pPr>
        <w:widowControl/>
        <w:adjustRightInd/>
        <w:spacing w:beforeLines="100" w:afterLines="10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r>
        <w:rPr>
          <w:rFonts w:hint="eastAsia" w:ascii="仿宋" w:hAnsi="仿宋" w:eastAsia="仿宋" w:cs="仿宋"/>
          <w:b/>
          <w:color w:val="auto"/>
          <w:kern w:val="0"/>
          <w:sz w:val="28"/>
          <w:szCs w:val="28"/>
          <w:highlight w:val="none"/>
        </w:rPr>
        <w:t>商务技术文件部分</w:t>
      </w:r>
    </w:p>
    <w:p w14:paraId="7F7F7D81">
      <w:pPr>
        <w:widowControl/>
        <w:adjustRightInd/>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7EDEE9B3">
      <w:pPr>
        <w:wordWrap w:val="0"/>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（1）投标函…………………………………………………………………………（页码）</w:t>
      </w:r>
    </w:p>
    <w:p w14:paraId="0871C0CE">
      <w:pPr>
        <w:wordWrap w:val="0"/>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（2）授权委托书或法定代表人（单位负责人、自然人本人）身份证明………（页码）</w:t>
      </w:r>
    </w:p>
    <w:p w14:paraId="65253C89">
      <w:pPr>
        <w:wordWrap w:val="0"/>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（3）分包意向协议…………………………………………………………………（页码）</w:t>
      </w:r>
    </w:p>
    <w:p w14:paraId="6D742147">
      <w:pPr>
        <w:wordWrap w:val="0"/>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（4）符合性审查资料………………………………………………………………（页码）</w:t>
      </w:r>
    </w:p>
    <w:p w14:paraId="16FF93CF">
      <w:pPr>
        <w:wordWrap w:val="0"/>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（5）评标标准相应的商务技术资料………………………………………………（页码）</w:t>
      </w:r>
    </w:p>
    <w:p w14:paraId="013897E1">
      <w:pPr>
        <w:wordWrap w:val="0"/>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（6）投标标的清单…………………………………………………………………（页码）</w:t>
      </w:r>
    </w:p>
    <w:p w14:paraId="2FE7100F">
      <w:pPr>
        <w:wordWrap w:val="0"/>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（7）商务技术偏离表………………………………………………………………（页码）</w:t>
      </w:r>
    </w:p>
    <w:p w14:paraId="32A08223">
      <w:pPr>
        <w:wordWrap w:val="0"/>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rPr>
        <w:t>8</w:t>
      </w:r>
      <w:r>
        <w:rPr>
          <w:rFonts w:hint="eastAsia" w:ascii="仿宋" w:hAnsi="仿宋" w:eastAsia="仿宋" w:cs="仿宋"/>
          <w:color w:val="auto"/>
          <w:szCs w:val="21"/>
          <w:highlight w:val="none"/>
          <w:lang w:val="zh-CN"/>
        </w:rPr>
        <w:t>）政府采购供应商廉洁自律承诺书</w:t>
      </w:r>
      <w:r>
        <w:rPr>
          <w:rFonts w:hint="eastAsia" w:ascii="仿宋" w:hAnsi="仿宋" w:eastAsia="仿宋" w:cs="仿宋"/>
          <w:color w:val="auto"/>
          <w:szCs w:val="21"/>
          <w:highlight w:val="none"/>
        </w:rPr>
        <w:t>……………………………………………（页码）</w:t>
      </w:r>
    </w:p>
    <w:p w14:paraId="5696A4AF">
      <w:pPr>
        <w:widowControl/>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218DEADF">
      <w:pPr>
        <w:widowControl/>
        <w:adjustRightInd/>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一、投标函</w:t>
      </w:r>
    </w:p>
    <w:p w14:paraId="5EB96EB8">
      <w:pPr>
        <w:keepNext w:val="0"/>
        <w:keepLines w:val="0"/>
        <w:pageBreakBefore w:val="0"/>
        <w:widowControl w:val="0"/>
        <w:kinsoku/>
        <w:wordWrap/>
        <w:overflowPunct/>
        <w:topLinePunct w:val="0"/>
        <w:autoSpaceDE/>
        <w:autoSpaceDN/>
        <w:bidi w:val="0"/>
        <w:adjustRightInd w:val="0"/>
        <w:snapToGrid w:val="0"/>
        <w:spacing w:line="312" w:lineRule="auto"/>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（采购人）、（采购代理机构）：</w:t>
      </w:r>
    </w:p>
    <w:p w14:paraId="2028DF1F">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我方参加你方组织的（项目名称）【招标编号：（采购编号）】招标的有关活动，并对此项目进行投标。为此：</w:t>
      </w:r>
    </w:p>
    <w:p w14:paraId="193E3FCA">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1、我方承诺投标有效期从提交投标文件的截止之日起天（不少于90天），本投标文件在投标有效期满之前均具有约束力。</w:t>
      </w:r>
    </w:p>
    <w:p w14:paraId="5AC41F88">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2、我方的投标文件包括以下内容：</w:t>
      </w:r>
    </w:p>
    <w:p w14:paraId="6130BBBE">
      <w:pPr>
        <w:keepNext w:val="0"/>
        <w:keepLines w:val="0"/>
        <w:pageBreakBefore w:val="0"/>
        <w:widowControl w:val="0"/>
        <w:kinsoku/>
        <w:wordWrap/>
        <w:overflowPunct/>
        <w:topLinePunct w:val="0"/>
        <w:autoSpaceDE/>
        <w:autoSpaceDN/>
        <w:bidi w:val="0"/>
        <w:adjustRightInd w:val="0"/>
        <w:snapToGrid w:val="0"/>
        <w:spacing w:line="312" w:lineRule="auto"/>
        <w:ind w:firstLine="630" w:firstLineChars="300"/>
        <w:textAlignment w:val="auto"/>
        <w:rPr>
          <w:rFonts w:hint="eastAsia" w:ascii="仿宋" w:hAnsi="仿宋" w:eastAsia="仿宋" w:cs="仿宋"/>
          <w:b/>
          <w:bCs/>
          <w:color w:val="auto"/>
          <w:szCs w:val="21"/>
          <w:highlight w:val="none"/>
        </w:rPr>
      </w:pPr>
      <w:r>
        <w:rPr>
          <w:rFonts w:hint="eastAsia" w:ascii="仿宋" w:hAnsi="仿宋" w:eastAsia="仿宋" w:cs="仿宋"/>
          <w:color w:val="auto"/>
          <w:szCs w:val="21"/>
          <w:highlight w:val="none"/>
        </w:rPr>
        <w:t>2.1资格文件：</w:t>
      </w:r>
    </w:p>
    <w:p w14:paraId="61072A78">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2.1.1承诺函；</w:t>
      </w:r>
    </w:p>
    <w:p w14:paraId="317103B5">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2.1.2联合协议（如果有）；</w:t>
      </w:r>
    </w:p>
    <w:p w14:paraId="335BBCB9">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2.1.3落实政府采购政策需满足的资格要求（如果有）；</w:t>
      </w:r>
    </w:p>
    <w:p w14:paraId="485F07F0">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2.1.4本项目的特定资格要求（如果有）。</w:t>
      </w:r>
    </w:p>
    <w:p w14:paraId="33C12D26">
      <w:pPr>
        <w:keepNext w:val="0"/>
        <w:keepLines w:val="0"/>
        <w:pageBreakBefore w:val="0"/>
        <w:widowControl w:val="0"/>
        <w:kinsoku/>
        <w:wordWrap/>
        <w:overflowPunct/>
        <w:topLinePunct w:val="0"/>
        <w:autoSpaceDE/>
        <w:autoSpaceDN/>
        <w:bidi w:val="0"/>
        <w:adjustRightInd w:val="0"/>
        <w:snapToGrid w:val="0"/>
        <w:spacing w:line="312" w:lineRule="auto"/>
        <w:ind w:firstLine="630" w:firstLineChars="3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rPr>
        <w:t>2商务技术</w:t>
      </w:r>
      <w:r>
        <w:rPr>
          <w:rFonts w:hint="eastAsia" w:ascii="仿宋" w:hAnsi="仿宋" w:eastAsia="仿宋" w:cs="仿宋"/>
          <w:color w:val="auto"/>
          <w:szCs w:val="21"/>
          <w:highlight w:val="none"/>
          <w:lang w:val="zh-CN"/>
        </w:rPr>
        <w:t>文件：</w:t>
      </w:r>
    </w:p>
    <w:p w14:paraId="77C8F57A">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2.2.1投标函；</w:t>
      </w:r>
    </w:p>
    <w:p w14:paraId="18ADBC36">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2.2.2授权委托书或法定代表人（单位负责人）身份证明；</w:t>
      </w:r>
    </w:p>
    <w:p w14:paraId="398191BF">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2.2.3分包意向协议（如果有）；</w:t>
      </w:r>
    </w:p>
    <w:p w14:paraId="32475B9A">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2.2.4符合性审查资料；</w:t>
      </w:r>
    </w:p>
    <w:p w14:paraId="2FCA4FE1">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2.2.5评标标准相应的商务技术资料；</w:t>
      </w:r>
    </w:p>
    <w:p w14:paraId="400F1115">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2.2.6投标标的清单；</w:t>
      </w:r>
    </w:p>
    <w:p w14:paraId="277CB1A2">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2.2.7商务技术偏离表；</w:t>
      </w:r>
    </w:p>
    <w:p w14:paraId="3638EC07">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rPr>
        <w:t>8</w:t>
      </w:r>
      <w:r>
        <w:rPr>
          <w:rFonts w:hint="eastAsia" w:ascii="仿宋" w:hAnsi="仿宋" w:eastAsia="仿宋" w:cs="仿宋"/>
          <w:color w:val="auto"/>
          <w:szCs w:val="21"/>
          <w:highlight w:val="none"/>
          <w:lang w:val="zh-CN"/>
        </w:rPr>
        <w:t>政府采购供应商廉洁自律承诺书；</w:t>
      </w:r>
    </w:p>
    <w:p w14:paraId="1A651441">
      <w:pPr>
        <w:keepNext w:val="0"/>
        <w:keepLines w:val="0"/>
        <w:pageBreakBefore w:val="0"/>
        <w:widowControl w:val="0"/>
        <w:kinsoku/>
        <w:wordWrap/>
        <w:overflowPunct/>
        <w:topLinePunct w:val="0"/>
        <w:autoSpaceDE/>
        <w:autoSpaceDN/>
        <w:bidi w:val="0"/>
        <w:adjustRightInd w:val="0"/>
        <w:snapToGrid w:val="0"/>
        <w:spacing w:line="312"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rPr>
        <w:t>3报价文件</w:t>
      </w:r>
    </w:p>
    <w:p w14:paraId="0B1F8595">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2.3.1开标一览表（报价表）；</w:t>
      </w:r>
    </w:p>
    <w:p w14:paraId="663C66B7">
      <w:pPr>
        <w:keepNext w:val="0"/>
        <w:keepLines w:val="0"/>
        <w:pageBreakBefore w:val="0"/>
        <w:widowControl w:val="0"/>
        <w:kinsoku/>
        <w:wordWrap/>
        <w:overflowPunct/>
        <w:topLinePunct w:val="0"/>
        <w:autoSpaceDE/>
        <w:autoSpaceDN/>
        <w:bidi w:val="0"/>
        <w:adjustRightInd w:val="0"/>
        <w:snapToGrid w:val="0"/>
        <w:spacing w:line="312" w:lineRule="auto"/>
        <w:ind w:firstLine="840" w:firstLineChars="4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2.3.3中小企业声明函（如果有，招标公告中明确本项目专门面向中小企业采购的，此处可不提供）；</w:t>
      </w:r>
    </w:p>
    <w:p w14:paraId="7EF58147">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3、我方承诺除商务技术偏离表列出的偏离外，我方响应招标文件的全部要求。</w:t>
      </w:r>
    </w:p>
    <w:p w14:paraId="620F1908">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4、如我方中标，我方承诺：</w:t>
      </w:r>
    </w:p>
    <w:p w14:paraId="11B00AE5">
      <w:pPr>
        <w:keepNext w:val="0"/>
        <w:keepLines w:val="0"/>
        <w:pageBreakBefore w:val="0"/>
        <w:widowControl w:val="0"/>
        <w:kinsoku/>
        <w:wordWrap/>
        <w:overflowPunct/>
        <w:topLinePunct w:val="0"/>
        <w:autoSpaceDE/>
        <w:autoSpaceDN/>
        <w:bidi w:val="0"/>
        <w:adjustRightInd w:val="0"/>
        <w:snapToGrid w:val="0"/>
        <w:spacing w:line="312"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4.1在收到中标通知书后，在中标通知书规定的期限内与你方签订合同； </w:t>
      </w:r>
    </w:p>
    <w:p w14:paraId="0017BC30">
      <w:pPr>
        <w:keepNext w:val="0"/>
        <w:keepLines w:val="0"/>
        <w:pageBreakBefore w:val="0"/>
        <w:widowControl w:val="0"/>
        <w:kinsoku/>
        <w:wordWrap/>
        <w:overflowPunct/>
        <w:topLinePunct w:val="0"/>
        <w:autoSpaceDE/>
        <w:autoSpaceDN/>
        <w:bidi w:val="0"/>
        <w:adjustRightInd w:val="0"/>
        <w:snapToGrid w:val="0"/>
        <w:spacing w:line="312"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4.2在签订合同时不向你方提出附加条件； </w:t>
      </w:r>
    </w:p>
    <w:p w14:paraId="156D0185">
      <w:pPr>
        <w:keepNext w:val="0"/>
        <w:keepLines w:val="0"/>
        <w:pageBreakBefore w:val="0"/>
        <w:widowControl w:val="0"/>
        <w:kinsoku/>
        <w:wordWrap/>
        <w:overflowPunct/>
        <w:topLinePunct w:val="0"/>
        <w:autoSpaceDE/>
        <w:autoSpaceDN/>
        <w:bidi w:val="0"/>
        <w:adjustRightInd w:val="0"/>
        <w:snapToGrid w:val="0"/>
        <w:spacing w:line="312"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4.3按照招标文件要求提交履约保证金； </w:t>
      </w:r>
    </w:p>
    <w:p w14:paraId="50CE940F">
      <w:pPr>
        <w:keepNext w:val="0"/>
        <w:keepLines w:val="0"/>
        <w:pageBreakBefore w:val="0"/>
        <w:widowControl w:val="0"/>
        <w:kinsoku/>
        <w:wordWrap/>
        <w:overflowPunct/>
        <w:topLinePunct w:val="0"/>
        <w:autoSpaceDE/>
        <w:autoSpaceDN/>
        <w:bidi w:val="0"/>
        <w:adjustRightInd w:val="0"/>
        <w:snapToGrid w:val="0"/>
        <w:spacing w:line="312"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4.4在合同约定的期限内完成合同规定的全部义务。 </w:t>
      </w:r>
    </w:p>
    <w:p w14:paraId="1920FC1A">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5、其他补充说明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w:t>
      </w:r>
    </w:p>
    <w:p w14:paraId="5B4A66CF">
      <w:pPr>
        <w:keepNext w:val="0"/>
        <w:keepLines w:val="0"/>
        <w:pageBreakBefore w:val="0"/>
        <w:widowControl w:val="0"/>
        <w:kinsoku/>
        <w:wordWrap/>
        <w:overflowPunct/>
        <w:topLinePunct w:val="0"/>
        <w:autoSpaceDE/>
        <w:autoSpaceDN/>
        <w:bidi w:val="0"/>
        <w:adjustRightInd w:val="0"/>
        <w:spacing w:line="312" w:lineRule="auto"/>
        <w:ind w:firstLine="5250" w:firstLineChars="25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投标人名称（电子签名）：</w:t>
      </w:r>
    </w:p>
    <w:p w14:paraId="2AFC9BE4">
      <w:pPr>
        <w:keepNext w:val="0"/>
        <w:keepLines w:val="0"/>
        <w:pageBreakBefore w:val="0"/>
        <w:widowControl w:val="0"/>
        <w:kinsoku/>
        <w:wordWrap/>
        <w:overflowPunct/>
        <w:topLinePunct w:val="0"/>
        <w:autoSpaceDE/>
        <w:autoSpaceDN/>
        <w:bidi w:val="0"/>
        <w:adjustRightInd w:val="0"/>
        <w:spacing w:line="312" w:lineRule="auto"/>
        <w:ind w:firstLine="420" w:firstLineChars="200"/>
        <w:jc w:val="center"/>
        <w:textAlignment w:val="auto"/>
        <w:rPr>
          <w:rFonts w:hint="eastAsia" w:ascii="仿宋" w:hAnsi="仿宋" w:eastAsia="仿宋" w:cs="仿宋"/>
          <w:color w:val="auto"/>
          <w:sz w:val="24"/>
          <w:highlight w:val="none"/>
        </w:rPr>
      </w:pPr>
      <w:r>
        <w:rPr>
          <w:rFonts w:hint="eastAsia" w:ascii="仿宋" w:hAnsi="仿宋" w:eastAsia="仿宋" w:cs="仿宋"/>
          <w:color w:val="auto"/>
          <w:szCs w:val="21"/>
          <w:highlight w:val="none"/>
        </w:rPr>
        <w:t>日期：  年   月   日</w:t>
      </w:r>
    </w:p>
    <w:p w14:paraId="0CE7A7AA">
      <w:pPr>
        <w:snapToGrid w:val="0"/>
        <w:spacing w:line="336" w:lineRule="auto"/>
        <w:ind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val="zh-CN"/>
        </w:rPr>
        <w:t>注</w:t>
      </w: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zh-CN"/>
        </w:rPr>
        <w:t>按本格式和要求提供。</w:t>
      </w:r>
    </w:p>
    <w:p w14:paraId="6A4A6186">
      <w:pPr>
        <w:widowControl/>
        <w:adjustRightInd/>
        <w:spacing w:beforeLines="100" w:afterLines="100"/>
        <w:jc w:val="center"/>
        <w:rPr>
          <w:rFonts w:hint="eastAsia" w:ascii="仿宋" w:hAnsi="仿宋" w:eastAsia="仿宋" w:cs="仿宋"/>
          <w:b/>
          <w:color w:val="auto"/>
          <w:kern w:val="0"/>
          <w:sz w:val="28"/>
          <w:szCs w:val="28"/>
          <w:highlight w:val="none"/>
          <w:lang w:val="zh-CN"/>
        </w:rPr>
      </w:pPr>
    </w:p>
    <w:p w14:paraId="7C5375D6">
      <w:pPr>
        <w:widowControl/>
        <w:adjustRightInd/>
        <w:spacing w:beforeLines="100" w:afterLines="100"/>
        <w:jc w:val="center"/>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二、授权委托书或法定代表人（单位负责人、自然人本人）身份证明</w:t>
      </w:r>
    </w:p>
    <w:p w14:paraId="62C80C9F">
      <w:pPr>
        <w:widowControl/>
        <w:adjustRightInd/>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lang w:val="zh-CN"/>
        </w:rPr>
        <w:t>授权委托书（适用于非联合体投标）</w:t>
      </w:r>
    </w:p>
    <w:p w14:paraId="1CE3A139">
      <w:pPr>
        <w:snapToGrid w:val="0"/>
        <w:spacing w:line="360" w:lineRule="auto"/>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（采购人）、（采购代理机构）</w:t>
      </w:r>
      <w:r>
        <w:rPr>
          <w:rFonts w:hint="eastAsia" w:ascii="仿宋" w:hAnsi="仿宋" w:eastAsia="仿宋" w:cs="仿宋"/>
          <w:color w:val="auto"/>
          <w:kern w:val="0"/>
          <w:szCs w:val="21"/>
          <w:highlight w:val="none"/>
          <w:lang w:val="zh-CN"/>
        </w:rPr>
        <w:t>：</w:t>
      </w:r>
    </w:p>
    <w:p w14:paraId="0B5125A0">
      <w:pPr>
        <w:wordWrap w:val="0"/>
        <w:snapToGrid w:val="0"/>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现</w:t>
      </w:r>
      <w:r>
        <w:rPr>
          <w:rFonts w:hint="eastAsia" w:ascii="仿宋" w:hAnsi="仿宋" w:eastAsia="仿宋" w:cs="仿宋"/>
          <w:color w:val="auto"/>
          <w:kern w:val="0"/>
          <w:szCs w:val="21"/>
          <w:highlight w:val="none"/>
          <w:lang w:val="zh-CN"/>
        </w:rPr>
        <w:t>委托（姓名）为我方代理人（身份证号码：，手机：），以我方名义处理</w:t>
      </w:r>
      <w:r>
        <w:rPr>
          <w:rFonts w:hint="eastAsia" w:ascii="仿宋" w:hAnsi="仿宋" w:eastAsia="仿宋" w:cs="仿宋"/>
          <w:color w:val="auto"/>
          <w:szCs w:val="21"/>
          <w:highlight w:val="none"/>
        </w:rPr>
        <w:t>（项目名称）【招标编号：（采购编号）】</w:t>
      </w:r>
      <w:r>
        <w:rPr>
          <w:rFonts w:hint="eastAsia" w:ascii="仿宋" w:hAnsi="仿宋" w:eastAsia="仿宋" w:cs="仿宋"/>
          <w:color w:val="auto"/>
          <w:kern w:val="0"/>
          <w:szCs w:val="21"/>
          <w:highlight w:val="none"/>
          <w:lang w:val="zh-CN"/>
        </w:rPr>
        <w:t>政府采购投标的一切事项，其法律后果由我方承担。</w:t>
      </w:r>
    </w:p>
    <w:p w14:paraId="0FFB6DA1">
      <w:pPr>
        <w:snapToGrid w:val="0"/>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zh-CN"/>
        </w:rPr>
        <w:t>委托期限</w:t>
      </w:r>
      <w:r>
        <w:rPr>
          <w:rFonts w:hint="eastAsia" w:ascii="仿宋" w:hAnsi="仿宋" w:eastAsia="仿宋" w:cs="仿宋"/>
          <w:color w:val="auto"/>
          <w:kern w:val="0"/>
          <w:szCs w:val="21"/>
          <w:highlight w:val="none"/>
        </w:rPr>
        <w:t>：</w:t>
      </w:r>
      <w:r>
        <w:rPr>
          <w:rFonts w:hint="eastAsia" w:ascii="仿宋" w:hAnsi="仿宋" w:eastAsia="仿宋" w:cs="仿宋"/>
          <w:color w:val="auto"/>
          <w:kern w:val="0"/>
          <w:szCs w:val="21"/>
          <w:highlight w:val="none"/>
          <w:lang w:val="zh-CN"/>
        </w:rPr>
        <w:t>自年月日起至年月日止。</w:t>
      </w:r>
    </w:p>
    <w:p w14:paraId="3FB57825">
      <w:pPr>
        <w:snapToGrid w:val="0"/>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zh-CN"/>
        </w:rPr>
        <w:t>特此告知。</w:t>
      </w:r>
    </w:p>
    <w:p w14:paraId="4F0C689A">
      <w:pPr>
        <w:snapToGrid w:val="0"/>
        <w:spacing w:line="360" w:lineRule="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zh-CN"/>
        </w:rPr>
        <w:t xml:space="preserve">                                                 投标人名称(电子签名)：</w:t>
      </w:r>
    </w:p>
    <w:p w14:paraId="207D988E">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Cs w:val="21"/>
          <w:highlight w:val="none"/>
          <w:lang w:val="zh-CN"/>
        </w:rPr>
        <w:t xml:space="preserve">                                                 签发日期：  年  月   日</w:t>
      </w:r>
    </w:p>
    <w:p w14:paraId="6E72EB93">
      <w:pPr>
        <w:snapToGrid w:val="0"/>
        <w:spacing w:line="360" w:lineRule="auto"/>
        <w:rPr>
          <w:rFonts w:hint="eastAsia" w:ascii="仿宋" w:hAnsi="仿宋" w:eastAsia="仿宋" w:cs="仿宋"/>
          <w:color w:val="auto"/>
          <w:sz w:val="24"/>
          <w:highlight w:val="none"/>
        </w:rPr>
      </w:pPr>
    </w:p>
    <w:p w14:paraId="1AF516C0">
      <w:pPr>
        <w:jc w:val="center"/>
        <w:rPr>
          <w:rFonts w:hint="eastAsia" w:ascii="仿宋" w:hAnsi="仿宋" w:eastAsia="仿宋" w:cs="仿宋"/>
          <w:b/>
          <w:color w:val="auto"/>
          <w:kern w:val="0"/>
          <w:sz w:val="32"/>
          <w:szCs w:val="32"/>
          <w:highlight w:val="none"/>
          <w:lang w:val="zh-CN"/>
        </w:rPr>
      </w:pPr>
    </w:p>
    <w:p w14:paraId="65E7F272">
      <w:pPr>
        <w:widowControl/>
        <w:adjustRightInd/>
        <w:spacing w:beforeLines="100" w:afterLines="100"/>
        <w:jc w:val="center"/>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授权委托书（适用于联合体投标）</w:t>
      </w:r>
    </w:p>
    <w:p w14:paraId="6CE4AAFC">
      <w:pPr>
        <w:snapToGrid w:val="0"/>
        <w:spacing w:line="360" w:lineRule="auto"/>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（采购人）、（采购代理机构）</w:t>
      </w:r>
      <w:r>
        <w:rPr>
          <w:rFonts w:hint="eastAsia" w:ascii="仿宋" w:hAnsi="仿宋" w:eastAsia="仿宋" w:cs="仿宋"/>
          <w:color w:val="auto"/>
          <w:kern w:val="0"/>
          <w:szCs w:val="21"/>
          <w:highlight w:val="none"/>
          <w:lang w:val="zh-CN"/>
        </w:rPr>
        <w:t>：</w:t>
      </w:r>
    </w:p>
    <w:p w14:paraId="45483714">
      <w:pPr>
        <w:wordWrap w:val="0"/>
        <w:snapToGrid w:val="0"/>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现</w:t>
      </w:r>
      <w:r>
        <w:rPr>
          <w:rFonts w:hint="eastAsia" w:ascii="仿宋" w:hAnsi="仿宋" w:eastAsia="仿宋" w:cs="仿宋"/>
          <w:color w:val="auto"/>
          <w:kern w:val="0"/>
          <w:szCs w:val="21"/>
          <w:highlight w:val="none"/>
          <w:lang w:val="zh-CN"/>
        </w:rPr>
        <w:t>委托（姓名）为我方代理人（身份证号码：，手机：），以我方名义处理</w:t>
      </w:r>
      <w:r>
        <w:rPr>
          <w:rFonts w:hint="eastAsia" w:ascii="仿宋" w:hAnsi="仿宋" w:eastAsia="仿宋" w:cs="仿宋"/>
          <w:color w:val="auto"/>
          <w:szCs w:val="21"/>
          <w:highlight w:val="none"/>
        </w:rPr>
        <w:t>（项目名称）【招标编号：（采购编号）】</w:t>
      </w:r>
      <w:r>
        <w:rPr>
          <w:rFonts w:hint="eastAsia" w:ascii="仿宋" w:hAnsi="仿宋" w:eastAsia="仿宋" w:cs="仿宋"/>
          <w:color w:val="auto"/>
          <w:kern w:val="0"/>
          <w:szCs w:val="21"/>
          <w:highlight w:val="none"/>
          <w:lang w:val="zh-CN"/>
        </w:rPr>
        <w:t>政府采购投标的一切事项，其法律后果由我方承担。</w:t>
      </w:r>
    </w:p>
    <w:p w14:paraId="52DE5102">
      <w:pPr>
        <w:snapToGrid w:val="0"/>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zh-CN"/>
        </w:rPr>
        <w:t>委托期限</w:t>
      </w:r>
      <w:r>
        <w:rPr>
          <w:rFonts w:hint="eastAsia" w:ascii="仿宋" w:hAnsi="仿宋" w:eastAsia="仿宋" w:cs="仿宋"/>
          <w:color w:val="auto"/>
          <w:kern w:val="0"/>
          <w:szCs w:val="21"/>
          <w:highlight w:val="none"/>
        </w:rPr>
        <w:t>：</w:t>
      </w:r>
      <w:r>
        <w:rPr>
          <w:rFonts w:hint="eastAsia" w:ascii="仿宋" w:hAnsi="仿宋" w:eastAsia="仿宋" w:cs="仿宋"/>
          <w:color w:val="auto"/>
          <w:kern w:val="0"/>
          <w:szCs w:val="21"/>
          <w:highlight w:val="none"/>
          <w:lang w:val="zh-CN"/>
        </w:rPr>
        <w:t>自年月日起至年月日止。</w:t>
      </w:r>
    </w:p>
    <w:p w14:paraId="055C8747">
      <w:pPr>
        <w:snapToGrid w:val="0"/>
        <w:spacing w:line="360" w:lineRule="auto"/>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zh-CN"/>
        </w:rPr>
        <w:t>特此告知。</w:t>
      </w:r>
    </w:p>
    <w:p w14:paraId="2EDF52F1">
      <w:pPr>
        <w:spacing w:line="360" w:lineRule="auto"/>
        <w:jc w:val="center"/>
        <w:rPr>
          <w:rFonts w:hint="eastAsia" w:ascii="仿宋" w:hAnsi="仿宋" w:eastAsia="仿宋" w:cs="仿宋"/>
          <w:b/>
          <w:color w:val="auto"/>
          <w:kern w:val="0"/>
          <w:szCs w:val="21"/>
          <w:highlight w:val="none"/>
        </w:rPr>
      </w:pPr>
    </w:p>
    <w:p w14:paraId="7059B4DE">
      <w:pPr>
        <w:spacing w:line="360" w:lineRule="auto"/>
        <w:jc w:val="center"/>
        <w:rPr>
          <w:rFonts w:hint="eastAsia" w:ascii="仿宋" w:hAnsi="仿宋" w:eastAsia="仿宋" w:cs="仿宋"/>
          <w:b/>
          <w:color w:val="auto"/>
          <w:kern w:val="0"/>
          <w:szCs w:val="21"/>
          <w:highlight w:val="none"/>
        </w:rPr>
      </w:pPr>
    </w:p>
    <w:p w14:paraId="681543D8">
      <w:pPr>
        <w:spacing w:line="360" w:lineRule="auto"/>
        <w:jc w:val="center"/>
        <w:rPr>
          <w:rFonts w:hint="eastAsia" w:ascii="仿宋" w:hAnsi="仿宋" w:eastAsia="仿宋" w:cs="仿宋"/>
          <w:b/>
          <w:color w:val="auto"/>
          <w:kern w:val="0"/>
          <w:szCs w:val="21"/>
          <w:highlight w:val="none"/>
        </w:rPr>
      </w:pPr>
    </w:p>
    <w:p w14:paraId="4CA144BB">
      <w:pPr>
        <w:spacing w:line="360" w:lineRule="auto"/>
        <w:rPr>
          <w:rFonts w:hint="eastAsia" w:ascii="仿宋" w:hAnsi="仿宋" w:eastAsia="仿宋" w:cs="仿宋"/>
          <w:color w:val="auto"/>
          <w:szCs w:val="21"/>
          <w:highlight w:val="none"/>
        </w:rPr>
      </w:pPr>
    </w:p>
    <w:p w14:paraId="7D7AF0F4">
      <w:pPr>
        <w:snapToGrid w:val="0"/>
        <w:spacing w:line="360" w:lineRule="auto"/>
        <w:ind w:firstLine="4410" w:firstLineChars="21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联合体成员名称(电子签名/公章)：</w:t>
      </w:r>
    </w:p>
    <w:p w14:paraId="77CEBFDE">
      <w:pPr>
        <w:snapToGrid w:val="0"/>
        <w:spacing w:line="360" w:lineRule="auto"/>
        <w:ind w:firstLine="4410" w:firstLineChars="21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联合体成员名称(电子签名/公章)：</w:t>
      </w:r>
    </w:p>
    <w:p w14:paraId="1112A638">
      <w:pPr>
        <w:snapToGrid w:val="0"/>
        <w:spacing w:line="360" w:lineRule="auto"/>
        <w:ind w:firstLine="5040" w:firstLineChars="240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lang w:val="zh-CN"/>
        </w:rPr>
        <w:t>……</w:t>
      </w:r>
    </w:p>
    <w:p w14:paraId="69E1E738">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Cs w:val="21"/>
          <w:highlight w:val="none"/>
          <w:lang w:val="zh-CN"/>
        </w:rPr>
        <w:t xml:space="preserve">                                               日期：  年  月   日</w:t>
      </w:r>
    </w:p>
    <w:p w14:paraId="44B14AC5">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64480873">
      <w:pPr>
        <w:widowControl/>
        <w:adjustRightInd/>
        <w:spacing w:beforeLines="100" w:afterLines="100"/>
        <w:jc w:val="center"/>
        <w:rPr>
          <w:rFonts w:hint="eastAsia" w:ascii="仿宋" w:hAnsi="仿宋" w:eastAsia="仿宋" w:cs="仿宋"/>
          <w:b/>
          <w:color w:val="auto"/>
          <w:kern w:val="0"/>
          <w:sz w:val="28"/>
          <w:szCs w:val="28"/>
          <w:highlight w:val="none"/>
          <w:lang w:val="zh-CN"/>
        </w:rPr>
        <w:sectPr>
          <w:pgSz w:w="11905" w:h="16838"/>
          <w:pgMar w:top="1327" w:right="1519" w:bottom="1327" w:left="1519" w:header="851" w:footer="992" w:gutter="0"/>
          <w:cols w:space="0" w:num="1"/>
          <w:docGrid w:type="lines" w:linePitch="319" w:charSpace="0"/>
        </w:sectPr>
      </w:pPr>
    </w:p>
    <w:p w14:paraId="7D340EAC">
      <w:pPr>
        <w:widowControl/>
        <w:adjustRightInd/>
        <w:spacing w:beforeLines="100" w:afterLines="100"/>
        <w:jc w:val="center"/>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法定代表人、单位负责人或自然人本人的身份证明（适用于法定代表人、单位负责人或者自然人本人代表投标人参加投标）</w:t>
      </w:r>
    </w:p>
    <w:p w14:paraId="0B92479C">
      <w:pPr>
        <w:pStyle w:val="151"/>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身份证件扫描件：</w:t>
      </w:r>
    </w:p>
    <w:tbl>
      <w:tblPr>
        <w:tblStyle w:val="65"/>
        <w:tblW w:w="82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25"/>
        <w:gridCol w:w="4303"/>
      </w:tblGrid>
      <w:tr w14:paraId="0CA36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3925" w:type="dxa"/>
          </w:tcPr>
          <w:p w14:paraId="31C8AD54">
            <w:pPr>
              <w:pStyle w:val="151"/>
              <w:adjustRightInd w:val="0"/>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正面：</w:t>
            </w:r>
          </w:p>
          <w:p w14:paraId="2448EB3F">
            <w:pPr>
              <w:pStyle w:val="151"/>
              <w:adjustRightInd w:val="0"/>
              <w:spacing w:line="360" w:lineRule="auto"/>
              <w:rPr>
                <w:rFonts w:hint="eastAsia" w:ascii="仿宋" w:hAnsi="仿宋" w:eastAsia="仿宋" w:cs="仿宋"/>
                <w:bCs/>
                <w:color w:val="auto"/>
                <w:highlight w:val="none"/>
              </w:rPr>
            </w:pPr>
          </w:p>
        </w:tc>
        <w:tc>
          <w:tcPr>
            <w:tcW w:w="4303" w:type="dxa"/>
          </w:tcPr>
          <w:p w14:paraId="59B2F9E0">
            <w:pPr>
              <w:pStyle w:val="151"/>
              <w:adjustRightInd w:val="0"/>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反面：</w:t>
            </w:r>
          </w:p>
        </w:tc>
      </w:tr>
    </w:tbl>
    <w:p w14:paraId="33C8E76C">
      <w:pPr>
        <w:snapToGrid w:val="0"/>
        <w:spacing w:line="360" w:lineRule="auto"/>
        <w:ind w:firstLine="576"/>
        <w:jc w:val="center"/>
        <w:rPr>
          <w:rFonts w:hint="eastAsia" w:ascii="仿宋" w:hAnsi="仿宋" w:eastAsia="仿宋" w:cs="仿宋"/>
          <w:color w:val="auto"/>
          <w:kern w:val="0"/>
          <w:szCs w:val="21"/>
          <w:highlight w:val="none"/>
          <w:lang w:val="zh-CN"/>
        </w:rPr>
      </w:pPr>
    </w:p>
    <w:p w14:paraId="0792C4E9">
      <w:pPr>
        <w:snapToGrid w:val="0"/>
        <w:spacing w:line="360" w:lineRule="auto"/>
        <w:ind w:firstLine="576"/>
        <w:jc w:val="center"/>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 xml:space="preserve">                  投标人名称(电子签名)：                              </w:t>
      </w:r>
    </w:p>
    <w:p w14:paraId="08D87FA8">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Cs w:val="21"/>
          <w:highlight w:val="none"/>
          <w:lang w:val="zh-CN"/>
        </w:rPr>
        <w:t xml:space="preserve">                   日期：  年  月  日</w:t>
      </w:r>
    </w:p>
    <w:p w14:paraId="0152DC5D">
      <w:pPr>
        <w:jc w:val="center"/>
        <w:rPr>
          <w:rFonts w:hint="eastAsia" w:ascii="仿宋" w:hAnsi="仿宋" w:eastAsia="仿宋" w:cs="仿宋"/>
          <w:b/>
          <w:color w:val="auto"/>
          <w:kern w:val="0"/>
          <w:sz w:val="32"/>
          <w:szCs w:val="32"/>
          <w:highlight w:val="none"/>
        </w:rPr>
      </w:pPr>
    </w:p>
    <w:p w14:paraId="1FC95C21">
      <w:pPr>
        <w:jc w:val="center"/>
        <w:rPr>
          <w:rFonts w:hint="eastAsia" w:ascii="仿宋" w:hAnsi="仿宋" w:eastAsia="仿宋" w:cs="仿宋"/>
          <w:b/>
          <w:color w:val="auto"/>
          <w:kern w:val="0"/>
          <w:sz w:val="32"/>
          <w:szCs w:val="32"/>
          <w:highlight w:val="none"/>
        </w:rPr>
      </w:pPr>
    </w:p>
    <w:p w14:paraId="79E34B4E">
      <w:pPr>
        <w:jc w:val="center"/>
        <w:rPr>
          <w:rFonts w:hint="eastAsia" w:ascii="仿宋" w:hAnsi="仿宋" w:eastAsia="仿宋" w:cs="仿宋"/>
          <w:b/>
          <w:color w:val="auto"/>
          <w:kern w:val="0"/>
          <w:sz w:val="32"/>
          <w:szCs w:val="32"/>
          <w:highlight w:val="none"/>
        </w:rPr>
      </w:pPr>
    </w:p>
    <w:p w14:paraId="38E9919B">
      <w:pPr>
        <w:jc w:val="center"/>
        <w:rPr>
          <w:rFonts w:hint="eastAsia" w:ascii="仿宋" w:hAnsi="仿宋" w:eastAsia="仿宋" w:cs="仿宋"/>
          <w:b/>
          <w:color w:val="auto"/>
          <w:kern w:val="0"/>
          <w:sz w:val="32"/>
          <w:szCs w:val="32"/>
          <w:highlight w:val="none"/>
        </w:rPr>
      </w:pPr>
    </w:p>
    <w:p w14:paraId="3146BE65">
      <w:pPr>
        <w:jc w:val="center"/>
        <w:rPr>
          <w:rFonts w:hint="eastAsia" w:ascii="仿宋" w:hAnsi="仿宋" w:eastAsia="仿宋" w:cs="仿宋"/>
          <w:b/>
          <w:color w:val="auto"/>
          <w:kern w:val="0"/>
          <w:sz w:val="32"/>
          <w:szCs w:val="32"/>
          <w:highlight w:val="none"/>
        </w:rPr>
      </w:pPr>
    </w:p>
    <w:p w14:paraId="0B3D8333">
      <w:pPr>
        <w:jc w:val="center"/>
        <w:rPr>
          <w:rFonts w:hint="eastAsia" w:ascii="仿宋" w:hAnsi="仿宋" w:eastAsia="仿宋" w:cs="仿宋"/>
          <w:b/>
          <w:color w:val="auto"/>
          <w:kern w:val="0"/>
          <w:sz w:val="32"/>
          <w:szCs w:val="32"/>
          <w:highlight w:val="none"/>
        </w:rPr>
      </w:pPr>
    </w:p>
    <w:p w14:paraId="169938A8">
      <w:pPr>
        <w:jc w:val="center"/>
        <w:rPr>
          <w:rFonts w:hint="eastAsia" w:ascii="仿宋" w:hAnsi="仿宋" w:eastAsia="仿宋" w:cs="仿宋"/>
          <w:b/>
          <w:color w:val="auto"/>
          <w:kern w:val="0"/>
          <w:sz w:val="32"/>
          <w:szCs w:val="32"/>
          <w:highlight w:val="none"/>
        </w:rPr>
      </w:pPr>
    </w:p>
    <w:p w14:paraId="3562F3BA">
      <w:pPr>
        <w:jc w:val="center"/>
        <w:rPr>
          <w:rFonts w:hint="eastAsia" w:ascii="仿宋" w:hAnsi="仿宋" w:eastAsia="仿宋" w:cs="仿宋"/>
          <w:b/>
          <w:color w:val="auto"/>
          <w:kern w:val="0"/>
          <w:sz w:val="32"/>
          <w:szCs w:val="32"/>
          <w:highlight w:val="none"/>
        </w:rPr>
      </w:pPr>
    </w:p>
    <w:p w14:paraId="52F179D4">
      <w:pPr>
        <w:jc w:val="center"/>
        <w:rPr>
          <w:rFonts w:hint="eastAsia" w:ascii="仿宋" w:hAnsi="仿宋" w:eastAsia="仿宋" w:cs="仿宋"/>
          <w:b/>
          <w:color w:val="auto"/>
          <w:kern w:val="0"/>
          <w:sz w:val="32"/>
          <w:szCs w:val="32"/>
          <w:highlight w:val="none"/>
        </w:rPr>
      </w:pPr>
    </w:p>
    <w:p w14:paraId="38F8A038">
      <w:pPr>
        <w:widowControl/>
        <w:adjustRightInd/>
        <w:spacing w:beforeLines="100" w:afterLines="100"/>
        <w:jc w:val="center"/>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rPr>
        <w:t>三</w:t>
      </w:r>
      <w:r>
        <w:rPr>
          <w:rFonts w:hint="eastAsia" w:ascii="仿宋" w:hAnsi="仿宋" w:eastAsia="仿宋" w:cs="仿宋"/>
          <w:b/>
          <w:color w:val="auto"/>
          <w:kern w:val="0"/>
          <w:sz w:val="28"/>
          <w:szCs w:val="28"/>
          <w:highlight w:val="none"/>
          <w:lang w:val="zh-CN"/>
        </w:rPr>
        <w:t>、分包意向协议（</w:t>
      </w:r>
      <w:r>
        <w:rPr>
          <w:rFonts w:hint="eastAsia" w:ascii="仿宋" w:hAnsi="仿宋" w:eastAsia="仿宋" w:cs="仿宋"/>
          <w:b/>
          <w:color w:val="auto"/>
          <w:kern w:val="0"/>
          <w:sz w:val="28"/>
          <w:szCs w:val="28"/>
          <w:highlight w:val="none"/>
        </w:rPr>
        <w:t>如果有</w:t>
      </w:r>
      <w:r>
        <w:rPr>
          <w:rFonts w:hint="eastAsia" w:ascii="仿宋" w:hAnsi="仿宋" w:eastAsia="仿宋" w:cs="仿宋"/>
          <w:b/>
          <w:color w:val="auto"/>
          <w:kern w:val="0"/>
          <w:sz w:val="28"/>
          <w:szCs w:val="28"/>
          <w:highlight w:val="none"/>
          <w:lang w:val="zh-CN"/>
        </w:rPr>
        <w:t>）</w:t>
      </w:r>
    </w:p>
    <w:p w14:paraId="72471B1F">
      <w:pPr>
        <w:widowControl/>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[中标后以分包方式履行合同的，提供分包意向协议（附件6）；采购人不同意分包或者投标人中标后不以分包方式履行合同的，则不需要提供。]</w:t>
      </w:r>
    </w:p>
    <w:p w14:paraId="5B655C50">
      <w:pPr>
        <w:snapToGrid w:val="0"/>
        <w:spacing w:line="360" w:lineRule="auto"/>
        <w:rPr>
          <w:rFonts w:hint="eastAsia" w:ascii="仿宋" w:hAnsi="仿宋" w:eastAsia="仿宋" w:cs="仿宋"/>
          <w:color w:val="auto"/>
          <w:kern w:val="0"/>
          <w:sz w:val="24"/>
          <w:highlight w:val="none"/>
          <w:lang w:val="zh-CN"/>
        </w:rPr>
      </w:pPr>
    </w:p>
    <w:p w14:paraId="5E080DB3">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2298BC9">
      <w:pPr>
        <w:widowControl/>
        <w:adjustRightInd/>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四、符合性审查资料</w:t>
      </w:r>
    </w:p>
    <w:tbl>
      <w:tblPr>
        <w:tblStyle w:val="65"/>
        <w:tblW w:w="86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3289"/>
        <w:gridCol w:w="2781"/>
        <w:gridCol w:w="2049"/>
      </w:tblGrid>
      <w:tr w14:paraId="697C2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554" w:type="dxa"/>
            <w:vAlign w:val="center"/>
          </w:tcPr>
          <w:p w14:paraId="6A0F99FE">
            <w:pPr>
              <w:snapToGrid w:val="0"/>
              <w:spacing w:line="240" w:lineRule="atLeast"/>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序号</w:t>
            </w:r>
          </w:p>
        </w:tc>
        <w:tc>
          <w:tcPr>
            <w:tcW w:w="3289" w:type="dxa"/>
            <w:vAlign w:val="center"/>
          </w:tcPr>
          <w:p w14:paraId="5270698A">
            <w:pPr>
              <w:snapToGrid w:val="0"/>
              <w:spacing w:line="240" w:lineRule="atLeast"/>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实质性要求</w:t>
            </w:r>
          </w:p>
        </w:tc>
        <w:tc>
          <w:tcPr>
            <w:tcW w:w="2781" w:type="dxa"/>
            <w:vAlign w:val="center"/>
          </w:tcPr>
          <w:p w14:paraId="47F391E2">
            <w:pPr>
              <w:snapToGrid w:val="0"/>
              <w:spacing w:line="240" w:lineRule="atLeast"/>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需要提供的符合性审查资料</w:t>
            </w:r>
          </w:p>
        </w:tc>
        <w:tc>
          <w:tcPr>
            <w:tcW w:w="2049" w:type="dxa"/>
            <w:vAlign w:val="center"/>
          </w:tcPr>
          <w:p w14:paraId="5FA88F9F">
            <w:pPr>
              <w:snapToGrid w:val="0"/>
              <w:spacing w:line="240" w:lineRule="atLeast"/>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投标文件中的</w:t>
            </w:r>
          </w:p>
          <w:p w14:paraId="59CB1EE3">
            <w:pPr>
              <w:snapToGrid w:val="0"/>
              <w:spacing w:line="240" w:lineRule="atLeast"/>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页码位置</w:t>
            </w:r>
          </w:p>
        </w:tc>
      </w:tr>
      <w:tr w14:paraId="06A8D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554" w:type="dxa"/>
            <w:vAlign w:val="center"/>
          </w:tcPr>
          <w:p w14:paraId="66EA20B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3289" w:type="dxa"/>
            <w:vAlign w:val="center"/>
          </w:tcPr>
          <w:p w14:paraId="27394CFC">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投标文件按照招标文件要求签署、盖章。</w:t>
            </w:r>
          </w:p>
        </w:tc>
        <w:tc>
          <w:tcPr>
            <w:tcW w:w="2781" w:type="dxa"/>
            <w:vAlign w:val="center"/>
          </w:tcPr>
          <w:p w14:paraId="1E7B06AE">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需要使用电子签名或者签字盖章的投标文件的组成部分</w:t>
            </w:r>
          </w:p>
        </w:tc>
        <w:tc>
          <w:tcPr>
            <w:tcW w:w="2049" w:type="dxa"/>
            <w:vAlign w:val="center"/>
          </w:tcPr>
          <w:p w14:paraId="1E9B2D68">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见投标文件第页</w:t>
            </w:r>
          </w:p>
        </w:tc>
      </w:tr>
      <w:tr w14:paraId="24E11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554" w:type="dxa"/>
            <w:vAlign w:val="center"/>
          </w:tcPr>
          <w:p w14:paraId="6416B34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3289" w:type="dxa"/>
            <w:vAlign w:val="center"/>
          </w:tcPr>
          <w:p w14:paraId="6AF542F5">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投标文件中承诺的投标有效期不少于招标文件中载明的投标有效期。</w:t>
            </w:r>
          </w:p>
        </w:tc>
        <w:tc>
          <w:tcPr>
            <w:tcW w:w="2781" w:type="dxa"/>
            <w:vAlign w:val="center"/>
          </w:tcPr>
          <w:p w14:paraId="5ED6076D">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投标函</w:t>
            </w:r>
          </w:p>
        </w:tc>
        <w:tc>
          <w:tcPr>
            <w:tcW w:w="2049" w:type="dxa"/>
            <w:vAlign w:val="center"/>
          </w:tcPr>
          <w:p w14:paraId="747D2025">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见投标文件第页</w:t>
            </w:r>
          </w:p>
        </w:tc>
      </w:tr>
      <w:tr w14:paraId="5BBBF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554" w:type="dxa"/>
            <w:vAlign w:val="center"/>
          </w:tcPr>
          <w:p w14:paraId="466E838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3289" w:type="dxa"/>
            <w:vAlign w:val="center"/>
          </w:tcPr>
          <w:p w14:paraId="5EC55989">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投标文件满足招标文件的其它实质性要求。</w:t>
            </w:r>
          </w:p>
        </w:tc>
        <w:tc>
          <w:tcPr>
            <w:tcW w:w="2781" w:type="dxa"/>
            <w:vAlign w:val="center"/>
          </w:tcPr>
          <w:p w14:paraId="6EDBEEEE">
            <w:pP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招标文件其它实质性要求相应的材料（“▲”系指实质性要求条款，招标文件无其它实质性要求的，无需提供）</w:t>
            </w:r>
          </w:p>
        </w:tc>
        <w:tc>
          <w:tcPr>
            <w:tcW w:w="2049" w:type="dxa"/>
            <w:vAlign w:val="center"/>
          </w:tcPr>
          <w:p w14:paraId="490D9490">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见投标文件第页</w:t>
            </w:r>
          </w:p>
        </w:tc>
      </w:tr>
    </w:tbl>
    <w:p w14:paraId="4F021674">
      <w:pPr>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注：按本格式和要求提供。</w:t>
      </w:r>
    </w:p>
    <w:p w14:paraId="43D13D74">
      <w:pPr>
        <w:rPr>
          <w:rFonts w:hint="eastAsia" w:ascii="仿宋" w:hAnsi="仿宋" w:eastAsia="仿宋" w:cs="仿宋"/>
          <w:b/>
          <w:color w:val="auto"/>
          <w:kern w:val="0"/>
          <w:sz w:val="32"/>
          <w:szCs w:val="32"/>
          <w:highlight w:val="none"/>
        </w:rPr>
      </w:pPr>
    </w:p>
    <w:p w14:paraId="1BEF40AA">
      <w:pPr>
        <w:jc w:val="center"/>
        <w:rPr>
          <w:rFonts w:hint="eastAsia" w:ascii="仿宋" w:hAnsi="仿宋" w:eastAsia="仿宋" w:cs="仿宋"/>
          <w:b/>
          <w:color w:val="auto"/>
          <w:kern w:val="0"/>
          <w:sz w:val="32"/>
          <w:szCs w:val="32"/>
          <w:highlight w:val="none"/>
        </w:rPr>
      </w:pPr>
    </w:p>
    <w:p w14:paraId="73FCA88B">
      <w:pPr>
        <w:jc w:val="center"/>
        <w:rPr>
          <w:rFonts w:hint="eastAsia" w:ascii="仿宋" w:hAnsi="仿宋" w:eastAsia="仿宋" w:cs="仿宋"/>
          <w:b/>
          <w:color w:val="auto"/>
          <w:kern w:val="0"/>
          <w:sz w:val="32"/>
          <w:szCs w:val="32"/>
          <w:highlight w:val="none"/>
        </w:rPr>
      </w:pPr>
    </w:p>
    <w:p w14:paraId="7AABD2DC">
      <w:pPr>
        <w:jc w:val="center"/>
        <w:rPr>
          <w:rFonts w:hint="eastAsia" w:ascii="仿宋" w:hAnsi="仿宋" w:eastAsia="仿宋" w:cs="仿宋"/>
          <w:b/>
          <w:color w:val="auto"/>
          <w:kern w:val="0"/>
          <w:sz w:val="32"/>
          <w:szCs w:val="32"/>
          <w:highlight w:val="none"/>
        </w:rPr>
      </w:pPr>
    </w:p>
    <w:p w14:paraId="5D530A51">
      <w:pPr>
        <w:jc w:val="center"/>
        <w:rPr>
          <w:rFonts w:hint="eastAsia" w:ascii="仿宋" w:hAnsi="仿宋" w:eastAsia="仿宋" w:cs="仿宋"/>
          <w:b/>
          <w:color w:val="auto"/>
          <w:kern w:val="0"/>
          <w:sz w:val="32"/>
          <w:szCs w:val="32"/>
          <w:highlight w:val="none"/>
        </w:rPr>
      </w:pPr>
    </w:p>
    <w:p w14:paraId="7292B5D0">
      <w:pPr>
        <w:jc w:val="center"/>
        <w:rPr>
          <w:rFonts w:hint="eastAsia" w:ascii="仿宋" w:hAnsi="仿宋" w:eastAsia="仿宋" w:cs="仿宋"/>
          <w:b/>
          <w:color w:val="auto"/>
          <w:kern w:val="0"/>
          <w:sz w:val="32"/>
          <w:szCs w:val="32"/>
          <w:highlight w:val="none"/>
        </w:rPr>
      </w:pPr>
    </w:p>
    <w:p w14:paraId="045C876A">
      <w:pPr>
        <w:jc w:val="center"/>
        <w:rPr>
          <w:rFonts w:hint="eastAsia" w:ascii="仿宋" w:hAnsi="仿宋" w:eastAsia="仿宋" w:cs="仿宋"/>
          <w:b/>
          <w:color w:val="auto"/>
          <w:kern w:val="0"/>
          <w:sz w:val="32"/>
          <w:szCs w:val="32"/>
          <w:highlight w:val="none"/>
        </w:rPr>
      </w:pPr>
    </w:p>
    <w:p w14:paraId="72D9CE4D">
      <w:pPr>
        <w:jc w:val="center"/>
        <w:rPr>
          <w:rFonts w:hint="eastAsia" w:ascii="仿宋" w:hAnsi="仿宋" w:eastAsia="仿宋" w:cs="仿宋"/>
          <w:b/>
          <w:color w:val="auto"/>
          <w:kern w:val="0"/>
          <w:sz w:val="32"/>
          <w:szCs w:val="32"/>
          <w:highlight w:val="none"/>
        </w:rPr>
      </w:pPr>
    </w:p>
    <w:p w14:paraId="50601353">
      <w:pPr>
        <w:jc w:val="center"/>
        <w:rPr>
          <w:rFonts w:hint="eastAsia" w:ascii="仿宋" w:hAnsi="仿宋" w:eastAsia="仿宋" w:cs="仿宋"/>
          <w:b/>
          <w:color w:val="auto"/>
          <w:kern w:val="0"/>
          <w:sz w:val="32"/>
          <w:szCs w:val="32"/>
          <w:highlight w:val="none"/>
        </w:rPr>
      </w:pPr>
    </w:p>
    <w:p w14:paraId="282B26D1">
      <w:pPr>
        <w:jc w:val="center"/>
        <w:rPr>
          <w:rFonts w:hint="eastAsia" w:ascii="仿宋" w:hAnsi="仿宋" w:eastAsia="仿宋" w:cs="仿宋"/>
          <w:b/>
          <w:color w:val="auto"/>
          <w:kern w:val="0"/>
          <w:sz w:val="32"/>
          <w:szCs w:val="32"/>
          <w:highlight w:val="none"/>
        </w:rPr>
      </w:pPr>
    </w:p>
    <w:p w14:paraId="7094B533">
      <w:pPr>
        <w:jc w:val="center"/>
        <w:rPr>
          <w:rFonts w:hint="eastAsia" w:ascii="仿宋" w:hAnsi="仿宋" w:eastAsia="仿宋" w:cs="仿宋"/>
          <w:b/>
          <w:color w:val="auto"/>
          <w:kern w:val="0"/>
          <w:sz w:val="32"/>
          <w:szCs w:val="32"/>
          <w:highlight w:val="none"/>
        </w:rPr>
      </w:pPr>
    </w:p>
    <w:p w14:paraId="0E3A7DC7">
      <w:pPr>
        <w:jc w:val="center"/>
        <w:rPr>
          <w:rFonts w:hint="eastAsia" w:ascii="仿宋" w:hAnsi="仿宋" w:eastAsia="仿宋" w:cs="仿宋"/>
          <w:b/>
          <w:color w:val="auto"/>
          <w:kern w:val="0"/>
          <w:sz w:val="32"/>
          <w:szCs w:val="32"/>
          <w:highlight w:val="none"/>
        </w:rPr>
      </w:pPr>
    </w:p>
    <w:p w14:paraId="48CA2202">
      <w:pPr>
        <w:jc w:val="center"/>
        <w:rPr>
          <w:rFonts w:hint="eastAsia" w:ascii="仿宋" w:hAnsi="仿宋" w:eastAsia="仿宋" w:cs="仿宋"/>
          <w:b/>
          <w:color w:val="auto"/>
          <w:kern w:val="0"/>
          <w:sz w:val="32"/>
          <w:szCs w:val="32"/>
          <w:highlight w:val="none"/>
        </w:rPr>
      </w:pPr>
    </w:p>
    <w:p w14:paraId="10BE61A7">
      <w:pPr>
        <w:widowControl/>
        <w:adjustRightInd/>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五、评标标准相应的商务技术资料</w:t>
      </w:r>
    </w:p>
    <w:p w14:paraId="4BA94EC5">
      <w:pPr>
        <w:snapToGrid w:val="0"/>
        <w:spacing w:line="360" w:lineRule="auto"/>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[按招标文件第四部分评标办法前附表中“投标文件中评标标准相应的商务技术资料目录”提供资料。]</w:t>
      </w:r>
    </w:p>
    <w:p w14:paraId="7EE06AD2">
      <w:pPr>
        <w:jc w:val="center"/>
        <w:rPr>
          <w:rFonts w:hint="eastAsia" w:ascii="仿宋" w:hAnsi="仿宋" w:eastAsia="仿宋" w:cs="仿宋"/>
          <w:b/>
          <w:color w:val="auto"/>
          <w:kern w:val="0"/>
          <w:sz w:val="32"/>
          <w:szCs w:val="32"/>
          <w:highlight w:val="none"/>
        </w:rPr>
      </w:pPr>
    </w:p>
    <w:p w14:paraId="2B95D52A">
      <w:pPr>
        <w:jc w:val="center"/>
        <w:rPr>
          <w:rFonts w:hint="eastAsia" w:ascii="仿宋" w:hAnsi="仿宋" w:eastAsia="仿宋" w:cs="仿宋"/>
          <w:b/>
          <w:color w:val="auto"/>
          <w:kern w:val="0"/>
          <w:sz w:val="32"/>
          <w:szCs w:val="32"/>
          <w:highlight w:val="none"/>
        </w:rPr>
      </w:pPr>
    </w:p>
    <w:p w14:paraId="421B5597">
      <w:pPr>
        <w:pStyle w:val="6"/>
        <w:spacing w:line="360" w:lineRule="auto"/>
        <w:jc w:val="left"/>
        <w:rPr>
          <w:rFonts w:hint="eastAsia" w:ascii="仿宋" w:hAnsi="仿宋" w:eastAsia="仿宋" w:cs="仿宋"/>
          <w:color w:val="auto"/>
          <w:sz w:val="24"/>
          <w:highlight w:val="none"/>
        </w:rPr>
      </w:pPr>
    </w:p>
    <w:p w14:paraId="59DCEF75">
      <w:pPr>
        <w:jc w:val="center"/>
        <w:rPr>
          <w:rFonts w:hint="eastAsia" w:ascii="仿宋" w:hAnsi="仿宋" w:eastAsia="仿宋" w:cs="仿宋"/>
          <w:b/>
          <w:color w:val="auto"/>
          <w:kern w:val="0"/>
          <w:sz w:val="32"/>
          <w:szCs w:val="32"/>
          <w:highlight w:val="none"/>
        </w:rPr>
      </w:pPr>
    </w:p>
    <w:p w14:paraId="563BAAD8">
      <w:pPr>
        <w:jc w:val="center"/>
        <w:rPr>
          <w:rFonts w:hint="eastAsia" w:ascii="仿宋" w:hAnsi="仿宋" w:eastAsia="仿宋" w:cs="仿宋"/>
          <w:b/>
          <w:color w:val="auto"/>
          <w:kern w:val="0"/>
          <w:sz w:val="32"/>
          <w:szCs w:val="32"/>
          <w:highlight w:val="none"/>
        </w:rPr>
      </w:pPr>
    </w:p>
    <w:p w14:paraId="2C14DA35">
      <w:pPr>
        <w:jc w:val="center"/>
        <w:rPr>
          <w:rFonts w:hint="eastAsia" w:ascii="仿宋" w:hAnsi="仿宋" w:eastAsia="仿宋" w:cs="仿宋"/>
          <w:b/>
          <w:color w:val="auto"/>
          <w:kern w:val="0"/>
          <w:sz w:val="32"/>
          <w:szCs w:val="32"/>
          <w:highlight w:val="none"/>
        </w:rPr>
      </w:pPr>
    </w:p>
    <w:p w14:paraId="0619009F">
      <w:pPr>
        <w:jc w:val="center"/>
        <w:rPr>
          <w:rFonts w:hint="eastAsia" w:ascii="仿宋" w:hAnsi="仿宋" w:eastAsia="仿宋" w:cs="仿宋"/>
          <w:b/>
          <w:color w:val="auto"/>
          <w:kern w:val="0"/>
          <w:sz w:val="32"/>
          <w:szCs w:val="32"/>
          <w:highlight w:val="none"/>
        </w:rPr>
      </w:pPr>
    </w:p>
    <w:p w14:paraId="0270A1B2">
      <w:pPr>
        <w:jc w:val="center"/>
        <w:rPr>
          <w:rFonts w:hint="eastAsia" w:ascii="仿宋" w:hAnsi="仿宋" w:eastAsia="仿宋" w:cs="仿宋"/>
          <w:b/>
          <w:color w:val="auto"/>
          <w:kern w:val="0"/>
          <w:sz w:val="32"/>
          <w:szCs w:val="32"/>
          <w:highlight w:val="none"/>
        </w:rPr>
      </w:pPr>
    </w:p>
    <w:p w14:paraId="1B1428E4">
      <w:pPr>
        <w:jc w:val="center"/>
        <w:rPr>
          <w:rFonts w:hint="eastAsia" w:ascii="仿宋" w:hAnsi="仿宋" w:eastAsia="仿宋" w:cs="仿宋"/>
          <w:b/>
          <w:color w:val="auto"/>
          <w:kern w:val="0"/>
          <w:sz w:val="32"/>
          <w:szCs w:val="32"/>
          <w:highlight w:val="none"/>
        </w:rPr>
      </w:pPr>
    </w:p>
    <w:p w14:paraId="6ED115B1">
      <w:pPr>
        <w:jc w:val="center"/>
        <w:rPr>
          <w:rFonts w:hint="eastAsia" w:ascii="仿宋" w:hAnsi="仿宋" w:eastAsia="仿宋" w:cs="仿宋"/>
          <w:b/>
          <w:color w:val="auto"/>
          <w:kern w:val="0"/>
          <w:sz w:val="32"/>
          <w:szCs w:val="32"/>
          <w:highlight w:val="none"/>
        </w:rPr>
      </w:pPr>
    </w:p>
    <w:p w14:paraId="2CE8DAE3">
      <w:pPr>
        <w:jc w:val="center"/>
        <w:rPr>
          <w:rFonts w:hint="eastAsia" w:ascii="仿宋" w:hAnsi="仿宋" w:eastAsia="仿宋" w:cs="仿宋"/>
          <w:b/>
          <w:color w:val="auto"/>
          <w:kern w:val="0"/>
          <w:sz w:val="32"/>
          <w:szCs w:val="32"/>
          <w:highlight w:val="none"/>
        </w:rPr>
      </w:pPr>
    </w:p>
    <w:p w14:paraId="2EC9D0D2">
      <w:pPr>
        <w:jc w:val="center"/>
        <w:rPr>
          <w:rFonts w:hint="eastAsia" w:ascii="仿宋" w:hAnsi="仿宋" w:eastAsia="仿宋" w:cs="仿宋"/>
          <w:b/>
          <w:color w:val="auto"/>
          <w:kern w:val="0"/>
          <w:sz w:val="32"/>
          <w:szCs w:val="32"/>
          <w:highlight w:val="none"/>
        </w:rPr>
      </w:pPr>
    </w:p>
    <w:p w14:paraId="4F716A9C">
      <w:pPr>
        <w:jc w:val="center"/>
        <w:rPr>
          <w:rFonts w:hint="eastAsia" w:ascii="仿宋" w:hAnsi="仿宋" w:eastAsia="仿宋" w:cs="仿宋"/>
          <w:b/>
          <w:color w:val="auto"/>
          <w:kern w:val="0"/>
          <w:sz w:val="32"/>
          <w:szCs w:val="32"/>
          <w:highlight w:val="none"/>
        </w:rPr>
      </w:pPr>
    </w:p>
    <w:p w14:paraId="1693931C">
      <w:pPr>
        <w:rPr>
          <w:rFonts w:hint="eastAsia" w:ascii="仿宋" w:hAnsi="仿宋" w:eastAsia="仿宋" w:cs="仿宋"/>
          <w:b/>
          <w:color w:val="auto"/>
          <w:kern w:val="0"/>
          <w:sz w:val="32"/>
          <w:szCs w:val="32"/>
          <w:highlight w:val="none"/>
        </w:rPr>
      </w:pPr>
    </w:p>
    <w:p w14:paraId="7BD48DE3">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1A55EDD2">
      <w:pPr>
        <w:widowControl/>
        <w:adjustRightInd/>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六、投标标的清单</w:t>
      </w:r>
    </w:p>
    <w:tbl>
      <w:tblPr>
        <w:tblStyle w:val="6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2"/>
        <w:gridCol w:w="1361"/>
        <w:gridCol w:w="1397"/>
        <w:gridCol w:w="1302"/>
        <w:gridCol w:w="1086"/>
        <w:gridCol w:w="1200"/>
        <w:gridCol w:w="1355"/>
      </w:tblGrid>
      <w:tr w14:paraId="7AA34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exact"/>
        </w:trPr>
        <w:tc>
          <w:tcPr>
            <w:tcW w:w="792" w:type="dxa"/>
            <w:vAlign w:val="center"/>
          </w:tcPr>
          <w:p w14:paraId="39C939F8">
            <w:pPr>
              <w:widowControl/>
              <w:adjustRightInd/>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序号</w:t>
            </w:r>
          </w:p>
        </w:tc>
        <w:tc>
          <w:tcPr>
            <w:tcW w:w="1361" w:type="dxa"/>
            <w:vAlign w:val="center"/>
          </w:tcPr>
          <w:p w14:paraId="5579099F">
            <w:pPr>
              <w:widowControl/>
              <w:adjustRightInd/>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名称</w:t>
            </w:r>
          </w:p>
        </w:tc>
        <w:tc>
          <w:tcPr>
            <w:tcW w:w="1397" w:type="dxa"/>
            <w:vAlign w:val="center"/>
          </w:tcPr>
          <w:p w14:paraId="1DA76317">
            <w:pPr>
              <w:widowControl/>
              <w:adjustRightInd/>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服务范围</w:t>
            </w:r>
          </w:p>
        </w:tc>
        <w:tc>
          <w:tcPr>
            <w:tcW w:w="1302" w:type="dxa"/>
            <w:vAlign w:val="center"/>
          </w:tcPr>
          <w:p w14:paraId="75F1EB93">
            <w:pPr>
              <w:widowControl/>
              <w:adjustRightInd/>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服务要求</w:t>
            </w:r>
          </w:p>
        </w:tc>
        <w:tc>
          <w:tcPr>
            <w:tcW w:w="1086" w:type="dxa"/>
            <w:vAlign w:val="center"/>
          </w:tcPr>
          <w:p w14:paraId="38C5988B">
            <w:pPr>
              <w:widowControl/>
              <w:adjustRightInd/>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服务时间</w:t>
            </w:r>
          </w:p>
        </w:tc>
        <w:tc>
          <w:tcPr>
            <w:tcW w:w="1200" w:type="dxa"/>
            <w:vAlign w:val="center"/>
          </w:tcPr>
          <w:p w14:paraId="132939F1">
            <w:pPr>
              <w:widowControl/>
              <w:adjustRightInd/>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服务标准</w:t>
            </w:r>
          </w:p>
        </w:tc>
        <w:tc>
          <w:tcPr>
            <w:tcW w:w="1355" w:type="dxa"/>
            <w:vAlign w:val="center"/>
          </w:tcPr>
          <w:p w14:paraId="6849AB3B">
            <w:pPr>
              <w:widowControl/>
              <w:adjustRightInd/>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备注</w:t>
            </w:r>
          </w:p>
          <w:p w14:paraId="577A9BA0">
            <w:pPr>
              <w:widowControl/>
              <w:adjustRightInd/>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（如果有）</w:t>
            </w:r>
          </w:p>
        </w:tc>
      </w:tr>
      <w:tr w14:paraId="56F92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92" w:type="dxa"/>
            <w:vAlign w:val="center"/>
          </w:tcPr>
          <w:p w14:paraId="68F6564A">
            <w:pPr>
              <w:widowControl/>
              <w:adjustRightInd/>
              <w:spacing w:beforeLines="100" w:afterLines="100"/>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1</w:t>
            </w:r>
          </w:p>
        </w:tc>
        <w:tc>
          <w:tcPr>
            <w:tcW w:w="1361" w:type="dxa"/>
            <w:vAlign w:val="center"/>
          </w:tcPr>
          <w:p w14:paraId="6F5F4731">
            <w:pPr>
              <w:widowControl/>
              <w:adjustRightInd/>
              <w:spacing w:beforeLines="100" w:afterLines="100"/>
              <w:jc w:val="center"/>
              <w:rPr>
                <w:rFonts w:hint="eastAsia" w:ascii="仿宋" w:hAnsi="仿宋" w:eastAsia="仿宋" w:cs="仿宋"/>
                <w:bCs/>
                <w:color w:val="auto"/>
                <w:kern w:val="0"/>
                <w:szCs w:val="21"/>
                <w:highlight w:val="none"/>
              </w:rPr>
            </w:pPr>
          </w:p>
        </w:tc>
        <w:tc>
          <w:tcPr>
            <w:tcW w:w="1397" w:type="dxa"/>
            <w:vAlign w:val="center"/>
          </w:tcPr>
          <w:p w14:paraId="12447133">
            <w:pPr>
              <w:widowControl/>
              <w:adjustRightInd/>
              <w:spacing w:beforeLines="100" w:afterLines="100"/>
              <w:jc w:val="center"/>
              <w:rPr>
                <w:rFonts w:hint="eastAsia" w:ascii="仿宋" w:hAnsi="仿宋" w:eastAsia="仿宋" w:cs="仿宋"/>
                <w:bCs/>
                <w:color w:val="auto"/>
                <w:kern w:val="0"/>
                <w:szCs w:val="21"/>
                <w:highlight w:val="none"/>
              </w:rPr>
            </w:pPr>
          </w:p>
        </w:tc>
        <w:tc>
          <w:tcPr>
            <w:tcW w:w="1302" w:type="dxa"/>
            <w:vAlign w:val="center"/>
          </w:tcPr>
          <w:p w14:paraId="6D28679B">
            <w:pPr>
              <w:widowControl/>
              <w:adjustRightInd/>
              <w:spacing w:beforeLines="100" w:afterLines="100"/>
              <w:jc w:val="center"/>
              <w:rPr>
                <w:rFonts w:hint="eastAsia" w:ascii="仿宋" w:hAnsi="仿宋" w:eastAsia="仿宋" w:cs="仿宋"/>
                <w:bCs/>
                <w:color w:val="auto"/>
                <w:kern w:val="0"/>
                <w:szCs w:val="21"/>
                <w:highlight w:val="none"/>
              </w:rPr>
            </w:pPr>
          </w:p>
        </w:tc>
        <w:tc>
          <w:tcPr>
            <w:tcW w:w="1086" w:type="dxa"/>
            <w:vAlign w:val="center"/>
          </w:tcPr>
          <w:p w14:paraId="2F8DE1F0">
            <w:pPr>
              <w:widowControl/>
              <w:adjustRightInd/>
              <w:spacing w:beforeLines="100" w:afterLines="100"/>
              <w:jc w:val="center"/>
              <w:rPr>
                <w:rFonts w:hint="eastAsia" w:ascii="仿宋" w:hAnsi="仿宋" w:eastAsia="仿宋" w:cs="仿宋"/>
                <w:bCs/>
                <w:color w:val="auto"/>
                <w:kern w:val="0"/>
                <w:szCs w:val="21"/>
                <w:highlight w:val="none"/>
              </w:rPr>
            </w:pPr>
          </w:p>
        </w:tc>
        <w:tc>
          <w:tcPr>
            <w:tcW w:w="1200" w:type="dxa"/>
            <w:vAlign w:val="center"/>
          </w:tcPr>
          <w:p w14:paraId="6A4E47C7">
            <w:pPr>
              <w:widowControl/>
              <w:adjustRightInd/>
              <w:spacing w:beforeLines="100" w:afterLines="100"/>
              <w:jc w:val="center"/>
              <w:rPr>
                <w:rFonts w:hint="eastAsia" w:ascii="仿宋" w:hAnsi="仿宋" w:eastAsia="仿宋" w:cs="仿宋"/>
                <w:bCs/>
                <w:color w:val="auto"/>
                <w:kern w:val="0"/>
                <w:szCs w:val="21"/>
                <w:highlight w:val="none"/>
              </w:rPr>
            </w:pPr>
          </w:p>
        </w:tc>
        <w:tc>
          <w:tcPr>
            <w:tcW w:w="1355" w:type="dxa"/>
            <w:vAlign w:val="center"/>
          </w:tcPr>
          <w:p w14:paraId="69876999">
            <w:pPr>
              <w:widowControl/>
              <w:adjustRightInd/>
              <w:spacing w:beforeLines="100" w:afterLines="100"/>
              <w:jc w:val="center"/>
              <w:rPr>
                <w:rFonts w:hint="eastAsia" w:ascii="仿宋" w:hAnsi="仿宋" w:eastAsia="仿宋" w:cs="仿宋"/>
                <w:bCs/>
                <w:color w:val="auto"/>
                <w:kern w:val="0"/>
                <w:szCs w:val="21"/>
                <w:highlight w:val="none"/>
              </w:rPr>
            </w:pPr>
          </w:p>
        </w:tc>
      </w:tr>
      <w:tr w14:paraId="5B644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92" w:type="dxa"/>
            <w:vAlign w:val="center"/>
          </w:tcPr>
          <w:p w14:paraId="204A72CB">
            <w:pPr>
              <w:widowControl/>
              <w:adjustRightInd/>
              <w:spacing w:beforeLines="100" w:afterLines="100"/>
              <w:jc w:val="center"/>
              <w:rPr>
                <w:rFonts w:hint="eastAsia" w:ascii="仿宋" w:hAnsi="仿宋" w:eastAsia="仿宋" w:cs="仿宋"/>
                <w:bCs/>
                <w:color w:val="auto"/>
                <w:kern w:val="0"/>
                <w:szCs w:val="21"/>
                <w:highlight w:val="none"/>
              </w:rPr>
            </w:pPr>
            <w:r>
              <w:rPr>
                <w:rFonts w:hint="eastAsia" w:ascii="仿宋" w:hAnsi="仿宋" w:eastAsia="仿宋" w:cs="仿宋"/>
                <w:bCs/>
                <w:color w:val="auto"/>
                <w:kern w:val="0"/>
                <w:szCs w:val="21"/>
                <w:highlight w:val="none"/>
              </w:rPr>
              <w:t>2</w:t>
            </w:r>
          </w:p>
        </w:tc>
        <w:tc>
          <w:tcPr>
            <w:tcW w:w="1361" w:type="dxa"/>
            <w:vAlign w:val="center"/>
          </w:tcPr>
          <w:p w14:paraId="33DCB57F">
            <w:pPr>
              <w:widowControl/>
              <w:adjustRightInd/>
              <w:spacing w:beforeLines="100" w:afterLines="100"/>
              <w:jc w:val="center"/>
              <w:rPr>
                <w:rFonts w:hint="eastAsia" w:ascii="仿宋" w:hAnsi="仿宋" w:eastAsia="仿宋" w:cs="仿宋"/>
                <w:bCs/>
                <w:color w:val="auto"/>
                <w:kern w:val="0"/>
                <w:szCs w:val="21"/>
                <w:highlight w:val="none"/>
              </w:rPr>
            </w:pPr>
          </w:p>
        </w:tc>
        <w:tc>
          <w:tcPr>
            <w:tcW w:w="1397" w:type="dxa"/>
            <w:vAlign w:val="center"/>
          </w:tcPr>
          <w:p w14:paraId="2BC942F0">
            <w:pPr>
              <w:widowControl/>
              <w:adjustRightInd/>
              <w:spacing w:beforeLines="100" w:afterLines="100"/>
              <w:jc w:val="center"/>
              <w:rPr>
                <w:rFonts w:hint="eastAsia" w:ascii="仿宋" w:hAnsi="仿宋" w:eastAsia="仿宋" w:cs="仿宋"/>
                <w:bCs/>
                <w:color w:val="auto"/>
                <w:kern w:val="0"/>
                <w:szCs w:val="21"/>
                <w:highlight w:val="none"/>
              </w:rPr>
            </w:pPr>
          </w:p>
        </w:tc>
        <w:tc>
          <w:tcPr>
            <w:tcW w:w="1302" w:type="dxa"/>
            <w:vAlign w:val="center"/>
          </w:tcPr>
          <w:p w14:paraId="38919DEF">
            <w:pPr>
              <w:widowControl/>
              <w:adjustRightInd/>
              <w:spacing w:beforeLines="100" w:afterLines="100"/>
              <w:jc w:val="center"/>
              <w:rPr>
                <w:rFonts w:hint="eastAsia" w:ascii="仿宋" w:hAnsi="仿宋" w:eastAsia="仿宋" w:cs="仿宋"/>
                <w:bCs/>
                <w:color w:val="auto"/>
                <w:kern w:val="0"/>
                <w:szCs w:val="21"/>
                <w:highlight w:val="none"/>
              </w:rPr>
            </w:pPr>
          </w:p>
        </w:tc>
        <w:tc>
          <w:tcPr>
            <w:tcW w:w="1086" w:type="dxa"/>
            <w:vAlign w:val="center"/>
          </w:tcPr>
          <w:p w14:paraId="1E426449">
            <w:pPr>
              <w:widowControl/>
              <w:adjustRightInd/>
              <w:spacing w:beforeLines="100" w:afterLines="100"/>
              <w:jc w:val="center"/>
              <w:rPr>
                <w:rFonts w:hint="eastAsia" w:ascii="仿宋" w:hAnsi="仿宋" w:eastAsia="仿宋" w:cs="仿宋"/>
                <w:bCs/>
                <w:color w:val="auto"/>
                <w:kern w:val="0"/>
                <w:szCs w:val="21"/>
                <w:highlight w:val="none"/>
              </w:rPr>
            </w:pPr>
          </w:p>
        </w:tc>
        <w:tc>
          <w:tcPr>
            <w:tcW w:w="1200" w:type="dxa"/>
            <w:vAlign w:val="center"/>
          </w:tcPr>
          <w:p w14:paraId="333E4AB8">
            <w:pPr>
              <w:widowControl/>
              <w:adjustRightInd/>
              <w:spacing w:beforeLines="100" w:afterLines="100"/>
              <w:jc w:val="center"/>
              <w:rPr>
                <w:rFonts w:hint="eastAsia" w:ascii="仿宋" w:hAnsi="仿宋" w:eastAsia="仿宋" w:cs="仿宋"/>
                <w:bCs/>
                <w:color w:val="auto"/>
                <w:kern w:val="0"/>
                <w:szCs w:val="21"/>
                <w:highlight w:val="none"/>
              </w:rPr>
            </w:pPr>
          </w:p>
        </w:tc>
        <w:tc>
          <w:tcPr>
            <w:tcW w:w="1355" w:type="dxa"/>
            <w:vAlign w:val="center"/>
          </w:tcPr>
          <w:p w14:paraId="5792EEA2">
            <w:pPr>
              <w:widowControl/>
              <w:adjustRightInd/>
              <w:spacing w:beforeLines="100" w:afterLines="100"/>
              <w:jc w:val="center"/>
              <w:rPr>
                <w:rFonts w:hint="eastAsia" w:ascii="仿宋" w:hAnsi="仿宋" w:eastAsia="仿宋" w:cs="仿宋"/>
                <w:bCs/>
                <w:color w:val="auto"/>
                <w:kern w:val="0"/>
                <w:szCs w:val="21"/>
                <w:highlight w:val="none"/>
              </w:rPr>
            </w:pPr>
          </w:p>
        </w:tc>
      </w:tr>
      <w:tr w14:paraId="36C76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92" w:type="dxa"/>
            <w:vAlign w:val="center"/>
          </w:tcPr>
          <w:p w14:paraId="36759D04">
            <w:pPr>
              <w:widowControl/>
              <w:adjustRightInd/>
              <w:jc w:val="center"/>
              <w:rPr>
                <w:rFonts w:hint="eastAsia" w:ascii="仿宋" w:hAnsi="仿宋" w:eastAsia="仿宋" w:cs="仿宋"/>
                <w:b/>
                <w:bCs/>
                <w:color w:val="auto"/>
                <w:kern w:val="0"/>
                <w:szCs w:val="21"/>
                <w:highlight w:val="none"/>
              </w:rPr>
            </w:pPr>
            <w:r>
              <w:rPr>
                <w:rFonts w:hint="eastAsia" w:ascii="仿宋" w:hAnsi="仿宋" w:eastAsia="仿宋" w:cs="仿宋"/>
                <w:color w:val="auto"/>
                <w:sz w:val="24"/>
                <w:highlight w:val="none"/>
              </w:rPr>
              <w:t>……</w:t>
            </w:r>
          </w:p>
        </w:tc>
        <w:tc>
          <w:tcPr>
            <w:tcW w:w="1361" w:type="dxa"/>
            <w:vAlign w:val="center"/>
          </w:tcPr>
          <w:p w14:paraId="09BE3E1A">
            <w:pPr>
              <w:widowControl/>
              <w:adjustRightInd/>
              <w:jc w:val="center"/>
              <w:rPr>
                <w:rFonts w:hint="eastAsia" w:ascii="仿宋" w:hAnsi="仿宋" w:eastAsia="仿宋" w:cs="仿宋"/>
                <w:b/>
                <w:bCs/>
                <w:color w:val="auto"/>
                <w:kern w:val="0"/>
                <w:szCs w:val="21"/>
                <w:highlight w:val="none"/>
              </w:rPr>
            </w:pPr>
          </w:p>
        </w:tc>
        <w:tc>
          <w:tcPr>
            <w:tcW w:w="1397" w:type="dxa"/>
            <w:vAlign w:val="center"/>
          </w:tcPr>
          <w:p w14:paraId="110BFE84">
            <w:pPr>
              <w:widowControl/>
              <w:adjustRightInd/>
              <w:jc w:val="center"/>
              <w:rPr>
                <w:rFonts w:hint="eastAsia" w:ascii="仿宋" w:hAnsi="仿宋" w:eastAsia="仿宋" w:cs="仿宋"/>
                <w:b/>
                <w:bCs/>
                <w:color w:val="auto"/>
                <w:kern w:val="0"/>
                <w:szCs w:val="21"/>
                <w:highlight w:val="none"/>
              </w:rPr>
            </w:pPr>
          </w:p>
        </w:tc>
        <w:tc>
          <w:tcPr>
            <w:tcW w:w="1302" w:type="dxa"/>
            <w:vAlign w:val="center"/>
          </w:tcPr>
          <w:p w14:paraId="4176A21C">
            <w:pPr>
              <w:widowControl/>
              <w:adjustRightInd/>
              <w:jc w:val="center"/>
              <w:rPr>
                <w:rFonts w:hint="eastAsia" w:ascii="仿宋" w:hAnsi="仿宋" w:eastAsia="仿宋" w:cs="仿宋"/>
                <w:b/>
                <w:bCs/>
                <w:color w:val="auto"/>
                <w:kern w:val="0"/>
                <w:szCs w:val="21"/>
                <w:highlight w:val="none"/>
              </w:rPr>
            </w:pPr>
          </w:p>
        </w:tc>
        <w:tc>
          <w:tcPr>
            <w:tcW w:w="1086" w:type="dxa"/>
            <w:vAlign w:val="center"/>
          </w:tcPr>
          <w:p w14:paraId="69BCA8CF">
            <w:pPr>
              <w:widowControl/>
              <w:adjustRightInd/>
              <w:jc w:val="center"/>
              <w:rPr>
                <w:rFonts w:hint="eastAsia" w:ascii="仿宋" w:hAnsi="仿宋" w:eastAsia="仿宋" w:cs="仿宋"/>
                <w:b/>
                <w:bCs/>
                <w:color w:val="auto"/>
                <w:kern w:val="0"/>
                <w:szCs w:val="21"/>
                <w:highlight w:val="none"/>
              </w:rPr>
            </w:pPr>
          </w:p>
        </w:tc>
        <w:tc>
          <w:tcPr>
            <w:tcW w:w="1200" w:type="dxa"/>
            <w:vAlign w:val="center"/>
          </w:tcPr>
          <w:p w14:paraId="7162E894">
            <w:pPr>
              <w:widowControl/>
              <w:adjustRightInd/>
              <w:jc w:val="center"/>
              <w:rPr>
                <w:rFonts w:hint="eastAsia" w:ascii="仿宋" w:hAnsi="仿宋" w:eastAsia="仿宋" w:cs="仿宋"/>
                <w:b/>
                <w:bCs/>
                <w:color w:val="auto"/>
                <w:kern w:val="0"/>
                <w:szCs w:val="21"/>
                <w:highlight w:val="none"/>
              </w:rPr>
            </w:pPr>
          </w:p>
        </w:tc>
        <w:tc>
          <w:tcPr>
            <w:tcW w:w="1355" w:type="dxa"/>
            <w:vAlign w:val="center"/>
          </w:tcPr>
          <w:p w14:paraId="23FFDA16">
            <w:pPr>
              <w:widowControl/>
              <w:adjustRightInd/>
              <w:jc w:val="center"/>
              <w:rPr>
                <w:rFonts w:hint="eastAsia" w:ascii="仿宋" w:hAnsi="仿宋" w:eastAsia="仿宋" w:cs="仿宋"/>
                <w:b/>
                <w:bCs/>
                <w:color w:val="auto"/>
                <w:kern w:val="0"/>
                <w:szCs w:val="21"/>
                <w:highlight w:val="none"/>
              </w:rPr>
            </w:pPr>
          </w:p>
        </w:tc>
      </w:tr>
    </w:tbl>
    <w:p w14:paraId="32B066AD">
      <w:pPr>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注：按本格式和要求提供。</w:t>
      </w:r>
    </w:p>
    <w:p w14:paraId="671EF43C">
      <w:pPr>
        <w:widowControl/>
        <w:adjustRightInd/>
        <w:spacing w:beforeLines="100" w:afterLines="100"/>
        <w:jc w:val="center"/>
        <w:rPr>
          <w:rFonts w:hint="eastAsia" w:ascii="仿宋" w:hAnsi="仿宋" w:eastAsia="仿宋" w:cs="仿宋"/>
          <w:b/>
          <w:color w:val="auto"/>
          <w:kern w:val="0"/>
          <w:sz w:val="28"/>
          <w:szCs w:val="28"/>
          <w:highlight w:val="none"/>
        </w:rPr>
      </w:pPr>
    </w:p>
    <w:p w14:paraId="60A63FFB">
      <w:pPr>
        <w:widowControl/>
        <w:adjustRightInd/>
        <w:spacing w:beforeLines="100" w:afterLines="100"/>
        <w:jc w:val="center"/>
        <w:rPr>
          <w:rFonts w:hint="eastAsia" w:ascii="仿宋" w:hAnsi="仿宋" w:eastAsia="仿宋" w:cs="仿宋"/>
          <w:b/>
          <w:color w:val="auto"/>
          <w:kern w:val="0"/>
          <w:sz w:val="28"/>
          <w:szCs w:val="28"/>
          <w:highlight w:val="none"/>
        </w:rPr>
      </w:pPr>
    </w:p>
    <w:p w14:paraId="04113595">
      <w:pPr>
        <w:widowControl/>
        <w:adjustRightInd/>
        <w:spacing w:beforeLines="100" w:afterLines="100"/>
        <w:jc w:val="center"/>
        <w:rPr>
          <w:rFonts w:hint="eastAsia" w:ascii="仿宋" w:hAnsi="仿宋" w:eastAsia="仿宋" w:cs="仿宋"/>
          <w:b/>
          <w:color w:val="auto"/>
          <w:kern w:val="0"/>
          <w:sz w:val="28"/>
          <w:szCs w:val="28"/>
          <w:highlight w:val="none"/>
        </w:rPr>
      </w:pPr>
    </w:p>
    <w:p w14:paraId="04B3AD44">
      <w:pPr>
        <w:widowControl/>
        <w:adjustRightInd/>
        <w:spacing w:beforeLines="100" w:afterLines="100"/>
        <w:jc w:val="center"/>
        <w:rPr>
          <w:rFonts w:hint="eastAsia" w:ascii="仿宋" w:hAnsi="仿宋" w:eastAsia="仿宋" w:cs="仿宋"/>
          <w:b/>
          <w:color w:val="auto"/>
          <w:kern w:val="0"/>
          <w:sz w:val="28"/>
          <w:szCs w:val="28"/>
          <w:highlight w:val="none"/>
        </w:rPr>
      </w:pPr>
    </w:p>
    <w:p w14:paraId="75A0A51A">
      <w:pPr>
        <w:widowControl/>
        <w:adjustRightInd/>
        <w:spacing w:beforeLines="100" w:afterLines="100"/>
        <w:jc w:val="center"/>
        <w:rPr>
          <w:rFonts w:hint="eastAsia" w:ascii="仿宋" w:hAnsi="仿宋" w:eastAsia="仿宋" w:cs="仿宋"/>
          <w:b/>
          <w:color w:val="auto"/>
          <w:kern w:val="0"/>
          <w:sz w:val="28"/>
          <w:szCs w:val="28"/>
          <w:highlight w:val="none"/>
        </w:rPr>
      </w:pPr>
    </w:p>
    <w:p w14:paraId="284C1705">
      <w:pPr>
        <w:widowControl/>
        <w:adjustRightInd/>
        <w:spacing w:beforeLines="100" w:afterLines="100"/>
        <w:jc w:val="center"/>
        <w:rPr>
          <w:rFonts w:hint="eastAsia" w:ascii="仿宋" w:hAnsi="仿宋" w:eastAsia="仿宋" w:cs="仿宋"/>
          <w:b/>
          <w:color w:val="auto"/>
          <w:kern w:val="0"/>
          <w:sz w:val="28"/>
          <w:szCs w:val="28"/>
          <w:highlight w:val="none"/>
        </w:rPr>
      </w:pPr>
    </w:p>
    <w:p w14:paraId="0C6A35D1">
      <w:pPr>
        <w:widowControl/>
        <w:adjustRightInd/>
        <w:spacing w:beforeLines="100" w:afterLines="100"/>
        <w:jc w:val="center"/>
        <w:rPr>
          <w:rFonts w:hint="eastAsia" w:ascii="仿宋" w:hAnsi="仿宋" w:eastAsia="仿宋" w:cs="仿宋"/>
          <w:b/>
          <w:color w:val="auto"/>
          <w:kern w:val="0"/>
          <w:sz w:val="28"/>
          <w:szCs w:val="28"/>
          <w:highlight w:val="none"/>
        </w:rPr>
      </w:pPr>
    </w:p>
    <w:p w14:paraId="34220B2D">
      <w:pPr>
        <w:widowControl/>
        <w:adjustRightInd/>
        <w:spacing w:beforeLines="100" w:afterLines="100"/>
        <w:jc w:val="center"/>
        <w:rPr>
          <w:rFonts w:hint="eastAsia" w:ascii="仿宋" w:hAnsi="仿宋" w:eastAsia="仿宋" w:cs="仿宋"/>
          <w:b/>
          <w:color w:val="auto"/>
          <w:kern w:val="0"/>
          <w:sz w:val="28"/>
          <w:szCs w:val="28"/>
          <w:highlight w:val="none"/>
        </w:rPr>
      </w:pPr>
    </w:p>
    <w:p w14:paraId="77F464B8">
      <w:pPr>
        <w:widowControl/>
        <w:adjustRightInd/>
        <w:spacing w:beforeLines="100" w:afterLines="100"/>
        <w:jc w:val="center"/>
        <w:rPr>
          <w:rFonts w:hint="eastAsia" w:ascii="仿宋" w:hAnsi="仿宋" w:eastAsia="仿宋" w:cs="仿宋"/>
          <w:b/>
          <w:color w:val="auto"/>
          <w:kern w:val="0"/>
          <w:sz w:val="28"/>
          <w:szCs w:val="28"/>
          <w:highlight w:val="none"/>
        </w:rPr>
      </w:pPr>
    </w:p>
    <w:p w14:paraId="47B5ECE5">
      <w:pPr>
        <w:widowControl/>
        <w:adjustRightInd/>
        <w:spacing w:beforeLines="100" w:afterLines="100"/>
        <w:jc w:val="center"/>
        <w:rPr>
          <w:rFonts w:hint="eastAsia" w:ascii="仿宋" w:hAnsi="仿宋" w:eastAsia="仿宋" w:cs="仿宋"/>
          <w:b/>
          <w:color w:val="auto"/>
          <w:kern w:val="0"/>
          <w:sz w:val="28"/>
          <w:szCs w:val="28"/>
          <w:highlight w:val="none"/>
        </w:rPr>
      </w:pPr>
    </w:p>
    <w:p w14:paraId="42668C10">
      <w:pPr>
        <w:widowControl/>
        <w:adjustRightInd/>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七、商务技术偏离表</w:t>
      </w:r>
    </w:p>
    <w:tbl>
      <w:tblPr>
        <w:tblStyle w:val="66"/>
        <w:tblW w:w="82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2"/>
        <w:gridCol w:w="3231"/>
        <w:gridCol w:w="2995"/>
        <w:gridCol w:w="1276"/>
      </w:tblGrid>
      <w:tr w14:paraId="02C8C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62" w:type="dxa"/>
            <w:vAlign w:val="center"/>
          </w:tcPr>
          <w:p w14:paraId="56DC35CA">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3231" w:type="dxa"/>
            <w:vAlign w:val="center"/>
          </w:tcPr>
          <w:p w14:paraId="2B57CA2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招标文件章节及具体内容</w:t>
            </w:r>
          </w:p>
        </w:tc>
        <w:tc>
          <w:tcPr>
            <w:tcW w:w="2995" w:type="dxa"/>
            <w:vAlign w:val="center"/>
          </w:tcPr>
          <w:p w14:paraId="7E90D0E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投标文件章节及具体内容</w:t>
            </w:r>
          </w:p>
        </w:tc>
        <w:tc>
          <w:tcPr>
            <w:tcW w:w="1276" w:type="dxa"/>
            <w:vAlign w:val="center"/>
          </w:tcPr>
          <w:p w14:paraId="14F080E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偏离说明</w:t>
            </w:r>
          </w:p>
        </w:tc>
      </w:tr>
      <w:tr w14:paraId="1B35C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62" w:type="dxa"/>
            <w:vAlign w:val="center"/>
          </w:tcPr>
          <w:p w14:paraId="724EA855">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w:t>
            </w:r>
          </w:p>
        </w:tc>
        <w:tc>
          <w:tcPr>
            <w:tcW w:w="3231" w:type="dxa"/>
            <w:vAlign w:val="center"/>
          </w:tcPr>
          <w:p w14:paraId="6EF3CF66">
            <w:pPr>
              <w:jc w:val="center"/>
              <w:rPr>
                <w:rFonts w:hint="eastAsia" w:ascii="仿宋" w:hAnsi="仿宋" w:eastAsia="仿宋" w:cs="仿宋"/>
                <w:b/>
                <w:color w:val="auto"/>
                <w:kern w:val="0"/>
                <w:szCs w:val="21"/>
                <w:highlight w:val="none"/>
              </w:rPr>
            </w:pPr>
          </w:p>
        </w:tc>
        <w:tc>
          <w:tcPr>
            <w:tcW w:w="2995" w:type="dxa"/>
            <w:vAlign w:val="center"/>
          </w:tcPr>
          <w:p w14:paraId="72B39600">
            <w:pPr>
              <w:jc w:val="center"/>
              <w:rPr>
                <w:rFonts w:hint="eastAsia" w:ascii="仿宋" w:hAnsi="仿宋" w:eastAsia="仿宋" w:cs="仿宋"/>
                <w:b/>
                <w:color w:val="auto"/>
                <w:kern w:val="0"/>
                <w:szCs w:val="21"/>
                <w:highlight w:val="none"/>
              </w:rPr>
            </w:pPr>
          </w:p>
        </w:tc>
        <w:tc>
          <w:tcPr>
            <w:tcW w:w="1276" w:type="dxa"/>
            <w:vAlign w:val="center"/>
          </w:tcPr>
          <w:p w14:paraId="015AFCC5">
            <w:pPr>
              <w:jc w:val="center"/>
              <w:rPr>
                <w:rFonts w:hint="eastAsia" w:ascii="仿宋" w:hAnsi="仿宋" w:eastAsia="仿宋" w:cs="仿宋"/>
                <w:b/>
                <w:color w:val="auto"/>
                <w:kern w:val="0"/>
                <w:szCs w:val="21"/>
                <w:highlight w:val="none"/>
              </w:rPr>
            </w:pPr>
          </w:p>
        </w:tc>
      </w:tr>
      <w:tr w14:paraId="23E13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62" w:type="dxa"/>
            <w:vAlign w:val="center"/>
          </w:tcPr>
          <w:p w14:paraId="68115E56">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w:t>
            </w:r>
          </w:p>
        </w:tc>
        <w:tc>
          <w:tcPr>
            <w:tcW w:w="3231" w:type="dxa"/>
            <w:vAlign w:val="center"/>
          </w:tcPr>
          <w:p w14:paraId="22FCFBE2">
            <w:pPr>
              <w:jc w:val="center"/>
              <w:rPr>
                <w:rFonts w:hint="eastAsia" w:ascii="仿宋" w:hAnsi="仿宋" w:eastAsia="仿宋" w:cs="仿宋"/>
                <w:b/>
                <w:color w:val="auto"/>
                <w:kern w:val="0"/>
                <w:szCs w:val="21"/>
                <w:highlight w:val="none"/>
              </w:rPr>
            </w:pPr>
          </w:p>
        </w:tc>
        <w:tc>
          <w:tcPr>
            <w:tcW w:w="2995" w:type="dxa"/>
            <w:vAlign w:val="center"/>
          </w:tcPr>
          <w:p w14:paraId="439ABFA9">
            <w:pPr>
              <w:jc w:val="center"/>
              <w:rPr>
                <w:rFonts w:hint="eastAsia" w:ascii="仿宋" w:hAnsi="仿宋" w:eastAsia="仿宋" w:cs="仿宋"/>
                <w:b/>
                <w:color w:val="auto"/>
                <w:kern w:val="0"/>
                <w:szCs w:val="21"/>
                <w:highlight w:val="none"/>
              </w:rPr>
            </w:pPr>
          </w:p>
        </w:tc>
        <w:tc>
          <w:tcPr>
            <w:tcW w:w="1276" w:type="dxa"/>
            <w:vAlign w:val="center"/>
          </w:tcPr>
          <w:p w14:paraId="2E8C9FF2">
            <w:pPr>
              <w:jc w:val="center"/>
              <w:rPr>
                <w:rFonts w:hint="eastAsia" w:ascii="仿宋" w:hAnsi="仿宋" w:eastAsia="仿宋" w:cs="仿宋"/>
                <w:b/>
                <w:color w:val="auto"/>
                <w:kern w:val="0"/>
                <w:szCs w:val="21"/>
                <w:highlight w:val="none"/>
              </w:rPr>
            </w:pPr>
          </w:p>
        </w:tc>
      </w:tr>
      <w:tr w14:paraId="5A839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62" w:type="dxa"/>
            <w:vAlign w:val="center"/>
          </w:tcPr>
          <w:p w14:paraId="7CC20B2F">
            <w:pPr>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w:t>
            </w:r>
          </w:p>
        </w:tc>
        <w:tc>
          <w:tcPr>
            <w:tcW w:w="3231" w:type="dxa"/>
            <w:vAlign w:val="center"/>
          </w:tcPr>
          <w:p w14:paraId="01645DD2">
            <w:pPr>
              <w:jc w:val="center"/>
              <w:rPr>
                <w:rFonts w:hint="eastAsia" w:ascii="仿宋" w:hAnsi="仿宋" w:eastAsia="仿宋" w:cs="仿宋"/>
                <w:b/>
                <w:color w:val="auto"/>
                <w:kern w:val="0"/>
                <w:szCs w:val="21"/>
                <w:highlight w:val="none"/>
              </w:rPr>
            </w:pPr>
          </w:p>
        </w:tc>
        <w:tc>
          <w:tcPr>
            <w:tcW w:w="2995" w:type="dxa"/>
            <w:vAlign w:val="center"/>
          </w:tcPr>
          <w:p w14:paraId="25DCE724">
            <w:pPr>
              <w:jc w:val="center"/>
              <w:rPr>
                <w:rFonts w:hint="eastAsia" w:ascii="仿宋" w:hAnsi="仿宋" w:eastAsia="仿宋" w:cs="仿宋"/>
                <w:b/>
                <w:color w:val="auto"/>
                <w:kern w:val="0"/>
                <w:szCs w:val="21"/>
                <w:highlight w:val="none"/>
              </w:rPr>
            </w:pPr>
          </w:p>
        </w:tc>
        <w:tc>
          <w:tcPr>
            <w:tcW w:w="1276" w:type="dxa"/>
            <w:vAlign w:val="center"/>
          </w:tcPr>
          <w:p w14:paraId="6C52F3A0">
            <w:pPr>
              <w:jc w:val="center"/>
              <w:rPr>
                <w:rFonts w:hint="eastAsia" w:ascii="仿宋" w:hAnsi="仿宋" w:eastAsia="仿宋" w:cs="仿宋"/>
                <w:b/>
                <w:color w:val="auto"/>
                <w:kern w:val="0"/>
                <w:szCs w:val="21"/>
                <w:highlight w:val="none"/>
              </w:rPr>
            </w:pPr>
          </w:p>
        </w:tc>
      </w:tr>
    </w:tbl>
    <w:p w14:paraId="69B522EC">
      <w:pPr>
        <w:spacing w:line="360" w:lineRule="auto"/>
        <w:jc w:val="left"/>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投标人保证：除商务技术偏离表列出的偏离外，投标人响应招标文件的全部要求。</w:t>
      </w:r>
    </w:p>
    <w:p w14:paraId="089E8F86">
      <w:pPr>
        <w:pStyle w:val="3"/>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rPr>
        <w:t>注：按本格式和要求提供。</w:t>
      </w:r>
    </w:p>
    <w:p w14:paraId="695F18B3">
      <w:pPr>
        <w:pStyle w:val="3"/>
        <w:rPr>
          <w:rFonts w:hint="eastAsia" w:ascii="仿宋" w:hAnsi="仿宋" w:eastAsia="仿宋" w:cs="仿宋"/>
          <w:color w:val="auto"/>
          <w:highlight w:val="none"/>
        </w:rPr>
      </w:pPr>
    </w:p>
    <w:p w14:paraId="321D9684">
      <w:pPr>
        <w:jc w:val="center"/>
        <w:rPr>
          <w:rFonts w:hint="eastAsia" w:ascii="仿宋" w:hAnsi="仿宋" w:eastAsia="仿宋" w:cs="仿宋"/>
          <w:b/>
          <w:color w:val="auto"/>
          <w:kern w:val="0"/>
          <w:sz w:val="32"/>
          <w:szCs w:val="32"/>
          <w:highlight w:val="none"/>
        </w:rPr>
      </w:pPr>
    </w:p>
    <w:p w14:paraId="1C5B125C">
      <w:pPr>
        <w:jc w:val="center"/>
        <w:rPr>
          <w:rFonts w:hint="eastAsia" w:ascii="仿宋" w:hAnsi="仿宋" w:eastAsia="仿宋" w:cs="仿宋"/>
          <w:b/>
          <w:color w:val="auto"/>
          <w:kern w:val="0"/>
          <w:sz w:val="32"/>
          <w:szCs w:val="32"/>
          <w:highlight w:val="none"/>
        </w:rPr>
      </w:pPr>
    </w:p>
    <w:p w14:paraId="6743DE56">
      <w:pPr>
        <w:jc w:val="center"/>
        <w:rPr>
          <w:rFonts w:hint="eastAsia" w:ascii="仿宋" w:hAnsi="仿宋" w:eastAsia="仿宋" w:cs="仿宋"/>
          <w:b/>
          <w:color w:val="auto"/>
          <w:kern w:val="0"/>
          <w:sz w:val="32"/>
          <w:szCs w:val="32"/>
          <w:highlight w:val="none"/>
        </w:rPr>
      </w:pPr>
    </w:p>
    <w:p w14:paraId="1EED9307">
      <w:pPr>
        <w:jc w:val="center"/>
        <w:rPr>
          <w:rFonts w:hint="eastAsia" w:ascii="仿宋" w:hAnsi="仿宋" w:eastAsia="仿宋" w:cs="仿宋"/>
          <w:b/>
          <w:color w:val="auto"/>
          <w:kern w:val="0"/>
          <w:sz w:val="32"/>
          <w:szCs w:val="32"/>
          <w:highlight w:val="none"/>
        </w:rPr>
      </w:pPr>
    </w:p>
    <w:p w14:paraId="72DA81D5">
      <w:pPr>
        <w:jc w:val="center"/>
        <w:rPr>
          <w:rFonts w:hint="eastAsia" w:ascii="仿宋" w:hAnsi="仿宋" w:eastAsia="仿宋" w:cs="仿宋"/>
          <w:b/>
          <w:color w:val="auto"/>
          <w:kern w:val="0"/>
          <w:sz w:val="32"/>
          <w:szCs w:val="32"/>
          <w:highlight w:val="none"/>
        </w:rPr>
      </w:pPr>
    </w:p>
    <w:p w14:paraId="393CE81C">
      <w:pPr>
        <w:jc w:val="center"/>
        <w:rPr>
          <w:rFonts w:hint="eastAsia" w:ascii="仿宋" w:hAnsi="仿宋" w:eastAsia="仿宋" w:cs="仿宋"/>
          <w:b/>
          <w:color w:val="auto"/>
          <w:kern w:val="0"/>
          <w:sz w:val="32"/>
          <w:szCs w:val="32"/>
          <w:highlight w:val="none"/>
        </w:rPr>
      </w:pPr>
    </w:p>
    <w:p w14:paraId="70A8985C">
      <w:pPr>
        <w:jc w:val="center"/>
        <w:rPr>
          <w:rFonts w:hint="eastAsia" w:ascii="仿宋" w:hAnsi="仿宋" w:eastAsia="仿宋" w:cs="仿宋"/>
          <w:b/>
          <w:color w:val="auto"/>
          <w:kern w:val="0"/>
          <w:sz w:val="32"/>
          <w:szCs w:val="32"/>
          <w:highlight w:val="none"/>
        </w:rPr>
      </w:pPr>
    </w:p>
    <w:p w14:paraId="0FA3F66B">
      <w:pPr>
        <w:jc w:val="center"/>
        <w:rPr>
          <w:rFonts w:hint="eastAsia" w:ascii="仿宋" w:hAnsi="仿宋" w:eastAsia="仿宋" w:cs="仿宋"/>
          <w:b/>
          <w:color w:val="auto"/>
          <w:kern w:val="0"/>
          <w:sz w:val="32"/>
          <w:szCs w:val="32"/>
          <w:highlight w:val="none"/>
        </w:rPr>
      </w:pPr>
    </w:p>
    <w:p w14:paraId="22D5DE61">
      <w:pPr>
        <w:jc w:val="center"/>
        <w:rPr>
          <w:rFonts w:hint="eastAsia" w:ascii="仿宋" w:hAnsi="仿宋" w:eastAsia="仿宋" w:cs="仿宋"/>
          <w:b/>
          <w:color w:val="auto"/>
          <w:kern w:val="0"/>
          <w:sz w:val="32"/>
          <w:szCs w:val="32"/>
          <w:highlight w:val="none"/>
        </w:rPr>
      </w:pPr>
    </w:p>
    <w:p w14:paraId="24416B62">
      <w:pPr>
        <w:jc w:val="center"/>
        <w:rPr>
          <w:rFonts w:hint="eastAsia" w:ascii="仿宋" w:hAnsi="仿宋" w:eastAsia="仿宋" w:cs="仿宋"/>
          <w:b/>
          <w:color w:val="auto"/>
          <w:kern w:val="0"/>
          <w:sz w:val="32"/>
          <w:szCs w:val="32"/>
          <w:highlight w:val="none"/>
        </w:rPr>
      </w:pPr>
    </w:p>
    <w:p w14:paraId="7439C01B">
      <w:pPr>
        <w:jc w:val="center"/>
        <w:rPr>
          <w:rFonts w:hint="eastAsia" w:ascii="仿宋" w:hAnsi="仿宋" w:eastAsia="仿宋" w:cs="仿宋"/>
          <w:b/>
          <w:color w:val="auto"/>
          <w:kern w:val="0"/>
          <w:sz w:val="32"/>
          <w:szCs w:val="32"/>
          <w:highlight w:val="none"/>
        </w:rPr>
      </w:pPr>
    </w:p>
    <w:p w14:paraId="16ABE133">
      <w:pPr>
        <w:jc w:val="center"/>
        <w:rPr>
          <w:rFonts w:hint="eastAsia" w:ascii="仿宋" w:hAnsi="仿宋" w:eastAsia="仿宋" w:cs="仿宋"/>
          <w:b/>
          <w:color w:val="auto"/>
          <w:kern w:val="0"/>
          <w:sz w:val="32"/>
          <w:szCs w:val="32"/>
          <w:highlight w:val="none"/>
        </w:rPr>
      </w:pPr>
    </w:p>
    <w:p w14:paraId="3D68B2EA">
      <w:pPr>
        <w:ind w:firstLine="2891" w:firstLineChars="900"/>
        <w:rPr>
          <w:rFonts w:hint="eastAsia" w:ascii="仿宋" w:hAnsi="仿宋" w:eastAsia="仿宋" w:cs="仿宋"/>
          <w:b/>
          <w:bCs/>
          <w:color w:val="auto"/>
          <w:sz w:val="32"/>
          <w:szCs w:val="32"/>
          <w:highlight w:val="none"/>
        </w:rPr>
      </w:pPr>
    </w:p>
    <w:p w14:paraId="421B1069">
      <w:pPr>
        <w:ind w:firstLine="2891" w:firstLineChars="900"/>
        <w:rPr>
          <w:rFonts w:hint="eastAsia" w:ascii="仿宋" w:hAnsi="仿宋" w:eastAsia="仿宋" w:cs="仿宋"/>
          <w:b/>
          <w:bCs/>
          <w:color w:val="auto"/>
          <w:sz w:val="32"/>
          <w:szCs w:val="32"/>
          <w:highlight w:val="none"/>
        </w:rPr>
      </w:pPr>
    </w:p>
    <w:p w14:paraId="3CA15BC8">
      <w:pPr>
        <w:widowControl/>
        <w:adjustRightInd/>
        <w:spacing w:beforeLines="100" w:afterLines="10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八、</w:t>
      </w:r>
      <w:r>
        <w:rPr>
          <w:rFonts w:hint="eastAsia" w:ascii="仿宋" w:hAnsi="仿宋" w:eastAsia="仿宋" w:cs="仿宋"/>
          <w:b/>
          <w:color w:val="auto"/>
          <w:kern w:val="0"/>
          <w:sz w:val="28"/>
          <w:szCs w:val="28"/>
          <w:highlight w:val="none"/>
          <w:lang w:val="zh-CN"/>
        </w:rPr>
        <w:t>政府采购供应商廉洁自律承诺书</w:t>
      </w:r>
    </w:p>
    <w:p w14:paraId="369C19B1">
      <w:pPr>
        <w:snapToGrid w:val="0"/>
        <w:spacing w:line="360" w:lineRule="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zh-CN"/>
        </w:rPr>
        <w:t>（采购人）、（采购代理机构）：</w:t>
      </w:r>
    </w:p>
    <w:p w14:paraId="100D3CA3">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我单位响应你单位项目招标要求参加投标。在这次投标过程中和中标后，我们将严格遵守国家法律法规要求，并郑重承诺：</w:t>
      </w:r>
    </w:p>
    <w:p w14:paraId="0D8C8C9F">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一、不向项目有关人员及部门赠送礼金礼物、有价证券、回扣以及中介费、介绍费、咨询费等好处费；</w:t>
      </w:r>
    </w:p>
    <w:p w14:paraId="229E4A60">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二、不为项目有关人员及部门报销应由你方单位或个人支付的费用；</w:t>
      </w:r>
    </w:p>
    <w:p w14:paraId="7C8D596C">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三、不向项目有关人员及部门提供有可能影响公正的宴请和健身娱乐等活动；</w:t>
      </w:r>
    </w:p>
    <w:p w14:paraId="1004744E">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四、不为项目有关人员及部门出国（境）、旅游等提供方便；</w:t>
      </w:r>
    </w:p>
    <w:p w14:paraId="20F6851D">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五、不为项目有关人员个人装修住房、婚丧嫁娶、配偶子女工作安排等提供好处；</w:t>
      </w:r>
    </w:p>
    <w:p w14:paraId="1F1211DE">
      <w:pPr>
        <w:wordWrap w:val="0"/>
        <w:autoSpaceDE w:val="0"/>
        <w:autoSpaceDN w:val="0"/>
        <w:spacing w:line="360" w:lineRule="auto"/>
        <w:ind w:left="420" w:leftChars="200"/>
        <w:jc w:val="left"/>
        <w:rPr>
          <w:rFonts w:hint="eastAsia" w:ascii="仿宋" w:hAnsi="仿宋" w:eastAsia="仿宋" w:cs="仿宋"/>
          <w:color w:val="auto"/>
          <w:szCs w:val="21"/>
          <w:highlight w:val="none"/>
          <w:lang w:val="zh-CN"/>
        </w:rPr>
      </w:pPr>
      <w:r>
        <w:rPr>
          <w:rFonts w:hint="eastAsia" w:ascii="仿宋" w:hAnsi="仿宋" w:eastAsia="仿宋" w:cs="仿宋"/>
          <w:color w:val="auto"/>
          <w:kern w:val="0"/>
          <w:szCs w:val="21"/>
          <w:highlight w:val="none"/>
        </w:rPr>
        <w:t>六、</w:t>
      </w:r>
      <w:r>
        <w:rPr>
          <w:rFonts w:hint="eastAsia" w:ascii="仿宋" w:hAnsi="仿宋" w:eastAsia="仿宋" w:cs="仿宋"/>
          <w:color w:val="auto"/>
          <w:kern w:val="0"/>
          <w:szCs w:val="21"/>
          <w:highlight w:val="none"/>
          <w:lang w:val="zh-CN"/>
        </w:rPr>
        <w:t>严格遵守《</w:t>
      </w:r>
      <w:r>
        <w:rPr>
          <w:rFonts w:hint="eastAsia" w:ascii="仿宋" w:hAnsi="仿宋" w:eastAsia="仿宋" w:cs="仿宋"/>
          <w:color w:val="auto"/>
          <w:szCs w:val="21"/>
          <w:highlight w:val="none"/>
          <w:lang w:val="zh-CN"/>
        </w:rPr>
        <w:t>中华人民共和国</w:t>
      </w:r>
      <w:r>
        <w:rPr>
          <w:rFonts w:hint="eastAsia" w:ascii="仿宋" w:hAnsi="仿宋" w:eastAsia="仿宋" w:cs="仿宋"/>
          <w:color w:val="auto"/>
          <w:kern w:val="0"/>
          <w:szCs w:val="21"/>
          <w:highlight w:val="none"/>
          <w:lang w:val="zh-CN"/>
        </w:rPr>
        <w:t>政府采购法》《</w:t>
      </w:r>
      <w:r>
        <w:rPr>
          <w:rFonts w:hint="eastAsia" w:ascii="仿宋" w:hAnsi="仿宋" w:eastAsia="仿宋" w:cs="仿宋"/>
          <w:color w:val="auto"/>
          <w:szCs w:val="21"/>
          <w:highlight w:val="none"/>
          <w:lang w:val="zh-CN"/>
        </w:rPr>
        <w:t>中华人民共和国</w:t>
      </w:r>
      <w:r>
        <w:rPr>
          <w:rFonts w:hint="eastAsia" w:ascii="仿宋" w:hAnsi="仿宋" w:eastAsia="仿宋" w:cs="仿宋"/>
          <w:color w:val="auto"/>
          <w:kern w:val="0"/>
          <w:szCs w:val="21"/>
          <w:highlight w:val="none"/>
          <w:lang w:val="zh-CN"/>
        </w:rPr>
        <w:t>招标投标法》</w:t>
      </w:r>
      <w:r>
        <w:rPr>
          <w:rFonts w:hint="eastAsia" w:ascii="仿宋" w:hAnsi="仿宋" w:eastAsia="仿宋" w:cs="仿宋"/>
          <w:color w:val="auto"/>
          <w:szCs w:val="21"/>
          <w:highlight w:val="none"/>
          <w:lang w:val="zh-CN"/>
        </w:rPr>
        <w:t>《中华</w:t>
      </w:r>
    </w:p>
    <w:p w14:paraId="56EDE79C">
      <w:pPr>
        <w:wordWrap w:val="0"/>
        <w:autoSpaceDE w:val="0"/>
        <w:autoSpaceDN w:val="0"/>
        <w:spacing w:line="360" w:lineRule="auto"/>
        <w:jc w:val="left"/>
        <w:rPr>
          <w:rFonts w:hint="eastAsia" w:ascii="仿宋" w:hAnsi="仿宋" w:eastAsia="仿宋" w:cs="仿宋"/>
          <w:color w:val="auto"/>
          <w:kern w:val="0"/>
          <w:szCs w:val="21"/>
          <w:highlight w:val="none"/>
          <w:lang w:val="zh-CN"/>
        </w:rPr>
      </w:pPr>
      <w:r>
        <w:rPr>
          <w:rFonts w:hint="eastAsia" w:ascii="仿宋" w:hAnsi="仿宋" w:eastAsia="仿宋" w:cs="仿宋"/>
          <w:color w:val="auto"/>
          <w:szCs w:val="21"/>
          <w:highlight w:val="none"/>
          <w:lang w:val="zh-CN"/>
        </w:rPr>
        <w:t>人民共和国民法典》</w:t>
      </w:r>
      <w:r>
        <w:rPr>
          <w:rFonts w:hint="eastAsia" w:ascii="仿宋" w:hAnsi="仿宋" w:eastAsia="仿宋" w:cs="仿宋"/>
          <w:color w:val="auto"/>
          <w:kern w:val="0"/>
          <w:szCs w:val="21"/>
          <w:highlight w:val="none"/>
          <w:lang w:val="zh-CN"/>
        </w:rPr>
        <w:t>等法律法规，诚实守信，合法经营，坚决抵制各种违法违纪行为。</w:t>
      </w:r>
    </w:p>
    <w:p w14:paraId="0CD40AB2">
      <w:pPr>
        <w:wordWrap w:val="0"/>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如违反上述承诺，你</w:t>
      </w:r>
      <w:r>
        <w:rPr>
          <w:rFonts w:hint="eastAsia" w:ascii="仿宋" w:hAnsi="仿宋" w:eastAsia="仿宋" w:cs="仿宋"/>
          <w:color w:val="auto"/>
          <w:szCs w:val="21"/>
          <w:highlight w:val="none"/>
        </w:rPr>
        <w:t>单位</w:t>
      </w:r>
      <w:r>
        <w:rPr>
          <w:rFonts w:hint="eastAsia" w:ascii="仿宋" w:hAnsi="仿宋" w:eastAsia="仿宋" w:cs="仿宋"/>
          <w:color w:val="auto"/>
          <w:kern w:val="0"/>
          <w:szCs w:val="21"/>
          <w:highlight w:val="none"/>
          <w:lang w:val="zh-CN"/>
        </w:rPr>
        <w:t>有权立即取消我单位投标、中标或在建项目的建设资格，有权拒绝我单位在一定时期内进入你</w:t>
      </w:r>
      <w:r>
        <w:rPr>
          <w:rFonts w:hint="eastAsia" w:ascii="仿宋" w:hAnsi="仿宋" w:eastAsia="仿宋" w:cs="仿宋"/>
          <w:color w:val="auto"/>
          <w:szCs w:val="21"/>
          <w:highlight w:val="none"/>
        </w:rPr>
        <w:t>单位</w:t>
      </w:r>
      <w:r>
        <w:rPr>
          <w:rFonts w:hint="eastAsia" w:ascii="仿宋" w:hAnsi="仿宋" w:eastAsia="仿宋" w:cs="仿宋"/>
          <w:color w:val="auto"/>
          <w:kern w:val="0"/>
          <w:szCs w:val="21"/>
          <w:highlight w:val="none"/>
          <w:lang w:val="zh-CN"/>
        </w:rPr>
        <w:t>进行项目建设或其他经营活动，并通报市财政局。由此引起的相应损失均由我单位承担。</w:t>
      </w:r>
    </w:p>
    <w:p w14:paraId="65B95736">
      <w:pPr>
        <w:autoSpaceDE w:val="0"/>
        <w:autoSpaceDN w:val="0"/>
        <w:spacing w:line="360" w:lineRule="auto"/>
        <w:ind w:firstLine="420" w:firstLineChars="200"/>
        <w:jc w:val="left"/>
        <w:rPr>
          <w:rFonts w:hint="eastAsia" w:ascii="仿宋" w:hAnsi="仿宋" w:eastAsia="仿宋" w:cs="仿宋"/>
          <w:color w:val="auto"/>
          <w:kern w:val="0"/>
          <w:szCs w:val="21"/>
          <w:highlight w:val="none"/>
          <w:lang w:val="zh-CN"/>
        </w:rPr>
      </w:pPr>
    </w:p>
    <w:p w14:paraId="51F0C753">
      <w:pPr>
        <w:autoSpaceDE w:val="0"/>
        <w:autoSpaceDN w:val="0"/>
        <w:spacing w:line="360" w:lineRule="auto"/>
        <w:ind w:firstLine="4620" w:firstLineChars="22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投标人名称（</w:t>
      </w:r>
      <w:r>
        <w:rPr>
          <w:rFonts w:hint="eastAsia" w:ascii="仿宋" w:hAnsi="仿宋" w:eastAsia="仿宋" w:cs="仿宋"/>
          <w:color w:val="auto"/>
          <w:szCs w:val="21"/>
          <w:highlight w:val="none"/>
        </w:rPr>
        <w:t>电子签名</w:t>
      </w:r>
      <w:r>
        <w:rPr>
          <w:rFonts w:hint="eastAsia" w:ascii="仿宋" w:hAnsi="仿宋" w:eastAsia="仿宋" w:cs="仿宋"/>
          <w:color w:val="auto"/>
          <w:kern w:val="0"/>
          <w:szCs w:val="21"/>
          <w:highlight w:val="none"/>
          <w:lang w:val="zh-CN"/>
        </w:rPr>
        <w:t>）：</w:t>
      </w:r>
    </w:p>
    <w:p w14:paraId="7D62B1C7">
      <w:pPr>
        <w:spacing w:line="360" w:lineRule="auto"/>
        <w:ind w:firstLine="4620" w:firstLineChars="2200"/>
        <w:rPr>
          <w:rFonts w:hint="eastAsia" w:ascii="仿宋" w:hAnsi="仿宋" w:eastAsia="仿宋" w:cs="仿宋"/>
          <w:color w:val="auto"/>
          <w:sz w:val="24"/>
          <w:highlight w:val="none"/>
        </w:rPr>
      </w:pPr>
      <w:r>
        <w:rPr>
          <w:rFonts w:hint="eastAsia" w:ascii="仿宋" w:hAnsi="仿宋" w:eastAsia="仿宋" w:cs="仿宋"/>
          <w:color w:val="auto"/>
          <w:kern w:val="0"/>
          <w:szCs w:val="21"/>
          <w:highlight w:val="none"/>
          <w:lang w:val="zh-CN"/>
        </w:rPr>
        <w:t>日期</w:t>
      </w:r>
      <w:r>
        <w:rPr>
          <w:rFonts w:hint="eastAsia" w:ascii="仿宋" w:hAnsi="仿宋" w:eastAsia="仿宋" w:cs="仿宋"/>
          <w:color w:val="auto"/>
          <w:kern w:val="0"/>
          <w:szCs w:val="21"/>
          <w:highlight w:val="none"/>
        </w:rPr>
        <w:t>：</w:t>
      </w:r>
      <w:r>
        <w:rPr>
          <w:rFonts w:hint="eastAsia" w:ascii="仿宋" w:hAnsi="仿宋" w:eastAsia="仿宋" w:cs="仿宋"/>
          <w:color w:val="auto"/>
          <w:kern w:val="0"/>
          <w:szCs w:val="21"/>
          <w:highlight w:val="none"/>
          <w:lang w:val="zh-CN"/>
        </w:rPr>
        <w:t xml:space="preserve">   年   月   日</w:t>
      </w:r>
    </w:p>
    <w:p w14:paraId="4FD05747">
      <w:pPr>
        <w:spacing w:line="360" w:lineRule="auto"/>
        <w:jc w:val="center"/>
        <w:rPr>
          <w:rFonts w:hint="eastAsia" w:ascii="仿宋" w:hAnsi="仿宋" w:eastAsia="仿宋" w:cs="仿宋"/>
          <w:b/>
          <w:bCs/>
          <w:color w:val="auto"/>
          <w:sz w:val="24"/>
          <w:highlight w:val="none"/>
        </w:rPr>
      </w:pPr>
    </w:p>
    <w:p w14:paraId="116A81AB">
      <w:pPr>
        <w:pStyle w:val="3"/>
        <w:rPr>
          <w:rFonts w:hint="eastAsia" w:ascii="仿宋" w:hAnsi="仿宋" w:eastAsia="仿宋" w:cs="仿宋"/>
          <w:color w:val="auto"/>
          <w:sz w:val="24"/>
          <w:highlight w:val="none"/>
        </w:rPr>
      </w:pPr>
    </w:p>
    <w:p w14:paraId="1D4490B1">
      <w:pPr>
        <w:spacing w:line="360"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注：按本格式和要求提供。</w:t>
      </w:r>
    </w:p>
    <w:p w14:paraId="6B7DAB98">
      <w:pPr>
        <w:spacing w:line="360" w:lineRule="auto"/>
        <w:jc w:val="center"/>
        <w:rPr>
          <w:rFonts w:hint="eastAsia" w:ascii="仿宋" w:hAnsi="仿宋" w:eastAsia="仿宋" w:cs="仿宋"/>
          <w:b/>
          <w:bCs/>
          <w:color w:val="auto"/>
          <w:sz w:val="24"/>
          <w:highlight w:val="none"/>
        </w:rPr>
        <w:sectPr>
          <w:pgSz w:w="11905" w:h="16838"/>
          <w:pgMar w:top="1327" w:right="1519" w:bottom="1327" w:left="1519" w:header="851" w:footer="992" w:gutter="0"/>
          <w:cols w:space="0" w:num="1"/>
          <w:docGrid w:type="lines" w:linePitch="319" w:charSpace="0"/>
        </w:sectPr>
      </w:pPr>
    </w:p>
    <w:p w14:paraId="4FF3FF49">
      <w:pPr>
        <w:spacing w:beforeLines="100" w:afterLines="100"/>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报价文件部分</w:t>
      </w:r>
    </w:p>
    <w:p w14:paraId="3CBD51DE">
      <w:pPr>
        <w:spacing w:beforeLines="100" w:afterLines="100"/>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1A6F7534">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（1）开标一览表（报价表）………………………………………………………（页码）</w:t>
      </w:r>
    </w:p>
    <w:p w14:paraId="44281001">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（2）中小企业声明函………………………………………………………………（页码）</w:t>
      </w:r>
    </w:p>
    <w:p w14:paraId="1D5B6D69">
      <w:pPr>
        <w:snapToGrid w:val="0"/>
        <w:spacing w:line="360" w:lineRule="auto"/>
        <w:rPr>
          <w:rFonts w:hint="eastAsia" w:ascii="仿宋" w:hAnsi="仿宋" w:eastAsia="仿宋" w:cs="仿宋"/>
          <w:color w:val="auto"/>
          <w:szCs w:val="21"/>
          <w:highlight w:val="none"/>
        </w:rPr>
        <w:sectPr>
          <w:headerReference r:id="rId11" w:type="first"/>
          <w:footerReference r:id="rId13" w:type="first"/>
          <w:headerReference r:id="rId10" w:type="default"/>
          <w:footerReference r:id="rId12" w:type="default"/>
          <w:pgSz w:w="11905" w:h="16838"/>
          <w:pgMar w:top="1327" w:right="1519" w:bottom="1327" w:left="1519" w:header="851" w:footer="992" w:gutter="0"/>
          <w:cols w:space="0" w:num="1"/>
          <w:docGrid w:type="lines" w:linePitch="319" w:charSpace="0"/>
        </w:sectPr>
      </w:pPr>
    </w:p>
    <w:p w14:paraId="4E64F6BF">
      <w:pPr>
        <w:pStyle w:val="694"/>
        <w:keepNext w:val="0"/>
        <w:pageBreakBefore w:val="0"/>
        <w:tabs>
          <w:tab w:val="clear" w:pos="720"/>
        </w:tabs>
        <w:snapToGrid w:val="0"/>
        <w:spacing w:beforeLines="100" w:afterLines="100" w:line="240" w:lineRule="auto"/>
        <w:outlineLvl w:val="9"/>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一、开标一览表（报价表）</w:t>
      </w:r>
    </w:p>
    <w:p w14:paraId="13048D90">
      <w:pPr>
        <w:snapToGrid w:val="0"/>
        <w:spacing w:line="360" w:lineRule="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zh-CN"/>
        </w:rPr>
        <w:t>（采购人）、（采购代理机构）：</w:t>
      </w:r>
    </w:p>
    <w:p w14:paraId="5733AEDB">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Cs w:val="21"/>
          <w:highlight w:val="none"/>
        </w:rPr>
        <w:t>（项目名称）</w:t>
      </w:r>
      <w:r>
        <w:rPr>
          <w:rFonts w:hint="eastAsia" w:ascii="仿宋" w:hAnsi="仿宋" w:eastAsia="仿宋" w:cs="仿宋"/>
          <w:color w:val="auto"/>
          <w:kern w:val="0"/>
          <w:szCs w:val="21"/>
          <w:highlight w:val="none"/>
          <w:lang w:val="zh-CN"/>
        </w:rPr>
        <w:t>【招标编号：</w:t>
      </w:r>
      <w:r>
        <w:rPr>
          <w:rFonts w:hint="eastAsia" w:ascii="仿宋" w:hAnsi="仿宋" w:eastAsia="仿宋" w:cs="仿宋"/>
          <w:color w:val="auto"/>
          <w:szCs w:val="21"/>
          <w:highlight w:val="none"/>
        </w:rPr>
        <w:t>（采购编号）】的实施</w:t>
      </w:r>
      <w:r>
        <w:rPr>
          <w:rFonts w:hint="eastAsia" w:ascii="仿宋" w:hAnsi="仿宋" w:eastAsia="仿宋" w:cs="仿宋"/>
          <w:color w:val="auto"/>
          <w:kern w:val="0"/>
          <w:szCs w:val="21"/>
          <w:highlight w:val="none"/>
          <w:lang w:val="zh-CN"/>
        </w:rPr>
        <w:t>。</w:t>
      </w:r>
    </w:p>
    <w:p w14:paraId="6E07B568">
      <w:pPr>
        <w:spacing w:line="360" w:lineRule="auto"/>
        <w:jc w:val="center"/>
        <w:rPr>
          <w:rFonts w:hint="eastAsia" w:ascii="仿宋" w:hAnsi="仿宋" w:eastAsia="仿宋" w:cs="仿宋"/>
          <w:bCs/>
          <w:color w:val="auto"/>
          <w:kern w:val="0"/>
          <w:szCs w:val="21"/>
          <w:highlight w:val="none"/>
          <w:lang w:val="zh-CN"/>
        </w:rPr>
      </w:pPr>
      <w:r>
        <w:rPr>
          <w:rFonts w:hint="eastAsia" w:ascii="仿宋" w:hAnsi="仿宋" w:eastAsia="仿宋" w:cs="仿宋"/>
          <w:bCs/>
          <w:color w:val="auto"/>
          <w:kern w:val="0"/>
          <w:szCs w:val="21"/>
          <w:highlight w:val="none"/>
          <w:lang w:val="zh-CN"/>
        </w:rPr>
        <w:t>开标一览表（报价表）(单位均为人民币元)</w:t>
      </w:r>
    </w:p>
    <w:tbl>
      <w:tblPr>
        <w:tblStyle w:val="65"/>
        <w:tblW w:w="129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5065"/>
        <w:gridCol w:w="2204"/>
        <w:gridCol w:w="2204"/>
        <w:gridCol w:w="2562"/>
      </w:tblGrid>
      <w:tr w14:paraId="488A6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871" w:type="dxa"/>
            <w:vAlign w:val="center"/>
          </w:tcPr>
          <w:p w14:paraId="5B1CB3D4">
            <w:pPr>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序号</w:t>
            </w:r>
          </w:p>
        </w:tc>
        <w:tc>
          <w:tcPr>
            <w:tcW w:w="5065" w:type="dxa"/>
            <w:vAlign w:val="center"/>
          </w:tcPr>
          <w:p w14:paraId="72773737">
            <w:pPr>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项目</w:t>
            </w:r>
            <w:r>
              <w:rPr>
                <w:rFonts w:hint="eastAsia" w:ascii="仿宋" w:hAnsi="仿宋" w:eastAsia="仿宋" w:cs="仿宋"/>
                <w:bCs/>
                <w:color w:val="auto"/>
                <w:szCs w:val="21"/>
                <w:highlight w:val="none"/>
              </w:rPr>
              <w:t>名称</w:t>
            </w:r>
          </w:p>
        </w:tc>
        <w:tc>
          <w:tcPr>
            <w:tcW w:w="2204" w:type="dxa"/>
            <w:vAlign w:val="center"/>
          </w:tcPr>
          <w:p w14:paraId="3078E703">
            <w:pPr>
              <w:jc w:val="center"/>
              <w:rPr>
                <w:rFonts w:hint="eastAsia"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服务</w:t>
            </w:r>
            <w:r>
              <w:rPr>
                <w:rFonts w:hint="eastAsia" w:ascii="仿宋" w:hAnsi="仿宋" w:eastAsia="仿宋" w:cs="仿宋"/>
                <w:bCs/>
                <w:color w:val="auto"/>
                <w:szCs w:val="21"/>
                <w:highlight w:val="none"/>
                <w:lang w:val="en-US" w:eastAsia="zh-CN"/>
              </w:rPr>
              <w:t>期限</w:t>
            </w:r>
          </w:p>
        </w:tc>
        <w:tc>
          <w:tcPr>
            <w:tcW w:w="2204" w:type="dxa"/>
            <w:vAlign w:val="center"/>
          </w:tcPr>
          <w:p w14:paraId="577C2705">
            <w:pPr>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服务人数</w:t>
            </w:r>
          </w:p>
        </w:tc>
        <w:tc>
          <w:tcPr>
            <w:tcW w:w="2562" w:type="dxa"/>
            <w:vAlign w:val="center"/>
          </w:tcPr>
          <w:p w14:paraId="490C89B1">
            <w:pPr>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备注（如果有）</w:t>
            </w:r>
          </w:p>
        </w:tc>
      </w:tr>
      <w:tr w14:paraId="70EB7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71" w:type="dxa"/>
            <w:vAlign w:val="center"/>
          </w:tcPr>
          <w:p w14:paraId="452B6D6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5065" w:type="dxa"/>
            <w:vAlign w:val="center"/>
          </w:tcPr>
          <w:p w14:paraId="7AC23F0D">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2025年秀洲区交通运输局交通大楼保安服务</w:t>
            </w:r>
          </w:p>
        </w:tc>
        <w:tc>
          <w:tcPr>
            <w:tcW w:w="2204" w:type="dxa"/>
            <w:vAlign w:val="center"/>
          </w:tcPr>
          <w:p w14:paraId="6394980C">
            <w:pPr>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一年</w:t>
            </w:r>
          </w:p>
        </w:tc>
        <w:tc>
          <w:tcPr>
            <w:tcW w:w="2204" w:type="dxa"/>
            <w:vAlign w:val="center"/>
          </w:tcPr>
          <w:p w14:paraId="03B777CD">
            <w:pPr>
              <w:jc w:val="center"/>
              <w:rPr>
                <w:rFonts w:hint="eastAsia" w:ascii="仿宋" w:hAnsi="仿宋" w:eastAsia="仿宋" w:cs="仿宋"/>
                <w:color w:val="auto"/>
                <w:szCs w:val="21"/>
                <w:highlight w:val="none"/>
              </w:rPr>
            </w:pPr>
          </w:p>
        </w:tc>
        <w:tc>
          <w:tcPr>
            <w:tcW w:w="2562" w:type="dxa"/>
            <w:vAlign w:val="center"/>
          </w:tcPr>
          <w:p w14:paraId="1E90877C">
            <w:pPr>
              <w:jc w:val="center"/>
              <w:rPr>
                <w:rFonts w:hint="eastAsia" w:ascii="仿宋" w:hAnsi="仿宋" w:eastAsia="仿宋" w:cs="仿宋"/>
                <w:color w:val="auto"/>
                <w:szCs w:val="21"/>
                <w:highlight w:val="none"/>
              </w:rPr>
            </w:pPr>
            <w:bookmarkStart w:id="524" w:name="_GoBack"/>
            <w:bookmarkEnd w:id="524"/>
          </w:p>
        </w:tc>
      </w:tr>
      <w:tr w14:paraId="6CDCB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936" w:type="dxa"/>
            <w:gridSpan w:val="2"/>
            <w:vAlign w:val="center"/>
          </w:tcPr>
          <w:p w14:paraId="5E296B34">
            <w:pPr>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投标报价（小写）</w:t>
            </w:r>
          </w:p>
        </w:tc>
        <w:tc>
          <w:tcPr>
            <w:tcW w:w="6970" w:type="dxa"/>
            <w:gridSpan w:val="3"/>
            <w:vAlign w:val="center"/>
          </w:tcPr>
          <w:p w14:paraId="3D93BBAF">
            <w:pPr>
              <w:jc w:val="center"/>
              <w:rPr>
                <w:rFonts w:hint="eastAsia" w:ascii="仿宋" w:hAnsi="仿宋" w:eastAsia="仿宋" w:cs="仿宋"/>
                <w:color w:val="auto"/>
                <w:szCs w:val="21"/>
                <w:highlight w:val="none"/>
              </w:rPr>
            </w:pPr>
          </w:p>
        </w:tc>
      </w:tr>
      <w:tr w14:paraId="54D55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936" w:type="dxa"/>
            <w:gridSpan w:val="2"/>
            <w:vAlign w:val="center"/>
          </w:tcPr>
          <w:p w14:paraId="70D5E0B9">
            <w:pPr>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投标报价（大写）</w:t>
            </w:r>
          </w:p>
        </w:tc>
        <w:tc>
          <w:tcPr>
            <w:tcW w:w="6970" w:type="dxa"/>
            <w:gridSpan w:val="3"/>
            <w:vAlign w:val="center"/>
          </w:tcPr>
          <w:p w14:paraId="4E7AE235">
            <w:pPr>
              <w:jc w:val="center"/>
              <w:rPr>
                <w:rFonts w:hint="eastAsia" w:ascii="仿宋" w:hAnsi="仿宋" w:eastAsia="仿宋" w:cs="仿宋"/>
                <w:color w:val="auto"/>
                <w:szCs w:val="21"/>
                <w:highlight w:val="none"/>
              </w:rPr>
            </w:pPr>
          </w:p>
        </w:tc>
      </w:tr>
    </w:tbl>
    <w:p w14:paraId="4495C1B3">
      <w:pPr>
        <w:snapToGrid w:val="0"/>
        <w:spacing w:line="360" w:lineRule="auto"/>
        <w:ind w:left="480"/>
        <w:rPr>
          <w:rFonts w:hint="eastAsia" w:ascii="仿宋" w:hAnsi="仿宋" w:eastAsia="仿宋" w:cs="仿宋"/>
          <w:b/>
          <w:color w:val="auto"/>
          <w:kern w:val="0"/>
          <w:szCs w:val="21"/>
          <w:highlight w:val="none"/>
          <w:lang w:val="zh-CN"/>
        </w:rPr>
      </w:pPr>
      <w:r>
        <w:rPr>
          <w:rFonts w:hint="eastAsia" w:ascii="仿宋" w:hAnsi="仿宋" w:eastAsia="仿宋" w:cs="仿宋"/>
          <w:b/>
          <w:color w:val="auto"/>
          <w:kern w:val="0"/>
          <w:szCs w:val="21"/>
          <w:highlight w:val="none"/>
          <w:lang w:val="zh-CN"/>
        </w:rPr>
        <w:t>注：</w:t>
      </w:r>
    </w:p>
    <w:p w14:paraId="7349ED8B">
      <w:pPr>
        <w:spacing w:line="360" w:lineRule="auto"/>
        <w:ind w:firstLine="630" w:firstLineChars="3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1、投标人需按本表格式填写，</w:t>
      </w:r>
      <w:r>
        <w:rPr>
          <w:rFonts w:hint="eastAsia" w:ascii="仿宋" w:hAnsi="仿宋" w:eastAsia="仿宋" w:cs="仿宋"/>
          <w:b/>
          <w:bCs/>
          <w:color w:val="auto"/>
          <w:kern w:val="0"/>
          <w:szCs w:val="21"/>
          <w:highlight w:val="none"/>
          <w:lang w:val="zh-CN"/>
        </w:rPr>
        <w:t>否则视为投标文件含有采购人不能接受的附加条件，投标无效。</w:t>
      </w:r>
    </w:p>
    <w:p w14:paraId="35880518">
      <w:pPr>
        <w:spacing w:line="360" w:lineRule="auto"/>
        <w:ind w:firstLine="630" w:firstLineChars="3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2、有关本项目实施所涉及的一切费用均计入报价。</w:t>
      </w:r>
      <w:r>
        <w:rPr>
          <w:rFonts w:hint="eastAsia" w:ascii="仿宋" w:hAnsi="仿宋" w:eastAsia="仿宋" w:cs="仿宋"/>
          <w:b/>
          <w:color w:val="auto"/>
          <w:kern w:val="0"/>
          <w:szCs w:val="21"/>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Cs w:val="21"/>
          <w:highlight w:val="none"/>
          <w:lang w:val="zh-CN"/>
        </w:rPr>
        <w:t>，</w:t>
      </w:r>
      <w:r>
        <w:rPr>
          <w:rFonts w:hint="eastAsia" w:ascii="仿宋" w:hAnsi="仿宋" w:eastAsia="仿宋" w:cs="仿宋"/>
          <w:b/>
          <w:color w:val="auto"/>
          <w:kern w:val="0"/>
          <w:szCs w:val="21"/>
          <w:highlight w:val="none"/>
          <w:lang w:val="zh-CN"/>
        </w:rPr>
        <w:t>不得出现“0元”“免费赠送”等形式的无偿报价，</w:t>
      </w:r>
      <w:r>
        <w:rPr>
          <w:rFonts w:hint="eastAsia" w:ascii="仿宋" w:hAnsi="仿宋" w:eastAsia="仿宋" w:cs="仿宋"/>
          <w:b/>
          <w:color w:val="auto"/>
          <w:kern w:val="0"/>
          <w:szCs w:val="21"/>
          <w:highlight w:val="none"/>
        </w:rPr>
        <w:t>否则视为</w:t>
      </w:r>
      <w:r>
        <w:rPr>
          <w:rFonts w:hint="eastAsia" w:ascii="仿宋" w:hAnsi="仿宋" w:eastAsia="仿宋" w:cs="仿宋"/>
          <w:b/>
          <w:color w:val="auto"/>
          <w:szCs w:val="21"/>
          <w:highlight w:val="none"/>
        </w:rPr>
        <w:t>投标文件含有采购人不能接受的附加条件的，投标无效</w:t>
      </w:r>
      <w:r>
        <w:rPr>
          <w:rFonts w:hint="eastAsia" w:ascii="仿宋" w:hAnsi="仿宋" w:eastAsia="仿宋" w:cs="仿宋"/>
          <w:b/>
          <w:color w:val="auto"/>
          <w:kern w:val="0"/>
          <w:szCs w:val="21"/>
          <w:highlight w:val="none"/>
          <w:lang w:val="zh-CN"/>
        </w:rPr>
        <w:t>。采购内容未包含在《开标一览表（报价表）》名称栏中，投标人不能作出合理解释的，视为投标文件含有采购人不能接受的附加条件的，投标无效。</w:t>
      </w:r>
    </w:p>
    <w:p w14:paraId="31F695F4">
      <w:pPr>
        <w:snapToGrid w:val="0"/>
        <w:spacing w:line="360" w:lineRule="auto"/>
        <w:ind w:firstLine="630" w:firstLineChars="300"/>
        <w:jc w:val="lef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rPr>
        <w:t>3</w:t>
      </w:r>
      <w:r>
        <w:rPr>
          <w:rFonts w:hint="eastAsia" w:ascii="仿宋" w:hAnsi="仿宋" w:eastAsia="仿宋" w:cs="仿宋"/>
          <w:color w:val="auto"/>
          <w:kern w:val="0"/>
          <w:szCs w:val="21"/>
          <w:highlight w:val="none"/>
          <w:lang w:val="zh-CN"/>
        </w:rPr>
        <w:t>、特别提示：采购</w:t>
      </w:r>
      <w:r>
        <w:rPr>
          <w:rFonts w:hint="eastAsia" w:ascii="仿宋" w:hAnsi="仿宋" w:eastAsia="仿宋" w:cs="仿宋"/>
          <w:color w:val="auto"/>
          <w:kern w:val="0"/>
          <w:szCs w:val="21"/>
          <w:highlight w:val="none"/>
        </w:rPr>
        <w:t>代理</w:t>
      </w:r>
      <w:r>
        <w:rPr>
          <w:rFonts w:hint="eastAsia" w:ascii="仿宋" w:hAnsi="仿宋" w:eastAsia="仿宋" w:cs="仿宋"/>
          <w:color w:val="auto"/>
          <w:kern w:val="0"/>
          <w:szCs w:val="21"/>
          <w:highlight w:val="none"/>
          <w:lang w:val="zh-CN"/>
        </w:rPr>
        <w:t>机构将对项目名称和项目编号，中标供应商名称、地址和中标金额，主要中标标的名称、服务范围、服务要求、服务时间、服务标准等予以公示。</w:t>
      </w:r>
    </w:p>
    <w:p w14:paraId="3EF3B425">
      <w:pPr>
        <w:snapToGrid w:val="0"/>
        <w:spacing w:line="360" w:lineRule="auto"/>
        <w:ind w:firstLine="630" w:firstLineChars="300"/>
        <w:jc w:val="left"/>
        <w:rPr>
          <w:rFonts w:hint="eastAsia" w:ascii="仿宋" w:hAnsi="仿宋" w:eastAsia="仿宋" w:cs="仿宋"/>
          <w:color w:val="auto"/>
          <w:kern w:val="0"/>
          <w:szCs w:val="21"/>
          <w:highlight w:val="none"/>
          <w:lang w:val="zh-CN"/>
        </w:rPr>
        <w:sectPr>
          <w:pgSz w:w="16838" w:h="11905" w:orient="landscape"/>
          <w:pgMar w:top="1803" w:right="1440" w:bottom="1803" w:left="1440" w:header="851" w:footer="992" w:gutter="0"/>
          <w:cols w:space="0" w:num="1"/>
          <w:docGrid w:type="lines" w:linePitch="319" w:charSpace="0"/>
        </w:sectPr>
      </w:pPr>
      <w:r>
        <w:rPr>
          <w:rFonts w:hint="eastAsia" w:ascii="仿宋" w:hAnsi="仿宋" w:eastAsia="仿宋" w:cs="仿宋"/>
          <w:color w:val="auto"/>
          <w:kern w:val="0"/>
          <w:szCs w:val="21"/>
          <w:highlight w:val="none"/>
        </w:rPr>
        <w:t>4</w:t>
      </w:r>
      <w:r>
        <w:rPr>
          <w:rFonts w:hint="eastAsia" w:ascii="仿宋" w:hAnsi="仿宋" w:eastAsia="仿宋" w:cs="仿宋"/>
          <w:color w:val="auto"/>
          <w:kern w:val="0"/>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2F8B861">
      <w:pPr>
        <w:pStyle w:val="694"/>
        <w:keepNext w:val="0"/>
        <w:pageBreakBefore w:val="0"/>
        <w:tabs>
          <w:tab w:val="clear" w:pos="720"/>
        </w:tabs>
        <w:snapToGrid w:val="0"/>
        <w:spacing w:beforeLines="100" w:afterLines="100" w:line="240" w:lineRule="auto"/>
        <w:outlineLvl w:val="9"/>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二、中小企业声明函（如果有）</w:t>
      </w:r>
    </w:p>
    <w:p w14:paraId="08E0DF45">
      <w:pPr>
        <w:widowControl/>
        <w:spacing w:line="360" w:lineRule="auto"/>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C4E1215">
      <w:pPr>
        <w:pStyle w:val="3"/>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6323DDE">
      <w:pPr>
        <w:pStyle w:val="2"/>
        <w:keepNext w:val="0"/>
        <w:keepLines w:val="0"/>
        <w:pageBreakBefore/>
        <w:widowControl/>
        <w:spacing w:beforeLines="100" w:afterLines="100" w:line="240" w:lineRule="auto"/>
        <w:ind w:left="0" w:firstLine="0"/>
        <w:jc w:val="center"/>
        <w:rPr>
          <w:rFonts w:hint="eastAsia" w:ascii="仿宋" w:hAnsi="仿宋" w:eastAsia="仿宋" w:cs="仿宋"/>
          <w:color w:val="auto"/>
          <w:highlight w:val="none"/>
        </w:rPr>
      </w:pPr>
      <w:bookmarkStart w:id="514" w:name="_Toc465665161"/>
      <w:r>
        <w:rPr>
          <w:rFonts w:hint="eastAsia" w:ascii="仿宋" w:hAnsi="仿宋" w:eastAsia="仿宋" w:cs="仿宋"/>
          <w:color w:val="auto"/>
          <w:highlight w:val="none"/>
        </w:rPr>
        <w:t>附件</w:t>
      </w:r>
      <w:bookmarkEnd w:id="514"/>
    </w:p>
    <w:p w14:paraId="1953A874">
      <w:pPr>
        <w:spacing w:beforeLines="100" w:afterLines="10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附件1：</w:t>
      </w:r>
    </w:p>
    <w:p w14:paraId="25695E10">
      <w:pPr>
        <w:pStyle w:val="694"/>
        <w:keepNext w:val="0"/>
        <w:pageBreakBefore w:val="0"/>
        <w:tabs>
          <w:tab w:val="clear" w:pos="720"/>
        </w:tabs>
        <w:snapToGrid w:val="0"/>
        <w:spacing w:beforeLines="100" w:afterLines="100" w:line="240" w:lineRule="auto"/>
        <w:outlineLvl w:val="9"/>
        <w:rPr>
          <w:rFonts w:hint="eastAsia" w:ascii="仿宋" w:hAnsi="仿宋" w:eastAsia="仿宋" w:cs="仿宋"/>
          <w:color w:val="auto"/>
          <w:kern w:val="2"/>
          <w:sz w:val="28"/>
          <w:szCs w:val="28"/>
          <w:highlight w:val="none"/>
        </w:rPr>
      </w:pPr>
      <w:bookmarkStart w:id="515" w:name="OLE_LINK14"/>
      <w:bookmarkStart w:id="516" w:name="OLE_LINK13"/>
      <w:r>
        <w:rPr>
          <w:rFonts w:hint="eastAsia" w:ascii="仿宋" w:hAnsi="仿宋" w:eastAsia="仿宋" w:cs="仿宋"/>
          <w:color w:val="auto"/>
          <w:kern w:val="2"/>
          <w:sz w:val="28"/>
          <w:szCs w:val="28"/>
          <w:highlight w:val="none"/>
        </w:rPr>
        <w:t>残疾人福利性单位声明函</w:t>
      </w:r>
    </w:p>
    <w:bookmarkEnd w:id="515"/>
    <w:bookmarkEnd w:id="516"/>
    <w:p w14:paraId="42927FEA">
      <w:pPr>
        <w:spacing w:line="360" w:lineRule="auto"/>
        <w:rPr>
          <w:rFonts w:hint="eastAsia" w:ascii="仿宋" w:hAnsi="仿宋" w:eastAsia="仿宋" w:cs="仿宋"/>
          <w:b/>
          <w:color w:val="auto"/>
          <w:spacing w:val="6"/>
          <w:szCs w:val="21"/>
          <w:highlight w:val="none"/>
        </w:rPr>
      </w:pPr>
    </w:p>
    <w:p w14:paraId="78BE885C">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本单位郑重声明，根据《财政部民政部中国残疾人联合会关于促进残疾人就业政府采购政策的通知》（财库〔2017〕141号）的规定，本单位为符合条件的残疾人福利性单位，且本单位参加</w:t>
      </w:r>
      <w:r>
        <w:rPr>
          <w:rFonts w:hint="eastAsia" w:ascii="仿宋" w:hAnsi="仿宋" w:eastAsia="仿宋" w:cs="仿宋"/>
          <w:color w:val="auto"/>
          <w:szCs w:val="21"/>
          <w:highlight w:val="none"/>
          <w:u w:val="single"/>
        </w:rPr>
        <w:t xml:space="preserve">  （采购人）  </w:t>
      </w:r>
      <w:r>
        <w:rPr>
          <w:rFonts w:hint="eastAsia" w:ascii="仿宋" w:hAnsi="仿宋" w:eastAsia="仿宋" w:cs="仿宋"/>
          <w:color w:val="auto"/>
          <w:szCs w:val="21"/>
          <w:highlight w:val="none"/>
        </w:rPr>
        <w:t>单位的</w:t>
      </w:r>
      <w:r>
        <w:rPr>
          <w:rFonts w:hint="eastAsia" w:ascii="仿宋" w:hAnsi="仿宋" w:eastAsia="仿宋" w:cs="仿宋"/>
          <w:color w:val="auto"/>
          <w:szCs w:val="21"/>
          <w:highlight w:val="none"/>
          <w:u w:val="single"/>
        </w:rPr>
        <w:t xml:space="preserve">   （项目名称）  </w:t>
      </w:r>
      <w:r>
        <w:rPr>
          <w:rFonts w:hint="eastAsia" w:ascii="仿宋" w:hAnsi="仿宋" w:eastAsia="仿宋" w:cs="仿宋"/>
          <w:color w:val="auto"/>
          <w:szCs w:val="21"/>
          <w:highlight w:val="none"/>
        </w:rPr>
        <w:t>项目采购活动提供本单位制造的货物（由本单位承担工程/提供服务），或者提供其他残疾人福利性单位制造的货物（不包括使用非残疾人福利性单位注册商标的货物）。</w:t>
      </w:r>
    </w:p>
    <w:p w14:paraId="40ACCD46">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本单位对上述声明的真实性负责。如有虚假，将依法承担相应责任。</w:t>
      </w:r>
    </w:p>
    <w:p w14:paraId="7E923958">
      <w:pPr>
        <w:spacing w:line="360" w:lineRule="auto"/>
        <w:ind w:firstLine="420" w:firstLineChars="200"/>
        <w:rPr>
          <w:rFonts w:hint="eastAsia" w:ascii="仿宋" w:hAnsi="仿宋" w:eastAsia="仿宋" w:cs="仿宋"/>
          <w:color w:val="auto"/>
          <w:szCs w:val="21"/>
          <w:highlight w:val="none"/>
        </w:rPr>
      </w:pPr>
    </w:p>
    <w:p w14:paraId="6F6B37E7">
      <w:pPr>
        <w:spacing w:line="360" w:lineRule="auto"/>
        <w:ind w:firstLine="420" w:firstLineChars="200"/>
        <w:rPr>
          <w:rFonts w:hint="eastAsia" w:ascii="仿宋" w:hAnsi="仿宋" w:eastAsia="仿宋" w:cs="仿宋"/>
          <w:color w:val="auto"/>
          <w:szCs w:val="21"/>
          <w:highlight w:val="none"/>
        </w:rPr>
      </w:pPr>
    </w:p>
    <w:p w14:paraId="27118815">
      <w:pPr>
        <w:tabs>
          <w:tab w:val="left" w:pos="4860"/>
        </w:tabs>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lang w:val="zh-CN"/>
        </w:rPr>
        <w:t>投标人名称（电子签名）</w:t>
      </w:r>
      <w:r>
        <w:rPr>
          <w:rFonts w:hint="eastAsia" w:ascii="仿宋" w:hAnsi="仿宋" w:eastAsia="仿宋" w:cs="仿宋"/>
          <w:color w:val="auto"/>
          <w:szCs w:val="21"/>
          <w:highlight w:val="none"/>
        </w:rPr>
        <w:t>：</w:t>
      </w:r>
    </w:p>
    <w:p w14:paraId="629126DC">
      <w:pPr>
        <w:tabs>
          <w:tab w:val="left" w:pos="4860"/>
        </w:tabs>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日  期：</w:t>
      </w:r>
    </w:p>
    <w:p w14:paraId="04C0D381">
      <w:pPr>
        <w:spacing w:line="360" w:lineRule="auto"/>
        <w:ind w:firstLine="480" w:firstLineChars="200"/>
        <w:rPr>
          <w:rFonts w:hint="eastAsia" w:ascii="仿宋" w:hAnsi="仿宋" w:eastAsia="仿宋" w:cs="仿宋"/>
          <w:color w:val="auto"/>
          <w:sz w:val="24"/>
          <w:highlight w:val="none"/>
        </w:rPr>
      </w:pPr>
    </w:p>
    <w:p w14:paraId="7DA7C672">
      <w:pPr>
        <w:spacing w:line="360" w:lineRule="auto"/>
        <w:ind w:firstLine="420" w:firstLineChars="200"/>
        <w:rPr>
          <w:rFonts w:hint="eastAsia" w:ascii="仿宋" w:hAnsi="仿宋" w:eastAsia="仿宋" w:cs="仿宋"/>
          <w:color w:val="auto"/>
          <w:highlight w:val="none"/>
        </w:rPr>
      </w:pPr>
    </w:p>
    <w:p w14:paraId="58D84017">
      <w:pPr>
        <w:spacing w:line="360" w:lineRule="auto"/>
        <w:ind w:firstLine="420" w:firstLineChars="200"/>
        <w:rPr>
          <w:rFonts w:hint="eastAsia" w:ascii="仿宋" w:hAnsi="仿宋" w:eastAsia="仿宋" w:cs="仿宋"/>
          <w:color w:val="auto"/>
          <w:highlight w:val="none"/>
        </w:rPr>
      </w:pPr>
    </w:p>
    <w:p w14:paraId="6E78EF1B">
      <w:pPr>
        <w:spacing w:line="360" w:lineRule="auto"/>
        <w:ind w:firstLine="420" w:firstLineChars="200"/>
        <w:rPr>
          <w:rFonts w:hint="eastAsia" w:ascii="仿宋" w:hAnsi="仿宋" w:eastAsia="仿宋" w:cs="仿宋"/>
          <w:color w:val="auto"/>
          <w:highlight w:val="none"/>
        </w:rPr>
      </w:pPr>
    </w:p>
    <w:p w14:paraId="1188608E">
      <w:pPr>
        <w:spacing w:line="360" w:lineRule="auto"/>
        <w:ind w:firstLine="420" w:firstLineChars="200"/>
        <w:rPr>
          <w:rFonts w:hint="eastAsia" w:ascii="仿宋" w:hAnsi="仿宋" w:eastAsia="仿宋" w:cs="仿宋"/>
          <w:color w:val="auto"/>
          <w:highlight w:val="none"/>
        </w:rPr>
      </w:pPr>
    </w:p>
    <w:p w14:paraId="2185DC83">
      <w:pPr>
        <w:spacing w:line="360" w:lineRule="auto"/>
        <w:rPr>
          <w:rFonts w:hint="eastAsia" w:ascii="仿宋" w:hAnsi="仿宋" w:eastAsia="仿宋" w:cs="仿宋"/>
          <w:b/>
          <w:color w:val="auto"/>
          <w:sz w:val="24"/>
          <w:highlight w:val="none"/>
        </w:rPr>
      </w:pPr>
    </w:p>
    <w:p w14:paraId="6DFD3050">
      <w:pPr>
        <w:spacing w:line="360" w:lineRule="auto"/>
        <w:rPr>
          <w:rFonts w:hint="eastAsia" w:ascii="仿宋" w:hAnsi="仿宋" w:eastAsia="仿宋" w:cs="仿宋"/>
          <w:b/>
          <w:color w:val="auto"/>
          <w:sz w:val="24"/>
          <w:highlight w:val="none"/>
        </w:rPr>
      </w:pPr>
    </w:p>
    <w:p w14:paraId="530551A7">
      <w:pPr>
        <w:spacing w:line="360" w:lineRule="auto"/>
        <w:rPr>
          <w:rFonts w:hint="eastAsia" w:ascii="仿宋" w:hAnsi="仿宋" w:eastAsia="仿宋" w:cs="仿宋"/>
          <w:b/>
          <w:color w:val="auto"/>
          <w:sz w:val="24"/>
          <w:highlight w:val="none"/>
        </w:rPr>
      </w:pPr>
    </w:p>
    <w:p w14:paraId="2A23EE36">
      <w:pPr>
        <w:spacing w:line="360" w:lineRule="auto"/>
        <w:rPr>
          <w:rFonts w:hint="eastAsia" w:ascii="仿宋" w:hAnsi="仿宋" w:eastAsia="仿宋" w:cs="仿宋"/>
          <w:b/>
          <w:color w:val="auto"/>
          <w:sz w:val="24"/>
          <w:highlight w:val="none"/>
        </w:rPr>
      </w:pPr>
    </w:p>
    <w:p w14:paraId="736C209B">
      <w:pPr>
        <w:spacing w:line="360" w:lineRule="auto"/>
        <w:rPr>
          <w:rFonts w:hint="eastAsia" w:ascii="仿宋" w:hAnsi="仿宋" w:eastAsia="仿宋" w:cs="仿宋"/>
          <w:b/>
          <w:color w:val="auto"/>
          <w:sz w:val="24"/>
          <w:highlight w:val="none"/>
        </w:rPr>
      </w:pPr>
    </w:p>
    <w:p w14:paraId="41E82BC4">
      <w:pPr>
        <w:spacing w:line="360" w:lineRule="auto"/>
        <w:rPr>
          <w:rFonts w:hint="eastAsia" w:ascii="仿宋" w:hAnsi="仿宋" w:eastAsia="仿宋" w:cs="仿宋"/>
          <w:b/>
          <w:color w:val="auto"/>
          <w:sz w:val="24"/>
          <w:highlight w:val="none"/>
        </w:rPr>
      </w:pPr>
    </w:p>
    <w:p w14:paraId="4E3DA1B4">
      <w:pPr>
        <w:spacing w:line="360" w:lineRule="auto"/>
        <w:rPr>
          <w:rFonts w:hint="eastAsia" w:ascii="仿宋" w:hAnsi="仿宋" w:eastAsia="仿宋" w:cs="仿宋"/>
          <w:b/>
          <w:color w:val="auto"/>
          <w:sz w:val="24"/>
          <w:highlight w:val="none"/>
        </w:rPr>
      </w:pPr>
    </w:p>
    <w:p w14:paraId="6324F586">
      <w:pPr>
        <w:spacing w:beforeLines="100" w:afterLines="100"/>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附件2：质疑函范本及制作说明</w:t>
      </w:r>
    </w:p>
    <w:p w14:paraId="529642A5">
      <w:pPr>
        <w:spacing w:beforeLines="100" w:afterLines="10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质疑函范本</w:t>
      </w:r>
    </w:p>
    <w:p w14:paraId="0D4ED502">
      <w:pPr>
        <w:snapToGrid w:val="0"/>
        <w:spacing w:line="360"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一、质疑供应商基本信息</w:t>
      </w:r>
    </w:p>
    <w:p w14:paraId="39634949">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质疑供应商：</w:t>
      </w:r>
    </w:p>
    <w:p w14:paraId="25678C64">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地址：邮编：</w:t>
      </w:r>
    </w:p>
    <w:p w14:paraId="44D3F7E0">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联系人：联系电话：</w:t>
      </w:r>
    </w:p>
    <w:p w14:paraId="50D642D2">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授权代表：</w:t>
      </w:r>
    </w:p>
    <w:p w14:paraId="13B24620">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p w14:paraId="0C9F26B6">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地址：邮编：</w:t>
      </w:r>
    </w:p>
    <w:p w14:paraId="77F61365">
      <w:pPr>
        <w:snapToGrid w:val="0"/>
        <w:spacing w:line="360"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二、质疑项目基本情况</w:t>
      </w:r>
    </w:p>
    <w:p w14:paraId="0EE44E61">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质疑项目的名称：</w:t>
      </w:r>
    </w:p>
    <w:p w14:paraId="16BFE342">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质疑项目的编号：包号：</w:t>
      </w:r>
    </w:p>
    <w:p w14:paraId="73227E15">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采购人名称：</w:t>
      </w:r>
    </w:p>
    <w:p w14:paraId="1EE50E16">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采购文件获取日期：</w:t>
      </w:r>
    </w:p>
    <w:p w14:paraId="5DA101A0">
      <w:pPr>
        <w:snapToGrid w:val="0"/>
        <w:spacing w:line="360"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三、质疑事项具体内容</w:t>
      </w:r>
    </w:p>
    <w:p w14:paraId="11EA760B">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质疑事项1：</w:t>
      </w:r>
    </w:p>
    <w:p w14:paraId="740E2409">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事实依据：</w:t>
      </w:r>
    </w:p>
    <w:p w14:paraId="61F4F14E">
      <w:pPr>
        <w:snapToGrid w:val="0"/>
        <w:spacing w:line="360" w:lineRule="auto"/>
        <w:rPr>
          <w:rFonts w:hint="eastAsia" w:ascii="仿宋" w:hAnsi="仿宋" w:eastAsia="仿宋" w:cs="仿宋"/>
          <w:color w:val="auto"/>
          <w:szCs w:val="21"/>
          <w:highlight w:val="none"/>
        </w:rPr>
      </w:pPr>
    </w:p>
    <w:p w14:paraId="269BAD6F">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法律依据：</w:t>
      </w:r>
    </w:p>
    <w:p w14:paraId="6D3938B5">
      <w:pPr>
        <w:snapToGrid w:val="0"/>
        <w:spacing w:line="360" w:lineRule="auto"/>
        <w:rPr>
          <w:rFonts w:hint="eastAsia" w:ascii="仿宋" w:hAnsi="仿宋" w:eastAsia="仿宋" w:cs="仿宋"/>
          <w:color w:val="auto"/>
          <w:szCs w:val="21"/>
          <w:highlight w:val="none"/>
          <w:u w:val="dotted"/>
        </w:rPr>
      </w:pPr>
    </w:p>
    <w:p w14:paraId="2C733BBC">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质疑事项2</w:t>
      </w:r>
    </w:p>
    <w:p w14:paraId="35D6ADDD">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p>
    <w:p w14:paraId="0C769CB5">
      <w:pPr>
        <w:snapToGrid w:val="0"/>
        <w:spacing w:line="360"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四、与质疑事项相关的质疑请求</w:t>
      </w:r>
    </w:p>
    <w:p w14:paraId="16557383">
      <w:pPr>
        <w:snapToGrid w:val="0"/>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请求：</w:t>
      </w:r>
    </w:p>
    <w:p w14:paraId="0A44A025">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签字(签章)：                   公章：                      </w:t>
      </w:r>
    </w:p>
    <w:p w14:paraId="3BE20686">
      <w:pPr>
        <w:spacing w:line="360" w:lineRule="auto"/>
        <w:rPr>
          <w:rFonts w:hint="eastAsia" w:ascii="仿宋" w:hAnsi="仿宋" w:eastAsia="仿宋" w:cs="仿宋"/>
          <w:color w:val="auto"/>
          <w:sz w:val="24"/>
          <w:highlight w:val="none"/>
        </w:rPr>
      </w:pPr>
      <w:r>
        <w:rPr>
          <w:rFonts w:hint="eastAsia" w:ascii="仿宋" w:hAnsi="仿宋" w:eastAsia="仿宋" w:cs="仿宋"/>
          <w:color w:val="auto"/>
          <w:szCs w:val="21"/>
          <w:highlight w:val="none"/>
        </w:rPr>
        <w:t>日期：</w:t>
      </w:r>
    </w:p>
    <w:p w14:paraId="04A949C3">
      <w:pPr>
        <w:spacing w:line="360" w:lineRule="auto"/>
        <w:rPr>
          <w:rFonts w:hint="eastAsia" w:ascii="仿宋" w:hAnsi="仿宋" w:eastAsia="仿宋" w:cs="仿宋"/>
          <w:b/>
          <w:color w:val="auto"/>
          <w:szCs w:val="21"/>
          <w:highlight w:val="none"/>
        </w:rPr>
      </w:pPr>
    </w:p>
    <w:p w14:paraId="06CB8175">
      <w:pPr>
        <w:spacing w:line="360" w:lineRule="auto"/>
        <w:rPr>
          <w:rFonts w:hint="eastAsia" w:ascii="仿宋" w:hAnsi="仿宋" w:eastAsia="仿宋" w:cs="仿宋"/>
          <w:b/>
          <w:color w:val="auto"/>
          <w:szCs w:val="21"/>
          <w:highlight w:val="none"/>
        </w:rPr>
      </w:pPr>
    </w:p>
    <w:p w14:paraId="62E11E44">
      <w:pPr>
        <w:spacing w:line="360" w:lineRule="auto"/>
        <w:rPr>
          <w:rFonts w:hint="eastAsia" w:ascii="仿宋" w:hAnsi="仿宋" w:eastAsia="仿宋" w:cs="仿宋"/>
          <w:b/>
          <w:color w:val="auto"/>
          <w:szCs w:val="21"/>
          <w:highlight w:val="none"/>
        </w:rPr>
      </w:pPr>
    </w:p>
    <w:p w14:paraId="008922D1">
      <w:pPr>
        <w:spacing w:line="360" w:lineRule="auto"/>
        <w:rPr>
          <w:rFonts w:hint="eastAsia" w:ascii="仿宋" w:hAnsi="仿宋" w:eastAsia="仿宋" w:cs="仿宋"/>
          <w:b/>
          <w:color w:val="auto"/>
          <w:szCs w:val="21"/>
          <w:highlight w:val="none"/>
        </w:rPr>
      </w:pPr>
    </w:p>
    <w:p w14:paraId="2656AF1F">
      <w:pPr>
        <w:spacing w:line="360" w:lineRule="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质疑函制作说明：</w:t>
      </w:r>
    </w:p>
    <w:p w14:paraId="00774DDE">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1.供应商提出质疑时，应提交质疑函和必要的证明材料。</w:t>
      </w:r>
    </w:p>
    <w:p w14:paraId="1584DDBF">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2D1DE43">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3.质疑供应商若对项目的某一分包进行质疑，质疑函中应列明具体分包号。</w:t>
      </w:r>
    </w:p>
    <w:p w14:paraId="23210B82">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4.质疑函的质疑事项应具体、明确，并有必要的事实依据和法律依据。</w:t>
      </w:r>
    </w:p>
    <w:p w14:paraId="03F18FDD">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5.质疑函的质疑请求应与质疑事项相关。</w:t>
      </w:r>
    </w:p>
    <w:p w14:paraId="72B848E0">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6.质疑供应商为自然人的，质疑函应由本人签字；质疑供应商为法人或者其他组织的，质疑函应由法定代表人、主要负责人，或者其授权代表签字或者盖章，并加盖公章。</w:t>
      </w:r>
    </w:p>
    <w:p w14:paraId="1C4364A5">
      <w:pPr>
        <w:widowControl/>
        <w:spacing w:line="360" w:lineRule="auto"/>
        <w:ind w:firstLine="600" w:firstLineChars="200"/>
        <w:jc w:val="left"/>
        <w:rPr>
          <w:rFonts w:hint="eastAsia" w:ascii="仿宋" w:hAnsi="仿宋" w:eastAsia="仿宋" w:cs="仿宋"/>
          <w:color w:val="auto"/>
          <w:sz w:val="30"/>
          <w:szCs w:val="30"/>
          <w:highlight w:val="none"/>
        </w:rPr>
      </w:pPr>
    </w:p>
    <w:p w14:paraId="085083AB">
      <w:pPr>
        <w:spacing w:line="360" w:lineRule="auto"/>
        <w:jc w:val="center"/>
        <w:rPr>
          <w:rFonts w:hint="eastAsia" w:ascii="仿宋" w:hAnsi="仿宋" w:eastAsia="仿宋" w:cs="仿宋"/>
          <w:b/>
          <w:color w:val="auto"/>
          <w:spacing w:val="6"/>
          <w:sz w:val="32"/>
          <w:szCs w:val="32"/>
          <w:highlight w:val="none"/>
        </w:rPr>
      </w:pPr>
    </w:p>
    <w:p w14:paraId="28CF4EF1">
      <w:pPr>
        <w:spacing w:line="360" w:lineRule="auto"/>
        <w:jc w:val="center"/>
        <w:rPr>
          <w:rFonts w:hint="eastAsia" w:ascii="仿宋" w:hAnsi="仿宋" w:eastAsia="仿宋" w:cs="仿宋"/>
          <w:b/>
          <w:color w:val="auto"/>
          <w:spacing w:val="6"/>
          <w:sz w:val="32"/>
          <w:szCs w:val="32"/>
          <w:highlight w:val="none"/>
        </w:rPr>
      </w:pPr>
    </w:p>
    <w:p w14:paraId="30D3D070">
      <w:pPr>
        <w:spacing w:line="360" w:lineRule="auto"/>
        <w:jc w:val="center"/>
        <w:rPr>
          <w:rFonts w:hint="eastAsia" w:ascii="仿宋" w:hAnsi="仿宋" w:eastAsia="仿宋" w:cs="仿宋"/>
          <w:b/>
          <w:color w:val="auto"/>
          <w:spacing w:val="6"/>
          <w:sz w:val="32"/>
          <w:szCs w:val="32"/>
          <w:highlight w:val="none"/>
        </w:rPr>
      </w:pPr>
    </w:p>
    <w:p w14:paraId="39EB7EDA">
      <w:pPr>
        <w:spacing w:line="360" w:lineRule="auto"/>
        <w:jc w:val="center"/>
        <w:rPr>
          <w:rFonts w:hint="eastAsia" w:ascii="仿宋" w:hAnsi="仿宋" w:eastAsia="仿宋" w:cs="仿宋"/>
          <w:b/>
          <w:color w:val="auto"/>
          <w:spacing w:val="6"/>
          <w:sz w:val="32"/>
          <w:szCs w:val="32"/>
          <w:highlight w:val="none"/>
        </w:rPr>
      </w:pPr>
    </w:p>
    <w:p w14:paraId="16DA99E6">
      <w:pPr>
        <w:spacing w:line="360" w:lineRule="auto"/>
        <w:jc w:val="center"/>
        <w:rPr>
          <w:rFonts w:hint="eastAsia" w:ascii="仿宋" w:hAnsi="仿宋" w:eastAsia="仿宋" w:cs="仿宋"/>
          <w:b/>
          <w:color w:val="auto"/>
          <w:spacing w:val="6"/>
          <w:sz w:val="32"/>
          <w:szCs w:val="32"/>
          <w:highlight w:val="none"/>
        </w:rPr>
      </w:pPr>
    </w:p>
    <w:p w14:paraId="31093D0B">
      <w:pPr>
        <w:spacing w:line="360" w:lineRule="auto"/>
        <w:jc w:val="center"/>
        <w:rPr>
          <w:rFonts w:hint="eastAsia" w:ascii="仿宋" w:hAnsi="仿宋" w:eastAsia="仿宋" w:cs="仿宋"/>
          <w:b/>
          <w:color w:val="auto"/>
          <w:spacing w:val="6"/>
          <w:sz w:val="32"/>
          <w:szCs w:val="32"/>
          <w:highlight w:val="none"/>
        </w:rPr>
      </w:pPr>
    </w:p>
    <w:p w14:paraId="743D20F7">
      <w:pPr>
        <w:spacing w:line="360" w:lineRule="auto"/>
        <w:jc w:val="center"/>
        <w:rPr>
          <w:rFonts w:hint="eastAsia" w:ascii="仿宋" w:hAnsi="仿宋" w:eastAsia="仿宋" w:cs="仿宋"/>
          <w:b/>
          <w:color w:val="auto"/>
          <w:spacing w:val="6"/>
          <w:sz w:val="32"/>
          <w:szCs w:val="32"/>
          <w:highlight w:val="none"/>
        </w:rPr>
      </w:pPr>
    </w:p>
    <w:p w14:paraId="64BAE181">
      <w:pPr>
        <w:spacing w:line="360" w:lineRule="auto"/>
        <w:jc w:val="center"/>
        <w:rPr>
          <w:rFonts w:hint="eastAsia" w:ascii="仿宋" w:hAnsi="仿宋" w:eastAsia="仿宋" w:cs="仿宋"/>
          <w:b/>
          <w:color w:val="auto"/>
          <w:spacing w:val="6"/>
          <w:sz w:val="32"/>
          <w:szCs w:val="32"/>
          <w:highlight w:val="none"/>
        </w:rPr>
      </w:pPr>
    </w:p>
    <w:p w14:paraId="7B04C08E">
      <w:pPr>
        <w:spacing w:line="360" w:lineRule="auto"/>
        <w:jc w:val="center"/>
        <w:rPr>
          <w:rFonts w:hint="eastAsia" w:ascii="仿宋" w:hAnsi="仿宋" w:eastAsia="仿宋" w:cs="仿宋"/>
          <w:b/>
          <w:color w:val="auto"/>
          <w:spacing w:val="6"/>
          <w:sz w:val="32"/>
          <w:szCs w:val="32"/>
          <w:highlight w:val="none"/>
        </w:rPr>
      </w:pPr>
    </w:p>
    <w:p w14:paraId="39EEC2F5">
      <w:pPr>
        <w:spacing w:line="360" w:lineRule="auto"/>
        <w:jc w:val="center"/>
        <w:rPr>
          <w:rFonts w:hint="eastAsia" w:ascii="仿宋" w:hAnsi="仿宋" w:eastAsia="仿宋" w:cs="仿宋"/>
          <w:b/>
          <w:color w:val="auto"/>
          <w:spacing w:val="6"/>
          <w:sz w:val="32"/>
          <w:szCs w:val="32"/>
          <w:highlight w:val="none"/>
        </w:rPr>
      </w:pPr>
    </w:p>
    <w:p w14:paraId="130E7305">
      <w:pPr>
        <w:spacing w:line="360" w:lineRule="auto"/>
        <w:jc w:val="center"/>
        <w:rPr>
          <w:rFonts w:hint="eastAsia" w:ascii="仿宋" w:hAnsi="仿宋" w:eastAsia="仿宋" w:cs="仿宋"/>
          <w:b/>
          <w:color w:val="auto"/>
          <w:spacing w:val="6"/>
          <w:sz w:val="32"/>
          <w:szCs w:val="32"/>
          <w:highlight w:val="none"/>
        </w:rPr>
      </w:pPr>
    </w:p>
    <w:p w14:paraId="39D7CF18">
      <w:pPr>
        <w:spacing w:line="360" w:lineRule="auto"/>
        <w:jc w:val="center"/>
        <w:rPr>
          <w:rFonts w:hint="eastAsia" w:ascii="仿宋" w:hAnsi="仿宋" w:eastAsia="仿宋" w:cs="仿宋"/>
          <w:b/>
          <w:color w:val="auto"/>
          <w:spacing w:val="6"/>
          <w:sz w:val="32"/>
          <w:szCs w:val="32"/>
          <w:highlight w:val="none"/>
        </w:rPr>
      </w:pPr>
    </w:p>
    <w:p w14:paraId="0AAE0CBC">
      <w:pPr>
        <w:spacing w:beforeLines="100" w:afterLines="100"/>
        <w:jc w:val="left"/>
        <w:rPr>
          <w:rFonts w:hint="eastAsia" w:ascii="仿宋" w:hAnsi="仿宋" w:eastAsia="仿宋" w:cs="仿宋"/>
          <w:b/>
          <w:color w:val="auto"/>
          <w:spacing w:val="6"/>
          <w:sz w:val="28"/>
          <w:szCs w:val="28"/>
          <w:highlight w:val="none"/>
        </w:rPr>
      </w:pPr>
    </w:p>
    <w:p w14:paraId="3BAA97AF">
      <w:pPr>
        <w:spacing w:beforeLines="100" w:afterLines="100"/>
        <w:jc w:val="left"/>
        <w:rPr>
          <w:rFonts w:hint="eastAsia"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附件3：投诉书范本及制作说明</w:t>
      </w:r>
    </w:p>
    <w:p w14:paraId="2FB8A26C">
      <w:pPr>
        <w:spacing w:beforeLines="100" w:afterLines="100"/>
        <w:jc w:val="center"/>
        <w:rPr>
          <w:rFonts w:hint="eastAsia"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投诉书范本</w:t>
      </w:r>
    </w:p>
    <w:p w14:paraId="7AB921A6">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一、投诉相关主体基本情况</w:t>
      </w:r>
    </w:p>
    <w:p w14:paraId="09DB614E">
      <w:pPr>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投诉人：</w:t>
      </w:r>
    </w:p>
    <w:p w14:paraId="4591362E">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地址：邮编：</w:t>
      </w:r>
    </w:p>
    <w:p w14:paraId="394EC952">
      <w:pPr>
        <w:tabs>
          <w:tab w:val="left" w:pos="6510"/>
        </w:tabs>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法定代表人/主要负责人：</w:t>
      </w:r>
    </w:p>
    <w:p w14:paraId="373005C0">
      <w:pPr>
        <w:tabs>
          <w:tab w:val="left" w:pos="6510"/>
        </w:tabs>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联系电话：</w:t>
      </w:r>
    </w:p>
    <w:p w14:paraId="180CBD94">
      <w:pPr>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授权代表：联系电话：</w:t>
      </w:r>
    </w:p>
    <w:p w14:paraId="0A8EF16B">
      <w:pPr>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地址：邮编：</w:t>
      </w:r>
    </w:p>
    <w:p w14:paraId="6B03191D">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被投诉人1：</w:t>
      </w:r>
    </w:p>
    <w:p w14:paraId="233B4BCC">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地址：邮编：</w:t>
      </w:r>
    </w:p>
    <w:p w14:paraId="4FD6427D">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联系人：联系电话：</w:t>
      </w:r>
    </w:p>
    <w:p w14:paraId="514307B1">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被投诉人2</w:t>
      </w:r>
    </w:p>
    <w:p w14:paraId="6B79BA93">
      <w:pPr>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w:t>
      </w:r>
    </w:p>
    <w:p w14:paraId="4AEB2202">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相关供应商：</w:t>
      </w:r>
    </w:p>
    <w:p w14:paraId="3A179315">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地址：邮编：</w:t>
      </w:r>
    </w:p>
    <w:p w14:paraId="2BDB9E89">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联系人：联系电话：</w:t>
      </w:r>
    </w:p>
    <w:p w14:paraId="36683D6A">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二、投诉项目基本情况</w:t>
      </w:r>
    </w:p>
    <w:p w14:paraId="173AC2F5">
      <w:pPr>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采购项目名称：</w:t>
      </w:r>
    </w:p>
    <w:p w14:paraId="0A969840">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采购项目编号：包号：</w:t>
      </w:r>
    </w:p>
    <w:p w14:paraId="74389048">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采购人名称：</w:t>
      </w:r>
    </w:p>
    <w:p w14:paraId="1661E312">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代理机构名称：</w:t>
      </w:r>
    </w:p>
    <w:p w14:paraId="763FCA24">
      <w:pPr>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采购文件公告:</w:t>
      </w:r>
      <w:r>
        <w:rPr>
          <w:rFonts w:hint="eastAsia" w:ascii="仿宋" w:hAnsi="仿宋" w:eastAsia="仿宋" w:cs="仿宋"/>
          <w:color w:val="auto"/>
          <w:szCs w:val="21"/>
          <w:highlight w:val="none"/>
          <w:u w:val="dotted"/>
        </w:rPr>
        <w:t xml:space="preserve">是/否 </w:t>
      </w:r>
      <w:r>
        <w:rPr>
          <w:rFonts w:hint="eastAsia" w:ascii="仿宋" w:hAnsi="仿宋" w:eastAsia="仿宋" w:cs="仿宋"/>
          <w:color w:val="auto"/>
          <w:szCs w:val="21"/>
          <w:highlight w:val="none"/>
        </w:rPr>
        <w:t>公告期限：</w:t>
      </w:r>
    </w:p>
    <w:p w14:paraId="74B0F6D2">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采购结果公告:</w:t>
      </w:r>
      <w:r>
        <w:rPr>
          <w:rFonts w:hint="eastAsia" w:ascii="仿宋" w:hAnsi="仿宋" w:eastAsia="仿宋" w:cs="仿宋"/>
          <w:color w:val="auto"/>
          <w:szCs w:val="21"/>
          <w:highlight w:val="none"/>
          <w:u w:val="dotted"/>
        </w:rPr>
        <w:t xml:space="preserve">是/否 </w:t>
      </w:r>
      <w:r>
        <w:rPr>
          <w:rFonts w:hint="eastAsia" w:ascii="仿宋" w:hAnsi="仿宋" w:eastAsia="仿宋" w:cs="仿宋"/>
          <w:color w:val="auto"/>
          <w:szCs w:val="21"/>
          <w:highlight w:val="none"/>
        </w:rPr>
        <w:t>公告期限：</w:t>
      </w:r>
    </w:p>
    <w:p w14:paraId="72378B32">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三、质疑基本情况</w:t>
      </w:r>
    </w:p>
    <w:p w14:paraId="36EAF148">
      <w:pPr>
        <w:wordWrap w:val="0"/>
        <w:spacing w:line="360" w:lineRule="auto"/>
        <w:ind w:left="630" w:leftChars="200" w:hanging="210" w:hangingChars="100"/>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投诉人于年月日,向提出质疑，质疑事项为：</w:t>
      </w:r>
    </w:p>
    <w:p w14:paraId="3F215A21">
      <w:pPr>
        <w:wordWrap w:val="0"/>
        <w:spacing w:line="360" w:lineRule="auto"/>
        <w:rPr>
          <w:rFonts w:hint="eastAsia" w:ascii="仿宋" w:hAnsi="仿宋" w:eastAsia="仿宋" w:cs="仿宋"/>
          <w:color w:val="auto"/>
          <w:szCs w:val="21"/>
          <w:highlight w:val="none"/>
          <w:u w:val="dotted"/>
        </w:rPr>
      </w:pPr>
    </w:p>
    <w:p w14:paraId="53147A6E">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u w:val="dotted"/>
        </w:rPr>
        <w:t>采购人/代理机构</w:t>
      </w:r>
      <w:r>
        <w:rPr>
          <w:rFonts w:hint="eastAsia" w:ascii="仿宋" w:hAnsi="仿宋" w:eastAsia="仿宋" w:cs="仿宋"/>
          <w:color w:val="auto"/>
          <w:szCs w:val="21"/>
          <w:highlight w:val="none"/>
        </w:rPr>
        <w:t>于年月日,就质疑事项作出了答复/没有在法定期限内作出答复。</w:t>
      </w:r>
    </w:p>
    <w:p w14:paraId="745F5286">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四、投诉事项具体内容</w:t>
      </w:r>
    </w:p>
    <w:p w14:paraId="435889B2">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投诉事项1：</w:t>
      </w:r>
    </w:p>
    <w:p w14:paraId="654F2ED9">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事实依据：</w:t>
      </w:r>
    </w:p>
    <w:p w14:paraId="3F952CE3">
      <w:pPr>
        <w:spacing w:line="360" w:lineRule="auto"/>
        <w:rPr>
          <w:rFonts w:hint="eastAsia" w:ascii="仿宋" w:hAnsi="仿宋" w:eastAsia="仿宋" w:cs="仿宋"/>
          <w:color w:val="auto"/>
          <w:szCs w:val="21"/>
          <w:highlight w:val="none"/>
          <w:u w:val="dotted"/>
        </w:rPr>
      </w:pPr>
    </w:p>
    <w:p w14:paraId="5CE95CAA">
      <w:pPr>
        <w:spacing w:line="360" w:lineRule="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法律依据：</w:t>
      </w:r>
    </w:p>
    <w:p w14:paraId="1C9A749D">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投诉事项2</w:t>
      </w:r>
    </w:p>
    <w:p w14:paraId="538C321F">
      <w:pPr>
        <w:spacing w:line="360" w:lineRule="auto"/>
        <w:rPr>
          <w:rFonts w:hint="eastAsia" w:ascii="仿宋" w:hAnsi="仿宋" w:eastAsia="仿宋" w:cs="仿宋"/>
          <w:color w:val="auto"/>
          <w:szCs w:val="21"/>
          <w:highlight w:val="none"/>
          <w:u w:val="dotted"/>
        </w:rPr>
      </w:pPr>
      <w:r>
        <w:rPr>
          <w:rFonts w:hint="eastAsia" w:ascii="仿宋" w:hAnsi="仿宋" w:eastAsia="仿宋" w:cs="仿宋"/>
          <w:color w:val="auto"/>
          <w:szCs w:val="21"/>
          <w:highlight w:val="none"/>
        </w:rPr>
        <w:t>……</w:t>
      </w:r>
    </w:p>
    <w:p w14:paraId="3A0B61F0">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五、与投诉事项相关的投诉请求</w:t>
      </w:r>
    </w:p>
    <w:p w14:paraId="484FB960">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请求：</w:t>
      </w:r>
    </w:p>
    <w:p w14:paraId="68DB53A5">
      <w:pPr>
        <w:spacing w:line="360" w:lineRule="auto"/>
        <w:rPr>
          <w:rFonts w:hint="eastAsia" w:ascii="仿宋" w:hAnsi="仿宋" w:eastAsia="仿宋" w:cs="仿宋"/>
          <w:color w:val="auto"/>
          <w:szCs w:val="21"/>
          <w:highlight w:val="none"/>
          <w:u w:val="single"/>
        </w:rPr>
      </w:pPr>
    </w:p>
    <w:p w14:paraId="7707A61D">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签字(签章)：                   公章：                      </w:t>
      </w:r>
    </w:p>
    <w:p w14:paraId="7BA6005B">
      <w:pPr>
        <w:spacing w:line="360" w:lineRule="auto"/>
        <w:rPr>
          <w:rFonts w:hint="eastAsia" w:ascii="仿宋" w:hAnsi="仿宋" w:eastAsia="仿宋" w:cs="仿宋"/>
          <w:color w:val="auto"/>
          <w:sz w:val="24"/>
          <w:highlight w:val="none"/>
        </w:rPr>
      </w:pPr>
      <w:r>
        <w:rPr>
          <w:rFonts w:hint="eastAsia" w:ascii="仿宋" w:hAnsi="仿宋" w:eastAsia="仿宋" w:cs="仿宋"/>
          <w:color w:val="auto"/>
          <w:szCs w:val="21"/>
          <w:highlight w:val="none"/>
        </w:rPr>
        <w:t>日期：</w:t>
      </w:r>
    </w:p>
    <w:p w14:paraId="22A08351">
      <w:pPr>
        <w:spacing w:line="360" w:lineRule="auto"/>
        <w:rPr>
          <w:rFonts w:hint="eastAsia" w:ascii="仿宋" w:hAnsi="仿宋" w:eastAsia="仿宋" w:cs="仿宋"/>
          <w:b/>
          <w:color w:val="auto"/>
          <w:sz w:val="24"/>
          <w:highlight w:val="none"/>
        </w:rPr>
      </w:pPr>
    </w:p>
    <w:p w14:paraId="70B2C5D7">
      <w:pPr>
        <w:spacing w:line="360" w:lineRule="auto"/>
        <w:rPr>
          <w:rFonts w:hint="eastAsia" w:ascii="仿宋" w:hAnsi="仿宋" w:eastAsia="仿宋" w:cs="仿宋"/>
          <w:b/>
          <w:color w:val="auto"/>
          <w:sz w:val="24"/>
          <w:highlight w:val="none"/>
        </w:rPr>
      </w:pPr>
    </w:p>
    <w:p w14:paraId="75400433">
      <w:pPr>
        <w:spacing w:line="360" w:lineRule="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投诉书制作说明：</w:t>
      </w:r>
    </w:p>
    <w:p w14:paraId="2C1B3BAA">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1.投诉人提起投诉时，应当提交投诉书和必要的证明材料，并按照被投诉人和与投诉事项有关的供应商数量提供投诉书副本。</w:t>
      </w:r>
    </w:p>
    <w:p w14:paraId="54382717">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4CAFF1E5">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3.投诉人若对项目的某一分包进行投诉，投诉书应列明具体分包号。</w:t>
      </w:r>
    </w:p>
    <w:p w14:paraId="0010B10C">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4.投诉书应简要列明质疑事项，质疑函、质疑答复等作为附件材料提供。</w:t>
      </w:r>
    </w:p>
    <w:p w14:paraId="22A73604">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5.投诉书的投诉事项应具体、明确，并有必要的事实依据和法律依据。</w:t>
      </w:r>
    </w:p>
    <w:p w14:paraId="420610D7">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6.投诉书的投诉请求应与投诉事项相关。</w:t>
      </w:r>
    </w:p>
    <w:p w14:paraId="274E995F">
      <w:pPr>
        <w:widowControl/>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7.投诉人为自然人的，投诉书应当由本人签字；投诉人为法人或者其他组织的，投诉书应当由法定代表人、主要负责人，或者其授权代表签字或者盖章，并加盖公章。</w:t>
      </w:r>
    </w:p>
    <w:p w14:paraId="2CD3DFA9">
      <w:pPr>
        <w:spacing w:line="360" w:lineRule="auto"/>
        <w:rPr>
          <w:rFonts w:hint="eastAsia" w:ascii="仿宋" w:hAnsi="仿宋" w:eastAsia="仿宋" w:cs="仿宋"/>
          <w:b/>
          <w:color w:val="auto"/>
          <w:sz w:val="24"/>
          <w:highlight w:val="none"/>
        </w:rPr>
      </w:pPr>
    </w:p>
    <w:p w14:paraId="2655BFDD">
      <w:pPr>
        <w:autoSpaceDE w:val="0"/>
        <w:autoSpaceDN w:val="0"/>
        <w:spacing w:beforeLines="100" w:afterLines="10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0FFDD837">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（采购人）、（采购代理机构）：</w:t>
      </w:r>
    </w:p>
    <w:p w14:paraId="313917A0">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lang w:val="zh-CN"/>
        </w:rPr>
        <w:t>我方</w:t>
      </w:r>
      <w:r>
        <w:rPr>
          <w:rFonts w:hint="eastAsia" w:ascii="仿宋" w:hAnsi="仿宋" w:eastAsia="仿宋" w:cs="仿宋"/>
          <w:color w:val="auto"/>
          <w:szCs w:val="21"/>
          <w:highlight w:val="none"/>
        </w:rPr>
        <w:t>(投标人全称)是中华人民共和国依法登记注册的合法企业，</w:t>
      </w:r>
      <w:r>
        <w:rPr>
          <w:rFonts w:hint="eastAsia" w:ascii="仿宋" w:hAnsi="仿宋" w:eastAsia="仿宋" w:cs="仿宋"/>
          <w:bCs/>
          <w:color w:val="auto"/>
          <w:szCs w:val="21"/>
          <w:highlight w:val="none"/>
        </w:rPr>
        <w:t>在参加</w:t>
      </w:r>
      <w:r>
        <w:rPr>
          <w:rFonts w:hint="eastAsia" w:ascii="仿宋" w:hAnsi="仿宋" w:eastAsia="仿宋" w:cs="仿宋"/>
          <w:color w:val="auto"/>
          <w:szCs w:val="21"/>
          <w:highlight w:val="none"/>
        </w:rPr>
        <w:t>你方组织的（项目名称）项目【招标编号：（采购编号）】</w:t>
      </w:r>
      <w:r>
        <w:rPr>
          <w:rFonts w:hint="eastAsia" w:ascii="仿宋" w:hAnsi="仿宋" w:eastAsia="仿宋" w:cs="仿宋"/>
          <w:bCs/>
          <w:color w:val="auto"/>
          <w:szCs w:val="21"/>
          <w:highlight w:val="none"/>
        </w:rPr>
        <w:t>投标活动中作如下说明：</w:t>
      </w:r>
      <w:r>
        <w:rPr>
          <w:rFonts w:hint="eastAsia" w:ascii="仿宋" w:hAnsi="仿宋" w:eastAsia="仿宋" w:cs="仿宋"/>
          <w:color w:val="auto"/>
          <w:szCs w:val="21"/>
          <w:highlight w:val="none"/>
        </w:rPr>
        <w:t>我方所使用的“XX专用章”与法定名称章具有同等的法律效力，对使用“XX专用章”的行为予以完全承认，并愿意承担相应责任。</w:t>
      </w:r>
    </w:p>
    <w:p w14:paraId="2F11C134">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特此说明。</w:t>
      </w:r>
    </w:p>
    <w:p w14:paraId="440EE9FA">
      <w:pPr>
        <w:spacing w:line="360" w:lineRule="auto"/>
        <w:ind w:firstLine="494"/>
        <w:rPr>
          <w:rFonts w:hint="eastAsia" w:ascii="仿宋" w:hAnsi="仿宋" w:eastAsia="仿宋" w:cs="仿宋"/>
          <w:color w:val="auto"/>
          <w:sz w:val="24"/>
          <w:highlight w:val="none"/>
        </w:rPr>
      </w:pPr>
    </w:p>
    <w:p w14:paraId="3767F5C6">
      <w:pPr>
        <w:spacing w:line="360" w:lineRule="auto"/>
        <w:ind w:firstLine="494"/>
        <w:rPr>
          <w:rFonts w:hint="eastAsia" w:ascii="仿宋" w:hAnsi="仿宋" w:eastAsia="仿宋" w:cs="仿宋"/>
          <w:color w:val="auto"/>
          <w:sz w:val="24"/>
          <w:highlight w:val="none"/>
        </w:rPr>
      </w:pPr>
    </w:p>
    <w:p w14:paraId="680F7745">
      <w:pPr>
        <w:spacing w:line="360" w:lineRule="auto"/>
        <w:ind w:firstLine="494"/>
        <w:rPr>
          <w:rFonts w:hint="eastAsia" w:ascii="仿宋" w:hAnsi="仿宋" w:eastAsia="仿宋" w:cs="仿宋"/>
          <w:color w:val="auto"/>
          <w:sz w:val="24"/>
          <w:highlight w:val="none"/>
        </w:rPr>
      </w:pPr>
    </w:p>
    <w:p w14:paraId="74B3FD35">
      <w:pPr>
        <w:spacing w:line="360" w:lineRule="auto"/>
        <w:ind w:firstLine="494"/>
        <w:rPr>
          <w:rFonts w:hint="eastAsia" w:ascii="仿宋" w:hAnsi="仿宋" w:eastAsia="仿宋" w:cs="仿宋"/>
          <w:color w:val="auto"/>
          <w:sz w:val="24"/>
          <w:highlight w:val="none"/>
        </w:rPr>
      </w:pPr>
    </w:p>
    <w:p w14:paraId="294363C8">
      <w:pPr>
        <w:spacing w:line="360" w:lineRule="auto"/>
        <w:ind w:right="480" w:firstLine="3570" w:firstLineChars="1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投标单位（法定名称章）：</w:t>
      </w:r>
    </w:p>
    <w:p w14:paraId="34241F26">
      <w:pPr>
        <w:spacing w:line="360" w:lineRule="auto"/>
        <w:ind w:right="1440" w:firstLine="494"/>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日期：       年     月     日</w:t>
      </w:r>
    </w:p>
    <w:p w14:paraId="007DFB99">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附：</w:t>
      </w:r>
    </w:p>
    <w:p w14:paraId="1326E394">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3Y6j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CLdjqN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color w:val="auto"/>
          <w:szCs w:val="21"/>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H9hNy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0f2E3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color w:val="auto"/>
          <w:szCs w:val="21"/>
          <w:highlight w:val="none"/>
        </w:rPr>
        <w:t>投标单位法定名称章（印模）投标单位“XX专用章”（印模）</w:t>
      </w:r>
    </w:p>
    <w:p w14:paraId="6F629F65">
      <w:pPr>
        <w:autoSpaceDE w:val="0"/>
        <w:autoSpaceDN w:val="0"/>
        <w:jc w:val="center"/>
        <w:rPr>
          <w:rFonts w:hint="eastAsia" w:ascii="仿宋" w:hAnsi="仿宋" w:eastAsia="仿宋" w:cs="仿宋"/>
          <w:b/>
          <w:color w:val="auto"/>
          <w:spacing w:val="6"/>
          <w:sz w:val="32"/>
          <w:szCs w:val="32"/>
          <w:highlight w:val="none"/>
        </w:rPr>
      </w:pPr>
    </w:p>
    <w:p w14:paraId="3406F27D">
      <w:pPr>
        <w:autoSpaceDE w:val="0"/>
        <w:autoSpaceDN w:val="0"/>
        <w:jc w:val="center"/>
        <w:rPr>
          <w:rFonts w:hint="eastAsia" w:ascii="仿宋" w:hAnsi="仿宋" w:eastAsia="仿宋" w:cs="仿宋"/>
          <w:b/>
          <w:color w:val="auto"/>
          <w:spacing w:val="6"/>
          <w:sz w:val="32"/>
          <w:szCs w:val="32"/>
          <w:highlight w:val="none"/>
        </w:rPr>
      </w:pPr>
    </w:p>
    <w:p w14:paraId="3030D6B3">
      <w:pPr>
        <w:autoSpaceDE w:val="0"/>
        <w:autoSpaceDN w:val="0"/>
        <w:jc w:val="center"/>
        <w:rPr>
          <w:rFonts w:hint="eastAsia" w:ascii="仿宋" w:hAnsi="仿宋" w:eastAsia="仿宋" w:cs="仿宋"/>
          <w:b/>
          <w:color w:val="auto"/>
          <w:spacing w:val="6"/>
          <w:sz w:val="32"/>
          <w:szCs w:val="32"/>
          <w:highlight w:val="none"/>
        </w:rPr>
      </w:pPr>
    </w:p>
    <w:p w14:paraId="632CCDDB">
      <w:pPr>
        <w:autoSpaceDE w:val="0"/>
        <w:autoSpaceDN w:val="0"/>
        <w:jc w:val="center"/>
        <w:rPr>
          <w:rFonts w:hint="eastAsia" w:ascii="仿宋" w:hAnsi="仿宋" w:eastAsia="仿宋" w:cs="仿宋"/>
          <w:b/>
          <w:color w:val="auto"/>
          <w:spacing w:val="6"/>
          <w:sz w:val="32"/>
          <w:szCs w:val="32"/>
          <w:highlight w:val="none"/>
        </w:rPr>
      </w:pPr>
    </w:p>
    <w:p w14:paraId="48A73A9B">
      <w:pPr>
        <w:autoSpaceDE w:val="0"/>
        <w:autoSpaceDN w:val="0"/>
        <w:jc w:val="center"/>
        <w:rPr>
          <w:rFonts w:hint="eastAsia" w:ascii="仿宋" w:hAnsi="仿宋" w:eastAsia="仿宋" w:cs="仿宋"/>
          <w:b/>
          <w:color w:val="auto"/>
          <w:spacing w:val="6"/>
          <w:sz w:val="32"/>
          <w:szCs w:val="32"/>
          <w:highlight w:val="none"/>
        </w:rPr>
      </w:pPr>
    </w:p>
    <w:p w14:paraId="543B923F">
      <w:pPr>
        <w:autoSpaceDE w:val="0"/>
        <w:autoSpaceDN w:val="0"/>
        <w:jc w:val="center"/>
        <w:rPr>
          <w:rFonts w:hint="eastAsia" w:ascii="仿宋" w:hAnsi="仿宋" w:eastAsia="仿宋" w:cs="仿宋"/>
          <w:b/>
          <w:color w:val="auto"/>
          <w:spacing w:val="6"/>
          <w:sz w:val="32"/>
          <w:szCs w:val="32"/>
          <w:highlight w:val="none"/>
        </w:rPr>
      </w:pPr>
    </w:p>
    <w:p w14:paraId="224681CA">
      <w:pPr>
        <w:autoSpaceDE w:val="0"/>
        <w:autoSpaceDN w:val="0"/>
        <w:jc w:val="center"/>
        <w:rPr>
          <w:rFonts w:hint="eastAsia" w:ascii="仿宋" w:hAnsi="仿宋" w:eastAsia="仿宋" w:cs="仿宋"/>
          <w:b/>
          <w:color w:val="auto"/>
          <w:spacing w:val="6"/>
          <w:sz w:val="32"/>
          <w:szCs w:val="32"/>
          <w:highlight w:val="none"/>
        </w:rPr>
      </w:pPr>
    </w:p>
    <w:p w14:paraId="5BABE356">
      <w:pPr>
        <w:autoSpaceDE w:val="0"/>
        <w:autoSpaceDN w:val="0"/>
        <w:jc w:val="center"/>
        <w:rPr>
          <w:rFonts w:hint="eastAsia" w:ascii="仿宋" w:hAnsi="仿宋" w:eastAsia="仿宋" w:cs="仿宋"/>
          <w:b/>
          <w:color w:val="auto"/>
          <w:spacing w:val="6"/>
          <w:sz w:val="32"/>
          <w:szCs w:val="32"/>
          <w:highlight w:val="none"/>
        </w:rPr>
      </w:pPr>
    </w:p>
    <w:p w14:paraId="3540EEA9">
      <w:pPr>
        <w:autoSpaceDE w:val="0"/>
        <w:autoSpaceDN w:val="0"/>
        <w:jc w:val="center"/>
        <w:rPr>
          <w:rFonts w:hint="eastAsia" w:ascii="仿宋" w:hAnsi="仿宋" w:eastAsia="仿宋" w:cs="仿宋"/>
          <w:b/>
          <w:color w:val="auto"/>
          <w:spacing w:val="6"/>
          <w:sz w:val="32"/>
          <w:szCs w:val="32"/>
          <w:highlight w:val="none"/>
        </w:rPr>
      </w:pPr>
    </w:p>
    <w:p w14:paraId="7F38F4DF">
      <w:pPr>
        <w:autoSpaceDE w:val="0"/>
        <w:autoSpaceDN w:val="0"/>
        <w:jc w:val="center"/>
        <w:rPr>
          <w:rFonts w:hint="eastAsia" w:ascii="仿宋" w:hAnsi="仿宋" w:eastAsia="仿宋" w:cs="仿宋"/>
          <w:b/>
          <w:color w:val="auto"/>
          <w:spacing w:val="6"/>
          <w:sz w:val="32"/>
          <w:szCs w:val="32"/>
          <w:highlight w:val="none"/>
        </w:rPr>
      </w:pPr>
    </w:p>
    <w:p w14:paraId="0688D077">
      <w:pPr>
        <w:autoSpaceDE w:val="0"/>
        <w:autoSpaceDN w:val="0"/>
        <w:spacing w:beforeLines="100" w:afterLines="10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pacing w:val="6"/>
          <w:sz w:val="32"/>
          <w:szCs w:val="32"/>
          <w:highlight w:val="none"/>
          <w:lang w:val="zh-CN"/>
        </w:rPr>
        <w:t>联合协议</w:t>
      </w:r>
    </w:p>
    <w:p w14:paraId="3FE3E124">
      <w:pPr>
        <w:widowControl/>
        <w:spacing w:line="360" w:lineRule="auto"/>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[以联合体形式投标的，提供联合协议；本项目不接受联合体投标或者投标人不以联合体形式投标的，则不需要提供。]</w:t>
      </w:r>
    </w:p>
    <w:p w14:paraId="16928BFF">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（联合体所有成员名称）</w:t>
      </w:r>
      <w:r>
        <w:rPr>
          <w:rFonts w:hint="eastAsia" w:ascii="仿宋" w:hAnsi="仿宋" w:eastAsia="仿宋" w:cs="仿宋"/>
          <w:color w:val="auto"/>
          <w:kern w:val="0"/>
          <w:szCs w:val="21"/>
          <w:highlight w:val="none"/>
        </w:rPr>
        <w:t>自愿</w:t>
      </w:r>
      <w:r>
        <w:rPr>
          <w:rFonts w:hint="eastAsia" w:ascii="仿宋" w:hAnsi="仿宋" w:eastAsia="仿宋" w:cs="仿宋"/>
          <w:color w:val="auto"/>
          <w:kern w:val="0"/>
          <w:szCs w:val="21"/>
          <w:highlight w:val="none"/>
          <w:lang w:val="zh-CN"/>
        </w:rPr>
        <w:t>组成一个联合体，以一个投标人的身份</w:t>
      </w:r>
      <w:r>
        <w:rPr>
          <w:rFonts w:hint="eastAsia" w:ascii="仿宋" w:hAnsi="仿宋" w:eastAsia="仿宋" w:cs="仿宋"/>
          <w:color w:val="auto"/>
          <w:kern w:val="0"/>
          <w:szCs w:val="21"/>
          <w:highlight w:val="none"/>
        </w:rPr>
        <w:t>参加</w:t>
      </w:r>
      <w:r>
        <w:rPr>
          <w:rFonts w:hint="eastAsia" w:ascii="仿宋" w:hAnsi="仿宋" w:eastAsia="仿宋" w:cs="仿宋"/>
          <w:color w:val="auto"/>
          <w:szCs w:val="21"/>
          <w:highlight w:val="none"/>
        </w:rPr>
        <w:t>（项目名称）【招标编号：（采购编号）】</w:t>
      </w:r>
      <w:r>
        <w:rPr>
          <w:rFonts w:hint="eastAsia" w:ascii="仿宋" w:hAnsi="仿宋" w:eastAsia="仿宋" w:cs="仿宋"/>
          <w:color w:val="auto"/>
          <w:kern w:val="0"/>
          <w:szCs w:val="21"/>
          <w:highlight w:val="none"/>
          <w:lang w:val="zh-CN"/>
        </w:rPr>
        <w:t xml:space="preserve">投标。 </w:t>
      </w:r>
    </w:p>
    <w:p w14:paraId="13B9F0B7">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一、各方一致决定，</w:t>
      </w:r>
      <w:r>
        <w:rPr>
          <w:rFonts w:hint="eastAsia" w:ascii="仿宋" w:hAnsi="仿宋" w:eastAsia="仿宋" w:cs="仿宋"/>
          <w:color w:val="auto"/>
          <w:kern w:val="0"/>
          <w:szCs w:val="21"/>
          <w:highlight w:val="none"/>
          <w:u w:val="single"/>
        </w:rPr>
        <w:t>（某联合体成员名称）</w:t>
      </w:r>
      <w:r>
        <w:rPr>
          <w:rFonts w:hint="eastAsia" w:ascii="仿宋" w:hAnsi="仿宋" w:eastAsia="仿宋" w:cs="仿宋"/>
          <w:color w:val="auto"/>
          <w:kern w:val="0"/>
          <w:szCs w:val="21"/>
          <w:highlight w:val="none"/>
        </w:rPr>
        <w:t>为联合体</w:t>
      </w:r>
      <w:r>
        <w:rPr>
          <w:rFonts w:hint="eastAsia" w:ascii="仿宋" w:hAnsi="仿宋" w:eastAsia="仿宋" w:cs="仿宋"/>
          <w:color w:val="auto"/>
          <w:kern w:val="0"/>
          <w:szCs w:val="21"/>
          <w:highlight w:val="none"/>
          <w:lang w:val="zh-CN"/>
        </w:rPr>
        <w:t>牵头人</w:t>
      </w:r>
      <w:r>
        <w:rPr>
          <w:rFonts w:hint="eastAsia" w:ascii="仿宋" w:hAnsi="仿宋" w:eastAsia="仿宋" w:cs="仿宋"/>
          <w:color w:val="auto"/>
          <w:szCs w:val="21"/>
          <w:highlight w:val="none"/>
        </w:rPr>
        <w:t>，代表所有联合体成员负责投标和合同实施阶段的主办、协调工作</w:t>
      </w:r>
      <w:r>
        <w:rPr>
          <w:rFonts w:hint="eastAsia" w:ascii="仿宋" w:hAnsi="仿宋" w:eastAsia="仿宋" w:cs="仿宋"/>
          <w:color w:val="auto"/>
          <w:kern w:val="0"/>
          <w:szCs w:val="21"/>
          <w:highlight w:val="none"/>
          <w:lang w:val="zh-CN"/>
        </w:rPr>
        <w:t>。</w:t>
      </w:r>
    </w:p>
    <w:p w14:paraId="6B4AB44C">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w:t>
      </w:r>
      <w:r>
        <w:rPr>
          <w:rFonts w:hint="eastAsia" w:ascii="仿宋" w:hAnsi="仿宋" w:eastAsia="仿宋" w:cs="仿宋"/>
          <w:color w:val="auto"/>
          <w:szCs w:val="21"/>
          <w:highlight w:val="none"/>
        </w:rPr>
        <w:t>所有联合体成员各方签署授权书，授权书载明的</w:t>
      </w:r>
      <w:r>
        <w:rPr>
          <w:rFonts w:hint="eastAsia" w:ascii="仿宋" w:hAnsi="仿宋" w:eastAsia="仿宋" w:cs="仿宋"/>
          <w:color w:val="auto"/>
          <w:kern w:val="0"/>
          <w:szCs w:val="21"/>
          <w:highlight w:val="none"/>
          <w:lang w:val="zh-CN"/>
        </w:rPr>
        <w:t>授权代表根据招标文件规定及投标内容而对采购人、采购代理机构所作的任何合法承诺，包括书面澄清及相应等均对联合投标各方产生约束力。</w:t>
      </w:r>
    </w:p>
    <w:p w14:paraId="19FAF3B4">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三、本次联合投标中，分工如下：</w:t>
      </w:r>
    </w:p>
    <w:p w14:paraId="5160F84D">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（联合体成员1）</w:t>
      </w:r>
      <w:r>
        <w:rPr>
          <w:rFonts w:hint="eastAsia" w:ascii="仿宋" w:hAnsi="仿宋" w:eastAsia="仿宋" w:cs="仿宋"/>
          <w:color w:val="auto"/>
          <w:kern w:val="0"/>
          <w:szCs w:val="21"/>
          <w:highlight w:val="none"/>
          <w:lang w:val="zh-CN"/>
        </w:rPr>
        <w:t>承担的工作和义务为：；</w:t>
      </w:r>
    </w:p>
    <w:p w14:paraId="51F44CA0">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（联合体成员2）</w:t>
      </w:r>
      <w:r>
        <w:rPr>
          <w:rFonts w:hint="eastAsia" w:ascii="仿宋" w:hAnsi="仿宋" w:eastAsia="仿宋" w:cs="仿宋"/>
          <w:color w:val="auto"/>
          <w:kern w:val="0"/>
          <w:szCs w:val="21"/>
          <w:highlight w:val="none"/>
          <w:lang w:val="zh-CN"/>
        </w:rPr>
        <w:t>承担的工作和义务为：；</w:t>
      </w:r>
    </w:p>
    <w:p w14:paraId="5F8CBFF7">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w:t>
      </w:r>
    </w:p>
    <w:p w14:paraId="7B09F9C2">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四、联合体成员中小企业合同份额。</w:t>
      </w:r>
    </w:p>
    <w:p w14:paraId="69AD3E96">
      <w:pPr>
        <w:snapToGrid w:val="0"/>
        <w:spacing w:line="360" w:lineRule="auto"/>
        <w:ind w:firstLine="420" w:firstLineChars="200"/>
        <w:rPr>
          <w:rFonts w:hint="eastAsia" w:ascii="仿宋" w:hAnsi="仿宋" w:eastAsia="仿宋" w:cs="仿宋"/>
          <w:b/>
          <w:color w:val="auto"/>
          <w:kern w:val="0"/>
          <w:szCs w:val="21"/>
          <w:highlight w:val="none"/>
          <w:lang w:val="zh-CN"/>
        </w:rPr>
      </w:pPr>
      <w:r>
        <w:rPr>
          <w:rFonts w:hint="eastAsia" w:ascii="仿宋" w:hAnsi="仿宋" w:eastAsia="仿宋" w:cs="仿宋"/>
          <w:color w:val="auto"/>
          <w:kern w:val="0"/>
          <w:szCs w:val="21"/>
          <w:highlight w:val="none"/>
          <w:lang w:val="zh-CN"/>
        </w:rPr>
        <w:t>1、</w:t>
      </w:r>
      <w:r>
        <w:rPr>
          <w:rFonts w:hint="eastAsia" w:ascii="仿宋" w:hAnsi="仿宋" w:eastAsia="仿宋" w:cs="仿宋"/>
          <w:color w:val="auto"/>
          <w:kern w:val="0"/>
          <w:szCs w:val="21"/>
          <w:highlight w:val="none"/>
          <w:u w:val="single"/>
        </w:rPr>
        <w:t>（</w:t>
      </w:r>
      <w:bookmarkStart w:id="517" w:name="_Hlk101131882"/>
      <w:r>
        <w:rPr>
          <w:rFonts w:hint="eastAsia" w:ascii="仿宋" w:hAnsi="仿宋" w:eastAsia="仿宋" w:cs="仿宋"/>
          <w:color w:val="auto"/>
          <w:kern w:val="0"/>
          <w:szCs w:val="21"/>
          <w:highlight w:val="none"/>
          <w:u w:val="single"/>
        </w:rPr>
        <w:t>联合体成员X,……</w:t>
      </w:r>
      <w:bookmarkEnd w:id="517"/>
      <w:r>
        <w:rPr>
          <w:rFonts w:hint="eastAsia" w:ascii="仿宋" w:hAnsi="仿宋" w:eastAsia="仿宋" w:cs="仿宋"/>
          <w:color w:val="auto"/>
          <w:kern w:val="0"/>
          <w:szCs w:val="21"/>
          <w:highlight w:val="none"/>
          <w:u w:val="single"/>
        </w:rPr>
        <w:t>）</w:t>
      </w:r>
      <w:r>
        <w:rPr>
          <w:rFonts w:hint="eastAsia" w:ascii="仿宋" w:hAnsi="仿宋" w:eastAsia="仿宋" w:cs="仿宋"/>
          <w:color w:val="auto"/>
          <w:kern w:val="0"/>
          <w:szCs w:val="21"/>
          <w:highlight w:val="none"/>
        </w:rPr>
        <w:t>提供的服务由小微企业承接，其合同份额占到合同总金额%以上</w:t>
      </w:r>
      <w:r>
        <w:rPr>
          <w:rFonts w:hint="eastAsia" w:ascii="仿宋" w:hAnsi="仿宋" w:eastAsia="仿宋" w:cs="仿宋"/>
          <w:color w:val="auto"/>
          <w:kern w:val="0"/>
          <w:szCs w:val="21"/>
          <w:highlight w:val="none"/>
          <w:lang w:val="zh-CN"/>
        </w:rPr>
        <w:t>。</w:t>
      </w:r>
      <w:r>
        <w:rPr>
          <w:rFonts w:hint="eastAsia" w:ascii="仿宋" w:hAnsi="仿宋" w:eastAsia="仿宋" w:cs="仿宋"/>
          <w:b/>
          <w:color w:val="auto"/>
          <w:kern w:val="0"/>
          <w:szCs w:val="21"/>
          <w:highlight w:val="none"/>
          <w:lang w:val="zh-CN"/>
        </w:rPr>
        <w:t>（</w:t>
      </w:r>
      <w:bookmarkStart w:id="518" w:name="_Hlk101133598"/>
      <w:r>
        <w:rPr>
          <w:rFonts w:hint="eastAsia" w:ascii="仿宋" w:hAnsi="仿宋" w:eastAsia="仿宋" w:cs="仿宋"/>
          <w:b/>
          <w:color w:val="auto"/>
          <w:kern w:val="0"/>
          <w:szCs w:val="21"/>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Cs w:val="21"/>
          <w:highlight w:val="none"/>
        </w:rPr>
        <w:t>拟享受以上价格扣除政策的，填写有关内容。</w:t>
      </w:r>
      <w:bookmarkEnd w:id="518"/>
      <w:r>
        <w:rPr>
          <w:rFonts w:hint="eastAsia" w:ascii="仿宋" w:hAnsi="仿宋" w:eastAsia="仿宋" w:cs="仿宋"/>
          <w:b/>
          <w:color w:val="auto"/>
          <w:kern w:val="0"/>
          <w:szCs w:val="21"/>
          <w:highlight w:val="none"/>
          <w:lang w:val="zh-CN"/>
        </w:rPr>
        <w:t>）</w:t>
      </w:r>
    </w:p>
    <w:p w14:paraId="6DF1764D">
      <w:pPr>
        <w:spacing w:line="360" w:lineRule="auto"/>
        <w:ind w:firstLine="420" w:firstLineChars="200"/>
        <w:rPr>
          <w:rFonts w:hint="eastAsia" w:ascii="仿宋" w:hAnsi="仿宋" w:eastAsia="仿宋" w:cs="仿宋"/>
          <w:b/>
          <w:bCs/>
          <w:color w:val="auto"/>
          <w:kern w:val="0"/>
          <w:szCs w:val="21"/>
          <w:highlight w:val="none"/>
          <w:lang w:val="zh-CN"/>
        </w:rPr>
      </w:pPr>
      <w:r>
        <w:rPr>
          <w:rFonts w:hint="eastAsia" w:ascii="仿宋" w:hAnsi="仿宋" w:eastAsia="仿宋" w:cs="仿宋"/>
          <w:color w:val="auto"/>
          <w:szCs w:val="21"/>
          <w:highlight w:val="none"/>
        </w:rPr>
        <w:t>2、</w:t>
      </w:r>
      <w:bookmarkStart w:id="519" w:name="_Hlk101133173"/>
      <w:r>
        <w:rPr>
          <w:rFonts w:hint="eastAsia" w:ascii="仿宋" w:hAnsi="仿宋" w:eastAsia="仿宋" w:cs="仿宋"/>
          <w:color w:val="auto"/>
          <w:szCs w:val="21"/>
          <w:highlight w:val="none"/>
        </w:rPr>
        <w:t>中小企业合同金额达到%，小微企业合同金额达到%</w:t>
      </w:r>
      <w:r>
        <w:rPr>
          <w:rFonts w:hint="eastAsia" w:ascii="仿宋" w:hAnsi="仿宋" w:eastAsia="仿宋" w:cs="仿宋"/>
          <w:color w:val="auto"/>
          <w:kern w:val="0"/>
          <w:szCs w:val="21"/>
          <w:highlight w:val="none"/>
          <w:lang w:val="zh-CN"/>
        </w:rPr>
        <w:t>。</w:t>
      </w:r>
      <w:r>
        <w:rPr>
          <w:rFonts w:hint="eastAsia" w:ascii="仿宋" w:hAnsi="仿宋" w:eastAsia="仿宋" w:cs="仿宋"/>
          <w:b/>
          <w:bCs/>
          <w:color w:val="auto"/>
          <w:kern w:val="0"/>
          <w:szCs w:val="21"/>
          <w:highlight w:val="none"/>
          <w:lang w:val="zh-CN"/>
        </w:rPr>
        <w:t>（</w:t>
      </w:r>
      <w:r>
        <w:rPr>
          <w:rFonts w:hint="eastAsia" w:ascii="仿宋" w:hAnsi="仿宋" w:eastAsia="仿宋" w:cs="仿宋"/>
          <w:b/>
          <w:bCs/>
          <w:color w:val="auto"/>
          <w:szCs w:val="21"/>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Cs w:val="21"/>
          <w:highlight w:val="none"/>
          <w:lang w:val="zh-CN"/>
        </w:rPr>
        <w:t>）</w:t>
      </w:r>
      <w:bookmarkEnd w:id="519"/>
    </w:p>
    <w:p w14:paraId="01250DD9">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五、如果中标，</w:t>
      </w:r>
      <w:r>
        <w:rPr>
          <w:rFonts w:hint="eastAsia" w:ascii="仿宋" w:hAnsi="仿宋" w:eastAsia="仿宋" w:cs="仿宋"/>
          <w:color w:val="auto"/>
          <w:szCs w:val="21"/>
          <w:highlight w:val="none"/>
        </w:rPr>
        <w:t>联合体各成员方共同与采购人签订合同，并就采购合同约定的事项对采购人承担连带责任。</w:t>
      </w:r>
    </w:p>
    <w:p w14:paraId="697D0225">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六、有关本次联合投标的其他事宜：</w:t>
      </w:r>
    </w:p>
    <w:p w14:paraId="2ECBD1F7">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1、联合体各方不再单独参加或者与其他供应商另外组成联合体参加同一合同项下的政府采购活动。</w:t>
      </w:r>
    </w:p>
    <w:p w14:paraId="519976C6">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2、联合体中有同类资质的各方按照联合体分工承担相同工作的，按照资质等级较低的供应商确定资质等级。</w:t>
      </w:r>
    </w:p>
    <w:p w14:paraId="6EAFB752">
      <w:pPr>
        <w:snapToGrid w:val="0"/>
        <w:spacing w:line="360"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3、本协议提交采购人、采购代理机构后，联合体各方不得以任何形式对上述内容进行修改或撤销。</w:t>
      </w:r>
    </w:p>
    <w:p w14:paraId="69DEB2E9">
      <w:pPr>
        <w:snapToGrid w:val="0"/>
        <w:spacing w:line="360" w:lineRule="auto"/>
        <w:ind w:firstLine="4410" w:firstLineChars="21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联合体成员名称(电子签名/公章)：</w:t>
      </w:r>
    </w:p>
    <w:p w14:paraId="53130A54">
      <w:pPr>
        <w:snapToGrid w:val="0"/>
        <w:spacing w:line="360" w:lineRule="auto"/>
        <w:ind w:firstLine="4410" w:firstLineChars="21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联合体成员名称(电子签名/公章)：</w:t>
      </w:r>
    </w:p>
    <w:p w14:paraId="67F213A0">
      <w:pPr>
        <w:snapToGrid w:val="0"/>
        <w:spacing w:line="360" w:lineRule="auto"/>
        <w:jc w:val="center"/>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 xml:space="preserve">                   ……</w:t>
      </w:r>
    </w:p>
    <w:p w14:paraId="2AACA449">
      <w:pPr>
        <w:snapToGrid w:val="0"/>
        <w:spacing w:line="360" w:lineRule="auto"/>
        <w:jc w:val="center"/>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日期：  年  月   日</w:t>
      </w:r>
    </w:p>
    <w:p w14:paraId="6162F983">
      <w:pPr>
        <w:spacing w:line="312" w:lineRule="auto"/>
        <w:rPr>
          <w:rFonts w:hint="eastAsia" w:ascii="仿宋" w:hAnsi="仿宋" w:eastAsia="仿宋" w:cs="仿宋"/>
          <w:b/>
          <w:bCs/>
          <w:color w:val="auto"/>
          <w:sz w:val="32"/>
          <w:szCs w:val="32"/>
          <w:highlight w:val="none"/>
        </w:rPr>
      </w:pPr>
      <w:r>
        <w:rPr>
          <w:rFonts w:hint="eastAsia" w:ascii="仿宋" w:hAnsi="仿宋" w:eastAsia="仿宋" w:cs="仿宋"/>
          <w:b/>
          <w:bCs/>
          <w:color w:val="auto"/>
          <w:szCs w:val="21"/>
          <w:highlight w:val="none"/>
        </w:rPr>
        <w:t>注：按本格式和要求提供。</w:t>
      </w:r>
    </w:p>
    <w:p w14:paraId="39FE62B4">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5D901CA4">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57E119A0">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7E68F94C">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0AA6F34B">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386F4FF9">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31E77C19">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5A0AC470">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154A2847">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3EAC4D28">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69B52513">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40384B78">
      <w:pPr>
        <w:autoSpaceDE w:val="0"/>
        <w:autoSpaceDN w:val="0"/>
        <w:spacing w:beforeLines="100" w:afterLines="100"/>
        <w:jc w:val="center"/>
        <w:rPr>
          <w:rFonts w:hint="eastAsia" w:ascii="仿宋" w:hAnsi="仿宋" w:eastAsia="仿宋" w:cs="仿宋"/>
          <w:b/>
          <w:color w:val="auto"/>
          <w:spacing w:val="6"/>
          <w:sz w:val="32"/>
          <w:szCs w:val="32"/>
          <w:highlight w:val="none"/>
        </w:rPr>
      </w:pPr>
    </w:p>
    <w:p w14:paraId="4DD09CDC">
      <w:pPr>
        <w:autoSpaceDE w:val="0"/>
        <w:autoSpaceDN w:val="0"/>
        <w:spacing w:beforeLines="100" w:afterLines="100"/>
        <w:jc w:val="center"/>
        <w:rPr>
          <w:rFonts w:hint="eastAsia" w:ascii="仿宋" w:hAnsi="仿宋" w:eastAsia="仿宋" w:cs="仿宋"/>
          <w:b/>
          <w:color w:val="auto"/>
          <w:spacing w:val="6"/>
          <w:sz w:val="32"/>
          <w:szCs w:val="32"/>
          <w:highlight w:val="none"/>
        </w:rPr>
        <w:sectPr>
          <w:headerReference r:id="rId15" w:type="first"/>
          <w:footerReference r:id="rId18" w:type="first"/>
          <w:headerReference r:id="rId14" w:type="default"/>
          <w:footerReference r:id="rId16" w:type="default"/>
          <w:footerReference r:id="rId17" w:type="even"/>
          <w:pgSz w:w="11905" w:h="16838"/>
          <w:pgMar w:top="1327" w:right="1519" w:bottom="1327" w:left="1519" w:header="851" w:footer="992" w:gutter="0"/>
          <w:cols w:space="0" w:num="1"/>
          <w:docGrid w:type="lines" w:linePitch="319" w:charSpace="0"/>
        </w:sectPr>
      </w:pPr>
    </w:p>
    <w:p w14:paraId="6A875435">
      <w:pPr>
        <w:autoSpaceDE w:val="0"/>
        <w:autoSpaceDN w:val="0"/>
        <w:spacing w:beforeLines="100" w:afterLines="10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spacing w:val="6"/>
          <w:sz w:val="32"/>
          <w:szCs w:val="32"/>
          <w:highlight w:val="none"/>
          <w:lang w:val="zh-CN"/>
        </w:rPr>
        <w:t>分包意向协议</w:t>
      </w:r>
    </w:p>
    <w:p w14:paraId="03F184EC">
      <w:pPr>
        <w:widowControl/>
        <w:spacing w:line="360" w:lineRule="auto"/>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[中标后以分包方式履行合同的，提供分包意向协议；采购人不同意分包或者投标人中标后不以分包方式履行合同的，则不需要提供。]</w:t>
      </w:r>
    </w:p>
    <w:p w14:paraId="1100AC83">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若成为</w:t>
      </w:r>
      <w:r>
        <w:rPr>
          <w:rFonts w:hint="eastAsia" w:ascii="仿宋" w:hAnsi="仿宋" w:eastAsia="仿宋" w:cs="仿宋"/>
          <w:color w:val="auto"/>
          <w:szCs w:val="21"/>
          <w:highlight w:val="none"/>
        </w:rPr>
        <w:t>（项目名称）【招标编号：（采购编号）】</w:t>
      </w:r>
      <w:r>
        <w:rPr>
          <w:rFonts w:hint="eastAsia" w:ascii="仿宋" w:hAnsi="仿宋" w:eastAsia="仿宋" w:cs="仿宋"/>
          <w:color w:val="auto"/>
          <w:kern w:val="0"/>
          <w:szCs w:val="21"/>
          <w:highlight w:val="none"/>
          <w:lang w:val="zh-CN"/>
        </w:rPr>
        <w:t>的中标供应商，将依法采取分包方式履行合同。</w:t>
      </w: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rPr>
        <w:t>与</w:t>
      </w:r>
      <w:r>
        <w:rPr>
          <w:rFonts w:hint="eastAsia" w:ascii="仿宋" w:hAnsi="仿宋" w:eastAsia="仿宋" w:cs="仿宋"/>
          <w:color w:val="auto"/>
          <w:kern w:val="0"/>
          <w:szCs w:val="21"/>
          <w:highlight w:val="none"/>
          <w:u w:val="single"/>
        </w:rPr>
        <w:t>（所有分包供应商名称）</w:t>
      </w:r>
      <w:r>
        <w:rPr>
          <w:rFonts w:hint="eastAsia" w:ascii="仿宋" w:hAnsi="仿宋" w:eastAsia="仿宋" w:cs="仿宋"/>
          <w:color w:val="auto"/>
          <w:kern w:val="0"/>
          <w:szCs w:val="21"/>
          <w:highlight w:val="none"/>
        </w:rPr>
        <w:t>达成分包意向协议</w:t>
      </w:r>
      <w:r>
        <w:rPr>
          <w:rFonts w:hint="eastAsia" w:ascii="仿宋" w:hAnsi="仿宋" w:eastAsia="仿宋" w:cs="仿宋"/>
          <w:color w:val="auto"/>
          <w:kern w:val="0"/>
          <w:szCs w:val="21"/>
          <w:highlight w:val="none"/>
          <w:lang w:val="zh-CN"/>
        </w:rPr>
        <w:t xml:space="preserve">。 </w:t>
      </w:r>
    </w:p>
    <w:p w14:paraId="58228EB8">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一、分包标的及数量</w:t>
      </w:r>
    </w:p>
    <w:p w14:paraId="3553ECAE">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将</w:t>
      </w:r>
      <w:r>
        <w:rPr>
          <w:rFonts w:hint="eastAsia" w:ascii="仿宋" w:hAnsi="仿宋" w:eastAsia="仿宋" w:cs="仿宋"/>
          <w:color w:val="auto"/>
          <w:kern w:val="0"/>
          <w:szCs w:val="21"/>
          <w:highlight w:val="none"/>
          <w:u w:val="single"/>
        </w:rPr>
        <w:t xml:space="preserve"> XX工作内容   </w:t>
      </w:r>
      <w:r>
        <w:rPr>
          <w:rFonts w:hint="eastAsia" w:ascii="仿宋" w:hAnsi="仿宋" w:eastAsia="仿宋" w:cs="仿宋"/>
          <w:color w:val="auto"/>
          <w:szCs w:val="21"/>
          <w:highlight w:val="none"/>
        </w:rPr>
        <w:t>分包给</w:t>
      </w:r>
      <w:r>
        <w:rPr>
          <w:rFonts w:hint="eastAsia" w:ascii="仿宋" w:hAnsi="仿宋" w:eastAsia="仿宋" w:cs="仿宋"/>
          <w:color w:val="auto"/>
          <w:kern w:val="0"/>
          <w:szCs w:val="21"/>
          <w:highlight w:val="none"/>
          <w:u w:val="single"/>
        </w:rPr>
        <w:t>（分包供应商1名称）</w:t>
      </w:r>
      <w:r>
        <w:rPr>
          <w:rFonts w:hint="eastAsia" w:ascii="仿宋" w:hAnsi="仿宋" w:eastAsia="仿宋" w:cs="仿宋"/>
          <w:color w:val="auto"/>
          <w:kern w:val="0"/>
          <w:szCs w:val="21"/>
          <w:highlight w:val="none"/>
          <w:lang w:val="zh-CN"/>
        </w:rPr>
        <w:t>，</w:t>
      </w:r>
      <w:r>
        <w:rPr>
          <w:rFonts w:hint="eastAsia" w:ascii="仿宋" w:hAnsi="仿宋" w:eastAsia="仿宋" w:cs="仿宋"/>
          <w:color w:val="auto"/>
          <w:kern w:val="0"/>
          <w:szCs w:val="21"/>
          <w:highlight w:val="none"/>
          <w:u w:val="single"/>
        </w:rPr>
        <w:t>（分包供应商2名称），</w:t>
      </w:r>
      <w:r>
        <w:rPr>
          <w:rFonts w:hint="eastAsia" w:ascii="仿宋" w:hAnsi="仿宋" w:eastAsia="仿宋" w:cs="仿宋"/>
          <w:color w:val="auto"/>
          <w:kern w:val="0"/>
          <w:szCs w:val="21"/>
          <w:highlight w:val="none"/>
          <w:lang w:val="zh-CN"/>
        </w:rPr>
        <w:t>具备承</w:t>
      </w:r>
      <w:r>
        <w:rPr>
          <w:rFonts w:hint="eastAsia" w:ascii="仿宋" w:hAnsi="仿宋" w:eastAsia="仿宋" w:cs="仿宋"/>
          <w:color w:val="auto"/>
          <w:kern w:val="0"/>
          <w:szCs w:val="21"/>
          <w:highlight w:val="none"/>
        </w:rPr>
        <w:t>担</w:t>
      </w:r>
      <w:r>
        <w:rPr>
          <w:rFonts w:hint="eastAsia" w:ascii="仿宋" w:hAnsi="仿宋" w:eastAsia="仿宋" w:cs="仿宋"/>
          <w:color w:val="auto"/>
          <w:kern w:val="0"/>
          <w:szCs w:val="21"/>
          <w:highlight w:val="none"/>
          <w:u w:val="single"/>
          <w:lang w:val="zh-CN"/>
        </w:rPr>
        <w:t>XX工作内容</w:t>
      </w:r>
      <w:r>
        <w:rPr>
          <w:rFonts w:hint="eastAsia" w:ascii="仿宋" w:hAnsi="仿宋" w:eastAsia="仿宋" w:cs="仿宋"/>
          <w:color w:val="auto"/>
          <w:kern w:val="0"/>
          <w:szCs w:val="21"/>
          <w:highlight w:val="none"/>
          <w:lang w:val="zh-CN"/>
        </w:rPr>
        <w:t>相应资质条件且不得再次分包；</w:t>
      </w:r>
    </w:p>
    <w:p w14:paraId="1917FD19">
      <w:pPr>
        <w:pStyle w:val="3"/>
        <w:wordWrap w:val="0"/>
        <w:spacing w:line="312" w:lineRule="auto"/>
        <w:ind w:left="0" w:firstLine="422"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w:t>
      </w:r>
    </w:p>
    <w:p w14:paraId="74324A7E">
      <w:pPr>
        <w:wordWrap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二、分包供应商中小企业合同份额</w:t>
      </w:r>
    </w:p>
    <w:p w14:paraId="4FE1DDDA">
      <w:pPr>
        <w:wordWrap w:val="0"/>
        <w:snapToGrid w:val="0"/>
        <w:spacing w:line="312" w:lineRule="auto"/>
        <w:ind w:firstLine="420" w:firstLineChars="200"/>
        <w:rPr>
          <w:rFonts w:hint="eastAsia" w:ascii="仿宋" w:hAnsi="仿宋" w:eastAsia="仿宋" w:cs="仿宋"/>
          <w:b/>
          <w:color w:val="auto"/>
          <w:kern w:val="0"/>
          <w:szCs w:val="21"/>
          <w:highlight w:val="none"/>
          <w:lang w:val="zh-CN"/>
        </w:rPr>
      </w:pPr>
      <w:r>
        <w:rPr>
          <w:rFonts w:hint="eastAsia" w:ascii="仿宋" w:hAnsi="仿宋" w:eastAsia="仿宋" w:cs="仿宋"/>
          <w:color w:val="auto"/>
          <w:kern w:val="0"/>
          <w:szCs w:val="21"/>
          <w:highlight w:val="none"/>
        </w:rPr>
        <w:t>1、</w:t>
      </w:r>
      <w:r>
        <w:rPr>
          <w:rFonts w:hint="eastAsia" w:ascii="仿宋" w:hAnsi="仿宋" w:eastAsia="仿宋" w:cs="仿宋"/>
          <w:color w:val="auto"/>
          <w:kern w:val="0"/>
          <w:szCs w:val="21"/>
          <w:highlight w:val="none"/>
          <w:u w:val="single"/>
        </w:rPr>
        <w:t>（分包供应商X,……）提供的服务全部由小微企业承接，</w:t>
      </w:r>
      <w:r>
        <w:rPr>
          <w:rFonts w:hint="eastAsia" w:ascii="仿宋" w:hAnsi="仿宋" w:eastAsia="仿宋" w:cs="仿宋"/>
          <w:color w:val="auto"/>
          <w:kern w:val="0"/>
          <w:szCs w:val="21"/>
          <w:highlight w:val="none"/>
        </w:rPr>
        <w:t>其合同份额占到合同总金额%以上</w:t>
      </w:r>
      <w:r>
        <w:rPr>
          <w:rFonts w:hint="eastAsia" w:ascii="仿宋" w:hAnsi="仿宋" w:eastAsia="仿宋" w:cs="仿宋"/>
          <w:color w:val="auto"/>
          <w:szCs w:val="21"/>
          <w:highlight w:val="none"/>
        </w:rPr>
        <w:t>。</w:t>
      </w:r>
      <w:r>
        <w:rPr>
          <w:rFonts w:hint="eastAsia" w:ascii="仿宋" w:hAnsi="仿宋" w:eastAsia="仿宋" w:cs="仿宋"/>
          <w:b/>
          <w:color w:val="auto"/>
          <w:kern w:val="0"/>
          <w:szCs w:val="21"/>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Cs w:val="21"/>
          <w:highlight w:val="none"/>
        </w:rPr>
        <w:t>拟享受以上价格扣除政策的，填写有关内容。</w:t>
      </w:r>
      <w:r>
        <w:rPr>
          <w:rFonts w:hint="eastAsia" w:ascii="仿宋" w:hAnsi="仿宋" w:eastAsia="仿宋" w:cs="仿宋"/>
          <w:b/>
          <w:color w:val="auto"/>
          <w:kern w:val="0"/>
          <w:szCs w:val="21"/>
          <w:highlight w:val="none"/>
          <w:lang w:val="zh-CN"/>
        </w:rPr>
        <w:t>）</w:t>
      </w:r>
    </w:p>
    <w:p w14:paraId="4808A572">
      <w:pPr>
        <w:wordWrap w:val="0"/>
        <w:spacing w:line="312" w:lineRule="auto"/>
        <w:ind w:firstLine="420" w:firstLineChars="200"/>
        <w:rPr>
          <w:rFonts w:hint="eastAsia" w:ascii="仿宋" w:hAnsi="仿宋" w:eastAsia="仿宋" w:cs="仿宋"/>
          <w:b/>
          <w:bCs/>
          <w:color w:val="auto"/>
          <w:kern w:val="0"/>
          <w:szCs w:val="21"/>
          <w:highlight w:val="none"/>
          <w:lang w:val="zh-CN"/>
        </w:rPr>
      </w:pPr>
      <w:r>
        <w:rPr>
          <w:rFonts w:hint="eastAsia" w:ascii="仿宋" w:hAnsi="仿宋" w:eastAsia="仿宋" w:cs="仿宋"/>
          <w:color w:val="auto"/>
          <w:szCs w:val="21"/>
          <w:highlight w:val="none"/>
        </w:rPr>
        <w:t>2、中小企业合同金额达到%，小微企业合同金额达到%</w:t>
      </w:r>
      <w:r>
        <w:rPr>
          <w:rFonts w:hint="eastAsia" w:ascii="仿宋" w:hAnsi="仿宋" w:eastAsia="仿宋" w:cs="仿宋"/>
          <w:color w:val="auto"/>
          <w:kern w:val="0"/>
          <w:szCs w:val="21"/>
          <w:highlight w:val="none"/>
          <w:lang w:val="zh-CN"/>
        </w:rPr>
        <w:t>。</w:t>
      </w:r>
      <w:r>
        <w:rPr>
          <w:rFonts w:hint="eastAsia" w:ascii="仿宋" w:hAnsi="仿宋" w:eastAsia="仿宋" w:cs="仿宋"/>
          <w:b/>
          <w:bCs/>
          <w:color w:val="auto"/>
          <w:kern w:val="0"/>
          <w:szCs w:val="21"/>
          <w:highlight w:val="none"/>
          <w:lang w:val="zh-CN"/>
        </w:rPr>
        <w:t>（</w:t>
      </w:r>
      <w:r>
        <w:rPr>
          <w:rFonts w:hint="eastAsia" w:ascii="仿宋" w:hAnsi="仿宋" w:eastAsia="仿宋" w:cs="仿宋"/>
          <w:b/>
          <w:bCs/>
          <w:color w:val="auto"/>
          <w:szCs w:val="21"/>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Cs w:val="21"/>
          <w:highlight w:val="none"/>
          <w:lang w:val="zh-CN"/>
        </w:rPr>
        <w:t>分包意向协议</w:t>
      </w:r>
      <w:r>
        <w:rPr>
          <w:rFonts w:hint="eastAsia" w:ascii="仿宋" w:hAnsi="仿宋" w:eastAsia="仿宋" w:cs="仿宋"/>
          <w:b/>
          <w:bCs/>
          <w:color w:val="auto"/>
          <w:szCs w:val="21"/>
          <w:highlight w:val="none"/>
        </w:rPr>
        <w:t>中中小企业、小微企业合同金额应当达到的比例要求填写。</w:t>
      </w:r>
      <w:r>
        <w:rPr>
          <w:rFonts w:hint="eastAsia" w:ascii="仿宋" w:hAnsi="仿宋" w:eastAsia="仿宋" w:cs="仿宋"/>
          <w:b/>
          <w:bCs/>
          <w:color w:val="auto"/>
          <w:kern w:val="0"/>
          <w:szCs w:val="21"/>
          <w:highlight w:val="none"/>
          <w:lang w:val="zh-CN"/>
        </w:rPr>
        <w:t>）</w:t>
      </w:r>
    </w:p>
    <w:p w14:paraId="7D2AEE65">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三、分包工作履行期限、地点、方式</w:t>
      </w:r>
    </w:p>
    <w:p w14:paraId="389CC88A">
      <w:pPr>
        <w:wordWrap w:val="0"/>
        <w:snapToGrid w:val="0"/>
        <w:spacing w:line="312" w:lineRule="auto"/>
        <w:ind w:firstLine="420" w:firstLineChars="200"/>
        <w:rPr>
          <w:rFonts w:hint="eastAsia" w:ascii="仿宋" w:hAnsi="仿宋" w:eastAsia="仿宋" w:cs="仿宋"/>
          <w:color w:val="auto"/>
          <w:szCs w:val="21"/>
          <w:highlight w:val="none"/>
          <w:u w:val="single"/>
        </w:rPr>
      </w:pPr>
    </w:p>
    <w:p w14:paraId="46B06C35">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四、质量</w:t>
      </w:r>
    </w:p>
    <w:p w14:paraId="7B33D56F">
      <w:pPr>
        <w:wordWrap w:val="0"/>
        <w:snapToGrid w:val="0"/>
        <w:spacing w:line="312" w:lineRule="auto"/>
        <w:ind w:firstLine="420" w:firstLineChars="200"/>
        <w:rPr>
          <w:rFonts w:hint="eastAsia" w:ascii="仿宋" w:hAnsi="仿宋" w:eastAsia="仿宋" w:cs="仿宋"/>
          <w:color w:val="auto"/>
          <w:kern w:val="0"/>
          <w:szCs w:val="21"/>
          <w:highlight w:val="none"/>
          <w:lang w:val="zh-CN"/>
        </w:rPr>
      </w:pPr>
    </w:p>
    <w:p w14:paraId="5F8072F1">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五、价款或者报酬</w:t>
      </w:r>
    </w:p>
    <w:p w14:paraId="2D4B8024">
      <w:pPr>
        <w:wordWrap w:val="0"/>
        <w:snapToGrid w:val="0"/>
        <w:spacing w:line="312" w:lineRule="auto"/>
        <w:ind w:firstLine="420" w:firstLineChars="200"/>
        <w:rPr>
          <w:rFonts w:hint="eastAsia" w:ascii="仿宋" w:hAnsi="仿宋" w:eastAsia="仿宋" w:cs="仿宋"/>
          <w:color w:val="auto"/>
          <w:kern w:val="0"/>
          <w:szCs w:val="21"/>
          <w:highlight w:val="none"/>
          <w:lang w:val="zh-CN"/>
        </w:rPr>
      </w:pPr>
    </w:p>
    <w:p w14:paraId="4F81352C">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六、违约责任</w:t>
      </w:r>
    </w:p>
    <w:p w14:paraId="0783B2D6">
      <w:pPr>
        <w:wordWrap w:val="0"/>
        <w:snapToGrid w:val="0"/>
        <w:spacing w:line="312" w:lineRule="auto"/>
        <w:ind w:firstLine="420" w:firstLineChars="200"/>
        <w:rPr>
          <w:rFonts w:hint="eastAsia" w:ascii="仿宋" w:hAnsi="仿宋" w:eastAsia="仿宋" w:cs="仿宋"/>
          <w:color w:val="auto"/>
          <w:kern w:val="0"/>
          <w:szCs w:val="21"/>
          <w:highlight w:val="none"/>
          <w:lang w:val="zh-CN"/>
        </w:rPr>
      </w:pPr>
    </w:p>
    <w:p w14:paraId="602AFFE9">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七、争议解决的办法</w:t>
      </w:r>
    </w:p>
    <w:p w14:paraId="1040FD17">
      <w:pPr>
        <w:wordWrap w:val="0"/>
        <w:snapToGrid w:val="0"/>
        <w:spacing w:line="312" w:lineRule="auto"/>
        <w:ind w:firstLine="420" w:firstLineChars="200"/>
        <w:rPr>
          <w:rFonts w:hint="eastAsia" w:ascii="仿宋" w:hAnsi="仿宋" w:eastAsia="仿宋" w:cs="仿宋"/>
          <w:color w:val="auto"/>
          <w:kern w:val="0"/>
          <w:szCs w:val="21"/>
          <w:highlight w:val="none"/>
          <w:lang w:val="zh-CN"/>
        </w:rPr>
      </w:pPr>
    </w:p>
    <w:p w14:paraId="0375350F">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八、其他</w:t>
      </w:r>
    </w:p>
    <w:p w14:paraId="74510ABE">
      <w:pPr>
        <w:wordWrap w:val="0"/>
        <w:snapToGrid w:val="0"/>
        <w:spacing w:line="312" w:lineRule="auto"/>
        <w:ind w:firstLine="420" w:firstLineChars="200"/>
        <w:rPr>
          <w:rFonts w:hint="eastAsia" w:ascii="仿宋" w:hAnsi="仿宋" w:eastAsia="仿宋" w:cs="仿宋"/>
          <w:color w:val="auto"/>
          <w:kern w:val="0"/>
          <w:szCs w:val="21"/>
          <w:highlight w:val="none"/>
          <w:lang w:val="zh-CN"/>
        </w:rPr>
      </w:pPr>
      <w:r>
        <w:rPr>
          <w:rFonts w:hint="eastAsia" w:ascii="仿宋" w:hAnsi="仿宋" w:eastAsia="仿宋" w:cs="仿宋"/>
          <w:color w:val="auto"/>
          <w:szCs w:val="21"/>
          <w:highlight w:val="none"/>
        </w:rPr>
        <w:t>中小企业合同金额达到%，小微企业合同金额达到%</w:t>
      </w:r>
      <w:r>
        <w:rPr>
          <w:rFonts w:hint="eastAsia" w:ascii="仿宋" w:hAnsi="仿宋" w:eastAsia="仿宋" w:cs="仿宋"/>
          <w:color w:val="auto"/>
          <w:kern w:val="0"/>
          <w:szCs w:val="21"/>
          <w:highlight w:val="none"/>
          <w:lang w:val="zh-CN"/>
        </w:rPr>
        <w:t>。                                           投标人名称(电子签名)：</w:t>
      </w:r>
    </w:p>
    <w:p w14:paraId="54CC3BE3">
      <w:pPr>
        <w:snapToGrid w:val="0"/>
        <w:spacing w:line="312" w:lineRule="auto"/>
        <w:jc w:val="center"/>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分包供应商名称(电子签名/公章)：</w:t>
      </w:r>
    </w:p>
    <w:p w14:paraId="216B008F">
      <w:pPr>
        <w:snapToGrid w:val="0"/>
        <w:spacing w:line="312" w:lineRule="auto"/>
        <w:jc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lang w:val="zh-CN"/>
        </w:rPr>
        <w:t>……</w:t>
      </w:r>
    </w:p>
    <w:p w14:paraId="3DB347CD">
      <w:pPr>
        <w:snapToGrid w:val="0"/>
        <w:spacing w:line="312" w:lineRule="auto"/>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 xml:space="preserve">                                        日期：  年  月   日</w:t>
      </w:r>
    </w:p>
    <w:p w14:paraId="6DEBD0E6">
      <w:pPr>
        <w:spacing w:line="312" w:lineRule="auto"/>
        <w:rPr>
          <w:rFonts w:hint="eastAsia" w:ascii="仿宋" w:hAnsi="仿宋" w:eastAsia="仿宋" w:cs="仿宋"/>
          <w:b/>
          <w:bCs/>
          <w:color w:val="auto"/>
          <w:sz w:val="32"/>
          <w:szCs w:val="32"/>
          <w:highlight w:val="none"/>
        </w:rPr>
      </w:pPr>
      <w:r>
        <w:rPr>
          <w:rFonts w:hint="eastAsia" w:ascii="仿宋" w:hAnsi="仿宋" w:eastAsia="仿宋" w:cs="仿宋"/>
          <w:b/>
          <w:bCs/>
          <w:color w:val="auto"/>
          <w:szCs w:val="21"/>
          <w:highlight w:val="none"/>
        </w:rPr>
        <w:t>注：按本格式和要求提供。</w:t>
      </w:r>
    </w:p>
    <w:p w14:paraId="675B2936">
      <w:pPr>
        <w:spacing w:beforeLines="100" w:afterLines="100"/>
        <w:rPr>
          <w:rFonts w:hint="eastAsia" w:ascii="仿宋" w:hAnsi="仿宋" w:eastAsia="仿宋" w:cs="仿宋"/>
          <w:b/>
          <w:color w:val="auto"/>
          <w:sz w:val="32"/>
          <w:szCs w:val="32"/>
          <w:highlight w:val="none"/>
        </w:rPr>
        <w:sectPr>
          <w:pgSz w:w="11905" w:h="16838"/>
          <w:pgMar w:top="1327" w:right="1519" w:bottom="1327" w:left="1519" w:header="851" w:footer="992" w:gutter="0"/>
          <w:cols w:space="0" w:num="1"/>
          <w:docGrid w:type="lines" w:linePitch="319" w:charSpace="0"/>
        </w:sectPr>
      </w:pPr>
    </w:p>
    <w:p w14:paraId="3580539F">
      <w:pPr>
        <w:spacing w:beforeLines="100" w:afterLines="10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附件7：中小企业声明函:</w:t>
      </w:r>
    </w:p>
    <w:p w14:paraId="18EF37BC">
      <w:pPr>
        <w:spacing w:beforeLines="100" w:afterLines="10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中小企业声明函（工程、服务）</w:t>
      </w:r>
    </w:p>
    <w:p w14:paraId="029A4B12">
      <w:pPr>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本公司（联合体）郑重声明，根据《政府采购促进中小企业发展管理办法》（财库﹝2020﹞46号）的规定，本公司（联合体）参加</w:t>
      </w:r>
      <w:r>
        <w:rPr>
          <w:rFonts w:hint="eastAsia" w:ascii="仿宋" w:hAnsi="仿宋" w:eastAsia="仿宋" w:cs="仿宋"/>
          <w:color w:val="auto"/>
          <w:szCs w:val="21"/>
          <w:highlight w:val="none"/>
          <w:u w:val="single"/>
        </w:rPr>
        <w:t>（采购人）</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u w:val="single"/>
        </w:rPr>
        <w:t>（项目名称）</w:t>
      </w:r>
      <w:r>
        <w:rPr>
          <w:rFonts w:hint="eastAsia" w:ascii="仿宋" w:hAnsi="仿宋" w:eastAsia="仿宋" w:cs="仿宋"/>
          <w:color w:val="auto"/>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7E577E9">
      <w:pPr>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u w:val="single"/>
        </w:rPr>
        <w:t>（标的名称）</w:t>
      </w:r>
      <w:r>
        <w:rPr>
          <w:rFonts w:hint="eastAsia" w:ascii="仿宋" w:hAnsi="仿宋" w:eastAsia="仿宋" w:cs="仿宋"/>
          <w:color w:val="auto"/>
          <w:szCs w:val="21"/>
          <w:highlight w:val="none"/>
        </w:rPr>
        <w:t>，属于</w:t>
      </w:r>
      <w:r>
        <w:rPr>
          <w:rFonts w:hint="eastAsia" w:ascii="仿宋" w:hAnsi="仿宋" w:eastAsia="仿宋" w:cs="仿宋"/>
          <w:color w:val="auto"/>
          <w:szCs w:val="21"/>
          <w:highlight w:val="none"/>
          <w:u w:val="single"/>
        </w:rPr>
        <w:t>（采购文件中明确的所属行业）</w:t>
      </w:r>
      <w:r>
        <w:rPr>
          <w:rFonts w:hint="eastAsia" w:ascii="仿宋" w:hAnsi="仿宋" w:eastAsia="仿宋" w:cs="仿宋"/>
          <w:color w:val="auto"/>
          <w:szCs w:val="21"/>
          <w:highlight w:val="none"/>
        </w:rPr>
        <w:t xml:space="preserve">；承建（承接）企业为 </w:t>
      </w:r>
      <w:r>
        <w:rPr>
          <w:rFonts w:hint="eastAsia" w:ascii="仿宋" w:hAnsi="仿宋" w:eastAsia="仿宋" w:cs="仿宋"/>
          <w:color w:val="auto"/>
          <w:szCs w:val="21"/>
          <w:highlight w:val="none"/>
          <w:u w:val="single"/>
        </w:rPr>
        <w:t>（企业名称）</w:t>
      </w:r>
      <w:r>
        <w:rPr>
          <w:rFonts w:hint="eastAsia" w:ascii="仿宋" w:hAnsi="仿宋" w:eastAsia="仿宋" w:cs="仿宋"/>
          <w:color w:val="auto"/>
          <w:szCs w:val="21"/>
          <w:highlight w:val="none"/>
        </w:rPr>
        <w:t xml:space="preserve"> ，从业人员人，营业收入为万元，资产总额为万元属于</w:t>
      </w:r>
      <w:r>
        <w:rPr>
          <w:rFonts w:hint="eastAsia" w:ascii="仿宋" w:hAnsi="仿宋" w:eastAsia="仿宋" w:cs="仿宋"/>
          <w:color w:val="auto"/>
          <w:szCs w:val="21"/>
          <w:highlight w:val="none"/>
          <w:u w:val="single"/>
        </w:rPr>
        <w:t xml:space="preserve"> （中型企业、小型企业、微型企业） </w:t>
      </w:r>
      <w:r>
        <w:rPr>
          <w:rFonts w:hint="eastAsia" w:ascii="仿宋" w:hAnsi="仿宋" w:eastAsia="仿宋" w:cs="仿宋"/>
          <w:color w:val="auto"/>
          <w:szCs w:val="21"/>
          <w:highlight w:val="none"/>
        </w:rPr>
        <w:t>；</w:t>
      </w:r>
    </w:p>
    <w:p w14:paraId="18BE0A95">
      <w:pPr>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u w:val="single"/>
        </w:rPr>
        <w:t>（标的名称）</w:t>
      </w:r>
      <w:r>
        <w:rPr>
          <w:rFonts w:hint="eastAsia" w:ascii="仿宋" w:hAnsi="仿宋" w:eastAsia="仿宋" w:cs="仿宋"/>
          <w:color w:val="auto"/>
          <w:szCs w:val="21"/>
          <w:highlight w:val="none"/>
        </w:rPr>
        <w:t>，属于</w:t>
      </w:r>
      <w:r>
        <w:rPr>
          <w:rFonts w:hint="eastAsia" w:ascii="仿宋" w:hAnsi="仿宋" w:eastAsia="仿宋" w:cs="仿宋"/>
          <w:color w:val="auto"/>
          <w:szCs w:val="21"/>
          <w:highlight w:val="none"/>
          <w:u w:val="single"/>
        </w:rPr>
        <w:t>（采购文件中明确的所属行业）</w:t>
      </w:r>
      <w:r>
        <w:rPr>
          <w:rFonts w:hint="eastAsia" w:ascii="仿宋" w:hAnsi="仿宋" w:eastAsia="仿宋" w:cs="仿宋"/>
          <w:color w:val="auto"/>
          <w:szCs w:val="21"/>
          <w:highlight w:val="none"/>
        </w:rPr>
        <w:t xml:space="preserve">；承建（承接）企业为 </w:t>
      </w:r>
      <w:r>
        <w:rPr>
          <w:rFonts w:hint="eastAsia" w:ascii="仿宋" w:hAnsi="仿宋" w:eastAsia="仿宋" w:cs="仿宋"/>
          <w:color w:val="auto"/>
          <w:szCs w:val="21"/>
          <w:highlight w:val="none"/>
          <w:u w:val="single"/>
        </w:rPr>
        <w:t>（企业名称）</w:t>
      </w:r>
      <w:r>
        <w:rPr>
          <w:rFonts w:hint="eastAsia" w:ascii="仿宋" w:hAnsi="仿宋" w:eastAsia="仿宋" w:cs="仿宋"/>
          <w:color w:val="auto"/>
          <w:szCs w:val="21"/>
          <w:highlight w:val="none"/>
        </w:rPr>
        <w:t xml:space="preserve"> ，从业人员人，营业收入为万元，资产总额为万元属于</w:t>
      </w:r>
      <w:r>
        <w:rPr>
          <w:rFonts w:hint="eastAsia" w:ascii="仿宋" w:hAnsi="仿宋" w:eastAsia="仿宋" w:cs="仿宋"/>
          <w:color w:val="auto"/>
          <w:szCs w:val="21"/>
          <w:highlight w:val="none"/>
          <w:u w:val="single"/>
        </w:rPr>
        <w:t xml:space="preserve"> （中型企业、小型企业、微型企业） </w:t>
      </w:r>
      <w:r>
        <w:rPr>
          <w:rFonts w:hint="eastAsia" w:ascii="仿宋" w:hAnsi="仿宋" w:eastAsia="仿宋" w:cs="仿宋"/>
          <w:color w:val="auto"/>
          <w:szCs w:val="21"/>
          <w:highlight w:val="none"/>
        </w:rPr>
        <w:t>；</w:t>
      </w:r>
    </w:p>
    <w:p w14:paraId="6A7859AD">
      <w:pPr>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p>
    <w:p w14:paraId="29190F4F">
      <w:pPr>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以上企业，不属于大企业的分支机构，不存在控股股东为大企业的情形，也不存在与大企业的负责人为同一人的情形。</w:t>
      </w:r>
    </w:p>
    <w:p w14:paraId="53A9B0DA">
      <w:pPr>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本企业对上述声明内容的真实性负责。如有虚假，将依法承担相应责任。</w:t>
      </w:r>
    </w:p>
    <w:p w14:paraId="06709DA0">
      <w:pPr>
        <w:spacing w:line="360" w:lineRule="auto"/>
        <w:ind w:firstLine="420" w:firstLineChars="20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投标人名称（电子签名）：</w:t>
      </w:r>
    </w:p>
    <w:p w14:paraId="1702A8B4">
      <w:pPr>
        <w:spacing w:line="360" w:lineRule="auto"/>
        <w:ind w:firstLine="3360" w:firstLineChars="16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日期：</w:t>
      </w:r>
    </w:p>
    <w:p w14:paraId="446B5781">
      <w:pPr>
        <w:spacing w:line="360" w:lineRule="auto"/>
        <w:ind w:firstLine="422" w:firstLineChars="200"/>
        <w:jc w:val="left"/>
        <w:rPr>
          <w:rFonts w:hint="eastAsia" w:ascii="仿宋" w:hAnsi="仿宋" w:eastAsia="仿宋" w:cs="仿宋"/>
          <w:b/>
          <w:color w:val="auto"/>
          <w:szCs w:val="21"/>
          <w:highlight w:val="none"/>
        </w:rPr>
      </w:pPr>
    </w:p>
    <w:p w14:paraId="3963C5A3">
      <w:pPr>
        <w:spacing w:line="360" w:lineRule="auto"/>
        <w:ind w:firstLine="422" w:firstLineChars="200"/>
        <w:jc w:val="left"/>
        <w:rPr>
          <w:rFonts w:hint="eastAsia" w:ascii="仿宋" w:hAnsi="仿宋" w:eastAsia="仿宋" w:cs="仿宋"/>
          <w:b/>
          <w:color w:val="auto"/>
          <w:szCs w:val="21"/>
          <w:highlight w:val="none"/>
        </w:rPr>
      </w:pPr>
    </w:p>
    <w:p w14:paraId="33BBC948">
      <w:pPr>
        <w:spacing w:line="360" w:lineRule="auto"/>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从业人员、营业收入、资产总额填报上一年度数据，无上一年度数据的新成立企业可不填报。</w:t>
      </w:r>
    </w:p>
    <w:p w14:paraId="5F2FB200">
      <w:pPr>
        <w:spacing w:line="360" w:lineRule="auto"/>
        <w:ind w:firstLine="420" w:firstLineChars="200"/>
        <w:rPr>
          <w:rFonts w:hint="eastAsia" w:ascii="仿宋" w:hAnsi="仿宋" w:eastAsia="仿宋" w:cs="仿宋"/>
          <w:color w:val="auto"/>
          <w:szCs w:val="21"/>
          <w:highlight w:val="none"/>
        </w:rPr>
      </w:pPr>
    </w:p>
    <w:p w14:paraId="479000A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注：</w:t>
      </w:r>
    </w:p>
    <w:p w14:paraId="79B8BEFF">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11DB2EC">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267E348">
      <w:pPr>
        <w:spacing w:line="360" w:lineRule="auto"/>
        <w:ind w:right="420"/>
        <w:rPr>
          <w:rFonts w:hint="eastAsia" w:ascii="仿宋" w:hAnsi="仿宋" w:eastAsia="仿宋" w:cs="仿宋"/>
          <w:color w:val="auto"/>
          <w:highlight w:val="none"/>
        </w:rPr>
      </w:pPr>
    </w:p>
    <w:p w14:paraId="246D4B8B">
      <w:pPr>
        <w:spacing w:line="360" w:lineRule="auto"/>
        <w:rPr>
          <w:rFonts w:hint="eastAsia" w:ascii="仿宋" w:hAnsi="仿宋" w:eastAsia="仿宋" w:cs="仿宋"/>
          <w:bCs/>
          <w:color w:val="auto"/>
          <w:sz w:val="24"/>
          <w:highlight w:val="none"/>
        </w:rPr>
      </w:pPr>
    </w:p>
    <w:sectPr>
      <w:pgSz w:w="11905" w:h="16838"/>
      <w:pgMar w:top="1327" w:right="1519" w:bottom="1327" w:left="1519"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swiss"/>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6D8F4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3A654">
    <w:pPr>
      <w:pStyle w:val="41"/>
      <w:framePr w:wrap="around" w:vAnchor="text" w:hAnchor="margin" w:xAlign="right" w:y="1"/>
      <w:rPr>
        <w:rStyle w:val="75"/>
      </w:rPr>
    </w:pPr>
    <w:r>
      <w:fldChar w:fldCharType="begin"/>
    </w:r>
    <w:r>
      <w:rPr>
        <w:rStyle w:val="75"/>
      </w:rPr>
      <w:instrText xml:space="preserve">PAGE  </w:instrText>
    </w:r>
    <w:r>
      <w:fldChar w:fldCharType="end"/>
    </w:r>
  </w:p>
  <w:p w14:paraId="5AE6B3C0">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9316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68CF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12AD6DE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7C39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78CE8C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A2DA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749BB3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0EA61">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079183">
    <w:pPr>
      <w:pStyle w:val="41"/>
      <w:framePr w:wrap="around" w:vAnchor="text" w:hAnchor="margin" w:xAlign="right" w:y="1"/>
      <w:rPr>
        <w:rStyle w:val="75"/>
      </w:rPr>
    </w:pPr>
    <w:r>
      <w:fldChar w:fldCharType="begin"/>
    </w:r>
    <w:r>
      <w:rPr>
        <w:rStyle w:val="75"/>
      </w:rPr>
      <w:instrText xml:space="preserve">PAGE  </w:instrText>
    </w:r>
    <w:r>
      <w:fldChar w:fldCharType="end"/>
    </w:r>
  </w:p>
  <w:p w14:paraId="61BCABF0">
    <w:pPr>
      <w:pStyle w:val="41"/>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AA783">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0" w:name="_Toc36110187"/>
    <w:bookmarkStart w:id="521" w:name="_Toc164085800"/>
    <w:bookmarkStart w:id="522" w:name="_Toc91899912"/>
    <w:bookmarkStart w:id="523" w:name="_Toc131845147"/>
    <w:r>
      <w:rPr>
        <w:rFonts w:hint="eastAsia" w:ascii="仿宋_GB2312" w:eastAsia="仿宋_GB2312"/>
        <w:kern w:val="0"/>
        <w:szCs w:val="21"/>
      </w:rPr>
      <w:t xml:space="preserve"> 页</w:t>
    </w:r>
    <w:bookmarkEnd w:id="520"/>
    <w:bookmarkEnd w:id="521"/>
    <w:bookmarkEnd w:id="522"/>
    <w:bookmarkEnd w:id="52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8F66D">
    <w:pPr>
      <w:pStyle w:val="61"/>
      <w:pBdr>
        <w:bottom w:val="threeDEmboss" w:color="auto" w:sz="18" w:space="0"/>
      </w:pBdr>
      <w:tabs>
        <w:tab w:val="center" w:pos="4535"/>
        <w:tab w:val="right" w:pos="9070"/>
      </w:tabs>
      <w:jc w:val="right"/>
      <w:rPr>
        <w:rFonts w:hint="eastAsia" w:ascii="仿宋_GB2312" w:eastAsia="黑体"/>
        <w:b w:val="0"/>
        <w:i/>
        <w:sz w:val="18"/>
        <w:u w:val="single"/>
        <w:lang w:val="en-US" w:eastAsia="zh-CN"/>
      </w:rPr>
    </w:pPr>
    <w:r>
      <w:rPr>
        <w:rFonts w:hint="eastAsia" w:ascii="黑体" w:hAnsi="黑体" w:eastAsia="黑体" w:cs="黑体"/>
        <w:bCs/>
        <w:kern w:val="2"/>
        <w:sz w:val="18"/>
        <w:szCs w:val="18"/>
        <w:lang w:val="en-US"/>
      </w:rPr>
      <w:t xml:space="preserve">                             </w:t>
    </w:r>
    <w:r>
      <w:rPr>
        <w:rFonts w:hint="eastAsia" w:ascii="黑体" w:hAnsi="黑体" w:eastAsia="黑体" w:cs="黑体"/>
        <w:bCs/>
        <w:kern w:val="2"/>
        <w:sz w:val="18"/>
        <w:szCs w:val="18"/>
        <w:lang w:val="en-US" w:eastAsia="zh-CN"/>
      </w:rPr>
      <w:t>2025年秀洲区交通运输局交通大楼保安服务</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063DE1">
    <w:pPr>
      <w:pStyle w:val="43"/>
      <w:pBdr>
        <w:bottom w:val="threeDEmboss" w:color="auto" w:sz="18" w:space="0"/>
      </w:pBdr>
      <w:tabs>
        <w:tab w:val="center" w:pos="4535"/>
        <w:tab w:val="right" w:pos="9070"/>
        <w:tab w:val="clear" w:pos="4153"/>
        <w:tab w:val="clear" w:pos="8306"/>
      </w:tabs>
      <w:jc w:val="right"/>
      <w:rPr>
        <w:u w:val="none"/>
      </w:rPr>
    </w:pPr>
    <w:r>
      <w:rPr>
        <w:rFonts w:hint="eastAsia" w:ascii="黑体" w:hAnsi="黑体" w:eastAsia="黑体" w:cs="黑体"/>
        <w:b/>
        <w:bCs/>
        <w:u w:val="none"/>
      </w:rPr>
      <w:t xml:space="preserve">                                                  </w:t>
    </w:r>
    <w:r>
      <w:rPr>
        <w:rFonts w:hint="eastAsia" w:ascii="黑体" w:hAnsi="黑体" w:eastAsia="黑体" w:cs="黑体"/>
        <w:b/>
        <w:bCs/>
        <w:u w:val="none"/>
        <w:lang w:val="en-US" w:eastAsia="zh-CN"/>
      </w:rPr>
      <w:t>2025年秀洲区交通运输局交通大楼保安服务</w:t>
    </w:r>
    <w:r>
      <w:rPr>
        <w:u w:val="none"/>
      </w:rPr>
      <w:tab/>
    </w:r>
    <w:r>
      <w:rPr>
        <w:u w:val="none"/>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27645">
    <w:pPr>
      <w:pBdr>
        <w:bottom w:val="threeDEmboss" w:color="auto" w:sz="18" w:space="0"/>
      </w:pBdr>
      <w:rPr>
        <w:rFonts w:hint="eastAsia" w:ascii="仿宋_GB2312" w:eastAsia="黑体"/>
        <w:b/>
        <w:i/>
        <w:sz w:val="18"/>
        <w:u w:val="single"/>
        <w:lang w:eastAsia="zh-CN"/>
      </w:rPr>
    </w:pPr>
    <w:r>
      <w:rPr>
        <w:rFonts w:hint="eastAsia" w:ascii="黑体" w:hAnsi="黑体" w:eastAsia="黑体" w:cs="黑体"/>
        <w:b/>
        <w:bCs/>
        <w:sz w:val="18"/>
        <w:szCs w:val="18"/>
      </w:rPr>
      <w:t xml:space="preserve">                                                         </w:t>
    </w:r>
    <w:r>
      <w:rPr>
        <w:rFonts w:hint="eastAsia" w:ascii="黑体" w:hAnsi="黑体" w:eastAsia="黑体" w:cs="黑体"/>
        <w:b/>
        <w:bCs/>
        <w:sz w:val="18"/>
        <w:szCs w:val="18"/>
        <w:lang w:eastAsia="zh-CN"/>
      </w:rPr>
      <w:t>2025年秀洲区交通运输局交通大楼保安服务</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532D4">
    <w:pPr>
      <w:pStyle w:val="43"/>
      <w:pBdr>
        <w:bottom w:val="threeDEmboss" w:color="auto" w:sz="18" w:space="1"/>
      </w:pBdr>
      <w:jc w:val="right"/>
      <w:rPr>
        <w:rFonts w:hint="eastAsia" w:ascii="仿宋_GB2312" w:eastAsia="黑体"/>
        <w:b/>
        <w:i/>
        <w:u w:val="single"/>
        <w:lang w:eastAsia="zh-CN"/>
      </w:rPr>
    </w:pPr>
    <w:r>
      <w:rPr>
        <w:rFonts w:hint="eastAsia" w:ascii="黑体" w:hAnsi="黑体" w:eastAsia="黑体" w:cs="黑体"/>
        <w:b/>
        <w:bCs/>
        <w:lang w:val="en-US" w:eastAsia="zh-CN"/>
      </w:rPr>
      <w:t>2</w:t>
    </w:r>
    <w:r>
      <w:rPr>
        <w:rFonts w:hint="eastAsia" w:ascii="黑体" w:hAnsi="黑体" w:eastAsia="黑体" w:cs="黑体"/>
        <w:b/>
        <w:bCs/>
        <w:lang w:eastAsia="zh-CN"/>
      </w:rPr>
      <w:t>025年秀洲区交通运输局交通大楼保安服务</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27F4B">
    <w:pPr>
      <w:pStyle w:val="43"/>
      <w:pBdr>
        <w:bottom w:val="none" w:color="auto" w:sz="0" w:space="1"/>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EC660">
    <w:pPr>
      <w:pStyle w:val="43"/>
      <w:pBdr>
        <w:bottom w:val="threeDEmboss" w:color="auto" w:sz="18" w:space="1"/>
      </w:pBdr>
      <w:jc w:val="right"/>
      <w:rPr>
        <w:rFonts w:hint="eastAsia" w:ascii="仿宋_GB2312" w:eastAsia="黑体"/>
        <w:b/>
        <w:i/>
        <w:iCs/>
        <w:u w:val="single"/>
        <w:lang w:eastAsia="zh-CN"/>
      </w:rPr>
    </w:pPr>
    <w:r>
      <w:rPr>
        <w:rFonts w:hint="eastAsia" w:ascii="黑体" w:hAnsi="黑体" w:eastAsia="黑体" w:cs="黑体"/>
        <w:b/>
        <w:bCs/>
      </w:rPr>
      <w:t xml:space="preserve">                       </w:t>
    </w:r>
    <w:r>
      <w:rPr>
        <w:rFonts w:hint="eastAsia" w:ascii="黑体" w:hAnsi="黑体" w:eastAsia="黑体" w:cs="黑体"/>
        <w:b/>
        <w:bCs/>
        <w:lang w:eastAsia="zh-CN"/>
      </w:rPr>
      <w:t>2025年秀洲区交通运输局交通大楼保安服务</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6C3057">
    <w:pPr>
      <w:pStyle w:val="4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A23D07"/>
    <w:multiLevelType w:val="singleLevel"/>
    <w:tmpl w:val="39A23D07"/>
    <w:lvl w:ilvl="0" w:tentative="0">
      <w:start w:val="8"/>
      <w:numFmt w:val="decimal"/>
      <w:suff w:val="space"/>
      <w:lvlText w:val="%1."/>
      <w:lvlJc w:val="left"/>
    </w:lvl>
  </w:abstractNum>
  <w:abstractNum w:abstractNumId="1">
    <w:nsid w:val="5F781037"/>
    <w:multiLevelType w:val="singleLevel"/>
    <w:tmpl w:val="5F781037"/>
    <w:lvl w:ilvl="0" w:tentative="0">
      <w:start w:val="2"/>
      <w:numFmt w:val="decimal"/>
      <w:suff w:val="space"/>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hideSpellingErrors/>
  <w:documentProtection w:enforcement="0"/>
  <w:defaultTabStop w:val="420"/>
  <w:drawingGridHorizontalSpacing w:val="210"/>
  <w:drawingGridVerticalSpacing w:val="159"/>
  <w:displayVerticalDrawingGridEvery w:val="2"/>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4N2ZkNjVlYmExYzdkZWMwZTFkNmYxY2JiOTYyZG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1D29"/>
    <w:rsid w:val="0002207B"/>
    <w:rsid w:val="000232FD"/>
    <w:rsid w:val="00023323"/>
    <w:rsid w:val="000233E4"/>
    <w:rsid w:val="00023495"/>
    <w:rsid w:val="0002367D"/>
    <w:rsid w:val="00023777"/>
    <w:rsid w:val="00024130"/>
    <w:rsid w:val="00024584"/>
    <w:rsid w:val="00024962"/>
    <w:rsid w:val="000249AA"/>
    <w:rsid w:val="00024F94"/>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5AF"/>
    <w:rsid w:val="00034FA7"/>
    <w:rsid w:val="0003533D"/>
    <w:rsid w:val="000357E4"/>
    <w:rsid w:val="00035ACA"/>
    <w:rsid w:val="00040447"/>
    <w:rsid w:val="00040494"/>
    <w:rsid w:val="00040B70"/>
    <w:rsid w:val="00042441"/>
    <w:rsid w:val="00042533"/>
    <w:rsid w:val="00042DBB"/>
    <w:rsid w:val="00042E65"/>
    <w:rsid w:val="0004347C"/>
    <w:rsid w:val="00043907"/>
    <w:rsid w:val="00044C9E"/>
    <w:rsid w:val="00044F48"/>
    <w:rsid w:val="00045CE7"/>
    <w:rsid w:val="00047354"/>
    <w:rsid w:val="00050656"/>
    <w:rsid w:val="00050A19"/>
    <w:rsid w:val="000511B6"/>
    <w:rsid w:val="00051B00"/>
    <w:rsid w:val="00051C72"/>
    <w:rsid w:val="00052192"/>
    <w:rsid w:val="0005238F"/>
    <w:rsid w:val="00052787"/>
    <w:rsid w:val="00052BB8"/>
    <w:rsid w:val="00053732"/>
    <w:rsid w:val="00053806"/>
    <w:rsid w:val="0005417A"/>
    <w:rsid w:val="0005450A"/>
    <w:rsid w:val="00054D39"/>
    <w:rsid w:val="0005501B"/>
    <w:rsid w:val="000550F5"/>
    <w:rsid w:val="00055337"/>
    <w:rsid w:val="0005548F"/>
    <w:rsid w:val="000554C7"/>
    <w:rsid w:val="00056145"/>
    <w:rsid w:val="00056402"/>
    <w:rsid w:val="00056791"/>
    <w:rsid w:val="00056868"/>
    <w:rsid w:val="00056876"/>
    <w:rsid w:val="000568DF"/>
    <w:rsid w:val="00057087"/>
    <w:rsid w:val="000578A3"/>
    <w:rsid w:val="00057D4C"/>
    <w:rsid w:val="00060C48"/>
    <w:rsid w:val="00061A3C"/>
    <w:rsid w:val="00061C48"/>
    <w:rsid w:val="00064278"/>
    <w:rsid w:val="000646CA"/>
    <w:rsid w:val="000665C4"/>
    <w:rsid w:val="00067821"/>
    <w:rsid w:val="0006785E"/>
    <w:rsid w:val="00067DA9"/>
    <w:rsid w:val="00067F92"/>
    <w:rsid w:val="00067FA7"/>
    <w:rsid w:val="0007038E"/>
    <w:rsid w:val="00070701"/>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3C2"/>
    <w:rsid w:val="000A1A52"/>
    <w:rsid w:val="000A1F98"/>
    <w:rsid w:val="000A3D58"/>
    <w:rsid w:val="000A3FE3"/>
    <w:rsid w:val="000A47B0"/>
    <w:rsid w:val="000A4851"/>
    <w:rsid w:val="000A49BB"/>
    <w:rsid w:val="000A4F22"/>
    <w:rsid w:val="000A5674"/>
    <w:rsid w:val="000A5A46"/>
    <w:rsid w:val="000A7299"/>
    <w:rsid w:val="000A752E"/>
    <w:rsid w:val="000B0624"/>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0536"/>
    <w:rsid w:val="000D11E5"/>
    <w:rsid w:val="000D19E8"/>
    <w:rsid w:val="000D1FA1"/>
    <w:rsid w:val="000D2834"/>
    <w:rsid w:val="000D2CAC"/>
    <w:rsid w:val="000D34C8"/>
    <w:rsid w:val="000D34FD"/>
    <w:rsid w:val="000D39E2"/>
    <w:rsid w:val="000D3BE5"/>
    <w:rsid w:val="000D3C37"/>
    <w:rsid w:val="000D453A"/>
    <w:rsid w:val="000D4AFA"/>
    <w:rsid w:val="000D5EA6"/>
    <w:rsid w:val="000D5F00"/>
    <w:rsid w:val="000D6C9F"/>
    <w:rsid w:val="000D6E3B"/>
    <w:rsid w:val="000D6F30"/>
    <w:rsid w:val="000D74E4"/>
    <w:rsid w:val="000D7C9D"/>
    <w:rsid w:val="000D7CE0"/>
    <w:rsid w:val="000E07E7"/>
    <w:rsid w:val="000E19B2"/>
    <w:rsid w:val="000E2785"/>
    <w:rsid w:val="000E27BB"/>
    <w:rsid w:val="000E3153"/>
    <w:rsid w:val="000E3484"/>
    <w:rsid w:val="000E386F"/>
    <w:rsid w:val="000E4051"/>
    <w:rsid w:val="000E4139"/>
    <w:rsid w:val="000E4765"/>
    <w:rsid w:val="000E5B7E"/>
    <w:rsid w:val="000E5FF9"/>
    <w:rsid w:val="000E6AE1"/>
    <w:rsid w:val="000E6B69"/>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1C"/>
    <w:rsid w:val="000F4E67"/>
    <w:rsid w:val="000F505B"/>
    <w:rsid w:val="000F5677"/>
    <w:rsid w:val="000F5DDB"/>
    <w:rsid w:val="000F628E"/>
    <w:rsid w:val="000F68A0"/>
    <w:rsid w:val="000F6CC2"/>
    <w:rsid w:val="000F729C"/>
    <w:rsid w:val="000F7D4B"/>
    <w:rsid w:val="0010118C"/>
    <w:rsid w:val="001011C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BAD"/>
    <w:rsid w:val="00106E0E"/>
    <w:rsid w:val="001078A5"/>
    <w:rsid w:val="00107BBD"/>
    <w:rsid w:val="00107BC7"/>
    <w:rsid w:val="00110033"/>
    <w:rsid w:val="001102B5"/>
    <w:rsid w:val="0011052A"/>
    <w:rsid w:val="00110B86"/>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248"/>
    <w:rsid w:val="0012153F"/>
    <w:rsid w:val="0012159D"/>
    <w:rsid w:val="00121804"/>
    <w:rsid w:val="00121EC9"/>
    <w:rsid w:val="001224FE"/>
    <w:rsid w:val="001228EA"/>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716"/>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18D"/>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57DC8"/>
    <w:rsid w:val="00161185"/>
    <w:rsid w:val="001620BA"/>
    <w:rsid w:val="001623AC"/>
    <w:rsid w:val="00162956"/>
    <w:rsid w:val="00162BAA"/>
    <w:rsid w:val="00162DD5"/>
    <w:rsid w:val="00163C40"/>
    <w:rsid w:val="0016488B"/>
    <w:rsid w:val="00165758"/>
    <w:rsid w:val="00165A65"/>
    <w:rsid w:val="00166317"/>
    <w:rsid w:val="00166CC2"/>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3D00"/>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3AE5"/>
    <w:rsid w:val="001A473A"/>
    <w:rsid w:val="001A4ED9"/>
    <w:rsid w:val="001A5785"/>
    <w:rsid w:val="001A5FD7"/>
    <w:rsid w:val="001A66A6"/>
    <w:rsid w:val="001A6BAF"/>
    <w:rsid w:val="001A6BBB"/>
    <w:rsid w:val="001A79A2"/>
    <w:rsid w:val="001B06A6"/>
    <w:rsid w:val="001B13BF"/>
    <w:rsid w:val="001B16F5"/>
    <w:rsid w:val="001B1945"/>
    <w:rsid w:val="001B1C1F"/>
    <w:rsid w:val="001B219B"/>
    <w:rsid w:val="001B2703"/>
    <w:rsid w:val="001B285A"/>
    <w:rsid w:val="001B3DCD"/>
    <w:rsid w:val="001B45B9"/>
    <w:rsid w:val="001B46B2"/>
    <w:rsid w:val="001B4725"/>
    <w:rsid w:val="001B48B2"/>
    <w:rsid w:val="001B49DA"/>
    <w:rsid w:val="001B4CA8"/>
    <w:rsid w:val="001B56F2"/>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26B"/>
    <w:rsid w:val="001C3E45"/>
    <w:rsid w:val="001C6047"/>
    <w:rsid w:val="001C6698"/>
    <w:rsid w:val="001C6C5B"/>
    <w:rsid w:val="001C7399"/>
    <w:rsid w:val="001C7CE0"/>
    <w:rsid w:val="001D005B"/>
    <w:rsid w:val="001D0947"/>
    <w:rsid w:val="001D11A3"/>
    <w:rsid w:val="001D16F5"/>
    <w:rsid w:val="001D1970"/>
    <w:rsid w:val="001D1D55"/>
    <w:rsid w:val="001D21EF"/>
    <w:rsid w:val="001D29A4"/>
    <w:rsid w:val="001D2B73"/>
    <w:rsid w:val="001D3136"/>
    <w:rsid w:val="001D330D"/>
    <w:rsid w:val="001D3F15"/>
    <w:rsid w:val="001D4AB6"/>
    <w:rsid w:val="001D4AD3"/>
    <w:rsid w:val="001D517B"/>
    <w:rsid w:val="001D5281"/>
    <w:rsid w:val="001D6448"/>
    <w:rsid w:val="001E17E3"/>
    <w:rsid w:val="001E2052"/>
    <w:rsid w:val="001E22D8"/>
    <w:rsid w:val="001E22DE"/>
    <w:rsid w:val="001E2492"/>
    <w:rsid w:val="001E257C"/>
    <w:rsid w:val="001E286C"/>
    <w:rsid w:val="001E2E42"/>
    <w:rsid w:val="001E2F23"/>
    <w:rsid w:val="001E2F34"/>
    <w:rsid w:val="001E35EE"/>
    <w:rsid w:val="001E36B9"/>
    <w:rsid w:val="001E4B2C"/>
    <w:rsid w:val="001E507F"/>
    <w:rsid w:val="001E532A"/>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07F00"/>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6FEA"/>
    <w:rsid w:val="00217E1F"/>
    <w:rsid w:val="002204BC"/>
    <w:rsid w:val="00220966"/>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42B"/>
    <w:rsid w:val="00231B0B"/>
    <w:rsid w:val="00232171"/>
    <w:rsid w:val="00232555"/>
    <w:rsid w:val="00233538"/>
    <w:rsid w:val="00234248"/>
    <w:rsid w:val="0023449F"/>
    <w:rsid w:val="002344F5"/>
    <w:rsid w:val="0023454D"/>
    <w:rsid w:val="00234679"/>
    <w:rsid w:val="002356F8"/>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B76"/>
    <w:rsid w:val="002A4060"/>
    <w:rsid w:val="002A4868"/>
    <w:rsid w:val="002A4A05"/>
    <w:rsid w:val="002A4EB3"/>
    <w:rsid w:val="002A51D9"/>
    <w:rsid w:val="002A525A"/>
    <w:rsid w:val="002A5968"/>
    <w:rsid w:val="002A5CAB"/>
    <w:rsid w:val="002A5D40"/>
    <w:rsid w:val="002A5FCF"/>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550"/>
    <w:rsid w:val="002B51B6"/>
    <w:rsid w:val="002B5AEE"/>
    <w:rsid w:val="002B6177"/>
    <w:rsid w:val="002B650C"/>
    <w:rsid w:val="002B68E6"/>
    <w:rsid w:val="002B6985"/>
    <w:rsid w:val="002B6D7A"/>
    <w:rsid w:val="002B73A8"/>
    <w:rsid w:val="002C02BA"/>
    <w:rsid w:val="002C0301"/>
    <w:rsid w:val="002C0326"/>
    <w:rsid w:val="002C0392"/>
    <w:rsid w:val="002C0A9F"/>
    <w:rsid w:val="002C1AB3"/>
    <w:rsid w:val="002C1BB7"/>
    <w:rsid w:val="002C1FB3"/>
    <w:rsid w:val="002C2665"/>
    <w:rsid w:val="002C28E1"/>
    <w:rsid w:val="002C2EEB"/>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3DA8"/>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1EA8"/>
    <w:rsid w:val="002E201C"/>
    <w:rsid w:val="002E22CA"/>
    <w:rsid w:val="002E236F"/>
    <w:rsid w:val="002E306C"/>
    <w:rsid w:val="002E37C5"/>
    <w:rsid w:val="002E3956"/>
    <w:rsid w:val="002E3C08"/>
    <w:rsid w:val="002E3CF2"/>
    <w:rsid w:val="002E469E"/>
    <w:rsid w:val="002E4C01"/>
    <w:rsid w:val="002E4D50"/>
    <w:rsid w:val="002E55FF"/>
    <w:rsid w:val="002E587E"/>
    <w:rsid w:val="002E672A"/>
    <w:rsid w:val="002E6853"/>
    <w:rsid w:val="002E763C"/>
    <w:rsid w:val="002E7EC1"/>
    <w:rsid w:val="002E7EE5"/>
    <w:rsid w:val="002F0323"/>
    <w:rsid w:val="002F0DFB"/>
    <w:rsid w:val="002F134F"/>
    <w:rsid w:val="002F1D0B"/>
    <w:rsid w:val="002F1E1D"/>
    <w:rsid w:val="002F1F02"/>
    <w:rsid w:val="002F2736"/>
    <w:rsid w:val="002F27E5"/>
    <w:rsid w:val="002F2D81"/>
    <w:rsid w:val="002F2F66"/>
    <w:rsid w:val="002F39D4"/>
    <w:rsid w:val="002F4567"/>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8B3"/>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3F01"/>
    <w:rsid w:val="0031430C"/>
    <w:rsid w:val="00314919"/>
    <w:rsid w:val="00314C43"/>
    <w:rsid w:val="00314C5A"/>
    <w:rsid w:val="0031531A"/>
    <w:rsid w:val="00315394"/>
    <w:rsid w:val="00315D77"/>
    <w:rsid w:val="00315D8E"/>
    <w:rsid w:val="00316002"/>
    <w:rsid w:val="00316CDE"/>
    <w:rsid w:val="00316F93"/>
    <w:rsid w:val="0031752D"/>
    <w:rsid w:val="00317709"/>
    <w:rsid w:val="00320688"/>
    <w:rsid w:val="00320B75"/>
    <w:rsid w:val="00320D8E"/>
    <w:rsid w:val="0032190A"/>
    <w:rsid w:val="00321DB7"/>
    <w:rsid w:val="00321E7A"/>
    <w:rsid w:val="0032213A"/>
    <w:rsid w:val="0032226D"/>
    <w:rsid w:val="003235E6"/>
    <w:rsid w:val="003237BC"/>
    <w:rsid w:val="00324038"/>
    <w:rsid w:val="00324699"/>
    <w:rsid w:val="00324951"/>
    <w:rsid w:val="003249F6"/>
    <w:rsid w:val="00324B2F"/>
    <w:rsid w:val="00325FCC"/>
    <w:rsid w:val="00326106"/>
    <w:rsid w:val="00326805"/>
    <w:rsid w:val="003269B7"/>
    <w:rsid w:val="00326C0E"/>
    <w:rsid w:val="003272A3"/>
    <w:rsid w:val="003272E4"/>
    <w:rsid w:val="0032754D"/>
    <w:rsid w:val="00327B71"/>
    <w:rsid w:val="0033108B"/>
    <w:rsid w:val="00331461"/>
    <w:rsid w:val="003316A8"/>
    <w:rsid w:val="00331C80"/>
    <w:rsid w:val="00331CC9"/>
    <w:rsid w:val="003320D7"/>
    <w:rsid w:val="00332265"/>
    <w:rsid w:val="00332862"/>
    <w:rsid w:val="00332D52"/>
    <w:rsid w:val="00333337"/>
    <w:rsid w:val="00333A28"/>
    <w:rsid w:val="00333B6C"/>
    <w:rsid w:val="00334565"/>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12"/>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57A7D"/>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095"/>
    <w:rsid w:val="003703BB"/>
    <w:rsid w:val="003705EA"/>
    <w:rsid w:val="00370A56"/>
    <w:rsid w:val="00371213"/>
    <w:rsid w:val="00372842"/>
    <w:rsid w:val="003729A5"/>
    <w:rsid w:val="00372C89"/>
    <w:rsid w:val="00372E9A"/>
    <w:rsid w:val="003735B9"/>
    <w:rsid w:val="00373634"/>
    <w:rsid w:val="00373AB1"/>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74C"/>
    <w:rsid w:val="00385B16"/>
    <w:rsid w:val="00385B96"/>
    <w:rsid w:val="0038637D"/>
    <w:rsid w:val="003868F6"/>
    <w:rsid w:val="003869DC"/>
    <w:rsid w:val="00386C07"/>
    <w:rsid w:val="00386F58"/>
    <w:rsid w:val="0038700D"/>
    <w:rsid w:val="003879CE"/>
    <w:rsid w:val="00387B88"/>
    <w:rsid w:val="00387D37"/>
    <w:rsid w:val="00390B8F"/>
    <w:rsid w:val="00390C0D"/>
    <w:rsid w:val="0039130A"/>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76B"/>
    <w:rsid w:val="003A7E2B"/>
    <w:rsid w:val="003A7E40"/>
    <w:rsid w:val="003A7F19"/>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4E1C"/>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0A7"/>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5FC5"/>
    <w:rsid w:val="00406745"/>
    <w:rsid w:val="0040674B"/>
    <w:rsid w:val="00406B32"/>
    <w:rsid w:val="004074FA"/>
    <w:rsid w:val="00407A56"/>
    <w:rsid w:val="00407FCC"/>
    <w:rsid w:val="0041035A"/>
    <w:rsid w:val="004103C1"/>
    <w:rsid w:val="00410DEF"/>
    <w:rsid w:val="00410E76"/>
    <w:rsid w:val="004112D1"/>
    <w:rsid w:val="00411320"/>
    <w:rsid w:val="004113C9"/>
    <w:rsid w:val="00411D1E"/>
    <w:rsid w:val="00411DF2"/>
    <w:rsid w:val="004120DF"/>
    <w:rsid w:val="00412635"/>
    <w:rsid w:val="004126B5"/>
    <w:rsid w:val="00413865"/>
    <w:rsid w:val="00414909"/>
    <w:rsid w:val="00415034"/>
    <w:rsid w:val="00415B1A"/>
    <w:rsid w:val="00415B1B"/>
    <w:rsid w:val="00415DFD"/>
    <w:rsid w:val="00416208"/>
    <w:rsid w:val="0041690F"/>
    <w:rsid w:val="004169D3"/>
    <w:rsid w:val="00416C2B"/>
    <w:rsid w:val="00416D41"/>
    <w:rsid w:val="00416E47"/>
    <w:rsid w:val="00416E70"/>
    <w:rsid w:val="00417264"/>
    <w:rsid w:val="00420D46"/>
    <w:rsid w:val="004210C0"/>
    <w:rsid w:val="004211DD"/>
    <w:rsid w:val="00421762"/>
    <w:rsid w:val="00421D4B"/>
    <w:rsid w:val="00421E50"/>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0B7D"/>
    <w:rsid w:val="00431A2A"/>
    <w:rsid w:val="00432ECA"/>
    <w:rsid w:val="0043554E"/>
    <w:rsid w:val="004355D4"/>
    <w:rsid w:val="004357B1"/>
    <w:rsid w:val="00435821"/>
    <w:rsid w:val="0043583E"/>
    <w:rsid w:val="00436CCE"/>
    <w:rsid w:val="00436EAD"/>
    <w:rsid w:val="004375E1"/>
    <w:rsid w:val="00437A2F"/>
    <w:rsid w:val="00437BF8"/>
    <w:rsid w:val="00440262"/>
    <w:rsid w:val="004406BF"/>
    <w:rsid w:val="00440814"/>
    <w:rsid w:val="0044105D"/>
    <w:rsid w:val="00441424"/>
    <w:rsid w:val="00442421"/>
    <w:rsid w:val="00442731"/>
    <w:rsid w:val="00442C12"/>
    <w:rsid w:val="004434DF"/>
    <w:rsid w:val="0044354B"/>
    <w:rsid w:val="0044493E"/>
    <w:rsid w:val="00444A1F"/>
    <w:rsid w:val="00444FC6"/>
    <w:rsid w:val="00445874"/>
    <w:rsid w:val="00445C38"/>
    <w:rsid w:val="0044686B"/>
    <w:rsid w:val="004475F7"/>
    <w:rsid w:val="00447AE4"/>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154"/>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29C"/>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47B"/>
    <w:rsid w:val="00481D0B"/>
    <w:rsid w:val="004824A9"/>
    <w:rsid w:val="00483091"/>
    <w:rsid w:val="00483140"/>
    <w:rsid w:val="00483984"/>
    <w:rsid w:val="00483BC7"/>
    <w:rsid w:val="00483CF0"/>
    <w:rsid w:val="00484D4D"/>
    <w:rsid w:val="00486516"/>
    <w:rsid w:val="0048664F"/>
    <w:rsid w:val="004868AD"/>
    <w:rsid w:val="0048695F"/>
    <w:rsid w:val="00486D00"/>
    <w:rsid w:val="00487FE1"/>
    <w:rsid w:val="00490707"/>
    <w:rsid w:val="00490815"/>
    <w:rsid w:val="00490F38"/>
    <w:rsid w:val="0049117E"/>
    <w:rsid w:val="00492503"/>
    <w:rsid w:val="00492572"/>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099"/>
    <w:rsid w:val="004B2463"/>
    <w:rsid w:val="004B2B0A"/>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D39"/>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0DA"/>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EB"/>
    <w:rsid w:val="004E777F"/>
    <w:rsid w:val="004F07F2"/>
    <w:rsid w:val="004F07F9"/>
    <w:rsid w:val="004F0A50"/>
    <w:rsid w:val="004F0D1F"/>
    <w:rsid w:val="004F0E82"/>
    <w:rsid w:val="004F1120"/>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4F1F"/>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4416"/>
    <w:rsid w:val="005256D6"/>
    <w:rsid w:val="00525AD8"/>
    <w:rsid w:val="00525DD8"/>
    <w:rsid w:val="00526429"/>
    <w:rsid w:val="005266C1"/>
    <w:rsid w:val="005267F4"/>
    <w:rsid w:val="005269D3"/>
    <w:rsid w:val="00527317"/>
    <w:rsid w:val="00527ED6"/>
    <w:rsid w:val="0053024F"/>
    <w:rsid w:val="0053058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1F0F"/>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3FF"/>
    <w:rsid w:val="00547BA2"/>
    <w:rsid w:val="00550AC5"/>
    <w:rsid w:val="00550B7E"/>
    <w:rsid w:val="00551052"/>
    <w:rsid w:val="005524ED"/>
    <w:rsid w:val="0055396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C39"/>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6E0"/>
    <w:rsid w:val="0057200B"/>
    <w:rsid w:val="00572297"/>
    <w:rsid w:val="0057344A"/>
    <w:rsid w:val="0057345D"/>
    <w:rsid w:val="0057347D"/>
    <w:rsid w:val="00573560"/>
    <w:rsid w:val="00574549"/>
    <w:rsid w:val="00574B3F"/>
    <w:rsid w:val="00574E7B"/>
    <w:rsid w:val="00574F36"/>
    <w:rsid w:val="00575211"/>
    <w:rsid w:val="00576B5C"/>
    <w:rsid w:val="005770CC"/>
    <w:rsid w:val="005802F9"/>
    <w:rsid w:val="005806D5"/>
    <w:rsid w:val="00580DFC"/>
    <w:rsid w:val="00581113"/>
    <w:rsid w:val="0058134C"/>
    <w:rsid w:val="005815CD"/>
    <w:rsid w:val="005827A7"/>
    <w:rsid w:val="00583D43"/>
    <w:rsid w:val="005846C3"/>
    <w:rsid w:val="00584F04"/>
    <w:rsid w:val="0058544C"/>
    <w:rsid w:val="00585623"/>
    <w:rsid w:val="005857F7"/>
    <w:rsid w:val="00585A29"/>
    <w:rsid w:val="005865E9"/>
    <w:rsid w:val="005868FD"/>
    <w:rsid w:val="00587D7B"/>
    <w:rsid w:val="005904DB"/>
    <w:rsid w:val="005905ED"/>
    <w:rsid w:val="00590995"/>
    <w:rsid w:val="00590D11"/>
    <w:rsid w:val="00591BA6"/>
    <w:rsid w:val="00592825"/>
    <w:rsid w:val="0059376C"/>
    <w:rsid w:val="00594437"/>
    <w:rsid w:val="00594B70"/>
    <w:rsid w:val="00595290"/>
    <w:rsid w:val="00595CD5"/>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6F8"/>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028"/>
    <w:rsid w:val="005B58F7"/>
    <w:rsid w:val="005B5981"/>
    <w:rsid w:val="005B5994"/>
    <w:rsid w:val="005B6474"/>
    <w:rsid w:val="005B666D"/>
    <w:rsid w:val="005B667A"/>
    <w:rsid w:val="005B6865"/>
    <w:rsid w:val="005B7355"/>
    <w:rsid w:val="005C039B"/>
    <w:rsid w:val="005C059F"/>
    <w:rsid w:val="005C07CE"/>
    <w:rsid w:val="005C0B8F"/>
    <w:rsid w:val="005C1076"/>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BA0"/>
    <w:rsid w:val="005D01C3"/>
    <w:rsid w:val="005D05FF"/>
    <w:rsid w:val="005D0FB4"/>
    <w:rsid w:val="005D1176"/>
    <w:rsid w:val="005D1747"/>
    <w:rsid w:val="005D266D"/>
    <w:rsid w:val="005D306D"/>
    <w:rsid w:val="005D3327"/>
    <w:rsid w:val="005D3CBE"/>
    <w:rsid w:val="005D4854"/>
    <w:rsid w:val="005D5BCF"/>
    <w:rsid w:val="005D65BF"/>
    <w:rsid w:val="005D6CB0"/>
    <w:rsid w:val="005D6D84"/>
    <w:rsid w:val="005D70A1"/>
    <w:rsid w:val="005D7947"/>
    <w:rsid w:val="005D79F2"/>
    <w:rsid w:val="005D7CB1"/>
    <w:rsid w:val="005D7F57"/>
    <w:rsid w:val="005E0067"/>
    <w:rsid w:val="005E0141"/>
    <w:rsid w:val="005E09CA"/>
    <w:rsid w:val="005E1AB4"/>
    <w:rsid w:val="005E255B"/>
    <w:rsid w:val="005E2CF7"/>
    <w:rsid w:val="005E39D7"/>
    <w:rsid w:val="005E4543"/>
    <w:rsid w:val="005E4A1C"/>
    <w:rsid w:val="005E56C9"/>
    <w:rsid w:val="005E5CF7"/>
    <w:rsid w:val="005E5FF0"/>
    <w:rsid w:val="005E642A"/>
    <w:rsid w:val="005E65A7"/>
    <w:rsid w:val="005E6F0F"/>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0CC"/>
    <w:rsid w:val="00603373"/>
    <w:rsid w:val="006036D0"/>
    <w:rsid w:val="00603B1C"/>
    <w:rsid w:val="006042CD"/>
    <w:rsid w:val="00604BBE"/>
    <w:rsid w:val="00605217"/>
    <w:rsid w:val="006054A5"/>
    <w:rsid w:val="006059E4"/>
    <w:rsid w:val="00605D60"/>
    <w:rsid w:val="006062A0"/>
    <w:rsid w:val="00607015"/>
    <w:rsid w:val="0061098D"/>
    <w:rsid w:val="00610B78"/>
    <w:rsid w:val="00611290"/>
    <w:rsid w:val="0061146B"/>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26D"/>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2D4"/>
    <w:rsid w:val="00642C69"/>
    <w:rsid w:val="0064330A"/>
    <w:rsid w:val="00643E90"/>
    <w:rsid w:val="00643F89"/>
    <w:rsid w:val="00644334"/>
    <w:rsid w:val="0064487C"/>
    <w:rsid w:val="00644BED"/>
    <w:rsid w:val="00644E2E"/>
    <w:rsid w:val="006456C7"/>
    <w:rsid w:val="00645A3A"/>
    <w:rsid w:val="00645B87"/>
    <w:rsid w:val="00645CB4"/>
    <w:rsid w:val="00646084"/>
    <w:rsid w:val="006468ED"/>
    <w:rsid w:val="00647664"/>
    <w:rsid w:val="0064780A"/>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078"/>
    <w:rsid w:val="006576BA"/>
    <w:rsid w:val="006600BF"/>
    <w:rsid w:val="00660AF7"/>
    <w:rsid w:val="00660D3E"/>
    <w:rsid w:val="00661691"/>
    <w:rsid w:val="00662D3D"/>
    <w:rsid w:val="00662F1F"/>
    <w:rsid w:val="00663D15"/>
    <w:rsid w:val="0066466C"/>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A2E"/>
    <w:rsid w:val="00686E80"/>
    <w:rsid w:val="0068790B"/>
    <w:rsid w:val="00687AF2"/>
    <w:rsid w:val="00687C55"/>
    <w:rsid w:val="006901AC"/>
    <w:rsid w:val="00690C8D"/>
    <w:rsid w:val="00691890"/>
    <w:rsid w:val="00691AAD"/>
    <w:rsid w:val="00692416"/>
    <w:rsid w:val="00692AFF"/>
    <w:rsid w:val="00692D2D"/>
    <w:rsid w:val="00693B73"/>
    <w:rsid w:val="006945A1"/>
    <w:rsid w:val="00694A53"/>
    <w:rsid w:val="00694D60"/>
    <w:rsid w:val="006951C0"/>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92"/>
    <w:rsid w:val="006A0DC7"/>
    <w:rsid w:val="006A150D"/>
    <w:rsid w:val="006A1B00"/>
    <w:rsid w:val="006A2766"/>
    <w:rsid w:val="006A39D0"/>
    <w:rsid w:val="006A3E91"/>
    <w:rsid w:val="006A4321"/>
    <w:rsid w:val="006A4E20"/>
    <w:rsid w:val="006A4F11"/>
    <w:rsid w:val="006A563C"/>
    <w:rsid w:val="006A5797"/>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3E14"/>
    <w:rsid w:val="006B4CF8"/>
    <w:rsid w:val="006B506B"/>
    <w:rsid w:val="006B54E8"/>
    <w:rsid w:val="006B5FBC"/>
    <w:rsid w:val="006B6ED2"/>
    <w:rsid w:val="006B7F74"/>
    <w:rsid w:val="006C0230"/>
    <w:rsid w:val="006C05C7"/>
    <w:rsid w:val="006C0E4A"/>
    <w:rsid w:val="006C25AB"/>
    <w:rsid w:val="006C2DA6"/>
    <w:rsid w:val="006C3581"/>
    <w:rsid w:val="006C39A0"/>
    <w:rsid w:val="006C3D56"/>
    <w:rsid w:val="006C3EFE"/>
    <w:rsid w:val="006C46C7"/>
    <w:rsid w:val="006C4767"/>
    <w:rsid w:val="006C4A1A"/>
    <w:rsid w:val="006C4D02"/>
    <w:rsid w:val="006C53A4"/>
    <w:rsid w:val="006C54DF"/>
    <w:rsid w:val="006C5D5D"/>
    <w:rsid w:val="006C6171"/>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490"/>
    <w:rsid w:val="006E4667"/>
    <w:rsid w:val="006E46B7"/>
    <w:rsid w:val="006E475A"/>
    <w:rsid w:val="006E486D"/>
    <w:rsid w:val="006E4880"/>
    <w:rsid w:val="006E48BB"/>
    <w:rsid w:val="006E6E71"/>
    <w:rsid w:val="006E727B"/>
    <w:rsid w:val="006E76C8"/>
    <w:rsid w:val="006E7A92"/>
    <w:rsid w:val="006F01FF"/>
    <w:rsid w:val="006F0CB2"/>
    <w:rsid w:val="006F14EF"/>
    <w:rsid w:val="006F1DE9"/>
    <w:rsid w:val="006F2046"/>
    <w:rsid w:val="006F2C79"/>
    <w:rsid w:val="006F2F59"/>
    <w:rsid w:val="006F311E"/>
    <w:rsid w:val="006F3442"/>
    <w:rsid w:val="006F36A5"/>
    <w:rsid w:val="006F41F4"/>
    <w:rsid w:val="006F4576"/>
    <w:rsid w:val="006F5813"/>
    <w:rsid w:val="006F5873"/>
    <w:rsid w:val="006F59A8"/>
    <w:rsid w:val="006F5A1D"/>
    <w:rsid w:val="006F71A6"/>
    <w:rsid w:val="006F7974"/>
    <w:rsid w:val="006F7C2C"/>
    <w:rsid w:val="006F7FD5"/>
    <w:rsid w:val="0070018F"/>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A8A"/>
    <w:rsid w:val="00712BDD"/>
    <w:rsid w:val="00712E1E"/>
    <w:rsid w:val="00712F37"/>
    <w:rsid w:val="00713517"/>
    <w:rsid w:val="00713A6B"/>
    <w:rsid w:val="00713CB5"/>
    <w:rsid w:val="0071499C"/>
    <w:rsid w:val="00714F9D"/>
    <w:rsid w:val="007151FE"/>
    <w:rsid w:val="007154D8"/>
    <w:rsid w:val="00715577"/>
    <w:rsid w:val="0071604D"/>
    <w:rsid w:val="00716C67"/>
    <w:rsid w:val="007170AB"/>
    <w:rsid w:val="0071779C"/>
    <w:rsid w:val="00717808"/>
    <w:rsid w:val="007205DA"/>
    <w:rsid w:val="007208A7"/>
    <w:rsid w:val="00720B6A"/>
    <w:rsid w:val="007210F6"/>
    <w:rsid w:val="0072129A"/>
    <w:rsid w:val="0072139F"/>
    <w:rsid w:val="0072198A"/>
    <w:rsid w:val="00721AD9"/>
    <w:rsid w:val="00721FC3"/>
    <w:rsid w:val="00722072"/>
    <w:rsid w:val="00722A86"/>
    <w:rsid w:val="00722BC6"/>
    <w:rsid w:val="00722C69"/>
    <w:rsid w:val="0072311F"/>
    <w:rsid w:val="0072388C"/>
    <w:rsid w:val="0072454E"/>
    <w:rsid w:val="007249D1"/>
    <w:rsid w:val="00724FE4"/>
    <w:rsid w:val="00725829"/>
    <w:rsid w:val="00725D6A"/>
    <w:rsid w:val="007263A2"/>
    <w:rsid w:val="00726648"/>
    <w:rsid w:val="007266B9"/>
    <w:rsid w:val="00727351"/>
    <w:rsid w:val="00727AC5"/>
    <w:rsid w:val="00727C38"/>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136"/>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BC9"/>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C79"/>
    <w:rsid w:val="007660EC"/>
    <w:rsid w:val="007662C7"/>
    <w:rsid w:val="00766862"/>
    <w:rsid w:val="007675DD"/>
    <w:rsid w:val="007702BF"/>
    <w:rsid w:val="007705F0"/>
    <w:rsid w:val="00771C97"/>
    <w:rsid w:val="00771CAC"/>
    <w:rsid w:val="00772036"/>
    <w:rsid w:val="00773098"/>
    <w:rsid w:val="007739A3"/>
    <w:rsid w:val="00773BD9"/>
    <w:rsid w:val="00773CB0"/>
    <w:rsid w:val="00773D71"/>
    <w:rsid w:val="00775526"/>
    <w:rsid w:val="00775651"/>
    <w:rsid w:val="00775CBD"/>
    <w:rsid w:val="00775F3F"/>
    <w:rsid w:val="0077710B"/>
    <w:rsid w:val="00777198"/>
    <w:rsid w:val="0077765A"/>
    <w:rsid w:val="00780032"/>
    <w:rsid w:val="00780636"/>
    <w:rsid w:val="00780E86"/>
    <w:rsid w:val="0078108C"/>
    <w:rsid w:val="00781727"/>
    <w:rsid w:val="007823E8"/>
    <w:rsid w:val="00782CF3"/>
    <w:rsid w:val="00783959"/>
    <w:rsid w:val="00783BA5"/>
    <w:rsid w:val="007844A9"/>
    <w:rsid w:val="00784F28"/>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6C2E"/>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B57"/>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4E3D"/>
    <w:rsid w:val="007C60A8"/>
    <w:rsid w:val="007C660F"/>
    <w:rsid w:val="007C6664"/>
    <w:rsid w:val="007C66FF"/>
    <w:rsid w:val="007C69AE"/>
    <w:rsid w:val="007C6FE9"/>
    <w:rsid w:val="007C7688"/>
    <w:rsid w:val="007C76E3"/>
    <w:rsid w:val="007C76F3"/>
    <w:rsid w:val="007C7DD9"/>
    <w:rsid w:val="007D03BC"/>
    <w:rsid w:val="007D0DC9"/>
    <w:rsid w:val="007D0ECD"/>
    <w:rsid w:val="007D18D7"/>
    <w:rsid w:val="007D1CBC"/>
    <w:rsid w:val="007D2882"/>
    <w:rsid w:val="007D296C"/>
    <w:rsid w:val="007D2C31"/>
    <w:rsid w:val="007D2E50"/>
    <w:rsid w:val="007D3D74"/>
    <w:rsid w:val="007D445F"/>
    <w:rsid w:val="007D4DED"/>
    <w:rsid w:val="007D4EBC"/>
    <w:rsid w:val="007D57C3"/>
    <w:rsid w:val="007D5BA2"/>
    <w:rsid w:val="007D5ED3"/>
    <w:rsid w:val="007D682F"/>
    <w:rsid w:val="007D6FB9"/>
    <w:rsid w:val="007D7211"/>
    <w:rsid w:val="007E0395"/>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24C"/>
    <w:rsid w:val="007F4318"/>
    <w:rsid w:val="007F4709"/>
    <w:rsid w:val="007F47DA"/>
    <w:rsid w:val="007F4E52"/>
    <w:rsid w:val="007F4F84"/>
    <w:rsid w:val="007F5382"/>
    <w:rsid w:val="007F55A4"/>
    <w:rsid w:val="007F5D28"/>
    <w:rsid w:val="007F6260"/>
    <w:rsid w:val="007F682B"/>
    <w:rsid w:val="007F78E8"/>
    <w:rsid w:val="007F7F8F"/>
    <w:rsid w:val="008004EB"/>
    <w:rsid w:val="00800509"/>
    <w:rsid w:val="0080078E"/>
    <w:rsid w:val="00800B7F"/>
    <w:rsid w:val="008012B1"/>
    <w:rsid w:val="00801D63"/>
    <w:rsid w:val="00801DC9"/>
    <w:rsid w:val="008021E0"/>
    <w:rsid w:val="0080348B"/>
    <w:rsid w:val="00803D82"/>
    <w:rsid w:val="00803D98"/>
    <w:rsid w:val="00804A58"/>
    <w:rsid w:val="008052CE"/>
    <w:rsid w:val="008058D0"/>
    <w:rsid w:val="00806A4C"/>
    <w:rsid w:val="00806EFB"/>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72B2"/>
    <w:rsid w:val="00830052"/>
    <w:rsid w:val="008300D0"/>
    <w:rsid w:val="008308D8"/>
    <w:rsid w:val="0083097A"/>
    <w:rsid w:val="008320D2"/>
    <w:rsid w:val="008321CE"/>
    <w:rsid w:val="0083257C"/>
    <w:rsid w:val="0083261B"/>
    <w:rsid w:val="00832B44"/>
    <w:rsid w:val="00832EC9"/>
    <w:rsid w:val="00833307"/>
    <w:rsid w:val="00833583"/>
    <w:rsid w:val="00833B5B"/>
    <w:rsid w:val="00833E9A"/>
    <w:rsid w:val="00834FEF"/>
    <w:rsid w:val="00836323"/>
    <w:rsid w:val="00837420"/>
    <w:rsid w:val="00837BB1"/>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462"/>
    <w:rsid w:val="00852B21"/>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314"/>
    <w:rsid w:val="00861948"/>
    <w:rsid w:val="00862011"/>
    <w:rsid w:val="00862A15"/>
    <w:rsid w:val="00862CC9"/>
    <w:rsid w:val="00862D8E"/>
    <w:rsid w:val="00862EF2"/>
    <w:rsid w:val="0086310C"/>
    <w:rsid w:val="00863480"/>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2F1"/>
    <w:rsid w:val="0087677E"/>
    <w:rsid w:val="0087712C"/>
    <w:rsid w:val="008776E7"/>
    <w:rsid w:val="00877746"/>
    <w:rsid w:val="00877C5D"/>
    <w:rsid w:val="00880354"/>
    <w:rsid w:val="0088093C"/>
    <w:rsid w:val="00880BC0"/>
    <w:rsid w:val="0088127A"/>
    <w:rsid w:val="0088142B"/>
    <w:rsid w:val="00881B02"/>
    <w:rsid w:val="00881D59"/>
    <w:rsid w:val="00882991"/>
    <w:rsid w:val="00882D57"/>
    <w:rsid w:val="00882EC1"/>
    <w:rsid w:val="0088324E"/>
    <w:rsid w:val="0088434F"/>
    <w:rsid w:val="00884371"/>
    <w:rsid w:val="008848E2"/>
    <w:rsid w:val="00884B7A"/>
    <w:rsid w:val="00884D47"/>
    <w:rsid w:val="008856C5"/>
    <w:rsid w:val="00885BCB"/>
    <w:rsid w:val="00886112"/>
    <w:rsid w:val="008872B3"/>
    <w:rsid w:val="00887392"/>
    <w:rsid w:val="00890392"/>
    <w:rsid w:val="00890A64"/>
    <w:rsid w:val="00890C40"/>
    <w:rsid w:val="0089122E"/>
    <w:rsid w:val="008912A7"/>
    <w:rsid w:val="0089183A"/>
    <w:rsid w:val="008920B4"/>
    <w:rsid w:val="008925EB"/>
    <w:rsid w:val="0089275E"/>
    <w:rsid w:val="00892B43"/>
    <w:rsid w:val="00893432"/>
    <w:rsid w:val="00893936"/>
    <w:rsid w:val="00893CE2"/>
    <w:rsid w:val="00893F41"/>
    <w:rsid w:val="00894393"/>
    <w:rsid w:val="00895144"/>
    <w:rsid w:val="00895963"/>
    <w:rsid w:val="008972B6"/>
    <w:rsid w:val="00897339"/>
    <w:rsid w:val="00897697"/>
    <w:rsid w:val="008977E1"/>
    <w:rsid w:val="00897BFA"/>
    <w:rsid w:val="00897D19"/>
    <w:rsid w:val="008A0044"/>
    <w:rsid w:val="008A0BFE"/>
    <w:rsid w:val="008A1932"/>
    <w:rsid w:val="008A1BE9"/>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0B83"/>
    <w:rsid w:val="008B111A"/>
    <w:rsid w:val="008B1463"/>
    <w:rsid w:val="008B16E6"/>
    <w:rsid w:val="008B1AB2"/>
    <w:rsid w:val="008B1D9B"/>
    <w:rsid w:val="008B2042"/>
    <w:rsid w:val="008B25F1"/>
    <w:rsid w:val="008B3567"/>
    <w:rsid w:val="008B36D0"/>
    <w:rsid w:val="008B38AF"/>
    <w:rsid w:val="008B3D7F"/>
    <w:rsid w:val="008B3E1B"/>
    <w:rsid w:val="008B3F4B"/>
    <w:rsid w:val="008B48EC"/>
    <w:rsid w:val="008B4AF0"/>
    <w:rsid w:val="008B4F74"/>
    <w:rsid w:val="008B518E"/>
    <w:rsid w:val="008B527B"/>
    <w:rsid w:val="008B5AB9"/>
    <w:rsid w:val="008B625E"/>
    <w:rsid w:val="008B646F"/>
    <w:rsid w:val="008B67E6"/>
    <w:rsid w:val="008B69B8"/>
    <w:rsid w:val="008B7042"/>
    <w:rsid w:val="008B770C"/>
    <w:rsid w:val="008C0325"/>
    <w:rsid w:val="008C094A"/>
    <w:rsid w:val="008C13A0"/>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523"/>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27A"/>
    <w:rsid w:val="008D7247"/>
    <w:rsid w:val="008D7567"/>
    <w:rsid w:val="008E0EE4"/>
    <w:rsid w:val="008E12BE"/>
    <w:rsid w:val="008E13FD"/>
    <w:rsid w:val="008E1C24"/>
    <w:rsid w:val="008E2626"/>
    <w:rsid w:val="008E27A9"/>
    <w:rsid w:val="008E323C"/>
    <w:rsid w:val="008E32CE"/>
    <w:rsid w:val="008E32E0"/>
    <w:rsid w:val="008E35A6"/>
    <w:rsid w:val="008E36D9"/>
    <w:rsid w:val="008E3A5C"/>
    <w:rsid w:val="008E3A9A"/>
    <w:rsid w:val="008E429E"/>
    <w:rsid w:val="008E58A3"/>
    <w:rsid w:val="008E5938"/>
    <w:rsid w:val="008E6109"/>
    <w:rsid w:val="008E6A39"/>
    <w:rsid w:val="008E76BB"/>
    <w:rsid w:val="008F1764"/>
    <w:rsid w:val="008F184E"/>
    <w:rsid w:val="008F1E3D"/>
    <w:rsid w:val="008F235C"/>
    <w:rsid w:val="008F290B"/>
    <w:rsid w:val="008F2F11"/>
    <w:rsid w:val="008F3369"/>
    <w:rsid w:val="008F33A6"/>
    <w:rsid w:val="008F35EC"/>
    <w:rsid w:val="008F4FE8"/>
    <w:rsid w:val="008F4FED"/>
    <w:rsid w:val="008F5B47"/>
    <w:rsid w:val="008F5D5A"/>
    <w:rsid w:val="008F6200"/>
    <w:rsid w:val="008F62F8"/>
    <w:rsid w:val="008F6893"/>
    <w:rsid w:val="008F7292"/>
    <w:rsid w:val="008F76C0"/>
    <w:rsid w:val="009000F2"/>
    <w:rsid w:val="0090079D"/>
    <w:rsid w:val="0090086A"/>
    <w:rsid w:val="00900D2C"/>
    <w:rsid w:val="00901807"/>
    <w:rsid w:val="00901F0E"/>
    <w:rsid w:val="00901F9F"/>
    <w:rsid w:val="00902A26"/>
    <w:rsid w:val="00902A57"/>
    <w:rsid w:val="00902B29"/>
    <w:rsid w:val="00903C83"/>
    <w:rsid w:val="00903D77"/>
    <w:rsid w:val="0090408F"/>
    <w:rsid w:val="0090446A"/>
    <w:rsid w:val="00904537"/>
    <w:rsid w:val="00904DC3"/>
    <w:rsid w:val="0090534A"/>
    <w:rsid w:val="00905469"/>
    <w:rsid w:val="00905995"/>
    <w:rsid w:val="00905C5F"/>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29E4"/>
    <w:rsid w:val="00923643"/>
    <w:rsid w:val="00923E1A"/>
    <w:rsid w:val="009245CC"/>
    <w:rsid w:val="0092490A"/>
    <w:rsid w:val="00925A3E"/>
    <w:rsid w:val="009261DB"/>
    <w:rsid w:val="00926939"/>
    <w:rsid w:val="00926F4C"/>
    <w:rsid w:val="00927330"/>
    <w:rsid w:val="00927710"/>
    <w:rsid w:val="009307CA"/>
    <w:rsid w:val="009312F9"/>
    <w:rsid w:val="00931445"/>
    <w:rsid w:val="009315B3"/>
    <w:rsid w:val="00931AB8"/>
    <w:rsid w:val="00931C19"/>
    <w:rsid w:val="00931C63"/>
    <w:rsid w:val="00931D10"/>
    <w:rsid w:val="00931F66"/>
    <w:rsid w:val="0093218A"/>
    <w:rsid w:val="0093386D"/>
    <w:rsid w:val="00934C8E"/>
    <w:rsid w:val="00935194"/>
    <w:rsid w:val="00936EA5"/>
    <w:rsid w:val="00937114"/>
    <w:rsid w:val="0094015D"/>
    <w:rsid w:val="00940916"/>
    <w:rsid w:val="009412B7"/>
    <w:rsid w:val="00941B13"/>
    <w:rsid w:val="0094215C"/>
    <w:rsid w:val="00942F8E"/>
    <w:rsid w:val="00943543"/>
    <w:rsid w:val="0094385E"/>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3F1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3B81"/>
    <w:rsid w:val="00964007"/>
    <w:rsid w:val="00964283"/>
    <w:rsid w:val="009642A4"/>
    <w:rsid w:val="009643F4"/>
    <w:rsid w:val="009645A6"/>
    <w:rsid w:val="00964F5A"/>
    <w:rsid w:val="0096527F"/>
    <w:rsid w:val="009653ED"/>
    <w:rsid w:val="00966A21"/>
    <w:rsid w:val="00966AD2"/>
    <w:rsid w:val="0096735D"/>
    <w:rsid w:val="00967A86"/>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8D"/>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BC6"/>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2F71"/>
    <w:rsid w:val="009A347C"/>
    <w:rsid w:val="009A3688"/>
    <w:rsid w:val="009A3713"/>
    <w:rsid w:val="009A3C3E"/>
    <w:rsid w:val="009A4153"/>
    <w:rsid w:val="009A4C2C"/>
    <w:rsid w:val="009A59B3"/>
    <w:rsid w:val="009A5FAE"/>
    <w:rsid w:val="009A6B3A"/>
    <w:rsid w:val="009A70A3"/>
    <w:rsid w:val="009A7E7C"/>
    <w:rsid w:val="009B05D2"/>
    <w:rsid w:val="009B152B"/>
    <w:rsid w:val="009B2731"/>
    <w:rsid w:val="009B2BC0"/>
    <w:rsid w:val="009B2DCF"/>
    <w:rsid w:val="009B39D8"/>
    <w:rsid w:val="009B3D38"/>
    <w:rsid w:val="009B4368"/>
    <w:rsid w:val="009B4D4C"/>
    <w:rsid w:val="009B66F5"/>
    <w:rsid w:val="009B7505"/>
    <w:rsid w:val="009C0020"/>
    <w:rsid w:val="009C01F2"/>
    <w:rsid w:val="009C03F7"/>
    <w:rsid w:val="009C10DA"/>
    <w:rsid w:val="009C19FC"/>
    <w:rsid w:val="009C2269"/>
    <w:rsid w:val="009C27F7"/>
    <w:rsid w:val="009C3BC4"/>
    <w:rsid w:val="009C3C93"/>
    <w:rsid w:val="009C3E97"/>
    <w:rsid w:val="009C4017"/>
    <w:rsid w:val="009C424E"/>
    <w:rsid w:val="009C4708"/>
    <w:rsid w:val="009C4870"/>
    <w:rsid w:val="009C4C4E"/>
    <w:rsid w:val="009C4D37"/>
    <w:rsid w:val="009C545B"/>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B3"/>
    <w:rsid w:val="009E3DF1"/>
    <w:rsid w:val="009E3F88"/>
    <w:rsid w:val="009E3FB3"/>
    <w:rsid w:val="009E514A"/>
    <w:rsid w:val="009E5177"/>
    <w:rsid w:val="009E51C9"/>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D1E"/>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5400"/>
    <w:rsid w:val="00A06BAC"/>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15"/>
    <w:rsid w:val="00A21169"/>
    <w:rsid w:val="00A21838"/>
    <w:rsid w:val="00A2223C"/>
    <w:rsid w:val="00A22C3E"/>
    <w:rsid w:val="00A22C4D"/>
    <w:rsid w:val="00A2334E"/>
    <w:rsid w:val="00A23442"/>
    <w:rsid w:val="00A249D2"/>
    <w:rsid w:val="00A24EC2"/>
    <w:rsid w:val="00A254AB"/>
    <w:rsid w:val="00A259F2"/>
    <w:rsid w:val="00A266CC"/>
    <w:rsid w:val="00A26DB4"/>
    <w:rsid w:val="00A27176"/>
    <w:rsid w:val="00A27425"/>
    <w:rsid w:val="00A3023E"/>
    <w:rsid w:val="00A305C5"/>
    <w:rsid w:val="00A30919"/>
    <w:rsid w:val="00A31F05"/>
    <w:rsid w:val="00A31FD2"/>
    <w:rsid w:val="00A3404D"/>
    <w:rsid w:val="00A341AB"/>
    <w:rsid w:val="00A34290"/>
    <w:rsid w:val="00A355F9"/>
    <w:rsid w:val="00A357D3"/>
    <w:rsid w:val="00A35AA9"/>
    <w:rsid w:val="00A35F3C"/>
    <w:rsid w:val="00A35F44"/>
    <w:rsid w:val="00A36CF6"/>
    <w:rsid w:val="00A37309"/>
    <w:rsid w:val="00A37329"/>
    <w:rsid w:val="00A37558"/>
    <w:rsid w:val="00A3786A"/>
    <w:rsid w:val="00A4008C"/>
    <w:rsid w:val="00A402A8"/>
    <w:rsid w:val="00A40685"/>
    <w:rsid w:val="00A408D4"/>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2EB"/>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33A"/>
    <w:rsid w:val="00A70590"/>
    <w:rsid w:val="00A7062E"/>
    <w:rsid w:val="00A70834"/>
    <w:rsid w:val="00A70DD9"/>
    <w:rsid w:val="00A71542"/>
    <w:rsid w:val="00A7171F"/>
    <w:rsid w:val="00A71FA0"/>
    <w:rsid w:val="00A71FBD"/>
    <w:rsid w:val="00A72727"/>
    <w:rsid w:val="00A727D8"/>
    <w:rsid w:val="00A72C1A"/>
    <w:rsid w:val="00A732FB"/>
    <w:rsid w:val="00A73C77"/>
    <w:rsid w:val="00A7463E"/>
    <w:rsid w:val="00A758E2"/>
    <w:rsid w:val="00A765B1"/>
    <w:rsid w:val="00A772F2"/>
    <w:rsid w:val="00A77828"/>
    <w:rsid w:val="00A77BAA"/>
    <w:rsid w:val="00A800F9"/>
    <w:rsid w:val="00A803A6"/>
    <w:rsid w:val="00A8073D"/>
    <w:rsid w:val="00A807A0"/>
    <w:rsid w:val="00A80D02"/>
    <w:rsid w:val="00A815FB"/>
    <w:rsid w:val="00A818BD"/>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2E"/>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3C57"/>
    <w:rsid w:val="00AB408C"/>
    <w:rsid w:val="00AB43AF"/>
    <w:rsid w:val="00AB4E41"/>
    <w:rsid w:val="00AB5EB1"/>
    <w:rsid w:val="00AB6003"/>
    <w:rsid w:val="00AB759A"/>
    <w:rsid w:val="00AB7B06"/>
    <w:rsid w:val="00AB7EAA"/>
    <w:rsid w:val="00AC0432"/>
    <w:rsid w:val="00AC0770"/>
    <w:rsid w:val="00AC1683"/>
    <w:rsid w:val="00AC1D82"/>
    <w:rsid w:val="00AC2D5F"/>
    <w:rsid w:val="00AC3424"/>
    <w:rsid w:val="00AC4094"/>
    <w:rsid w:val="00AC42B6"/>
    <w:rsid w:val="00AC4AB7"/>
    <w:rsid w:val="00AC51E0"/>
    <w:rsid w:val="00AC5677"/>
    <w:rsid w:val="00AC6D24"/>
    <w:rsid w:val="00AC6D76"/>
    <w:rsid w:val="00AC6E18"/>
    <w:rsid w:val="00AC7F64"/>
    <w:rsid w:val="00AD1065"/>
    <w:rsid w:val="00AD159E"/>
    <w:rsid w:val="00AD2AB1"/>
    <w:rsid w:val="00AD3132"/>
    <w:rsid w:val="00AD3DA6"/>
    <w:rsid w:val="00AD3F3C"/>
    <w:rsid w:val="00AD447E"/>
    <w:rsid w:val="00AD44D3"/>
    <w:rsid w:val="00AD4B2F"/>
    <w:rsid w:val="00AD5F0A"/>
    <w:rsid w:val="00AD6A5B"/>
    <w:rsid w:val="00AD6B4F"/>
    <w:rsid w:val="00AD6D19"/>
    <w:rsid w:val="00AD74E9"/>
    <w:rsid w:val="00AD7812"/>
    <w:rsid w:val="00AD7C42"/>
    <w:rsid w:val="00AD7CFA"/>
    <w:rsid w:val="00AE06B0"/>
    <w:rsid w:val="00AE0BD6"/>
    <w:rsid w:val="00AE11C1"/>
    <w:rsid w:val="00AE163D"/>
    <w:rsid w:val="00AE17F0"/>
    <w:rsid w:val="00AE1A42"/>
    <w:rsid w:val="00AE1C5C"/>
    <w:rsid w:val="00AE315E"/>
    <w:rsid w:val="00AE319F"/>
    <w:rsid w:val="00AE31D9"/>
    <w:rsid w:val="00AE3CF0"/>
    <w:rsid w:val="00AE4546"/>
    <w:rsid w:val="00AE62B4"/>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21B"/>
    <w:rsid w:val="00AF7389"/>
    <w:rsid w:val="00AF79DF"/>
    <w:rsid w:val="00AF7C37"/>
    <w:rsid w:val="00B00378"/>
    <w:rsid w:val="00B0084B"/>
    <w:rsid w:val="00B00D91"/>
    <w:rsid w:val="00B00E84"/>
    <w:rsid w:val="00B01DD9"/>
    <w:rsid w:val="00B01F0E"/>
    <w:rsid w:val="00B038F1"/>
    <w:rsid w:val="00B03C1B"/>
    <w:rsid w:val="00B04678"/>
    <w:rsid w:val="00B047C9"/>
    <w:rsid w:val="00B04A04"/>
    <w:rsid w:val="00B04B78"/>
    <w:rsid w:val="00B04C37"/>
    <w:rsid w:val="00B04F00"/>
    <w:rsid w:val="00B05BA6"/>
    <w:rsid w:val="00B066BD"/>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F16"/>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2FF"/>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D65"/>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7F5"/>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09D6"/>
    <w:rsid w:val="00B81274"/>
    <w:rsid w:val="00B815D3"/>
    <w:rsid w:val="00B81742"/>
    <w:rsid w:val="00B817B5"/>
    <w:rsid w:val="00B823A6"/>
    <w:rsid w:val="00B83E76"/>
    <w:rsid w:val="00B83FA0"/>
    <w:rsid w:val="00B84156"/>
    <w:rsid w:val="00B846E6"/>
    <w:rsid w:val="00B8537B"/>
    <w:rsid w:val="00B85586"/>
    <w:rsid w:val="00B859C3"/>
    <w:rsid w:val="00B8614C"/>
    <w:rsid w:val="00B86289"/>
    <w:rsid w:val="00B863B3"/>
    <w:rsid w:val="00B869D3"/>
    <w:rsid w:val="00B86CF8"/>
    <w:rsid w:val="00B86E44"/>
    <w:rsid w:val="00B87359"/>
    <w:rsid w:val="00B87F1C"/>
    <w:rsid w:val="00B90D8D"/>
    <w:rsid w:val="00B91263"/>
    <w:rsid w:val="00B91B61"/>
    <w:rsid w:val="00B93849"/>
    <w:rsid w:val="00B938BD"/>
    <w:rsid w:val="00B93CF3"/>
    <w:rsid w:val="00B93DF1"/>
    <w:rsid w:val="00B9407F"/>
    <w:rsid w:val="00B944E9"/>
    <w:rsid w:val="00B945D7"/>
    <w:rsid w:val="00B94896"/>
    <w:rsid w:val="00B94CDD"/>
    <w:rsid w:val="00B94DA7"/>
    <w:rsid w:val="00B95163"/>
    <w:rsid w:val="00B954D0"/>
    <w:rsid w:val="00B9652A"/>
    <w:rsid w:val="00B96DD9"/>
    <w:rsid w:val="00B96EA6"/>
    <w:rsid w:val="00B9789D"/>
    <w:rsid w:val="00B97A4C"/>
    <w:rsid w:val="00BA050E"/>
    <w:rsid w:val="00BA1289"/>
    <w:rsid w:val="00BA14B2"/>
    <w:rsid w:val="00BA15DC"/>
    <w:rsid w:val="00BA1E2F"/>
    <w:rsid w:val="00BA1EB8"/>
    <w:rsid w:val="00BA2C82"/>
    <w:rsid w:val="00BA2D81"/>
    <w:rsid w:val="00BA3869"/>
    <w:rsid w:val="00BA4147"/>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46B"/>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805"/>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6067"/>
    <w:rsid w:val="00BE7F4D"/>
    <w:rsid w:val="00BF03C0"/>
    <w:rsid w:val="00BF0EBF"/>
    <w:rsid w:val="00BF1534"/>
    <w:rsid w:val="00BF2021"/>
    <w:rsid w:val="00BF21D4"/>
    <w:rsid w:val="00BF2DDC"/>
    <w:rsid w:val="00BF32DE"/>
    <w:rsid w:val="00BF493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699E"/>
    <w:rsid w:val="00C0702A"/>
    <w:rsid w:val="00C070D3"/>
    <w:rsid w:val="00C0724C"/>
    <w:rsid w:val="00C07C11"/>
    <w:rsid w:val="00C07E10"/>
    <w:rsid w:val="00C10015"/>
    <w:rsid w:val="00C1110A"/>
    <w:rsid w:val="00C11689"/>
    <w:rsid w:val="00C12414"/>
    <w:rsid w:val="00C12ECB"/>
    <w:rsid w:val="00C136BF"/>
    <w:rsid w:val="00C138B0"/>
    <w:rsid w:val="00C144E0"/>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9C3"/>
    <w:rsid w:val="00C23A83"/>
    <w:rsid w:val="00C2403F"/>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CA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67D"/>
    <w:rsid w:val="00C50A02"/>
    <w:rsid w:val="00C51149"/>
    <w:rsid w:val="00C5117E"/>
    <w:rsid w:val="00C512D1"/>
    <w:rsid w:val="00C51856"/>
    <w:rsid w:val="00C51B04"/>
    <w:rsid w:val="00C51DB5"/>
    <w:rsid w:val="00C53CE9"/>
    <w:rsid w:val="00C5531B"/>
    <w:rsid w:val="00C55375"/>
    <w:rsid w:val="00C5570F"/>
    <w:rsid w:val="00C55B90"/>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4A2"/>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6C1"/>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902"/>
    <w:rsid w:val="00C76C0C"/>
    <w:rsid w:val="00C76E23"/>
    <w:rsid w:val="00C76FFC"/>
    <w:rsid w:val="00C774E0"/>
    <w:rsid w:val="00C776BA"/>
    <w:rsid w:val="00C7791E"/>
    <w:rsid w:val="00C81716"/>
    <w:rsid w:val="00C82B3B"/>
    <w:rsid w:val="00C832CB"/>
    <w:rsid w:val="00C84085"/>
    <w:rsid w:val="00C852DC"/>
    <w:rsid w:val="00C854A8"/>
    <w:rsid w:val="00C85677"/>
    <w:rsid w:val="00C85E17"/>
    <w:rsid w:val="00C868A7"/>
    <w:rsid w:val="00C86ABA"/>
    <w:rsid w:val="00C86BF7"/>
    <w:rsid w:val="00C87164"/>
    <w:rsid w:val="00C8786A"/>
    <w:rsid w:val="00C87BBA"/>
    <w:rsid w:val="00C87BD0"/>
    <w:rsid w:val="00C901F3"/>
    <w:rsid w:val="00C905E5"/>
    <w:rsid w:val="00C90754"/>
    <w:rsid w:val="00C90B95"/>
    <w:rsid w:val="00C90BC4"/>
    <w:rsid w:val="00C90CA9"/>
    <w:rsid w:val="00C91802"/>
    <w:rsid w:val="00C91A25"/>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2C5F"/>
    <w:rsid w:val="00CA3CAB"/>
    <w:rsid w:val="00CA3FC0"/>
    <w:rsid w:val="00CA5685"/>
    <w:rsid w:val="00CA5A05"/>
    <w:rsid w:val="00CA6A2E"/>
    <w:rsid w:val="00CA6B56"/>
    <w:rsid w:val="00CA7D3E"/>
    <w:rsid w:val="00CB0231"/>
    <w:rsid w:val="00CB0317"/>
    <w:rsid w:val="00CB0662"/>
    <w:rsid w:val="00CB0A82"/>
    <w:rsid w:val="00CB0F2F"/>
    <w:rsid w:val="00CB1556"/>
    <w:rsid w:val="00CB2913"/>
    <w:rsid w:val="00CB2B60"/>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3CF"/>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D7C7F"/>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2CD"/>
    <w:rsid w:val="00CF7327"/>
    <w:rsid w:val="00CF7385"/>
    <w:rsid w:val="00CF7539"/>
    <w:rsid w:val="00CF75C6"/>
    <w:rsid w:val="00CF7B77"/>
    <w:rsid w:val="00CF7DF5"/>
    <w:rsid w:val="00D00141"/>
    <w:rsid w:val="00D001D2"/>
    <w:rsid w:val="00D01857"/>
    <w:rsid w:val="00D02A80"/>
    <w:rsid w:val="00D03264"/>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666"/>
    <w:rsid w:val="00D15AE3"/>
    <w:rsid w:val="00D160C4"/>
    <w:rsid w:val="00D165D8"/>
    <w:rsid w:val="00D1724E"/>
    <w:rsid w:val="00D1730C"/>
    <w:rsid w:val="00D1760C"/>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1D2"/>
    <w:rsid w:val="00D279E7"/>
    <w:rsid w:val="00D27F75"/>
    <w:rsid w:val="00D3046D"/>
    <w:rsid w:val="00D30497"/>
    <w:rsid w:val="00D30C4D"/>
    <w:rsid w:val="00D30F5F"/>
    <w:rsid w:val="00D31243"/>
    <w:rsid w:val="00D316D9"/>
    <w:rsid w:val="00D31B07"/>
    <w:rsid w:val="00D31B9D"/>
    <w:rsid w:val="00D3272E"/>
    <w:rsid w:val="00D32F51"/>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6496"/>
    <w:rsid w:val="00D5064C"/>
    <w:rsid w:val="00D50C94"/>
    <w:rsid w:val="00D511E7"/>
    <w:rsid w:val="00D517ED"/>
    <w:rsid w:val="00D5251C"/>
    <w:rsid w:val="00D529AB"/>
    <w:rsid w:val="00D52F56"/>
    <w:rsid w:val="00D539DA"/>
    <w:rsid w:val="00D54A50"/>
    <w:rsid w:val="00D54FFD"/>
    <w:rsid w:val="00D5552C"/>
    <w:rsid w:val="00D5556D"/>
    <w:rsid w:val="00D55C34"/>
    <w:rsid w:val="00D55C81"/>
    <w:rsid w:val="00D5674B"/>
    <w:rsid w:val="00D56B56"/>
    <w:rsid w:val="00D56BF5"/>
    <w:rsid w:val="00D56F99"/>
    <w:rsid w:val="00D5713E"/>
    <w:rsid w:val="00D5743F"/>
    <w:rsid w:val="00D57DD7"/>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67E0B"/>
    <w:rsid w:val="00D70170"/>
    <w:rsid w:val="00D702E8"/>
    <w:rsid w:val="00D70552"/>
    <w:rsid w:val="00D7083C"/>
    <w:rsid w:val="00D70D42"/>
    <w:rsid w:val="00D71285"/>
    <w:rsid w:val="00D71ABC"/>
    <w:rsid w:val="00D71D05"/>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712"/>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60"/>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325"/>
    <w:rsid w:val="00DB3490"/>
    <w:rsid w:val="00DB3593"/>
    <w:rsid w:val="00DB440B"/>
    <w:rsid w:val="00DB4426"/>
    <w:rsid w:val="00DB4522"/>
    <w:rsid w:val="00DB4B40"/>
    <w:rsid w:val="00DB4D7B"/>
    <w:rsid w:val="00DB4F12"/>
    <w:rsid w:val="00DB4F21"/>
    <w:rsid w:val="00DB4F42"/>
    <w:rsid w:val="00DB540C"/>
    <w:rsid w:val="00DB6F96"/>
    <w:rsid w:val="00DB71B9"/>
    <w:rsid w:val="00DB7662"/>
    <w:rsid w:val="00DB7E46"/>
    <w:rsid w:val="00DB7FB6"/>
    <w:rsid w:val="00DC1395"/>
    <w:rsid w:val="00DC32FC"/>
    <w:rsid w:val="00DC3D89"/>
    <w:rsid w:val="00DC4567"/>
    <w:rsid w:val="00DC4D6C"/>
    <w:rsid w:val="00DC4F47"/>
    <w:rsid w:val="00DC5059"/>
    <w:rsid w:val="00DC5860"/>
    <w:rsid w:val="00DC5BD0"/>
    <w:rsid w:val="00DC5BE2"/>
    <w:rsid w:val="00DC5ED0"/>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2E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A5B"/>
    <w:rsid w:val="00DF5B33"/>
    <w:rsid w:val="00DF6E42"/>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531"/>
    <w:rsid w:val="00E06E97"/>
    <w:rsid w:val="00E075FF"/>
    <w:rsid w:val="00E07B8F"/>
    <w:rsid w:val="00E10712"/>
    <w:rsid w:val="00E10BF8"/>
    <w:rsid w:val="00E10DD1"/>
    <w:rsid w:val="00E1224C"/>
    <w:rsid w:val="00E1254C"/>
    <w:rsid w:val="00E1296E"/>
    <w:rsid w:val="00E12BDF"/>
    <w:rsid w:val="00E13326"/>
    <w:rsid w:val="00E13D07"/>
    <w:rsid w:val="00E14356"/>
    <w:rsid w:val="00E1447C"/>
    <w:rsid w:val="00E14961"/>
    <w:rsid w:val="00E14D76"/>
    <w:rsid w:val="00E15183"/>
    <w:rsid w:val="00E157E8"/>
    <w:rsid w:val="00E15D6C"/>
    <w:rsid w:val="00E1720B"/>
    <w:rsid w:val="00E203DE"/>
    <w:rsid w:val="00E20BD8"/>
    <w:rsid w:val="00E20CE7"/>
    <w:rsid w:val="00E217B1"/>
    <w:rsid w:val="00E21A01"/>
    <w:rsid w:val="00E222FA"/>
    <w:rsid w:val="00E229CE"/>
    <w:rsid w:val="00E22B4A"/>
    <w:rsid w:val="00E2449B"/>
    <w:rsid w:val="00E24A62"/>
    <w:rsid w:val="00E24BCA"/>
    <w:rsid w:val="00E24E5F"/>
    <w:rsid w:val="00E24F52"/>
    <w:rsid w:val="00E255CC"/>
    <w:rsid w:val="00E25636"/>
    <w:rsid w:val="00E25755"/>
    <w:rsid w:val="00E25A68"/>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E2A"/>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2D86"/>
    <w:rsid w:val="00E5448E"/>
    <w:rsid w:val="00E547D7"/>
    <w:rsid w:val="00E54E0D"/>
    <w:rsid w:val="00E55247"/>
    <w:rsid w:val="00E558E5"/>
    <w:rsid w:val="00E55B3C"/>
    <w:rsid w:val="00E55D4D"/>
    <w:rsid w:val="00E56795"/>
    <w:rsid w:val="00E57932"/>
    <w:rsid w:val="00E606C4"/>
    <w:rsid w:val="00E60811"/>
    <w:rsid w:val="00E60AB8"/>
    <w:rsid w:val="00E6103E"/>
    <w:rsid w:val="00E610C3"/>
    <w:rsid w:val="00E6185F"/>
    <w:rsid w:val="00E61D32"/>
    <w:rsid w:val="00E63C60"/>
    <w:rsid w:val="00E64050"/>
    <w:rsid w:val="00E64B7B"/>
    <w:rsid w:val="00E6514D"/>
    <w:rsid w:val="00E65161"/>
    <w:rsid w:val="00E652C9"/>
    <w:rsid w:val="00E6593B"/>
    <w:rsid w:val="00E65B41"/>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F86"/>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9FB"/>
    <w:rsid w:val="00E87A37"/>
    <w:rsid w:val="00E87CF7"/>
    <w:rsid w:val="00E9036E"/>
    <w:rsid w:val="00E9078A"/>
    <w:rsid w:val="00E912FD"/>
    <w:rsid w:val="00E91430"/>
    <w:rsid w:val="00E91B26"/>
    <w:rsid w:val="00E92C6E"/>
    <w:rsid w:val="00E92D0B"/>
    <w:rsid w:val="00E92FFF"/>
    <w:rsid w:val="00E93195"/>
    <w:rsid w:val="00E9391C"/>
    <w:rsid w:val="00E93D05"/>
    <w:rsid w:val="00E94A48"/>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5B9"/>
    <w:rsid w:val="00EB763E"/>
    <w:rsid w:val="00EB7B67"/>
    <w:rsid w:val="00EC07F1"/>
    <w:rsid w:val="00EC1E8A"/>
    <w:rsid w:val="00EC328C"/>
    <w:rsid w:val="00EC32F5"/>
    <w:rsid w:val="00EC3852"/>
    <w:rsid w:val="00EC3A7B"/>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C7DFF"/>
    <w:rsid w:val="00ED0151"/>
    <w:rsid w:val="00ED0257"/>
    <w:rsid w:val="00ED071B"/>
    <w:rsid w:val="00ED1445"/>
    <w:rsid w:val="00ED18B1"/>
    <w:rsid w:val="00ED1ADE"/>
    <w:rsid w:val="00ED1B6C"/>
    <w:rsid w:val="00ED3692"/>
    <w:rsid w:val="00ED3763"/>
    <w:rsid w:val="00ED4483"/>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395"/>
    <w:rsid w:val="00EE56E2"/>
    <w:rsid w:val="00EE5FCD"/>
    <w:rsid w:val="00EE6192"/>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73C"/>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2B59"/>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3F55"/>
    <w:rsid w:val="00F2420C"/>
    <w:rsid w:val="00F24C28"/>
    <w:rsid w:val="00F254C4"/>
    <w:rsid w:val="00F25641"/>
    <w:rsid w:val="00F256D8"/>
    <w:rsid w:val="00F25824"/>
    <w:rsid w:val="00F25E47"/>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1CDD"/>
    <w:rsid w:val="00F42856"/>
    <w:rsid w:val="00F42ED7"/>
    <w:rsid w:val="00F43777"/>
    <w:rsid w:val="00F4482B"/>
    <w:rsid w:val="00F44F02"/>
    <w:rsid w:val="00F45039"/>
    <w:rsid w:val="00F4526B"/>
    <w:rsid w:val="00F45298"/>
    <w:rsid w:val="00F45429"/>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CEE"/>
    <w:rsid w:val="00F67079"/>
    <w:rsid w:val="00F67B58"/>
    <w:rsid w:val="00F67E81"/>
    <w:rsid w:val="00F7044B"/>
    <w:rsid w:val="00F70598"/>
    <w:rsid w:val="00F70FD4"/>
    <w:rsid w:val="00F71342"/>
    <w:rsid w:val="00F71C68"/>
    <w:rsid w:val="00F724E2"/>
    <w:rsid w:val="00F73433"/>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67B"/>
    <w:rsid w:val="00FA27EB"/>
    <w:rsid w:val="00FA35B6"/>
    <w:rsid w:val="00FA3EBC"/>
    <w:rsid w:val="00FA423C"/>
    <w:rsid w:val="00FA44D0"/>
    <w:rsid w:val="00FA4590"/>
    <w:rsid w:val="00FA5126"/>
    <w:rsid w:val="00FA55A2"/>
    <w:rsid w:val="00FA643A"/>
    <w:rsid w:val="00FA672F"/>
    <w:rsid w:val="00FA6AD3"/>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4A8C"/>
    <w:rsid w:val="00FD54A8"/>
    <w:rsid w:val="00FD5AE4"/>
    <w:rsid w:val="00FD5F25"/>
    <w:rsid w:val="00FD60BE"/>
    <w:rsid w:val="00FD6894"/>
    <w:rsid w:val="00FD6AF0"/>
    <w:rsid w:val="00FD704D"/>
    <w:rsid w:val="00FD74EF"/>
    <w:rsid w:val="00FD7660"/>
    <w:rsid w:val="00FD79B8"/>
    <w:rsid w:val="00FD79F6"/>
    <w:rsid w:val="00FE033F"/>
    <w:rsid w:val="00FE0584"/>
    <w:rsid w:val="00FE07A8"/>
    <w:rsid w:val="00FE0AD1"/>
    <w:rsid w:val="00FE0CC0"/>
    <w:rsid w:val="00FE1852"/>
    <w:rsid w:val="00FE1963"/>
    <w:rsid w:val="00FE1981"/>
    <w:rsid w:val="00FE1BF1"/>
    <w:rsid w:val="00FE33DB"/>
    <w:rsid w:val="00FE33F5"/>
    <w:rsid w:val="00FE352A"/>
    <w:rsid w:val="00FE37DD"/>
    <w:rsid w:val="00FE3C31"/>
    <w:rsid w:val="00FE3C48"/>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9C4"/>
    <w:rsid w:val="00FF2A7B"/>
    <w:rsid w:val="00FF3D2B"/>
    <w:rsid w:val="00FF49B4"/>
    <w:rsid w:val="00FF49F4"/>
    <w:rsid w:val="00FF5C6A"/>
    <w:rsid w:val="00FF651D"/>
    <w:rsid w:val="00FF6843"/>
    <w:rsid w:val="00FF6C25"/>
    <w:rsid w:val="00FF6E6D"/>
    <w:rsid w:val="00FF7F00"/>
    <w:rsid w:val="010651D9"/>
    <w:rsid w:val="011F6449"/>
    <w:rsid w:val="01236AFB"/>
    <w:rsid w:val="019232C4"/>
    <w:rsid w:val="019F7441"/>
    <w:rsid w:val="01B37585"/>
    <w:rsid w:val="01D55165"/>
    <w:rsid w:val="01DF6BF8"/>
    <w:rsid w:val="01EC2C57"/>
    <w:rsid w:val="024860AA"/>
    <w:rsid w:val="026B2E25"/>
    <w:rsid w:val="02824D4D"/>
    <w:rsid w:val="02DC4B10"/>
    <w:rsid w:val="02DD76CE"/>
    <w:rsid w:val="02F208C2"/>
    <w:rsid w:val="02F36323"/>
    <w:rsid w:val="02F5619C"/>
    <w:rsid w:val="0326446A"/>
    <w:rsid w:val="032D5555"/>
    <w:rsid w:val="035703C5"/>
    <w:rsid w:val="036634D2"/>
    <w:rsid w:val="03DD35E4"/>
    <w:rsid w:val="04076900"/>
    <w:rsid w:val="041A5A3B"/>
    <w:rsid w:val="042311BA"/>
    <w:rsid w:val="042B157A"/>
    <w:rsid w:val="04637523"/>
    <w:rsid w:val="048F763B"/>
    <w:rsid w:val="049F330E"/>
    <w:rsid w:val="04AA775C"/>
    <w:rsid w:val="04AF1889"/>
    <w:rsid w:val="04E7136E"/>
    <w:rsid w:val="04F66F48"/>
    <w:rsid w:val="05251E14"/>
    <w:rsid w:val="05A16594"/>
    <w:rsid w:val="05A7762D"/>
    <w:rsid w:val="060E5941"/>
    <w:rsid w:val="06110FAF"/>
    <w:rsid w:val="06493CA7"/>
    <w:rsid w:val="065A6178"/>
    <w:rsid w:val="0661367A"/>
    <w:rsid w:val="066F1CF3"/>
    <w:rsid w:val="06925398"/>
    <w:rsid w:val="06930BB8"/>
    <w:rsid w:val="06BD7EC9"/>
    <w:rsid w:val="07064C57"/>
    <w:rsid w:val="07245D42"/>
    <w:rsid w:val="07264C62"/>
    <w:rsid w:val="0779354C"/>
    <w:rsid w:val="07F3387A"/>
    <w:rsid w:val="08061376"/>
    <w:rsid w:val="08452D77"/>
    <w:rsid w:val="086401F8"/>
    <w:rsid w:val="08751CAA"/>
    <w:rsid w:val="087E4C40"/>
    <w:rsid w:val="08D66AD6"/>
    <w:rsid w:val="08DA33A3"/>
    <w:rsid w:val="08E51639"/>
    <w:rsid w:val="08E80F13"/>
    <w:rsid w:val="08F460BB"/>
    <w:rsid w:val="09335624"/>
    <w:rsid w:val="0944690F"/>
    <w:rsid w:val="09535675"/>
    <w:rsid w:val="095F057D"/>
    <w:rsid w:val="09624DC1"/>
    <w:rsid w:val="09642282"/>
    <w:rsid w:val="09733572"/>
    <w:rsid w:val="09772C16"/>
    <w:rsid w:val="098353B5"/>
    <w:rsid w:val="09975825"/>
    <w:rsid w:val="09A92330"/>
    <w:rsid w:val="09B06B87"/>
    <w:rsid w:val="09C13146"/>
    <w:rsid w:val="09E04166"/>
    <w:rsid w:val="09F75AC8"/>
    <w:rsid w:val="0A1C0718"/>
    <w:rsid w:val="0A3E7710"/>
    <w:rsid w:val="0A402FCB"/>
    <w:rsid w:val="0A5B7E63"/>
    <w:rsid w:val="0A821835"/>
    <w:rsid w:val="0AA374A5"/>
    <w:rsid w:val="0AAB7649"/>
    <w:rsid w:val="0ABC5606"/>
    <w:rsid w:val="0B2C7471"/>
    <w:rsid w:val="0B30404E"/>
    <w:rsid w:val="0B4C6C14"/>
    <w:rsid w:val="0B631A88"/>
    <w:rsid w:val="0B683D45"/>
    <w:rsid w:val="0B7F3F11"/>
    <w:rsid w:val="0B884417"/>
    <w:rsid w:val="0BF6188C"/>
    <w:rsid w:val="0BF73C91"/>
    <w:rsid w:val="0C0D3ACA"/>
    <w:rsid w:val="0C170175"/>
    <w:rsid w:val="0C571A41"/>
    <w:rsid w:val="0C5C1171"/>
    <w:rsid w:val="0C5E1CBC"/>
    <w:rsid w:val="0C615B50"/>
    <w:rsid w:val="0C7F7D0C"/>
    <w:rsid w:val="0C8445DA"/>
    <w:rsid w:val="0C87121B"/>
    <w:rsid w:val="0CBD5A60"/>
    <w:rsid w:val="0CC007F7"/>
    <w:rsid w:val="0CD97281"/>
    <w:rsid w:val="0CFE707A"/>
    <w:rsid w:val="0D063BDA"/>
    <w:rsid w:val="0D08375F"/>
    <w:rsid w:val="0D184CFB"/>
    <w:rsid w:val="0D40475F"/>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1D4DCD"/>
    <w:rsid w:val="0F2436F8"/>
    <w:rsid w:val="0F4958DC"/>
    <w:rsid w:val="0F515DF7"/>
    <w:rsid w:val="0F596BA8"/>
    <w:rsid w:val="0F6248D2"/>
    <w:rsid w:val="0F693536"/>
    <w:rsid w:val="0F7B0511"/>
    <w:rsid w:val="0F7B76D9"/>
    <w:rsid w:val="0F816ACD"/>
    <w:rsid w:val="0F9832DB"/>
    <w:rsid w:val="0FBF3FD2"/>
    <w:rsid w:val="0FBF7FF3"/>
    <w:rsid w:val="0FE95CAF"/>
    <w:rsid w:val="102351BA"/>
    <w:rsid w:val="10421E87"/>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B855CF"/>
    <w:rsid w:val="12D81596"/>
    <w:rsid w:val="12F9372E"/>
    <w:rsid w:val="13072A44"/>
    <w:rsid w:val="135F4BE2"/>
    <w:rsid w:val="139B1A0A"/>
    <w:rsid w:val="139D25C7"/>
    <w:rsid w:val="13BF3CE4"/>
    <w:rsid w:val="13DF72EE"/>
    <w:rsid w:val="141008D8"/>
    <w:rsid w:val="14125FE6"/>
    <w:rsid w:val="146D271E"/>
    <w:rsid w:val="14982588"/>
    <w:rsid w:val="149A5AD9"/>
    <w:rsid w:val="14A7619D"/>
    <w:rsid w:val="14D70121"/>
    <w:rsid w:val="14E326F3"/>
    <w:rsid w:val="150536C3"/>
    <w:rsid w:val="150C1963"/>
    <w:rsid w:val="151447A0"/>
    <w:rsid w:val="154A6454"/>
    <w:rsid w:val="15762120"/>
    <w:rsid w:val="15D27773"/>
    <w:rsid w:val="15FB5702"/>
    <w:rsid w:val="16155B22"/>
    <w:rsid w:val="16A8729C"/>
    <w:rsid w:val="16B33777"/>
    <w:rsid w:val="16B97005"/>
    <w:rsid w:val="16BC70A7"/>
    <w:rsid w:val="16C6339E"/>
    <w:rsid w:val="16FC6A01"/>
    <w:rsid w:val="1705609A"/>
    <w:rsid w:val="170F1DAE"/>
    <w:rsid w:val="172E00FB"/>
    <w:rsid w:val="172F2D79"/>
    <w:rsid w:val="17557BEF"/>
    <w:rsid w:val="179A2834"/>
    <w:rsid w:val="17D349C1"/>
    <w:rsid w:val="1830729E"/>
    <w:rsid w:val="1870062C"/>
    <w:rsid w:val="18817102"/>
    <w:rsid w:val="18824C15"/>
    <w:rsid w:val="18830A15"/>
    <w:rsid w:val="18852B28"/>
    <w:rsid w:val="188B5321"/>
    <w:rsid w:val="18A63149"/>
    <w:rsid w:val="18B43502"/>
    <w:rsid w:val="193F6FDA"/>
    <w:rsid w:val="19932372"/>
    <w:rsid w:val="19A20DD5"/>
    <w:rsid w:val="19AE03F1"/>
    <w:rsid w:val="1A071A03"/>
    <w:rsid w:val="1A1F16AE"/>
    <w:rsid w:val="1A3B5C77"/>
    <w:rsid w:val="1A984BAD"/>
    <w:rsid w:val="1A9C233C"/>
    <w:rsid w:val="1AB8220E"/>
    <w:rsid w:val="1AE4166C"/>
    <w:rsid w:val="1AF06CFB"/>
    <w:rsid w:val="1AF11B8D"/>
    <w:rsid w:val="1B11359C"/>
    <w:rsid w:val="1B2A271F"/>
    <w:rsid w:val="1B530544"/>
    <w:rsid w:val="1B713184"/>
    <w:rsid w:val="1B841FD5"/>
    <w:rsid w:val="1BA209CF"/>
    <w:rsid w:val="1BB4777D"/>
    <w:rsid w:val="1BD75AB8"/>
    <w:rsid w:val="1C0459C2"/>
    <w:rsid w:val="1C1B3B4A"/>
    <w:rsid w:val="1C88086E"/>
    <w:rsid w:val="1CF81355"/>
    <w:rsid w:val="1D266CE1"/>
    <w:rsid w:val="1D2D3883"/>
    <w:rsid w:val="1D3963AF"/>
    <w:rsid w:val="1D4B5AB7"/>
    <w:rsid w:val="1D504EC1"/>
    <w:rsid w:val="1D6A673C"/>
    <w:rsid w:val="1D6E74F2"/>
    <w:rsid w:val="1D8A310C"/>
    <w:rsid w:val="1D9247AE"/>
    <w:rsid w:val="1DAD4EB4"/>
    <w:rsid w:val="1DB567EC"/>
    <w:rsid w:val="1DF51A98"/>
    <w:rsid w:val="1E3D060F"/>
    <w:rsid w:val="1E3F7D2E"/>
    <w:rsid w:val="1E4134E4"/>
    <w:rsid w:val="1E5062B3"/>
    <w:rsid w:val="1E523514"/>
    <w:rsid w:val="1E696B3C"/>
    <w:rsid w:val="1E714A66"/>
    <w:rsid w:val="1E802593"/>
    <w:rsid w:val="1EA703CC"/>
    <w:rsid w:val="1EB7330C"/>
    <w:rsid w:val="1F0A0FF3"/>
    <w:rsid w:val="1F5771FF"/>
    <w:rsid w:val="1FE76643"/>
    <w:rsid w:val="1FE868A9"/>
    <w:rsid w:val="1FF92231"/>
    <w:rsid w:val="20034907"/>
    <w:rsid w:val="20173E4B"/>
    <w:rsid w:val="204E48BC"/>
    <w:rsid w:val="208921B3"/>
    <w:rsid w:val="20973DEB"/>
    <w:rsid w:val="20B26522"/>
    <w:rsid w:val="20B44310"/>
    <w:rsid w:val="211116EB"/>
    <w:rsid w:val="216133FC"/>
    <w:rsid w:val="21B97F78"/>
    <w:rsid w:val="21D56769"/>
    <w:rsid w:val="21DA281F"/>
    <w:rsid w:val="21DF6686"/>
    <w:rsid w:val="21E52EF3"/>
    <w:rsid w:val="21FB5D7B"/>
    <w:rsid w:val="220B1C3D"/>
    <w:rsid w:val="221D1D20"/>
    <w:rsid w:val="221D25B7"/>
    <w:rsid w:val="221F78FD"/>
    <w:rsid w:val="22334A87"/>
    <w:rsid w:val="22BE6801"/>
    <w:rsid w:val="233500BF"/>
    <w:rsid w:val="23377FF7"/>
    <w:rsid w:val="236B425F"/>
    <w:rsid w:val="23836192"/>
    <w:rsid w:val="23901F29"/>
    <w:rsid w:val="239C0061"/>
    <w:rsid w:val="23B908A4"/>
    <w:rsid w:val="23E95BEF"/>
    <w:rsid w:val="23FD0064"/>
    <w:rsid w:val="245375B0"/>
    <w:rsid w:val="24642C0A"/>
    <w:rsid w:val="24863BB4"/>
    <w:rsid w:val="24B22173"/>
    <w:rsid w:val="24B95AD9"/>
    <w:rsid w:val="24BE24DA"/>
    <w:rsid w:val="24CF5825"/>
    <w:rsid w:val="24D663E6"/>
    <w:rsid w:val="24D77F2B"/>
    <w:rsid w:val="25005CA4"/>
    <w:rsid w:val="25684B40"/>
    <w:rsid w:val="258B00E2"/>
    <w:rsid w:val="25A917A6"/>
    <w:rsid w:val="25BE27CC"/>
    <w:rsid w:val="25E81832"/>
    <w:rsid w:val="25F74A5C"/>
    <w:rsid w:val="2628662C"/>
    <w:rsid w:val="262D45DE"/>
    <w:rsid w:val="26A53EF9"/>
    <w:rsid w:val="26A94201"/>
    <w:rsid w:val="26AC274F"/>
    <w:rsid w:val="27044A29"/>
    <w:rsid w:val="271D34C8"/>
    <w:rsid w:val="272717DA"/>
    <w:rsid w:val="27425763"/>
    <w:rsid w:val="276142BF"/>
    <w:rsid w:val="27783712"/>
    <w:rsid w:val="27907362"/>
    <w:rsid w:val="27CE49D7"/>
    <w:rsid w:val="28333E1D"/>
    <w:rsid w:val="28454BD6"/>
    <w:rsid w:val="28455253"/>
    <w:rsid w:val="28551971"/>
    <w:rsid w:val="285B1C53"/>
    <w:rsid w:val="289F7086"/>
    <w:rsid w:val="28C32028"/>
    <w:rsid w:val="28CC490F"/>
    <w:rsid w:val="28DE40AA"/>
    <w:rsid w:val="29345E77"/>
    <w:rsid w:val="294C65AD"/>
    <w:rsid w:val="2969358F"/>
    <w:rsid w:val="29806583"/>
    <w:rsid w:val="298B3C4C"/>
    <w:rsid w:val="29932CBF"/>
    <w:rsid w:val="29EB7F9B"/>
    <w:rsid w:val="29F26D24"/>
    <w:rsid w:val="2A15033F"/>
    <w:rsid w:val="2A155C4B"/>
    <w:rsid w:val="2A1662C1"/>
    <w:rsid w:val="2A1C7367"/>
    <w:rsid w:val="2A2815FA"/>
    <w:rsid w:val="2A6D6092"/>
    <w:rsid w:val="2A7D76B4"/>
    <w:rsid w:val="2AE13ED8"/>
    <w:rsid w:val="2B431325"/>
    <w:rsid w:val="2B437463"/>
    <w:rsid w:val="2B487D7C"/>
    <w:rsid w:val="2B7807EE"/>
    <w:rsid w:val="2BBE2C91"/>
    <w:rsid w:val="2BBF00EC"/>
    <w:rsid w:val="2BC37CFD"/>
    <w:rsid w:val="2BD5237F"/>
    <w:rsid w:val="2BE536CE"/>
    <w:rsid w:val="2BE758D9"/>
    <w:rsid w:val="2C09049E"/>
    <w:rsid w:val="2C0A653C"/>
    <w:rsid w:val="2C191F85"/>
    <w:rsid w:val="2C212804"/>
    <w:rsid w:val="2C574D97"/>
    <w:rsid w:val="2C711F40"/>
    <w:rsid w:val="2CCD46A4"/>
    <w:rsid w:val="2CE82D6F"/>
    <w:rsid w:val="2D343236"/>
    <w:rsid w:val="2DD15014"/>
    <w:rsid w:val="2DF72DE4"/>
    <w:rsid w:val="2E0220AF"/>
    <w:rsid w:val="2E161634"/>
    <w:rsid w:val="2E2D690F"/>
    <w:rsid w:val="2E4B082A"/>
    <w:rsid w:val="2E5D4E86"/>
    <w:rsid w:val="2E5D790B"/>
    <w:rsid w:val="2E907CAC"/>
    <w:rsid w:val="2E9A3C18"/>
    <w:rsid w:val="2EAE5EE7"/>
    <w:rsid w:val="2EBB0FEE"/>
    <w:rsid w:val="2EC63002"/>
    <w:rsid w:val="2F0A6B38"/>
    <w:rsid w:val="2F427356"/>
    <w:rsid w:val="2F946CCB"/>
    <w:rsid w:val="2FD25781"/>
    <w:rsid w:val="2FFD7934"/>
    <w:rsid w:val="3027350F"/>
    <w:rsid w:val="304229F7"/>
    <w:rsid w:val="30733ACD"/>
    <w:rsid w:val="308C3862"/>
    <w:rsid w:val="309379D8"/>
    <w:rsid w:val="30A16923"/>
    <w:rsid w:val="30A270F7"/>
    <w:rsid w:val="30AE6BAA"/>
    <w:rsid w:val="30DF1478"/>
    <w:rsid w:val="30E40B8A"/>
    <w:rsid w:val="30EC586F"/>
    <w:rsid w:val="31590FFB"/>
    <w:rsid w:val="319C6071"/>
    <w:rsid w:val="31AC537E"/>
    <w:rsid w:val="31E3679B"/>
    <w:rsid w:val="31E732FD"/>
    <w:rsid w:val="32517576"/>
    <w:rsid w:val="32BE5C2C"/>
    <w:rsid w:val="32FB6478"/>
    <w:rsid w:val="33026E1D"/>
    <w:rsid w:val="33263B3F"/>
    <w:rsid w:val="33604ABC"/>
    <w:rsid w:val="336963EB"/>
    <w:rsid w:val="33816EEB"/>
    <w:rsid w:val="338B4ADF"/>
    <w:rsid w:val="33AD49A1"/>
    <w:rsid w:val="33D83D04"/>
    <w:rsid w:val="33EB55CD"/>
    <w:rsid w:val="33EC4C02"/>
    <w:rsid w:val="33FB67AC"/>
    <w:rsid w:val="33FF48DB"/>
    <w:rsid w:val="340D2360"/>
    <w:rsid w:val="3410665D"/>
    <w:rsid w:val="34211214"/>
    <w:rsid w:val="342E63AB"/>
    <w:rsid w:val="34950E68"/>
    <w:rsid w:val="34986E94"/>
    <w:rsid w:val="34AF62C9"/>
    <w:rsid w:val="34CB4388"/>
    <w:rsid w:val="34FA6E12"/>
    <w:rsid w:val="358D5588"/>
    <w:rsid w:val="3634593D"/>
    <w:rsid w:val="363A3B40"/>
    <w:rsid w:val="365302AE"/>
    <w:rsid w:val="36607A0A"/>
    <w:rsid w:val="366E227C"/>
    <w:rsid w:val="366F2E0D"/>
    <w:rsid w:val="367B6A5C"/>
    <w:rsid w:val="36A74ADA"/>
    <w:rsid w:val="36AD60D5"/>
    <w:rsid w:val="36B224F9"/>
    <w:rsid w:val="36EC0CC9"/>
    <w:rsid w:val="371C3C3F"/>
    <w:rsid w:val="373F410B"/>
    <w:rsid w:val="375D2779"/>
    <w:rsid w:val="3762240D"/>
    <w:rsid w:val="37EE7094"/>
    <w:rsid w:val="37F87D3F"/>
    <w:rsid w:val="38296C89"/>
    <w:rsid w:val="383002EB"/>
    <w:rsid w:val="38586797"/>
    <w:rsid w:val="385C6928"/>
    <w:rsid w:val="38BC0149"/>
    <w:rsid w:val="38D417C5"/>
    <w:rsid w:val="38D87D1C"/>
    <w:rsid w:val="38E044AD"/>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D90C92"/>
    <w:rsid w:val="3BDE3756"/>
    <w:rsid w:val="3BF15831"/>
    <w:rsid w:val="3BFA4E20"/>
    <w:rsid w:val="3C105946"/>
    <w:rsid w:val="3C471448"/>
    <w:rsid w:val="3C5F759A"/>
    <w:rsid w:val="3C6C525A"/>
    <w:rsid w:val="3CCE23CB"/>
    <w:rsid w:val="3CD17D17"/>
    <w:rsid w:val="3D2F666C"/>
    <w:rsid w:val="3D3C7F39"/>
    <w:rsid w:val="3D440F09"/>
    <w:rsid w:val="3D4504A0"/>
    <w:rsid w:val="3D8734BB"/>
    <w:rsid w:val="3D9A11D4"/>
    <w:rsid w:val="3DA16D89"/>
    <w:rsid w:val="3DA364BE"/>
    <w:rsid w:val="3DAF7496"/>
    <w:rsid w:val="3DE041CB"/>
    <w:rsid w:val="3E0D48F6"/>
    <w:rsid w:val="3E1868B4"/>
    <w:rsid w:val="3E377251"/>
    <w:rsid w:val="3E42664B"/>
    <w:rsid w:val="3E5A7334"/>
    <w:rsid w:val="3E7B5D6B"/>
    <w:rsid w:val="3E843E66"/>
    <w:rsid w:val="3E8F51FE"/>
    <w:rsid w:val="3E91236D"/>
    <w:rsid w:val="3E926F87"/>
    <w:rsid w:val="3E9A59DE"/>
    <w:rsid w:val="3EAF4836"/>
    <w:rsid w:val="3EC33DFA"/>
    <w:rsid w:val="3F060E16"/>
    <w:rsid w:val="3F1D1096"/>
    <w:rsid w:val="3F2E6D77"/>
    <w:rsid w:val="3F2F0234"/>
    <w:rsid w:val="3F6363FE"/>
    <w:rsid w:val="3F756B8F"/>
    <w:rsid w:val="3F95482B"/>
    <w:rsid w:val="3FAC23E3"/>
    <w:rsid w:val="4019356B"/>
    <w:rsid w:val="40592157"/>
    <w:rsid w:val="406E1CAE"/>
    <w:rsid w:val="40A0133A"/>
    <w:rsid w:val="40B64990"/>
    <w:rsid w:val="40C31A53"/>
    <w:rsid w:val="40E01788"/>
    <w:rsid w:val="40FF2192"/>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8C63DA"/>
    <w:rsid w:val="43977AB6"/>
    <w:rsid w:val="43A3342B"/>
    <w:rsid w:val="43C77C27"/>
    <w:rsid w:val="43DE09EE"/>
    <w:rsid w:val="44002FAD"/>
    <w:rsid w:val="449101DD"/>
    <w:rsid w:val="44B82185"/>
    <w:rsid w:val="44DE1391"/>
    <w:rsid w:val="451B225C"/>
    <w:rsid w:val="452410C9"/>
    <w:rsid w:val="45311AA1"/>
    <w:rsid w:val="45317DFB"/>
    <w:rsid w:val="456D3CE4"/>
    <w:rsid w:val="4579042C"/>
    <w:rsid w:val="457F0571"/>
    <w:rsid w:val="45851176"/>
    <w:rsid w:val="45C63B94"/>
    <w:rsid w:val="460E7DA5"/>
    <w:rsid w:val="463C5764"/>
    <w:rsid w:val="46422483"/>
    <w:rsid w:val="4659254A"/>
    <w:rsid w:val="465B0637"/>
    <w:rsid w:val="465E3F0D"/>
    <w:rsid w:val="466A16E6"/>
    <w:rsid w:val="46893F2B"/>
    <w:rsid w:val="46C4686E"/>
    <w:rsid w:val="47282841"/>
    <w:rsid w:val="474F4272"/>
    <w:rsid w:val="47583623"/>
    <w:rsid w:val="477B778F"/>
    <w:rsid w:val="478203EC"/>
    <w:rsid w:val="47B025FA"/>
    <w:rsid w:val="4809698F"/>
    <w:rsid w:val="4811697D"/>
    <w:rsid w:val="487A3E25"/>
    <w:rsid w:val="487B0469"/>
    <w:rsid w:val="488B5503"/>
    <w:rsid w:val="48937E21"/>
    <w:rsid w:val="489A0361"/>
    <w:rsid w:val="48B94FF3"/>
    <w:rsid w:val="48E37AAB"/>
    <w:rsid w:val="48FD4B4C"/>
    <w:rsid w:val="49016555"/>
    <w:rsid w:val="490A68E0"/>
    <w:rsid w:val="491055FE"/>
    <w:rsid w:val="49307104"/>
    <w:rsid w:val="495F5B3E"/>
    <w:rsid w:val="496F77D7"/>
    <w:rsid w:val="497654FD"/>
    <w:rsid w:val="49B64211"/>
    <w:rsid w:val="49F6167F"/>
    <w:rsid w:val="4A064FA0"/>
    <w:rsid w:val="4A16615C"/>
    <w:rsid w:val="4A4424D7"/>
    <w:rsid w:val="4A792E07"/>
    <w:rsid w:val="4AB82D0F"/>
    <w:rsid w:val="4ACC2F2D"/>
    <w:rsid w:val="4AEB7664"/>
    <w:rsid w:val="4AFD7C19"/>
    <w:rsid w:val="4B0567D1"/>
    <w:rsid w:val="4B236AAE"/>
    <w:rsid w:val="4B707271"/>
    <w:rsid w:val="4B9739F7"/>
    <w:rsid w:val="4B9D56FF"/>
    <w:rsid w:val="4BD6306B"/>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3481C"/>
    <w:rsid w:val="4F47354A"/>
    <w:rsid w:val="4F911C54"/>
    <w:rsid w:val="4FD23C92"/>
    <w:rsid w:val="4FE625E0"/>
    <w:rsid w:val="5021480F"/>
    <w:rsid w:val="50962ECB"/>
    <w:rsid w:val="50A42E38"/>
    <w:rsid w:val="50A4577F"/>
    <w:rsid w:val="50B73D1F"/>
    <w:rsid w:val="50BD5BC9"/>
    <w:rsid w:val="50C11EEE"/>
    <w:rsid w:val="50E772C9"/>
    <w:rsid w:val="50E97CFC"/>
    <w:rsid w:val="50FA4028"/>
    <w:rsid w:val="510D65B7"/>
    <w:rsid w:val="511157AB"/>
    <w:rsid w:val="5142540C"/>
    <w:rsid w:val="518832C8"/>
    <w:rsid w:val="51A0432A"/>
    <w:rsid w:val="51A85D4C"/>
    <w:rsid w:val="51A86090"/>
    <w:rsid w:val="51B7396D"/>
    <w:rsid w:val="522E4CC3"/>
    <w:rsid w:val="5244713B"/>
    <w:rsid w:val="52615633"/>
    <w:rsid w:val="52977FD4"/>
    <w:rsid w:val="52A25790"/>
    <w:rsid w:val="52A96B6F"/>
    <w:rsid w:val="52B45975"/>
    <w:rsid w:val="52D94AA4"/>
    <w:rsid w:val="52EA3A62"/>
    <w:rsid w:val="52F50BB8"/>
    <w:rsid w:val="53097272"/>
    <w:rsid w:val="53422A0F"/>
    <w:rsid w:val="53544462"/>
    <w:rsid w:val="536E566D"/>
    <w:rsid w:val="5379147E"/>
    <w:rsid w:val="5397158E"/>
    <w:rsid w:val="53D53D51"/>
    <w:rsid w:val="54013861"/>
    <w:rsid w:val="54487265"/>
    <w:rsid w:val="544D6070"/>
    <w:rsid w:val="54605E1E"/>
    <w:rsid w:val="546A0AE5"/>
    <w:rsid w:val="54774E08"/>
    <w:rsid w:val="54B3506A"/>
    <w:rsid w:val="54CA0D16"/>
    <w:rsid w:val="54DD4057"/>
    <w:rsid w:val="54E7490F"/>
    <w:rsid w:val="54F7464C"/>
    <w:rsid w:val="550764A4"/>
    <w:rsid w:val="550B2BF6"/>
    <w:rsid w:val="55214EB5"/>
    <w:rsid w:val="55364EFD"/>
    <w:rsid w:val="554F18ED"/>
    <w:rsid w:val="5555739E"/>
    <w:rsid w:val="555D4828"/>
    <w:rsid w:val="557A4C8B"/>
    <w:rsid w:val="558931E1"/>
    <w:rsid w:val="55923347"/>
    <w:rsid w:val="55925180"/>
    <w:rsid w:val="55983B1B"/>
    <w:rsid w:val="55A8376B"/>
    <w:rsid w:val="55DC29B6"/>
    <w:rsid w:val="55DD4241"/>
    <w:rsid w:val="566B6D1E"/>
    <w:rsid w:val="56B401A5"/>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D00F8B"/>
    <w:rsid w:val="58E363A9"/>
    <w:rsid w:val="590621D0"/>
    <w:rsid w:val="595E1678"/>
    <w:rsid w:val="596D5BD4"/>
    <w:rsid w:val="597E3DD8"/>
    <w:rsid w:val="59D15549"/>
    <w:rsid w:val="59F80043"/>
    <w:rsid w:val="5A09252F"/>
    <w:rsid w:val="5A0B2778"/>
    <w:rsid w:val="5A2A7C7B"/>
    <w:rsid w:val="5A3E2560"/>
    <w:rsid w:val="5A4F343E"/>
    <w:rsid w:val="5A5D3B6E"/>
    <w:rsid w:val="5A637A76"/>
    <w:rsid w:val="5A6D33BA"/>
    <w:rsid w:val="5A792B1F"/>
    <w:rsid w:val="5A874767"/>
    <w:rsid w:val="5AAD6F28"/>
    <w:rsid w:val="5AD63A24"/>
    <w:rsid w:val="5B2E1A1D"/>
    <w:rsid w:val="5B843A1C"/>
    <w:rsid w:val="5B873E3F"/>
    <w:rsid w:val="5C02690E"/>
    <w:rsid w:val="5C196DA7"/>
    <w:rsid w:val="5C28123C"/>
    <w:rsid w:val="5C2A048C"/>
    <w:rsid w:val="5C80234E"/>
    <w:rsid w:val="5C8A680C"/>
    <w:rsid w:val="5CB17682"/>
    <w:rsid w:val="5D0C4701"/>
    <w:rsid w:val="5D0F0395"/>
    <w:rsid w:val="5D0F619A"/>
    <w:rsid w:val="5D221076"/>
    <w:rsid w:val="5D397964"/>
    <w:rsid w:val="5D5A391C"/>
    <w:rsid w:val="5D5F10C0"/>
    <w:rsid w:val="5D8660BC"/>
    <w:rsid w:val="5D891B7B"/>
    <w:rsid w:val="5DAD38EE"/>
    <w:rsid w:val="5E006862"/>
    <w:rsid w:val="5E0207B9"/>
    <w:rsid w:val="5E1834A1"/>
    <w:rsid w:val="5E261785"/>
    <w:rsid w:val="5E4A7017"/>
    <w:rsid w:val="5E552BBA"/>
    <w:rsid w:val="5E5D506F"/>
    <w:rsid w:val="5E611C10"/>
    <w:rsid w:val="5EFC7377"/>
    <w:rsid w:val="5F06174D"/>
    <w:rsid w:val="5F3A3602"/>
    <w:rsid w:val="5F5D1486"/>
    <w:rsid w:val="5F6277C6"/>
    <w:rsid w:val="5F6D0B1D"/>
    <w:rsid w:val="5F8D0B82"/>
    <w:rsid w:val="5FCC5339"/>
    <w:rsid w:val="5FD54716"/>
    <w:rsid w:val="5FE34A5B"/>
    <w:rsid w:val="5FFE1E36"/>
    <w:rsid w:val="60232584"/>
    <w:rsid w:val="607330CE"/>
    <w:rsid w:val="60753D8B"/>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A170A1"/>
    <w:rsid w:val="62F40B65"/>
    <w:rsid w:val="62FC2CFE"/>
    <w:rsid w:val="63024505"/>
    <w:rsid w:val="63037672"/>
    <w:rsid w:val="6311467A"/>
    <w:rsid w:val="63436839"/>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59336FC"/>
    <w:rsid w:val="66195831"/>
    <w:rsid w:val="662B3D98"/>
    <w:rsid w:val="662E75B1"/>
    <w:rsid w:val="66342C2E"/>
    <w:rsid w:val="663E784C"/>
    <w:rsid w:val="66415276"/>
    <w:rsid w:val="668B6A45"/>
    <w:rsid w:val="672F3F24"/>
    <w:rsid w:val="673E055F"/>
    <w:rsid w:val="67551CE3"/>
    <w:rsid w:val="67962066"/>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496731"/>
    <w:rsid w:val="69627681"/>
    <w:rsid w:val="6977531D"/>
    <w:rsid w:val="69BA1155"/>
    <w:rsid w:val="69CC2BFF"/>
    <w:rsid w:val="69FD55B8"/>
    <w:rsid w:val="6A0B1C62"/>
    <w:rsid w:val="6A2406C8"/>
    <w:rsid w:val="6A732DB2"/>
    <w:rsid w:val="6ADE0BD1"/>
    <w:rsid w:val="6AE96859"/>
    <w:rsid w:val="6B147746"/>
    <w:rsid w:val="6B24787C"/>
    <w:rsid w:val="6B374B85"/>
    <w:rsid w:val="6B573233"/>
    <w:rsid w:val="6B5B6274"/>
    <w:rsid w:val="6B935D53"/>
    <w:rsid w:val="6C196F71"/>
    <w:rsid w:val="6C1D047C"/>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250CB"/>
    <w:rsid w:val="6ED446C5"/>
    <w:rsid w:val="6EDC1FE0"/>
    <w:rsid w:val="6F2A7D94"/>
    <w:rsid w:val="6F8331F1"/>
    <w:rsid w:val="6FAE1A09"/>
    <w:rsid w:val="6FD75BF8"/>
    <w:rsid w:val="707723D0"/>
    <w:rsid w:val="70E31AFB"/>
    <w:rsid w:val="70F5661B"/>
    <w:rsid w:val="71184396"/>
    <w:rsid w:val="71276082"/>
    <w:rsid w:val="71360107"/>
    <w:rsid w:val="713B688E"/>
    <w:rsid w:val="71D43752"/>
    <w:rsid w:val="71F1796A"/>
    <w:rsid w:val="72120343"/>
    <w:rsid w:val="72154626"/>
    <w:rsid w:val="72262B5D"/>
    <w:rsid w:val="72283FF7"/>
    <w:rsid w:val="722E7212"/>
    <w:rsid w:val="723A0474"/>
    <w:rsid w:val="724101BC"/>
    <w:rsid w:val="725923E4"/>
    <w:rsid w:val="72864BF7"/>
    <w:rsid w:val="729023FC"/>
    <w:rsid w:val="731A5A90"/>
    <w:rsid w:val="73C0646E"/>
    <w:rsid w:val="742222F5"/>
    <w:rsid w:val="74476126"/>
    <w:rsid w:val="7468752D"/>
    <w:rsid w:val="74706664"/>
    <w:rsid w:val="747F3682"/>
    <w:rsid w:val="749C4185"/>
    <w:rsid w:val="74B135C7"/>
    <w:rsid w:val="75067759"/>
    <w:rsid w:val="751A5B91"/>
    <w:rsid w:val="752E6DCD"/>
    <w:rsid w:val="7551380D"/>
    <w:rsid w:val="75600BE5"/>
    <w:rsid w:val="7564475C"/>
    <w:rsid w:val="7583797F"/>
    <w:rsid w:val="75D20F1D"/>
    <w:rsid w:val="75DA2C18"/>
    <w:rsid w:val="75F54412"/>
    <w:rsid w:val="761D08E0"/>
    <w:rsid w:val="764B7247"/>
    <w:rsid w:val="765D347C"/>
    <w:rsid w:val="76826699"/>
    <w:rsid w:val="76A31123"/>
    <w:rsid w:val="76A50F09"/>
    <w:rsid w:val="76C87133"/>
    <w:rsid w:val="76CD08D5"/>
    <w:rsid w:val="76DB4B92"/>
    <w:rsid w:val="77052AA4"/>
    <w:rsid w:val="77136511"/>
    <w:rsid w:val="77340A39"/>
    <w:rsid w:val="77351FD0"/>
    <w:rsid w:val="77472422"/>
    <w:rsid w:val="777F31F2"/>
    <w:rsid w:val="77D1700D"/>
    <w:rsid w:val="77EC04CC"/>
    <w:rsid w:val="78064B00"/>
    <w:rsid w:val="78775729"/>
    <w:rsid w:val="78836C56"/>
    <w:rsid w:val="78A42DB0"/>
    <w:rsid w:val="78A656AB"/>
    <w:rsid w:val="78B2245C"/>
    <w:rsid w:val="78E172CC"/>
    <w:rsid w:val="78EA1D1F"/>
    <w:rsid w:val="7904172F"/>
    <w:rsid w:val="790F7E27"/>
    <w:rsid w:val="792A231A"/>
    <w:rsid w:val="79316829"/>
    <w:rsid w:val="797E66A9"/>
    <w:rsid w:val="79A97383"/>
    <w:rsid w:val="79B74A9C"/>
    <w:rsid w:val="79E27E8B"/>
    <w:rsid w:val="79EB4D7F"/>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2823C0"/>
    <w:rsid w:val="7C564D04"/>
    <w:rsid w:val="7C590818"/>
    <w:rsid w:val="7C7C10F6"/>
    <w:rsid w:val="7C853BEA"/>
    <w:rsid w:val="7C881368"/>
    <w:rsid w:val="7CE27788"/>
    <w:rsid w:val="7D0C32F1"/>
    <w:rsid w:val="7D0F408D"/>
    <w:rsid w:val="7D1A12F3"/>
    <w:rsid w:val="7D221505"/>
    <w:rsid w:val="7D491C6C"/>
    <w:rsid w:val="7D5429C0"/>
    <w:rsid w:val="7D6E6D43"/>
    <w:rsid w:val="7DB57A34"/>
    <w:rsid w:val="7DE60973"/>
    <w:rsid w:val="7DEF0916"/>
    <w:rsid w:val="7E1E5218"/>
    <w:rsid w:val="7E9A4E1F"/>
    <w:rsid w:val="7EA7723A"/>
    <w:rsid w:val="7ECA04D2"/>
    <w:rsid w:val="7EF56FBB"/>
    <w:rsid w:val="7F0768EB"/>
    <w:rsid w:val="7F0F7BEC"/>
    <w:rsid w:val="7F143BEC"/>
    <w:rsid w:val="7F310387"/>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iPriority="0" w:semiHidden="0" w:name="table of figures"/>
    <w:lsdException w:uiPriority="0" w:name="envelope address"/>
    <w:lsdException w:qFormat="1" w:unhideWhenUsed="0" w:uiPriority="0" w:semiHidden="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5"/>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4"/>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9"/>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0"/>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4"/>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autoRedefine/>
    <w:semiHidden/>
    <w:unhideWhenUsed/>
    <w:qFormat/>
    <w:uiPriority w:val="1"/>
  </w:style>
  <w:style w:type="table" w:default="1" w:styleId="65">
    <w:name w:val="Normal Table"/>
    <w:autoRedefine/>
    <w:semiHidden/>
    <w:unhideWhenUsed/>
    <w:qFormat/>
    <w:uiPriority w:val="99"/>
    <w:tblPr>
      <w:tblCellMar>
        <w:top w:w="0" w:type="dxa"/>
        <w:left w:w="108" w:type="dxa"/>
        <w:bottom w:w="0" w:type="dxa"/>
        <w:right w:w="108" w:type="dxa"/>
      </w:tblCellMar>
    </w:tblPr>
  </w:style>
  <w:style w:type="paragraph" w:customStyle="1" w:styleId="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styleId="6">
    <w:name w:val="Plain Text"/>
    <w:basedOn w:val="1"/>
    <w:next w:val="1"/>
    <w:link w:val="127"/>
    <w:autoRedefine/>
    <w:qFormat/>
    <w:uiPriority w:val="0"/>
    <w:rPr>
      <w:rFonts w:ascii="宋体" w:hAnsi="Courier New" w:cs="Arial"/>
      <w:snapToGrid w:val="0"/>
      <w:szCs w:val="21"/>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next w:val="18"/>
    <w:link w:val="195"/>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Body Text Indent"/>
    <w:basedOn w:val="1"/>
    <w:next w:val="17"/>
    <w:link w:val="267"/>
    <w:autoRedefine/>
    <w:qFormat/>
    <w:uiPriority w:val="0"/>
    <w:pPr>
      <w:spacing w:line="480" w:lineRule="exact"/>
      <w:ind w:firstLine="480" w:firstLineChars="200"/>
    </w:pPr>
    <w:rPr>
      <w:rFonts w:ascii="宋体" w:hAnsi="宋体"/>
      <w:sz w:val="24"/>
    </w:rPr>
  </w:style>
  <w:style w:type="paragraph" w:styleId="19">
    <w:name w:val="caption"/>
    <w:basedOn w:val="1"/>
    <w:next w:val="1"/>
    <w:link w:val="231"/>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04"/>
    <w:autoRedefine/>
    <w:qFormat/>
    <w:uiPriority w:val="0"/>
    <w:pPr>
      <w:shd w:val="clear" w:color="auto" w:fill="000080"/>
    </w:pPr>
  </w:style>
  <w:style w:type="paragraph" w:styleId="22">
    <w:name w:val="annotation text"/>
    <w:basedOn w:val="1"/>
    <w:link w:val="346"/>
    <w:autoRedefine/>
    <w:qFormat/>
    <w:uiPriority w:val="99"/>
    <w:pPr>
      <w:jc w:val="left"/>
    </w:pPr>
  </w:style>
  <w:style w:type="paragraph" w:styleId="23">
    <w:name w:val="Salutation"/>
    <w:basedOn w:val="1"/>
    <w:next w:val="1"/>
    <w:link w:val="300"/>
    <w:autoRedefine/>
    <w:qFormat/>
    <w:uiPriority w:val="0"/>
    <w:rPr>
      <w:rFonts w:ascii="仿宋_GB2312" w:eastAsia="仿宋_GB2312"/>
      <w:sz w:val="28"/>
      <w:szCs w:val="20"/>
    </w:rPr>
  </w:style>
  <w:style w:type="paragraph" w:styleId="24">
    <w:name w:val="Body Text 3"/>
    <w:basedOn w:val="1"/>
    <w:link w:val="332"/>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w:basedOn w:val="1"/>
    <w:next w:val="27"/>
    <w:link w:val="432"/>
    <w:autoRedefine/>
    <w:qFormat/>
    <w:uiPriority w:val="0"/>
    <w:pPr>
      <w:autoSpaceDE w:val="0"/>
      <w:autoSpaceDN w:val="0"/>
      <w:spacing w:line="360" w:lineRule="auto"/>
    </w:pPr>
    <w:rPr>
      <w:rFonts w:ascii="宋体" w:hAnsi="Arial" w:cs="Arial"/>
      <w:snapToGrid w:val="0"/>
      <w:sz w:val="24"/>
      <w:szCs w:val="21"/>
      <w:lang w:val="zh-CN"/>
    </w:rPr>
  </w:style>
  <w:style w:type="paragraph" w:styleId="27">
    <w:name w:val="toc 2"/>
    <w:basedOn w:val="1"/>
    <w:next w:val="1"/>
    <w:autoRedefine/>
    <w:qFormat/>
    <w:uiPriority w:val="0"/>
    <w:pPr>
      <w:ind w:left="420" w:leftChars="200"/>
    </w:pPr>
  </w:style>
  <w:style w:type="paragraph" w:styleId="28">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1"/>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3"/>
    <w:autoRedefine/>
    <w:qFormat/>
    <w:uiPriority w:val="0"/>
    <w:pPr>
      <w:ind w:left="100" w:leftChars="2500"/>
    </w:pPr>
    <w:rPr>
      <w:rFonts w:ascii="宋体"/>
      <w:sz w:val="24"/>
      <w:szCs w:val="21"/>
      <w:lang w:val="zh-CN"/>
    </w:rPr>
  </w:style>
  <w:style w:type="paragraph" w:styleId="38">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2"/>
    <w:autoRedefine/>
    <w:qFormat/>
    <w:uiPriority w:val="0"/>
    <w:rPr>
      <w:lang w:val="zh-CN"/>
    </w:rPr>
  </w:style>
  <w:style w:type="paragraph" w:styleId="40">
    <w:name w:val="Balloon Text"/>
    <w:basedOn w:val="1"/>
    <w:link w:val="190"/>
    <w:autoRedefine/>
    <w:qFormat/>
    <w:uiPriority w:val="0"/>
    <w:rPr>
      <w:sz w:val="18"/>
      <w:szCs w:val="18"/>
    </w:rPr>
  </w:style>
  <w:style w:type="paragraph" w:styleId="41">
    <w:name w:val="footer"/>
    <w:basedOn w:val="1"/>
    <w:link w:val="385"/>
    <w:autoRedefine/>
    <w:qFormat/>
    <w:uiPriority w:val="99"/>
    <w:pPr>
      <w:tabs>
        <w:tab w:val="center" w:pos="4153"/>
        <w:tab w:val="right" w:pos="8306"/>
      </w:tabs>
      <w:snapToGrid w:val="0"/>
      <w:jc w:val="left"/>
    </w:pPr>
    <w:rPr>
      <w:sz w:val="18"/>
      <w:szCs w:val="18"/>
    </w:rPr>
  </w:style>
  <w:style w:type="paragraph" w:styleId="42">
    <w:name w:val="envelope return"/>
    <w:basedOn w:val="1"/>
    <w:autoRedefine/>
    <w:qFormat/>
    <w:uiPriority w:val="0"/>
    <w:pPr>
      <w:snapToGrid w:val="0"/>
    </w:pPr>
    <w:rPr>
      <w:rFonts w:ascii="Arial" w:hAnsi="Arial" w:eastAsia="仿宋_GB2312" w:cs="Arial"/>
      <w:sz w:val="32"/>
      <w:szCs w:val="32"/>
    </w:rPr>
  </w:style>
  <w:style w:type="paragraph" w:styleId="43">
    <w:name w:val="header"/>
    <w:basedOn w:val="1"/>
    <w:link w:val="394"/>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7"/>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basedOn w:val="1"/>
    <w:next w:val="1"/>
    <w:link w:val="135"/>
    <w:autoRedefine/>
    <w:qFormat/>
    <w:uiPriority w:val="0"/>
    <w:pPr>
      <w:snapToGrid w:val="0"/>
      <w:spacing w:before="240" w:after="480"/>
      <w:jc w:val="center"/>
    </w:pPr>
    <w:rPr>
      <w:rFonts w:ascii="Arial" w:hAnsi="Arial" w:eastAsia="隶书"/>
      <w:b/>
      <w:bCs/>
      <w:kern w:val="28"/>
      <w:sz w:val="44"/>
      <w:szCs w:val="32"/>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7"/>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autoRedefine/>
    <w:qFormat/>
    <w:uiPriority w:val="0"/>
    <w:pPr>
      <w:ind w:left="2100" w:leftChars="1000"/>
    </w:p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77"/>
    <w:autoRedefine/>
    <w:qFormat/>
    <w:uiPriority w:val="0"/>
    <w:pPr>
      <w:spacing w:line="360" w:lineRule="auto"/>
      <w:ind w:firstLine="420"/>
    </w:pPr>
    <w:rPr>
      <w:sz w:val="24"/>
      <w:szCs w:val="20"/>
    </w:rPr>
  </w:style>
  <w:style w:type="paragraph" w:styleId="56">
    <w:name w:val="table of figures"/>
    <w:basedOn w:val="1"/>
    <w:next w:val="1"/>
    <w:autoRedefine/>
    <w:unhideWhenUsed/>
    <w:qFormat/>
    <w:uiPriority w:val="0"/>
    <w:pPr>
      <w:tabs>
        <w:tab w:val="left" w:pos="1270"/>
      </w:tabs>
      <w:spacing w:line="360" w:lineRule="auto"/>
      <w:ind w:left="1270" w:hanging="420"/>
      <w:jc w:val="left"/>
    </w:pPr>
    <w:rPr>
      <w:smallCaps/>
      <w:sz w:val="20"/>
      <w:szCs w:val="20"/>
    </w:rPr>
  </w:style>
  <w:style w:type="paragraph" w:styleId="57">
    <w:name w:val="toc 9"/>
    <w:basedOn w:val="1"/>
    <w:next w:val="1"/>
    <w:autoRedefine/>
    <w:qFormat/>
    <w:uiPriority w:val="0"/>
    <w:pPr>
      <w:ind w:left="3360" w:leftChars="1600"/>
    </w:pPr>
  </w:style>
  <w:style w:type="paragraph" w:styleId="58">
    <w:name w:val="Body Text 2"/>
    <w:basedOn w:val="1"/>
    <w:link w:val="304"/>
    <w:autoRedefine/>
    <w:qFormat/>
    <w:uiPriority w:val="0"/>
    <w:pPr>
      <w:spacing w:after="120" w:line="480" w:lineRule="auto"/>
    </w:pPr>
  </w:style>
  <w:style w:type="paragraph" w:styleId="59">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8"/>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2"/>
    <w:next w:val="22"/>
    <w:link w:val="98"/>
    <w:autoRedefine/>
    <w:qFormat/>
    <w:uiPriority w:val="0"/>
    <w:rPr>
      <w:b/>
      <w:bCs/>
    </w:rPr>
  </w:style>
  <w:style w:type="paragraph" w:styleId="63">
    <w:name w:val="Body Text First Indent"/>
    <w:basedOn w:val="26"/>
    <w:next w:val="53"/>
    <w:link w:val="323"/>
    <w:autoRedefine/>
    <w:qFormat/>
    <w:uiPriority w:val="0"/>
    <w:pPr>
      <w:ind w:firstLine="420"/>
    </w:pPr>
    <w:rPr>
      <w:rFonts w:hAnsi="Calibri" w:cs="Times New Roman"/>
      <w:snapToGrid/>
      <w:szCs w:val="20"/>
    </w:rPr>
  </w:style>
  <w:style w:type="paragraph" w:styleId="64">
    <w:name w:val="Body Text First Indent 2"/>
    <w:basedOn w:val="18"/>
    <w:link w:val="123"/>
    <w:autoRedefine/>
    <w:qFormat/>
    <w:uiPriority w:val="0"/>
    <w:pPr>
      <w:adjustRightInd/>
      <w:spacing w:after="120" w:line="240" w:lineRule="auto"/>
      <w:ind w:left="420" w:leftChars="200" w:firstLine="210"/>
    </w:pPr>
    <w:rPr>
      <w:sz w:val="21"/>
    </w:rPr>
  </w:style>
  <w:style w:type="table" w:styleId="66">
    <w:name w:val="Table Grid"/>
    <w:basedOn w:val="65"/>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autoRedefine/>
    <w:qFormat/>
    <w:uiPriority w:val="22"/>
    <w:rPr>
      <w:b/>
      <w:bCs/>
    </w:rPr>
  </w:style>
  <w:style w:type="character" w:styleId="74">
    <w:name w:val="endnote reference"/>
    <w:autoRedefine/>
    <w:qFormat/>
    <w:uiPriority w:val="0"/>
    <w:rPr>
      <w:vertAlign w:val="superscript"/>
    </w:rPr>
  </w:style>
  <w:style w:type="character" w:styleId="75">
    <w:name w:val="page number"/>
    <w:basedOn w:val="72"/>
    <w:autoRedefine/>
    <w:qFormat/>
    <w:uiPriority w:val="0"/>
    <w:rPr>
      <w:rFonts w:ascii="Arial" w:hAnsi="Arial" w:eastAsia="黑体" w:cs="Arial"/>
      <w:snapToGrid w:val="0"/>
      <w:kern w:val="0"/>
      <w:szCs w:val="21"/>
    </w:rPr>
  </w:style>
  <w:style w:type="character" w:styleId="76">
    <w:name w:val="FollowedHyperlink"/>
    <w:autoRedefine/>
    <w:qFormat/>
    <w:uiPriority w:val="99"/>
    <w:rPr>
      <w:rFonts w:ascii="Arial" w:hAnsi="Arial" w:eastAsia="黑体" w:cs="Arial"/>
      <w:snapToGrid w:val="0"/>
      <w:color w:val="000000"/>
      <w:kern w:val="0"/>
      <w:sz w:val="18"/>
      <w:szCs w:val="18"/>
      <w:u w:val="none"/>
    </w:rPr>
  </w:style>
  <w:style w:type="character" w:styleId="77">
    <w:name w:val="Emphasis"/>
    <w:autoRedefine/>
    <w:qFormat/>
    <w:uiPriority w:val="20"/>
    <w:rPr>
      <w:color w:val="CC0033"/>
    </w:rPr>
  </w:style>
  <w:style w:type="character" w:styleId="78">
    <w:name w:val="line number"/>
    <w:basedOn w:val="72"/>
    <w:autoRedefine/>
    <w:qFormat/>
    <w:uiPriority w:val="0"/>
    <w:rPr>
      <w:rFonts w:ascii="Arial" w:hAnsi="Arial" w:eastAsia="黑体" w:cs="Arial"/>
      <w:snapToGrid w:val="0"/>
      <w:kern w:val="0"/>
      <w:szCs w:val="21"/>
    </w:rPr>
  </w:style>
  <w:style w:type="character" w:styleId="79">
    <w:name w:val="Hyperlink"/>
    <w:autoRedefine/>
    <w:qFormat/>
    <w:uiPriority w:val="99"/>
    <w:rPr>
      <w:rFonts w:ascii="Arial" w:hAnsi="Arial" w:eastAsia="黑体" w:cs="Arial"/>
      <w:snapToGrid w:val="0"/>
      <w:color w:val="000000"/>
      <w:kern w:val="0"/>
      <w:sz w:val="18"/>
      <w:szCs w:val="18"/>
      <w:u w:val="none"/>
    </w:rPr>
  </w:style>
  <w:style w:type="character" w:styleId="80">
    <w:name w:val="HTML Code"/>
    <w:autoRedefine/>
    <w:qFormat/>
    <w:uiPriority w:val="0"/>
    <w:rPr>
      <w:rFonts w:ascii="黑体" w:hAnsi="Courier New" w:eastAsia="黑体" w:cs="楷体_GB2312"/>
      <w:sz w:val="20"/>
      <w:szCs w:val="20"/>
    </w:rPr>
  </w:style>
  <w:style w:type="character" w:styleId="81">
    <w:name w:val="annotation reference"/>
    <w:autoRedefine/>
    <w:qFormat/>
    <w:uiPriority w:val="99"/>
    <w:rPr>
      <w:sz w:val="21"/>
      <w:szCs w:val="21"/>
    </w:rPr>
  </w:style>
  <w:style w:type="paragraph" w:customStyle="1" w:styleId="82">
    <w:name w:val="表格文字"/>
    <w:basedOn w:val="83"/>
    <w:next w:val="26"/>
    <w:autoRedefine/>
    <w:qFormat/>
    <w:uiPriority w:val="0"/>
    <w:pPr>
      <w:adjustRightInd/>
      <w:ind w:firstLine="200" w:firstLineChars="200"/>
    </w:pPr>
    <w:rPr>
      <w:rFonts w:ascii="Arial" w:hAnsi="Arial"/>
      <w:spacing w:val="-5"/>
      <w:kern w:val="0"/>
      <w:sz w:val="24"/>
      <w:szCs w:val="20"/>
    </w:rPr>
  </w:style>
  <w:style w:type="paragraph" w:customStyle="1" w:styleId="83">
    <w:name w:val="表格文字（两侧对齐）"/>
    <w:basedOn w:val="1"/>
    <w:autoRedefine/>
    <w:qFormat/>
    <w:uiPriority w:val="0"/>
    <w:pPr>
      <w:snapToGrid w:val="0"/>
    </w:pPr>
    <w:rPr>
      <w:sz w:val="20"/>
    </w:rPr>
  </w:style>
  <w:style w:type="character" w:customStyle="1" w:styleId="84">
    <w:name w:val="表格非标题文字 Char"/>
    <w:link w:val="85"/>
    <w:autoRedefine/>
    <w:qFormat/>
    <w:uiPriority w:val="0"/>
    <w:rPr>
      <w:rFonts w:ascii="Futura Bk" w:hAnsi="Futura Bk"/>
      <w:kern w:val="2"/>
      <w:sz w:val="18"/>
      <w:szCs w:val="21"/>
      <w:lang w:val="en-US" w:eastAsia="zh-CN" w:bidi="ar-SA"/>
    </w:rPr>
  </w:style>
  <w:style w:type="paragraph" w:customStyle="1" w:styleId="85">
    <w:name w:val="表格非标题文字"/>
    <w:link w:val="84"/>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autoRedefine/>
    <w:qFormat/>
    <w:locked/>
    <w:uiPriority w:val="0"/>
    <w:rPr>
      <w:rFonts w:ascii="宋体" w:hAnsi="宋体"/>
      <w:sz w:val="24"/>
    </w:rPr>
  </w:style>
  <w:style w:type="paragraph" w:customStyle="1" w:styleId="87">
    <w:name w:val="*正文"/>
    <w:basedOn w:val="1"/>
    <w:link w:val="86"/>
    <w:autoRedefine/>
    <w:qFormat/>
    <w:uiPriority w:val="0"/>
    <w:pPr>
      <w:snapToGrid w:val="0"/>
      <w:spacing w:line="360" w:lineRule="auto"/>
      <w:ind w:firstLine="482"/>
      <w:jc w:val="left"/>
    </w:pPr>
    <w:rPr>
      <w:rFonts w:ascii="宋体" w:hAnsi="宋体"/>
      <w:kern w:val="0"/>
      <w:sz w:val="24"/>
      <w:szCs w:val="20"/>
    </w:rPr>
  </w:style>
  <w:style w:type="character" w:customStyle="1" w:styleId="88">
    <w:name w:val="Char Char71"/>
    <w:autoRedefine/>
    <w:semiHidden/>
    <w:qFormat/>
    <w:uiPriority w:val="0"/>
    <w:rPr>
      <w:rFonts w:eastAsia="宋体"/>
      <w:kern w:val="2"/>
      <w:sz w:val="21"/>
      <w:szCs w:val="24"/>
      <w:lang w:val="en-US" w:eastAsia="zh-CN" w:bidi="ar-SA"/>
    </w:rPr>
  </w:style>
  <w:style w:type="character" w:customStyle="1" w:styleId="89">
    <w:name w:val="Char Char6"/>
    <w:autoRedefine/>
    <w:qFormat/>
    <w:uiPriority w:val="0"/>
    <w:rPr>
      <w:rFonts w:eastAsia="宋体"/>
      <w:kern w:val="2"/>
      <w:sz w:val="21"/>
      <w:szCs w:val="24"/>
      <w:lang w:val="en-US" w:eastAsia="zh-CN" w:bidi="ar-SA"/>
    </w:rPr>
  </w:style>
  <w:style w:type="character" w:customStyle="1" w:styleId="90">
    <w:name w:val="正文缩进 Char"/>
    <w:autoRedefine/>
    <w:qFormat/>
    <w:uiPriority w:val="0"/>
    <w:rPr>
      <w:rFonts w:eastAsia="宋体"/>
      <w:kern w:val="2"/>
      <w:sz w:val="21"/>
      <w:lang w:val="en-US" w:eastAsia="zh-CN"/>
    </w:rPr>
  </w:style>
  <w:style w:type="character" w:customStyle="1" w:styleId="91">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2">
    <w:name w:val="Char Char28"/>
    <w:autoRedefine/>
    <w:qFormat/>
    <w:uiPriority w:val="6"/>
    <w:rPr>
      <w:rFonts w:ascii="仿宋_GB2312" w:hAnsi="仿宋_GB2312" w:eastAsia="仿宋_GB2312"/>
      <w:kern w:val="1"/>
      <w:sz w:val="28"/>
    </w:rPr>
  </w:style>
  <w:style w:type="character" w:customStyle="1" w:styleId="9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autoRedefine/>
    <w:qFormat/>
    <w:uiPriority w:val="6"/>
    <w:rPr>
      <w:rFonts w:ascii="Times New Roman" w:hAnsi="Times New Roman" w:eastAsia="黑体" w:cs="Times New Roman"/>
      <w:b/>
      <w:kern w:val="0"/>
      <w:sz w:val="24"/>
      <w:szCs w:val="24"/>
    </w:rPr>
  </w:style>
  <w:style w:type="character" w:customStyle="1" w:styleId="95">
    <w:name w:val="U_正文 Char"/>
    <w:link w:val="96"/>
    <w:autoRedefine/>
    <w:qFormat/>
    <w:uiPriority w:val="0"/>
    <w:rPr>
      <w:sz w:val="24"/>
      <w:szCs w:val="24"/>
    </w:rPr>
  </w:style>
  <w:style w:type="paragraph" w:customStyle="1" w:styleId="96">
    <w:name w:val="U_正文"/>
    <w:basedOn w:val="1"/>
    <w:link w:val="95"/>
    <w:autoRedefine/>
    <w:qFormat/>
    <w:uiPriority w:val="0"/>
    <w:pPr>
      <w:adjustRightInd/>
      <w:spacing w:beforeLines="20" w:afterLines="20" w:line="300" w:lineRule="auto"/>
      <w:ind w:firstLine="200" w:firstLineChars="200"/>
    </w:pPr>
    <w:rPr>
      <w:kern w:val="0"/>
      <w:sz w:val="24"/>
    </w:rPr>
  </w:style>
  <w:style w:type="character" w:customStyle="1" w:styleId="97">
    <w:name w:val="HTML 地址 Char1"/>
    <w:autoRedefine/>
    <w:qFormat/>
    <w:uiPriority w:val="0"/>
    <w:rPr>
      <w:rFonts w:ascii="Times New Roman" w:hAnsi="Times New Roman" w:eastAsia="宋体" w:cs="Times New Roman"/>
      <w:i/>
      <w:iCs/>
      <w:szCs w:val="24"/>
    </w:rPr>
  </w:style>
  <w:style w:type="character" w:customStyle="1" w:styleId="98">
    <w:name w:val="批注主题 Char1"/>
    <w:link w:val="62"/>
    <w:autoRedefine/>
    <w:qFormat/>
    <w:uiPriority w:val="0"/>
    <w:rPr>
      <w:b/>
      <w:bCs/>
      <w:kern w:val="2"/>
      <w:sz w:val="21"/>
      <w:szCs w:val="24"/>
    </w:rPr>
  </w:style>
  <w:style w:type="character" w:customStyle="1" w:styleId="99">
    <w:name w:val="Char Char51"/>
    <w:autoRedefine/>
    <w:qFormat/>
    <w:uiPriority w:val="0"/>
    <w:rPr>
      <w:rFonts w:ascii="宋体" w:hAnsi="Courier New" w:eastAsia="宋体"/>
      <w:kern w:val="2"/>
      <w:sz w:val="21"/>
      <w:lang w:val="en-US" w:eastAsia="zh-CN"/>
    </w:rPr>
  </w:style>
  <w:style w:type="character" w:customStyle="1" w:styleId="100">
    <w:name w:val="表正文 Char"/>
    <w:autoRedefine/>
    <w:qFormat/>
    <w:uiPriority w:val="0"/>
    <w:rPr>
      <w:rFonts w:ascii="宋体" w:eastAsia="宋体"/>
      <w:snapToGrid w:val="0"/>
      <w:color w:val="000000"/>
      <w:kern w:val="28"/>
      <w:sz w:val="28"/>
      <w:lang w:val="en-US" w:eastAsia="zh-CN" w:bidi="ar-SA"/>
    </w:rPr>
  </w:style>
  <w:style w:type="character" w:customStyle="1" w:styleId="101">
    <w:name w:val="Char Char34"/>
    <w:autoRedefine/>
    <w:qFormat/>
    <w:uiPriority w:val="6"/>
    <w:rPr>
      <w:b/>
      <w:kern w:val="1"/>
      <w:sz w:val="28"/>
      <w:szCs w:val="28"/>
    </w:rPr>
  </w:style>
  <w:style w:type="character" w:customStyle="1" w:styleId="102">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autoRedefine/>
    <w:qFormat/>
    <w:uiPriority w:val="0"/>
    <w:rPr>
      <w:rFonts w:ascii="宋体" w:hAnsi="宋体" w:eastAsia="宋体"/>
      <w:kern w:val="2"/>
      <w:sz w:val="24"/>
      <w:lang w:bidi="ar-SA"/>
    </w:rPr>
  </w:style>
  <w:style w:type="paragraph" w:customStyle="1" w:styleId="104">
    <w:name w:val="哈哈正文"/>
    <w:basedOn w:val="1"/>
    <w:link w:val="103"/>
    <w:autoRedefine/>
    <w:qFormat/>
    <w:uiPriority w:val="0"/>
    <w:pPr>
      <w:adjustRightInd/>
      <w:spacing w:line="360" w:lineRule="auto"/>
      <w:ind w:firstLine="200" w:firstLineChars="200"/>
    </w:pPr>
    <w:rPr>
      <w:rFonts w:ascii="宋体" w:hAnsi="宋体"/>
      <w:sz w:val="24"/>
      <w:szCs w:val="20"/>
    </w:rPr>
  </w:style>
  <w:style w:type="character" w:customStyle="1" w:styleId="105">
    <w:name w:val="未处理的提及1"/>
    <w:autoRedefine/>
    <w:qFormat/>
    <w:uiPriority w:val="0"/>
    <w:rPr>
      <w:color w:val="808080"/>
      <w:shd w:val="clear" w:color="auto" w:fill="E6E6E6"/>
    </w:rPr>
  </w:style>
  <w:style w:type="character" w:customStyle="1" w:styleId="106">
    <w:name w:val="txt"/>
    <w:autoRedefine/>
    <w:qFormat/>
    <w:uiPriority w:val="0"/>
    <w:rPr>
      <w:rFonts w:ascii="仿宋_GB2312" w:eastAsia="微软雅黑"/>
      <w:b/>
      <w:kern w:val="2"/>
      <w:sz w:val="32"/>
      <w:szCs w:val="32"/>
      <w:lang w:val="en-US" w:eastAsia="zh-CN" w:bidi="ar-SA"/>
    </w:rPr>
  </w:style>
  <w:style w:type="character" w:customStyle="1" w:styleId="107">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8">
    <w:name w:val="Char Char32"/>
    <w:autoRedefine/>
    <w:qFormat/>
    <w:uiPriority w:val="6"/>
    <w:rPr>
      <w:b/>
      <w:kern w:val="1"/>
      <w:sz w:val="24"/>
      <w:szCs w:val="24"/>
    </w:rPr>
  </w:style>
  <w:style w:type="character" w:customStyle="1" w:styleId="109">
    <w:name w:val="PI Char1"/>
    <w:autoRedefine/>
    <w:qFormat/>
    <w:uiPriority w:val="0"/>
    <w:rPr>
      <w:rFonts w:ascii="宋体" w:hAnsi="宋体"/>
      <w:kern w:val="2"/>
      <w:sz w:val="24"/>
      <w:szCs w:val="24"/>
    </w:rPr>
  </w:style>
  <w:style w:type="character" w:customStyle="1" w:styleId="110">
    <w:name w:val="tw4winTerm"/>
    <w:autoRedefine/>
    <w:qFormat/>
    <w:uiPriority w:val="0"/>
    <w:rPr>
      <w:color w:val="0000FF"/>
    </w:rPr>
  </w:style>
  <w:style w:type="character" w:customStyle="1" w:styleId="111">
    <w:name w:val="Footer Char"/>
    <w:autoRedefine/>
    <w:qFormat/>
    <w:locked/>
    <w:uiPriority w:val="0"/>
    <w:rPr>
      <w:rFonts w:eastAsia="宋体"/>
      <w:kern w:val="2"/>
      <w:sz w:val="18"/>
      <w:lang w:val="en-US" w:eastAsia="zh-CN" w:bidi="ar-SA"/>
    </w:rPr>
  </w:style>
  <w:style w:type="character" w:customStyle="1" w:styleId="112">
    <w:name w:val="普通文字 Char Char1"/>
    <w:autoRedefine/>
    <w:qFormat/>
    <w:uiPriority w:val="0"/>
    <w:rPr>
      <w:rFonts w:ascii="宋体" w:hAnsi="Courier New"/>
      <w:kern w:val="2"/>
      <w:sz w:val="21"/>
    </w:rPr>
  </w:style>
  <w:style w:type="character" w:customStyle="1" w:styleId="113">
    <w:name w:val="Char Char101"/>
    <w:autoRedefine/>
    <w:qFormat/>
    <w:uiPriority w:val="6"/>
    <w:rPr>
      <w:rFonts w:ascii="宋体" w:hAnsi="宋体"/>
      <w:kern w:val="2"/>
      <w:sz w:val="21"/>
      <w:szCs w:val="24"/>
      <w:lang w:val="en-US" w:eastAsia="zh-CN"/>
    </w:rPr>
  </w:style>
  <w:style w:type="character" w:customStyle="1" w:styleId="114">
    <w:name w:val="标题 4 Char"/>
    <w:autoRedefine/>
    <w:qFormat/>
    <w:uiPriority w:val="0"/>
    <w:rPr>
      <w:rFonts w:ascii="Arial" w:hAnsi="Arial" w:eastAsia="黑体"/>
      <w:b/>
      <w:kern w:val="2"/>
      <w:sz w:val="28"/>
    </w:rPr>
  </w:style>
  <w:style w:type="character" w:customStyle="1" w:styleId="115">
    <w:name w:val="链接"/>
    <w:autoRedefine/>
    <w:qFormat/>
    <w:uiPriority w:val="0"/>
    <w:rPr>
      <w:color w:val="0000FF"/>
      <w:sz w:val="21"/>
      <w:szCs w:val="21"/>
      <w:u w:val="single"/>
    </w:rPr>
  </w:style>
  <w:style w:type="character" w:customStyle="1" w:styleId="116">
    <w:name w:val="h4 Char"/>
    <w:autoRedefine/>
    <w:qFormat/>
    <w:uiPriority w:val="0"/>
    <w:rPr>
      <w:rFonts w:ascii="Arial" w:hAnsi="Arial" w:eastAsia="黑体"/>
      <w:b/>
      <w:bCs/>
      <w:kern w:val="2"/>
      <w:sz w:val="28"/>
      <w:szCs w:val="28"/>
      <w:lang w:val="zh-CN" w:eastAsia="zh-CN" w:bidi="ar-SA"/>
    </w:rPr>
  </w:style>
  <w:style w:type="character" w:customStyle="1" w:styleId="117">
    <w:name w:val="5正文 Char"/>
    <w:link w:val="118"/>
    <w:autoRedefine/>
    <w:qFormat/>
    <w:uiPriority w:val="0"/>
    <w:rPr>
      <w:rFonts w:ascii="仿宋_GB2312" w:hAnsi="微软雅黑" w:eastAsia="仿宋_GB2312"/>
      <w:sz w:val="28"/>
      <w:szCs w:val="21"/>
    </w:rPr>
  </w:style>
  <w:style w:type="paragraph" w:customStyle="1" w:styleId="118">
    <w:name w:val="5正文"/>
    <w:basedOn w:val="1"/>
    <w:link w:val="117"/>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autoRedefine/>
    <w:qFormat/>
    <w:uiPriority w:val="9"/>
    <w:rPr>
      <w:b/>
      <w:bCs/>
      <w:kern w:val="2"/>
      <w:sz w:val="32"/>
      <w:szCs w:val="32"/>
    </w:rPr>
  </w:style>
  <w:style w:type="character" w:customStyle="1" w:styleId="120">
    <w:name w:val="样式6 Char"/>
    <w:autoRedefine/>
    <w:qFormat/>
    <w:uiPriority w:val="0"/>
    <w:rPr>
      <w:rFonts w:ascii="仿宋_GB2312" w:hAnsi="宋体" w:eastAsia="仿宋_GB2312"/>
      <w:b/>
      <w:bCs/>
      <w:kern w:val="2"/>
      <w:sz w:val="24"/>
      <w:szCs w:val="24"/>
      <w:lang w:val="en-US" w:eastAsia="zh-CN" w:bidi="ar-SA"/>
    </w:rPr>
  </w:style>
  <w:style w:type="character" w:customStyle="1" w:styleId="121">
    <w:name w:val="Char Char14"/>
    <w:autoRedefine/>
    <w:qFormat/>
    <w:uiPriority w:val="6"/>
    <w:rPr>
      <w:rFonts w:ascii="黑体" w:hAnsi="黑体" w:eastAsia="黑体"/>
    </w:rPr>
  </w:style>
  <w:style w:type="character" w:customStyle="1" w:styleId="122">
    <w:name w:val="Heading 2 Hidden Char"/>
    <w:autoRedefine/>
    <w:qFormat/>
    <w:uiPriority w:val="0"/>
    <w:rPr>
      <w:rFonts w:ascii="仿宋_GB2312" w:eastAsia="仿宋_GB2312"/>
      <w:b/>
      <w:bCs/>
      <w:kern w:val="2"/>
      <w:sz w:val="24"/>
      <w:szCs w:val="24"/>
      <w:lang w:val="zh-CN" w:eastAsia="zh-CN" w:bidi="ar-SA"/>
    </w:rPr>
  </w:style>
  <w:style w:type="character" w:customStyle="1" w:styleId="123">
    <w:name w:val="正文首行缩进 2 Char"/>
    <w:link w:val="64"/>
    <w:autoRedefine/>
    <w:qFormat/>
    <w:uiPriority w:val="0"/>
    <w:rPr>
      <w:rFonts w:ascii="宋体" w:hAnsi="宋体"/>
      <w:kern w:val="2"/>
      <w:sz w:val="21"/>
      <w:szCs w:val="24"/>
    </w:rPr>
  </w:style>
  <w:style w:type="character" w:customStyle="1" w:styleId="124">
    <w:name w:val="font11"/>
    <w:autoRedefine/>
    <w:qFormat/>
    <w:uiPriority w:val="0"/>
    <w:rPr>
      <w:rFonts w:hint="default" w:ascii="Times New Roman" w:hAnsi="Times New Roman" w:cs="Times New Roman"/>
      <w:color w:val="000000"/>
      <w:sz w:val="22"/>
      <w:szCs w:val="22"/>
      <w:u w:val="none"/>
    </w:rPr>
  </w:style>
  <w:style w:type="character" w:customStyle="1" w:styleId="125">
    <w:name w:val="表正文 Char1"/>
    <w:autoRedefine/>
    <w:qFormat/>
    <w:uiPriority w:val="0"/>
    <w:rPr>
      <w:rFonts w:ascii="宋体" w:eastAsia="宋体"/>
      <w:snapToGrid w:val="0"/>
      <w:color w:val="000000"/>
      <w:kern w:val="28"/>
      <w:sz w:val="28"/>
    </w:rPr>
  </w:style>
  <w:style w:type="character" w:customStyle="1" w:styleId="126">
    <w:name w:val="blue1"/>
    <w:basedOn w:val="72"/>
    <w:autoRedefine/>
    <w:qFormat/>
    <w:uiPriority w:val="0"/>
    <w:rPr>
      <w:rFonts w:ascii="Arial" w:hAnsi="Arial" w:eastAsia="黑体" w:cs="Arial"/>
      <w:snapToGrid w:val="0"/>
      <w:kern w:val="0"/>
      <w:szCs w:val="21"/>
    </w:rPr>
  </w:style>
  <w:style w:type="character" w:customStyle="1" w:styleId="127">
    <w:name w:val="纯文本 Char"/>
    <w:link w:val="6"/>
    <w:autoRedefine/>
    <w:qFormat/>
    <w:uiPriority w:val="0"/>
    <w:rPr>
      <w:rFonts w:ascii="宋体" w:hAnsi="Courier New" w:eastAsia="宋体" w:cs="Arial"/>
      <w:snapToGrid w:val="0"/>
      <w:kern w:val="2"/>
      <w:sz w:val="21"/>
      <w:szCs w:val="21"/>
      <w:lang w:val="en-US" w:eastAsia="zh-CN" w:bidi="ar-SA"/>
    </w:rPr>
  </w:style>
  <w:style w:type="character" w:customStyle="1" w:styleId="128">
    <w:name w:val="标书1 Char"/>
    <w:autoRedefine/>
    <w:qFormat/>
    <w:uiPriority w:val="0"/>
    <w:rPr>
      <w:rFonts w:eastAsia="宋体"/>
      <w:b/>
      <w:bCs/>
      <w:kern w:val="44"/>
      <w:sz w:val="44"/>
      <w:szCs w:val="44"/>
      <w:lang w:val="en-US" w:eastAsia="zh-CN" w:bidi="ar-SA"/>
    </w:rPr>
  </w:style>
  <w:style w:type="character" w:customStyle="1" w:styleId="129">
    <w:name w:val="样式5 Char"/>
    <w:autoRedefine/>
    <w:qFormat/>
    <w:uiPriority w:val="0"/>
    <w:rPr>
      <w:rFonts w:ascii="仿宋_GB2312" w:hAnsi="仿宋" w:eastAsia="仿宋_GB2312"/>
      <w:kern w:val="2"/>
      <w:sz w:val="24"/>
      <w:szCs w:val="24"/>
    </w:rPr>
  </w:style>
  <w:style w:type="character" w:customStyle="1" w:styleId="130">
    <w:name w:val="样式4 Char"/>
    <w:autoRedefine/>
    <w:qFormat/>
    <w:uiPriority w:val="0"/>
    <w:rPr>
      <w:rFonts w:ascii="仿宋_GB2312" w:hAnsi="仿宋" w:eastAsia="仿宋_GB2312"/>
      <w:b/>
      <w:kern w:val="2"/>
      <w:sz w:val="32"/>
      <w:szCs w:val="32"/>
      <w:lang w:bidi="ar-SA"/>
    </w:rPr>
  </w:style>
  <w:style w:type="character" w:customStyle="1" w:styleId="131">
    <w:name w:val="插图说明 Char"/>
    <w:autoRedefine/>
    <w:qFormat/>
    <w:uiPriority w:val="0"/>
    <w:rPr>
      <w:rFonts w:eastAsia="黑体"/>
      <w:sz w:val="24"/>
      <w:lang w:val="en-US" w:eastAsia="zh-CN"/>
    </w:rPr>
  </w:style>
  <w:style w:type="character" w:customStyle="1" w:styleId="132">
    <w:name w:val="正文2 Char Char"/>
    <w:link w:val="133"/>
    <w:autoRedefine/>
    <w:qFormat/>
    <w:uiPriority w:val="0"/>
    <w:rPr>
      <w:rFonts w:eastAsia="宋体"/>
      <w:kern w:val="2"/>
      <w:sz w:val="24"/>
      <w:lang w:val="en-US" w:eastAsia="zh-CN" w:bidi="ar-SA"/>
    </w:rPr>
  </w:style>
  <w:style w:type="paragraph" w:customStyle="1" w:styleId="133">
    <w:name w:val="正文2"/>
    <w:basedOn w:val="1"/>
    <w:link w:val="132"/>
    <w:autoRedefine/>
    <w:qFormat/>
    <w:uiPriority w:val="0"/>
    <w:pPr>
      <w:spacing w:before="156" w:line="360" w:lineRule="auto"/>
      <w:ind w:firstLine="510" w:firstLineChars="200"/>
    </w:pPr>
    <w:rPr>
      <w:sz w:val="24"/>
      <w:szCs w:val="20"/>
    </w:rPr>
  </w:style>
  <w:style w:type="character" w:customStyle="1" w:styleId="134">
    <w:name w:val="Char Char24"/>
    <w:autoRedefine/>
    <w:qFormat/>
    <w:uiPriority w:val="6"/>
    <w:rPr>
      <w:kern w:val="1"/>
      <w:sz w:val="21"/>
    </w:rPr>
  </w:style>
  <w:style w:type="character" w:customStyle="1" w:styleId="135">
    <w:name w:val="副标题 Char"/>
    <w:link w:val="49"/>
    <w:autoRedefine/>
    <w:qFormat/>
    <w:uiPriority w:val="0"/>
    <w:rPr>
      <w:rFonts w:ascii="Arial" w:hAnsi="Arial" w:eastAsia="隶书"/>
      <w:b/>
      <w:bCs/>
      <w:kern w:val="28"/>
      <w:sz w:val="44"/>
      <w:szCs w:val="32"/>
      <w:lang w:val="en-US" w:eastAsia="zh-CN" w:bidi="ar-SA"/>
    </w:rPr>
  </w:style>
  <w:style w:type="character" w:customStyle="1" w:styleId="136">
    <w:name w:val="普通文字 Char1 Char"/>
    <w:autoRedefine/>
    <w:qFormat/>
    <w:uiPriority w:val="0"/>
    <w:rPr>
      <w:rFonts w:ascii="宋体" w:hAnsi="Courier New" w:eastAsia="宋体"/>
      <w:kern w:val="2"/>
      <w:sz w:val="21"/>
      <w:szCs w:val="24"/>
      <w:lang w:val="en-US" w:eastAsia="zh-CN" w:bidi="ar-SA"/>
    </w:rPr>
  </w:style>
  <w:style w:type="character" w:customStyle="1" w:styleId="137">
    <w:name w:val="h3 Char1"/>
    <w:autoRedefine/>
    <w:qFormat/>
    <w:uiPriority w:val="0"/>
    <w:rPr>
      <w:rFonts w:eastAsia="宋体"/>
      <w:b/>
      <w:bCs/>
      <w:kern w:val="2"/>
      <w:sz w:val="32"/>
      <w:szCs w:val="32"/>
      <w:lang w:bidi="ar-SA"/>
    </w:rPr>
  </w:style>
  <w:style w:type="character" w:customStyle="1" w:styleId="138">
    <w:name w:val="标题 Char1"/>
    <w:autoRedefine/>
    <w:qFormat/>
    <w:uiPriority w:val="0"/>
    <w:rPr>
      <w:rFonts w:ascii="Cambria" w:hAnsi="Cambria" w:eastAsia="宋体" w:cs="Times New Roman"/>
      <w:b/>
      <w:bCs/>
      <w:sz w:val="32"/>
      <w:szCs w:val="32"/>
      <w:lang w:bidi="ar-SA"/>
    </w:rPr>
  </w:style>
  <w:style w:type="character" w:customStyle="1" w:styleId="139">
    <w:name w:val="gf正文1 Char"/>
    <w:autoRedefine/>
    <w:qFormat/>
    <w:uiPriority w:val="0"/>
    <w:rPr>
      <w:rFonts w:ascii="宋体" w:hAnsi="宋体" w:eastAsia="宋体" w:cs="宋体"/>
      <w:kern w:val="2"/>
      <w:sz w:val="24"/>
      <w:szCs w:val="24"/>
      <w:lang w:val="en-US" w:eastAsia="zh-CN" w:bidi="ar-SA"/>
    </w:rPr>
  </w:style>
  <w:style w:type="character" w:customStyle="1" w:styleId="140">
    <w:name w:val="正文文本缩进 Char1"/>
    <w:autoRedefine/>
    <w:qFormat/>
    <w:uiPriority w:val="0"/>
    <w:rPr>
      <w:rFonts w:ascii="Calibri" w:hAnsi="Calibri"/>
      <w:sz w:val="28"/>
    </w:rPr>
  </w:style>
  <w:style w:type="character" w:customStyle="1" w:styleId="141">
    <w:name w:val="No Spacing Char"/>
    <w:link w:val="142"/>
    <w:autoRedefine/>
    <w:qFormat/>
    <w:uiPriority w:val="1"/>
    <w:rPr>
      <w:sz w:val="22"/>
      <w:szCs w:val="22"/>
      <w:lang w:val="en-US" w:eastAsia="zh-CN" w:bidi="ar-SA"/>
    </w:rPr>
  </w:style>
  <w:style w:type="paragraph" w:customStyle="1" w:styleId="142">
    <w:name w:val="无间隔1"/>
    <w:link w:val="141"/>
    <w:autoRedefine/>
    <w:qFormat/>
    <w:uiPriority w:val="1"/>
    <w:rPr>
      <w:rFonts w:ascii="Times New Roman" w:hAnsi="Times New Roman" w:eastAsia="宋体" w:cs="Times New Roman"/>
      <w:sz w:val="22"/>
      <w:szCs w:val="22"/>
      <w:lang w:val="en-US" w:eastAsia="zh-CN" w:bidi="ar-SA"/>
    </w:rPr>
  </w:style>
  <w:style w:type="character" w:customStyle="1" w:styleId="143">
    <w:name w:val="样式7 Char"/>
    <w:autoRedefine/>
    <w:qFormat/>
    <w:uiPriority w:val="0"/>
    <w:rPr>
      <w:rFonts w:ascii="仿宋_GB2312" w:hAnsi="仿宋" w:eastAsia="仿宋_GB2312"/>
      <w:b/>
      <w:kern w:val="2"/>
      <w:sz w:val="24"/>
      <w:szCs w:val="24"/>
    </w:rPr>
  </w:style>
  <w:style w:type="character" w:customStyle="1" w:styleId="144">
    <w:name w:val="font12gray1"/>
    <w:autoRedefine/>
    <w:qFormat/>
    <w:uiPriority w:val="0"/>
    <w:rPr>
      <w:rFonts w:ascii="仿宋_GB2312" w:eastAsia="微软雅黑"/>
      <w:b/>
      <w:spacing w:val="300"/>
      <w:kern w:val="2"/>
      <w:sz w:val="18"/>
      <w:szCs w:val="18"/>
      <w:lang w:val="en-US" w:eastAsia="zh-CN" w:bidi="ar-SA"/>
    </w:rPr>
  </w:style>
  <w:style w:type="character" w:customStyle="1" w:styleId="145">
    <w:name w:val="Char Char7"/>
    <w:autoRedefine/>
    <w:semiHidden/>
    <w:qFormat/>
    <w:uiPriority w:val="0"/>
    <w:rPr>
      <w:rFonts w:eastAsia="宋体"/>
      <w:kern w:val="2"/>
      <w:sz w:val="21"/>
      <w:szCs w:val="24"/>
      <w:lang w:val="en-US" w:eastAsia="zh-CN" w:bidi="ar-SA"/>
    </w:rPr>
  </w:style>
  <w:style w:type="character" w:customStyle="1" w:styleId="146">
    <w:name w:val="表名 Char"/>
    <w:autoRedefine/>
    <w:qFormat/>
    <w:uiPriority w:val="0"/>
    <w:rPr>
      <w:rFonts w:eastAsia="宋体"/>
      <w:b/>
      <w:bCs/>
      <w:kern w:val="2"/>
      <w:sz w:val="24"/>
      <w:szCs w:val="24"/>
      <w:lang w:val="en-US" w:eastAsia="zh-CN" w:bidi="ar-SA"/>
    </w:rPr>
  </w:style>
  <w:style w:type="character" w:customStyle="1" w:styleId="147">
    <w:name w:val="Document Map Char"/>
    <w:autoRedefine/>
    <w:qFormat/>
    <w:locked/>
    <w:uiPriority w:val="0"/>
    <w:rPr>
      <w:rFonts w:eastAsia="宋体"/>
      <w:kern w:val="2"/>
      <w:sz w:val="21"/>
      <w:szCs w:val="24"/>
      <w:lang w:val="en-US" w:eastAsia="zh-CN" w:bidi="ar-SA"/>
    </w:rPr>
  </w:style>
  <w:style w:type="character" w:customStyle="1" w:styleId="148">
    <w:name w:val="font41"/>
    <w:autoRedefine/>
    <w:qFormat/>
    <w:uiPriority w:val="0"/>
    <w:rPr>
      <w:rFonts w:hint="eastAsia" w:ascii="仿宋_GB2312" w:eastAsia="仿宋_GB2312" w:cs="仿宋_GB2312"/>
      <w:color w:val="000000"/>
      <w:sz w:val="22"/>
      <w:szCs w:val="22"/>
      <w:u w:val="none"/>
    </w:rPr>
  </w:style>
  <w:style w:type="character" w:customStyle="1" w:styleId="149">
    <w:name w:val="标题 6 Char"/>
    <w:link w:val="9"/>
    <w:autoRedefine/>
    <w:qFormat/>
    <w:uiPriority w:val="0"/>
    <w:rPr>
      <w:rFonts w:ascii="Arial" w:hAnsi="Arial" w:eastAsia="黑体"/>
      <w:b/>
      <w:bCs/>
      <w:kern w:val="2"/>
      <w:sz w:val="24"/>
      <w:szCs w:val="24"/>
    </w:rPr>
  </w:style>
  <w:style w:type="character" w:customStyle="1" w:styleId="150">
    <w:name w:val="纯文本 Char_0"/>
    <w:link w:val="151"/>
    <w:autoRedefine/>
    <w:qFormat/>
    <w:uiPriority w:val="0"/>
    <w:rPr>
      <w:rFonts w:ascii="宋体" w:hAnsi="Courier New"/>
      <w:kern w:val="2"/>
      <w:sz w:val="21"/>
      <w:szCs w:val="21"/>
      <w:lang w:val="en-US" w:eastAsia="zh-CN"/>
    </w:rPr>
  </w:style>
  <w:style w:type="paragraph" w:customStyle="1" w:styleId="151">
    <w:name w:val="纯文本_0_0"/>
    <w:basedOn w:val="152"/>
    <w:link w:val="150"/>
    <w:autoRedefine/>
    <w:qFormat/>
    <w:uiPriority w:val="0"/>
    <w:rPr>
      <w:rFonts w:ascii="宋体" w:hAnsi="Courier New"/>
      <w:szCs w:val="21"/>
    </w:rPr>
  </w:style>
  <w:style w:type="paragraph" w:customStyle="1" w:styleId="15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autoRedefine/>
    <w:qFormat/>
    <w:locked/>
    <w:uiPriority w:val="0"/>
    <w:rPr>
      <w:rFonts w:eastAsia="宋体"/>
      <w:kern w:val="2"/>
      <w:sz w:val="18"/>
      <w:szCs w:val="18"/>
      <w:lang w:val="en-US" w:eastAsia="zh-CN" w:bidi="ar-SA"/>
    </w:rPr>
  </w:style>
  <w:style w:type="character" w:customStyle="1" w:styleId="154">
    <w:name w:val="正文 项目2 Char"/>
    <w:basedOn w:val="155"/>
    <w:autoRedefine/>
    <w:qFormat/>
    <w:uiPriority w:val="0"/>
    <w:rPr>
      <w:rFonts w:ascii="仿宋_GB2312" w:hAnsi="仿宋_GB2312" w:eastAsia="仿宋_GB2312"/>
      <w:kern w:val="2"/>
      <w:sz w:val="24"/>
      <w:lang w:bidi="ar-SA"/>
    </w:rPr>
  </w:style>
  <w:style w:type="character" w:customStyle="1" w:styleId="155">
    <w:name w:val="正文 项目 Char"/>
    <w:autoRedefine/>
    <w:qFormat/>
    <w:uiPriority w:val="0"/>
    <w:rPr>
      <w:rFonts w:ascii="仿宋_GB2312" w:hAnsi="仿宋_GB2312" w:eastAsia="仿宋_GB2312"/>
      <w:kern w:val="2"/>
      <w:sz w:val="24"/>
      <w:lang w:bidi="ar-SA"/>
    </w:rPr>
  </w:style>
  <w:style w:type="character" w:customStyle="1" w:styleId="156">
    <w:name w:val="h Char Char1"/>
    <w:autoRedefine/>
    <w:qFormat/>
    <w:uiPriority w:val="0"/>
    <w:rPr>
      <w:rFonts w:eastAsia="宋体"/>
      <w:kern w:val="2"/>
      <w:sz w:val="18"/>
      <w:szCs w:val="18"/>
      <w:lang w:val="en-US" w:eastAsia="zh-CN" w:bidi="ar-SA"/>
    </w:rPr>
  </w:style>
  <w:style w:type="character" w:customStyle="1" w:styleId="157">
    <w:name w:val="Char Char27"/>
    <w:autoRedefine/>
    <w:qFormat/>
    <w:uiPriority w:val="6"/>
    <w:rPr>
      <w:rFonts w:ascii="宋体" w:hAnsi="宋体" w:eastAsia="宋体"/>
      <w:color w:val="000000"/>
      <w:kern w:val="1"/>
      <w:sz w:val="28"/>
      <w:lang w:val="en-US" w:eastAsia="zh-CN" w:bidi="ar-SA"/>
    </w:rPr>
  </w:style>
  <w:style w:type="character" w:customStyle="1" w:styleId="158">
    <w:name w:val="px14"/>
    <w:autoRedefine/>
    <w:qFormat/>
    <w:uiPriority w:val="0"/>
    <w:rPr>
      <w:rFonts w:ascii="仿宋_GB2312" w:eastAsia="微软雅黑" w:cs="Times New Roman"/>
      <w:b/>
      <w:kern w:val="2"/>
      <w:sz w:val="32"/>
      <w:szCs w:val="32"/>
      <w:lang w:val="en-US" w:eastAsia="zh-CN" w:bidi="ar-SA"/>
    </w:rPr>
  </w:style>
  <w:style w:type="character" w:customStyle="1" w:styleId="159">
    <w:name w:val="HTML 预设格式 Char1"/>
    <w:autoRedefine/>
    <w:qFormat/>
    <w:uiPriority w:val="0"/>
    <w:rPr>
      <w:rFonts w:ascii="Courier New" w:hAnsi="Courier New" w:eastAsia="宋体" w:cs="Courier New"/>
      <w:sz w:val="20"/>
      <w:szCs w:val="20"/>
    </w:rPr>
  </w:style>
  <w:style w:type="character" w:customStyle="1" w:styleId="160">
    <w:name w:val="普通文字 Char1"/>
    <w:autoRedefine/>
    <w:qFormat/>
    <w:uiPriority w:val="0"/>
    <w:rPr>
      <w:rFonts w:ascii="宋体" w:hAnsi="Courier New" w:eastAsia="宋体"/>
      <w:kern w:val="2"/>
      <w:sz w:val="21"/>
      <w:lang w:val="en-US" w:eastAsia="zh-CN"/>
    </w:rPr>
  </w:style>
  <w:style w:type="character" w:customStyle="1" w:styleId="161">
    <w:name w:val="hei16b1"/>
    <w:autoRedefine/>
    <w:qFormat/>
    <w:uiPriority w:val="0"/>
    <w:rPr>
      <w:rFonts w:hint="default" w:ascii="Arial" w:hAnsi="Arial" w:cs="Arial"/>
      <w:b/>
      <w:bCs/>
      <w:color w:val="000000"/>
      <w:sz w:val="24"/>
      <w:szCs w:val="24"/>
    </w:rPr>
  </w:style>
  <w:style w:type="character" w:customStyle="1" w:styleId="162">
    <w:name w:val="正文（绿盟科技） Char"/>
    <w:link w:val="163"/>
    <w:autoRedefine/>
    <w:qFormat/>
    <w:uiPriority w:val="0"/>
    <w:rPr>
      <w:rFonts w:ascii="Arial" w:hAnsi="Arial"/>
      <w:sz w:val="21"/>
      <w:szCs w:val="21"/>
    </w:rPr>
  </w:style>
  <w:style w:type="paragraph" w:customStyle="1" w:styleId="163">
    <w:name w:val="正文（绿盟科技）"/>
    <w:link w:val="162"/>
    <w:autoRedefine/>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autoRedefine/>
    <w:qFormat/>
    <w:uiPriority w:val="6"/>
    <w:rPr>
      <w:rFonts w:ascii="宋体" w:hAnsi="宋体"/>
      <w:i/>
      <w:sz w:val="24"/>
      <w:szCs w:val="24"/>
    </w:rPr>
  </w:style>
  <w:style w:type="character" w:customStyle="1" w:styleId="165">
    <w:name w:val="页脚 Char"/>
    <w:autoRedefine/>
    <w:qFormat/>
    <w:uiPriority w:val="0"/>
    <w:rPr>
      <w:rFonts w:eastAsia="仿宋_GB2312"/>
      <w:kern w:val="2"/>
      <w:sz w:val="18"/>
      <w:lang w:val="en-US" w:eastAsia="zh-CN"/>
    </w:rPr>
  </w:style>
  <w:style w:type="character" w:customStyle="1" w:styleId="166">
    <w:name w:val="批注主题 Char"/>
    <w:autoRedefine/>
    <w:qFormat/>
    <w:uiPriority w:val="0"/>
    <w:rPr>
      <w:rFonts w:eastAsia="宋体"/>
      <w:b/>
      <w:bCs/>
      <w:kern w:val="2"/>
      <w:sz w:val="21"/>
      <w:szCs w:val="24"/>
      <w:lang w:val="en-US" w:eastAsia="zh-CN" w:bidi="ar-SA"/>
    </w:rPr>
  </w:style>
  <w:style w:type="character" w:customStyle="1" w:styleId="167">
    <w:name w:val="Comment Text Char"/>
    <w:autoRedefine/>
    <w:qFormat/>
    <w:locked/>
    <w:uiPriority w:val="0"/>
    <w:rPr>
      <w:rFonts w:ascii="宋体" w:hAnsi="宋体" w:eastAsia="宋体"/>
      <w:kern w:val="2"/>
      <w:sz w:val="24"/>
      <w:lang w:val="en-US" w:eastAsia="zh-CN" w:bidi="ar-SA"/>
    </w:rPr>
  </w:style>
  <w:style w:type="character" w:customStyle="1" w:styleId="168">
    <w:name w:val="标题 2 字符"/>
    <w:autoRedefine/>
    <w:qFormat/>
    <w:uiPriority w:val="1"/>
    <w:rPr>
      <w:rFonts w:ascii="仿宋_GB2312" w:hAnsi="Times New Roman" w:eastAsia="仿宋_GB2312" w:cs="Times New Roman"/>
      <w:b/>
      <w:kern w:val="2"/>
      <w:sz w:val="24"/>
      <w:lang w:val="zh-CN"/>
    </w:rPr>
  </w:style>
  <w:style w:type="character" w:customStyle="1" w:styleId="169">
    <w:name w:val="Char Char72"/>
    <w:autoRedefine/>
    <w:qFormat/>
    <w:uiPriority w:val="0"/>
    <w:rPr>
      <w:rFonts w:eastAsia="宋体"/>
      <w:kern w:val="2"/>
      <w:sz w:val="21"/>
      <w:szCs w:val="24"/>
      <w:lang w:val="en-US" w:eastAsia="zh-CN" w:bidi="ar-SA"/>
    </w:rPr>
  </w:style>
  <w:style w:type="character" w:customStyle="1" w:styleId="170">
    <w:name w:val="正文文本缩进 Char2"/>
    <w:autoRedefine/>
    <w:qFormat/>
    <w:uiPriority w:val="0"/>
    <w:rPr>
      <w:rFonts w:ascii="Times New Roman" w:hAnsi="Times New Roman" w:eastAsia="宋体" w:cs="Times New Roman"/>
      <w:snapToGrid w:val="0"/>
      <w:kern w:val="0"/>
      <w:szCs w:val="24"/>
    </w:rPr>
  </w:style>
  <w:style w:type="character" w:customStyle="1" w:styleId="171">
    <w:name w:val="样式2 Char"/>
    <w:autoRedefine/>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autoRedefine/>
    <w:qFormat/>
    <w:uiPriority w:val="0"/>
    <w:rPr>
      <w:sz w:val="32"/>
    </w:rPr>
  </w:style>
  <w:style w:type="paragraph" w:customStyle="1" w:styleId="173">
    <w:name w:val="表格名称"/>
    <w:basedOn w:val="3"/>
    <w:link w:val="172"/>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autoRedefine/>
    <w:qFormat/>
    <w:uiPriority w:val="0"/>
    <w:rPr>
      <w:rFonts w:eastAsia="宋体"/>
      <w:b/>
      <w:sz w:val="24"/>
      <w:lang w:val="en-GB" w:eastAsia="zh-CN" w:bidi="ar-SA"/>
    </w:rPr>
  </w:style>
  <w:style w:type="character" w:customStyle="1" w:styleId="175">
    <w:name w:val="c7 style3"/>
    <w:autoRedefine/>
    <w:qFormat/>
    <w:uiPriority w:val="0"/>
  </w:style>
  <w:style w:type="character" w:customStyle="1" w:styleId="176">
    <w:name w:val="正文文本 3 Char1"/>
    <w:autoRedefine/>
    <w:semiHidden/>
    <w:qFormat/>
    <w:uiPriority w:val="99"/>
    <w:rPr>
      <w:rFonts w:ascii="Times New Roman" w:hAnsi="Times New Roman" w:eastAsia="宋体" w:cs="Times New Roman"/>
      <w:sz w:val="16"/>
      <w:szCs w:val="16"/>
    </w:rPr>
  </w:style>
  <w:style w:type="character" w:customStyle="1" w:styleId="177">
    <w:name w:val="tw4winInternal"/>
    <w:autoRedefine/>
    <w:qFormat/>
    <w:uiPriority w:val="0"/>
    <w:rPr>
      <w:rFonts w:ascii="Courier New" w:hAnsi="Courier New" w:cs="Courier New"/>
      <w:color w:val="FF0000"/>
      <w:lang w:val="en-US" w:eastAsia="zh-CN"/>
    </w:rPr>
  </w:style>
  <w:style w:type="character" w:customStyle="1" w:styleId="178">
    <w:name w:val="Char Char10"/>
    <w:autoRedefine/>
    <w:semiHidden/>
    <w:qFormat/>
    <w:uiPriority w:val="0"/>
    <w:rPr>
      <w:rFonts w:ascii="宋体" w:hAnsi="宋体"/>
      <w:kern w:val="2"/>
      <w:sz w:val="21"/>
      <w:szCs w:val="24"/>
      <w:lang w:val="en-US" w:eastAsia="zh-CN"/>
    </w:rPr>
  </w:style>
  <w:style w:type="character" w:customStyle="1" w:styleId="179">
    <w:name w:val="shadow11"/>
    <w:autoRedefine/>
    <w:qFormat/>
    <w:uiPriority w:val="0"/>
    <w:rPr>
      <w:color w:val="000000"/>
      <w:sz w:val="21"/>
    </w:rPr>
  </w:style>
  <w:style w:type="character" w:customStyle="1" w:styleId="180">
    <w:name w:val="正文非缩进 Char3"/>
    <w:autoRedefine/>
    <w:qFormat/>
    <w:uiPriority w:val="0"/>
    <w:rPr>
      <w:rFonts w:ascii="宋体" w:eastAsia="宋体"/>
      <w:snapToGrid w:val="0"/>
      <w:color w:val="000000"/>
      <w:kern w:val="28"/>
      <w:sz w:val="28"/>
      <w:lang w:val="en-US" w:eastAsia="zh-CN" w:bidi="ar-SA"/>
    </w:rPr>
  </w:style>
  <w:style w:type="character" w:customStyle="1" w:styleId="181">
    <w:name w:val="Char Char"/>
    <w:autoRedefine/>
    <w:qFormat/>
    <w:uiPriority w:val="0"/>
    <w:rPr>
      <w:rFonts w:ascii="宋体" w:hAnsi="Courier New" w:eastAsia="宋体"/>
      <w:kern w:val="2"/>
      <w:sz w:val="21"/>
      <w:lang w:val="en-US" w:eastAsia="zh-CN" w:bidi="ar-SA"/>
    </w:rPr>
  </w:style>
  <w:style w:type="character" w:customStyle="1" w:styleId="182">
    <w:name w:val="签名 Char1"/>
    <w:autoRedefine/>
    <w:qFormat/>
    <w:uiPriority w:val="0"/>
    <w:rPr>
      <w:rFonts w:ascii="Times New Roman" w:hAnsi="Times New Roman" w:eastAsia="宋体" w:cs="Times New Roman"/>
      <w:szCs w:val="24"/>
    </w:rPr>
  </w:style>
  <w:style w:type="character" w:customStyle="1" w:styleId="183">
    <w:name w:val="日期 Char"/>
    <w:link w:val="37"/>
    <w:autoRedefine/>
    <w:qFormat/>
    <w:uiPriority w:val="0"/>
    <w:rPr>
      <w:rFonts w:ascii="宋体"/>
      <w:kern w:val="2"/>
      <w:sz w:val="24"/>
      <w:szCs w:val="21"/>
      <w:lang w:val="zh-CN"/>
    </w:rPr>
  </w:style>
  <w:style w:type="character" w:customStyle="1" w:styleId="184">
    <w:name w:val="标题 9 Char"/>
    <w:link w:val="12"/>
    <w:autoRedefine/>
    <w:qFormat/>
    <w:uiPriority w:val="0"/>
    <w:rPr>
      <w:rFonts w:ascii="Arial" w:hAnsi="Arial" w:eastAsia="黑体"/>
      <w:kern w:val="2"/>
      <w:sz w:val="21"/>
      <w:szCs w:val="21"/>
    </w:rPr>
  </w:style>
  <w:style w:type="character" w:customStyle="1" w:styleId="185">
    <w:name w:val="Char Char18"/>
    <w:autoRedefine/>
    <w:qFormat/>
    <w:uiPriority w:val="6"/>
    <w:rPr>
      <w:rFonts w:ascii="宋体" w:hAnsi="宋体"/>
      <w:sz w:val="28"/>
    </w:rPr>
  </w:style>
  <w:style w:type="character" w:customStyle="1" w:styleId="186">
    <w:name w:val="批注文字 Char"/>
    <w:autoRedefine/>
    <w:qFormat/>
    <w:uiPriority w:val="99"/>
    <w:rPr>
      <w:kern w:val="2"/>
      <w:sz w:val="21"/>
      <w:szCs w:val="24"/>
    </w:rPr>
  </w:style>
  <w:style w:type="character" w:customStyle="1" w:styleId="187">
    <w:name w:val="Char Char22"/>
    <w:autoRedefine/>
    <w:qFormat/>
    <w:uiPriority w:val="6"/>
    <w:rPr>
      <w:rFonts w:ascii="宋体" w:hAnsi="宋体"/>
      <w:kern w:val="1"/>
      <w:sz w:val="24"/>
      <w:szCs w:val="24"/>
    </w:rPr>
  </w:style>
  <w:style w:type="character" w:customStyle="1" w:styleId="188">
    <w:name w:val="pt141"/>
    <w:autoRedefine/>
    <w:qFormat/>
    <w:uiPriority w:val="0"/>
    <w:rPr>
      <w:color w:val="330066"/>
      <w:sz w:val="22"/>
      <w:szCs w:val="22"/>
    </w:rPr>
  </w:style>
  <w:style w:type="character" w:customStyle="1" w:styleId="189">
    <w:name w:val="正文文本缩进 2 Char1"/>
    <w:autoRedefine/>
    <w:semiHidden/>
    <w:qFormat/>
    <w:uiPriority w:val="99"/>
    <w:rPr>
      <w:rFonts w:ascii="Times New Roman" w:hAnsi="Times New Roman" w:eastAsia="宋体" w:cs="Times New Roman"/>
      <w:szCs w:val="24"/>
    </w:rPr>
  </w:style>
  <w:style w:type="character" w:customStyle="1" w:styleId="190">
    <w:name w:val="批注框文本 Char"/>
    <w:link w:val="40"/>
    <w:autoRedefine/>
    <w:qFormat/>
    <w:uiPriority w:val="0"/>
    <w:rPr>
      <w:kern w:val="2"/>
      <w:sz w:val="18"/>
      <w:szCs w:val="18"/>
    </w:rPr>
  </w:style>
  <w:style w:type="character" w:customStyle="1" w:styleId="191">
    <w:name w:val="Char Char611"/>
    <w:autoRedefine/>
    <w:qFormat/>
    <w:uiPriority w:val="0"/>
    <w:rPr>
      <w:rFonts w:eastAsia="宋体"/>
      <w:kern w:val="2"/>
      <w:sz w:val="21"/>
      <w:szCs w:val="24"/>
      <w:lang w:val="en-US" w:eastAsia="zh-CN" w:bidi="ar-SA"/>
    </w:rPr>
  </w:style>
  <w:style w:type="character" w:customStyle="1" w:styleId="192">
    <w:name w:val="highlight1"/>
    <w:autoRedefine/>
    <w:qFormat/>
    <w:uiPriority w:val="0"/>
    <w:rPr>
      <w:rFonts w:ascii="仿宋_GB2312" w:eastAsia="微软雅黑"/>
      <w:b/>
      <w:kern w:val="2"/>
      <w:sz w:val="23"/>
      <w:szCs w:val="23"/>
      <w:lang w:val="en-US" w:eastAsia="zh-CN" w:bidi="ar-SA"/>
    </w:rPr>
  </w:style>
  <w:style w:type="character" w:customStyle="1" w:styleId="193">
    <w:name w:val="my正文 Char"/>
    <w:link w:val="194"/>
    <w:autoRedefine/>
    <w:qFormat/>
    <w:locked/>
    <w:uiPriority w:val="0"/>
    <w:rPr>
      <w:rFonts w:ascii="Tahoma" w:hAnsi="Tahoma"/>
      <w:sz w:val="24"/>
      <w:szCs w:val="24"/>
    </w:rPr>
  </w:style>
  <w:style w:type="paragraph" w:customStyle="1" w:styleId="194">
    <w:name w:val="my正文"/>
    <w:basedOn w:val="1"/>
    <w:link w:val="193"/>
    <w:autoRedefine/>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7"/>
    <w:autoRedefine/>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autoRedefine/>
    <w:qFormat/>
    <w:uiPriority w:val="0"/>
    <w:rPr>
      <w:color w:val="0000FF"/>
      <w:sz w:val="21"/>
    </w:rPr>
  </w:style>
  <w:style w:type="character" w:customStyle="1" w:styleId="197">
    <w:name w:val="页眉 Char"/>
    <w:autoRedefine/>
    <w:qFormat/>
    <w:uiPriority w:val="0"/>
    <w:rPr>
      <w:rFonts w:eastAsia="仿宋_GB2312"/>
      <w:kern w:val="2"/>
      <w:sz w:val="18"/>
      <w:lang w:val="en-US" w:eastAsia="zh-CN"/>
    </w:rPr>
  </w:style>
  <w:style w:type="character" w:customStyle="1" w:styleId="198">
    <w:name w:val="FA正文 Char Char"/>
    <w:autoRedefine/>
    <w:qFormat/>
    <w:uiPriority w:val="0"/>
    <w:rPr>
      <w:rFonts w:hAnsi="宋体"/>
      <w:kern w:val="2"/>
      <w:sz w:val="24"/>
      <w:lang w:bidi="ar-SA"/>
    </w:rPr>
  </w:style>
  <w:style w:type="character" w:customStyle="1" w:styleId="199">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autoRedefine/>
    <w:qFormat/>
    <w:uiPriority w:val="0"/>
    <w:rPr>
      <w:rFonts w:ascii="宋体" w:hAnsi="宋体"/>
      <w:b/>
      <w:bCs/>
      <w:snapToGrid/>
      <w:sz w:val="28"/>
    </w:rPr>
  </w:style>
  <w:style w:type="paragraph" w:customStyle="1" w:styleId="201">
    <w:name w:val="3级"/>
    <w:basedOn w:val="202"/>
    <w:link w:val="200"/>
    <w:autoRedefine/>
    <w:qFormat/>
    <w:uiPriority w:val="0"/>
    <w:pPr>
      <w:ind w:left="0" w:right="466" w:firstLine="288"/>
    </w:pPr>
    <w:rPr>
      <w:rFonts w:hAnsi="宋体"/>
      <w:snapToGrid/>
    </w:rPr>
  </w:style>
  <w:style w:type="paragraph" w:customStyle="1" w:styleId="202">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autoRedefine/>
    <w:qFormat/>
    <w:uiPriority w:val="0"/>
    <w:rPr>
      <w:rFonts w:ascii="仿宋_GB2312" w:eastAsia="微软雅黑"/>
      <w:b/>
      <w:kern w:val="2"/>
      <w:sz w:val="32"/>
      <w:szCs w:val="32"/>
      <w:lang w:val="en-US" w:eastAsia="zh-CN" w:bidi="ar-SA"/>
    </w:rPr>
  </w:style>
  <w:style w:type="character" w:customStyle="1" w:styleId="204">
    <w:name w:val="文档结构图 Char1"/>
    <w:link w:val="21"/>
    <w:autoRedefine/>
    <w:qFormat/>
    <w:uiPriority w:val="0"/>
    <w:rPr>
      <w:kern w:val="2"/>
      <w:sz w:val="21"/>
      <w:szCs w:val="24"/>
      <w:shd w:val="clear" w:color="auto" w:fill="000080"/>
    </w:rPr>
  </w:style>
  <w:style w:type="character" w:customStyle="1" w:styleId="205">
    <w:name w:val="H6 Char"/>
    <w:autoRedefine/>
    <w:qFormat/>
    <w:uiPriority w:val="0"/>
    <w:rPr>
      <w:rFonts w:ascii="Arial" w:hAnsi="Arial" w:eastAsia="黑体"/>
      <w:b/>
      <w:bCs/>
      <w:kern w:val="2"/>
      <w:sz w:val="24"/>
      <w:szCs w:val="24"/>
    </w:rPr>
  </w:style>
  <w:style w:type="character" w:customStyle="1" w:styleId="206">
    <w:name w:val="Char Char91"/>
    <w:autoRedefine/>
    <w:qFormat/>
    <w:uiPriority w:val="0"/>
    <w:rPr>
      <w:rFonts w:eastAsia="宋体"/>
      <w:kern w:val="2"/>
      <w:sz w:val="18"/>
      <w:szCs w:val="18"/>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font61"/>
    <w:autoRedefine/>
    <w:qFormat/>
    <w:uiPriority w:val="0"/>
    <w:rPr>
      <w:rFonts w:hint="eastAsia" w:ascii="仿宋" w:hAnsi="仿宋" w:eastAsia="仿宋" w:cs="仿宋"/>
      <w:color w:val="000000"/>
      <w:sz w:val="20"/>
      <w:szCs w:val="20"/>
      <w:u w:val="none"/>
    </w:rPr>
  </w:style>
  <w:style w:type="character" w:customStyle="1" w:styleId="209">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autoRedefine/>
    <w:qFormat/>
    <w:uiPriority w:val="0"/>
    <w:rPr>
      <w:rFonts w:eastAsia="宋体"/>
      <w:b/>
      <w:bCs/>
      <w:kern w:val="2"/>
      <w:sz w:val="21"/>
      <w:szCs w:val="24"/>
      <w:lang w:val="en-US" w:eastAsia="zh-CN" w:bidi="ar-SA"/>
    </w:rPr>
  </w:style>
  <w:style w:type="character" w:customStyle="1" w:styleId="211">
    <w:name w:val="标题 2 Char"/>
    <w:autoRedefine/>
    <w:qFormat/>
    <w:uiPriority w:val="0"/>
    <w:rPr>
      <w:rFonts w:ascii="Arial" w:hAnsi="Arial" w:eastAsia="黑体"/>
      <w:b/>
      <w:kern w:val="2"/>
      <w:sz w:val="32"/>
      <w:lang w:val="en-US" w:eastAsia="zh-CN"/>
    </w:rPr>
  </w:style>
  <w:style w:type="character" w:customStyle="1" w:styleId="212">
    <w:name w:val="maywed421"/>
    <w:autoRedefine/>
    <w:qFormat/>
    <w:uiPriority w:val="0"/>
    <w:rPr>
      <w:color w:val="366FB6"/>
      <w:u w:val="none"/>
    </w:rPr>
  </w:style>
  <w:style w:type="character" w:customStyle="1" w:styleId="213">
    <w:name w:val="正文文本缩进 Char"/>
    <w:autoRedefine/>
    <w:qFormat/>
    <w:uiPriority w:val="0"/>
    <w:rPr>
      <w:rFonts w:ascii="宋体" w:hAnsi="宋体"/>
      <w:kern w:val="2"/>
      <w:sz w:val="24"/>
      <w:szCs w:val="24"/>
    </w:rPr>
  </w:style>
  <w:style w:type="character" w:customStyle="1" w:styleId="214">
    <w:name w:val="Char Char102"/>
    <w:autoRedefine/>
    <w:semiHidden/>
    <w:qFormat/>
    <w:uiPriority w:val="0"/>
    <w:rPr>
      <w:rFonts w:ascii="宋体" w:hAnsi="宋体"/>
      <w:kern w:val="2"/>
      <w:sz w:val="21"/>
      <w:szCs w:val="24"/>
      <w:lang w:val="en-US" w:eastAsia="zh-CN"/>
    </w:rPr>
  </w:style>
  <w:style w:type="character" w:customStyle="1" w:styleId="215">
    <w:name w:val="页眉 Char1"/>
    <w:autoRedefine/>
    <w:qFormat/>
    <w:uiPriority w:val="0"/>
    <w:rPr>
      <w:rFonts w:eastAsia="宋体"/>
      <w:kern w:val="2"/>
      <w:sz w:val="18"/>
      <w:szCs w:val="18"/>
      <w:lang w:val="en-US" w:eastAsia="zh-CN" w:bidi="ar-SA"/>
    </w:rPr>
  </w:style>
  <w:style w:type="character" w:customStyle="1" w:styleId="216">
    <w:name w:val="md"/>
    <w:basedOn w:val="72"/>
    <w:autoRedefine/>
    <w:qFormat/>
    <w:uiPriority w:val="0"/>
    <w:rPr>
      <w:rFonts w:ascii="Arial" w:hAnsi="Arial" w:eastAsia="黑体" w:cs="Arial"/>
      <w:snapToGrid w:val="0"/>
      <w:kern w:val="0"/>
      <w:szCs w:val="21"/>
    </w:rPr>
  </w:style>
  <w:style w:type="character" w:customStyle="1" w:styleId="217">
    <w:name w:val="big1"/>
    <w:autoRedefine/>
    <w:qFormat/>
    <w:uiPriority w:val="0"/>
    <w:rPr>
      <w:rFonts w:hint="eastAsia" w:ascii="宋体" w:hAnsi="宋体" w:eastAsia="宋体"/>
      <w:color w:val="333333"/>
      <w:sz w:val="22"/>
      <w:szCs w:val="22"/>
    </w:rPr>
  </w:style>
  <w:style w:type="character" w:customStyle="1" w:styleId="218">
    <w:name w:val="Char Char311"/>
    <w:autoRedefine/>
    <w:qFormat/>
    <w:uiPriority w:val="0"/>
    <w:rPr>
      <w:rFonts w:eastAsia="宋体"/>
      <w:kern w:val="2"/>
      <w:sz w:val="21"/>
      <w:szCs w:val="24"/>
      <w:lang w:val="en-US" w:eastAsia="zh-CN" w:bidi="ar-SA"/>
    </w:rPr>
  </w:style>
  <w:style w:type="character" w:customStyle="1" w:styleId="219">
    <w:name w:val="Char Char81"/>
    <w:autoRedefine/>
    <w:qFormat/>
    <w:uiPriority w:val="6"/>
    <w:rPr>
      <w:rFonts w:eastAsia="宋体"/>
      <w:b/>
      <w:sz w:val="24"/>
      <w:lang w:val="en-GB" w:eastAsia="zh-CN"/>
    </w:rPr>
  </w:style>
  <w:style w:type="character" w:customStyle="1" w:styleId="220">
    <w:name w:val="样式3 Char"/>
    <w:basedOn w:val="171"/>
    <w:autoRedefine/>
    <w:qFormat/>
    <w:uiPriority w:val="0"/>
    <w:rPr>
      <w:rFonts w:ascii="仿宋_GB2312" w:hAnsi="仿宋" w:eastAsia="仿宋_GB2312" w:cs="仿宋_GB2312"/>
      <w:sz w:val="32"/>
      <w:szCs w:val="30"/>
      <w:lang w:val="zh-CN"/>
    </w:rPr>
  </w:style>
  <w:style w:type="character" w:customStyle="1" w:styleId="221">
    <w:name w:val="HTML 地址 Char"/>
    <w:link w:val="32"/>
    <w:autoRedefine/>
    <w:qFormat/>
    <w:uiPriority w:val="0"/>
    <w:rPr>
      <w:rFonts w:ascii="宋体" w:hAnsi="宋体"/>
      <w:i/>
      <w:iCs/>
      <w:sz w:val="24"/>
      <w:szCs w:val="24"/>
    </w:rPr>
  </w:style>
  <w:style w:type="character" w:customStyle="1" w:styleId="222">
    <w:name w:val="正文首行缩进 2 Char1"/>
    <w:autoRedefine/>
    <w:qFormat/>
    <w:uiPriority w:val="0"/>
    <w:rPr>
      <w:rFonts w:ascii="Times New Roman" w:hAnsi="Times New Roman" w:eastAsia="宋体" w:cs="Times New Roman"/>
      <w:kern w:val="2"/>
      <w:sz w:val="24"/>
      <w:szCs w:val="24"/>
    </w:rPr>
  </w:style>
  <w:style w:type="character" w:customStyle="1" w:styleId="223">
    <w:name w:val="副标题 Char2"/>
    <w:autoRedefine/>
    <w:qFormat/>
    <w:uiPriority w:val="0"/>
    <w:rPr>
      <w:rFonts w:ascii="Cambria" w:hAnsi="Cambria" w:eastAsia="宋体" w:cs="Times New Roman"/>
      <w:b/>
      <w:bCs/>
      <w:snapToGrid w:val="0"/>
      <w:kern w:val="28"/>
      <w:sz w:val="32"/>
      <w:szCs w:val="32"/>
    </w:rPr>
  </w:style>
  <w:style w:type="character" w:customStyle="1" w:styleId="224">
    <w:name w:val="标题4-dyf Char"/>
    <w:link w:val="225"/>
    <w:autoRedefine/>
    <w:qFormat/>
    <w:uiPriority w:val="0"/>
    <w:rPr>
      <w:rFonts w:ascii="Cambria" w:hAnsi="Cambria"/>
      <w:b/>
      <w:bCs/>
      <w:color w:val="000000"/>
      <w:kern w:val="2"/>
      <w:sz w:val="21"/>
      <w:szCs w:val="21"/>
    </w:rPr>
  </w:style>
  <w:style w:type="paragraph" w:customStyle="1" w:styleId="225">
    <w:name w:val="标题4-dyf"/>
    <w:basedOn w:val="7"/>
    <w:link w:val="224"/>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autoRedefine/>
    <w:qFormat/>
    <w:uiPriority w:val="0"/>
    <w:rPr>
      <w:rFonts w:ascii="宋体" w:hAnsi="宋体" w:eastAsia="宋体"/>
      <w:color w:val="333333"/>
      <w:sz w:val="21"/>
      <w:szCs w:val="21"/>
      <w:u w:val="none"/>
    </w:rPr>
  </w:style>
  <w:style w:type="character" w:customStyle="1" w:styleId="227">
    <w:name w:val="冯 Char"/>
    <w:link w:val="228"/>
    <w:autoRedefine/>
    <w:qFormat/>
    <w:uiPriority w:val="0"/>
    <w:rPr>
      <w:rFonts w:ascii="宋体" w:hAnsi="宋体"/>
      <w:color w:val="000000"/>
      <w:sz w:val="24"/>
      <w:szCs w:val="24"/>
    </w:rPr>
  </w:style>
  <w:style w:type="paragraph" w:customStyle="1" w:styleId="228">
    <w:name w:val="冯"/>
    <w:basedOn w:val="1"/>
    <w:link w:val="227"/>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autoRedefine/>
    <w:qFormat/>
    <w:locked/>
    <w:uiPriority w:val="0"/>
    <w:rPr>
      <w:rFonts w:eastAsia="宋体"/>
      <w:kern w:val="2"/>
      <w:sz w:val="18"/>
      <w:szCs w:val="18"/>
      <w:lang w:val="en-US" w:eastAsia="zh-CN" w:bidi="ar-SA"/>
    </w:rPr>
  </w:style>
  <w:style w:type="character" w:customStyle="1" w:styleId="230">
    <w:name w:val="Char Char12"/>
    <w:autoRedefine/>
    <w:qFormat/>
    <w:uiPriority w:val="0"/>
    <w:rPr>
      <w:rFonts w:ascii="仿宋_GB2312" w:eastAsia="仿宋_GB2312"/>
      <w:b/>
      <w:bCs/>
      <w:kern w:val="2"/>
      <w:sz w:val="24"/>
      <w:szCs w:val="24"/>
      <w:lang w:val="zh-CN" w:eastAsia="zh-CN" w:bidi="ar-SA"/>
    </w:rPr>
  </w:style>
  <w:style w:type="character" w:customStyle="1" w:styleId="231">
    <w:name w:val="题注 Char"/>
    <w:link w:val="19"/>
    <w:autoRedefine/>
    <w:qFormat/>
    <w:uiPriority w:val="0"/>
    <w:rPr>
      <w:b/>
      <w:kern w:val="2"/>
      <w:sz w:val="28"/>
    </w:rPr>
  </w:style>
  <w:style w:type="character" w:customStyle="1" w:styleId="232">
    <w:name w:val="普通文字 Char3"/>
    <w:autoRedefine/>
    <w:qFormat/>
    <w:uiPriority w:val="0"/>
    <w:rPr>
      <w:rFonts w:ascii="宋体" w:hAnsi="Courier New" w:eastAsia="宋体"/>
      <w:kern w:val="2"/>
      <w:sz w:val="21"/>
      <w:lang w:val="en-US" w:eastAsia="zh-CN" w:bidi="ar-SA"/>
    </w:rPr>
  </w:style>
  <w:style w:type="character" w:customStyle="1" w:styleId="233">
    <w:name w:val="公文正文 Char"/>
    <w:autoRedefine/>
    <w:qFormat/>
    <w:uiPriority w:val="0"/>
    <w:rPr>
      <w:rFonts w:ascii="仿宋_GB2312" w:eastAsia="仿宋_GB2312"/>
      <w:kern w:val="2"/>
      <w:sz w:val="24"/>
      <w:szCs w:val="24"/>
      <w:lang w:val="en-US" w:eastAsia="zh-CN" w:bidi="ar-SA"/>
    </w:rPr>
  </w:style>
  <w:style w:type="character" w:customStyle="1" w:styleId="234">
    <w:name w:val="正文首行缩进 Char Char Char Char Char"/>
    <w:autoRedefine/>
    <w:qFormat/>
    <w:uiPriority w:val="0"/>
    <w:rPr>
      <w:rFonts w:ascii="宋体"/>
      <w:kern w:val="2"/>
      <w:sz w:val="24"/>
      <w:lang w:val="zh-CN"/>
    </w:rPr>
  </w:style>
  <w:style w:type="character" w:customStyle="1" w:styleId="235">
    <w:name w:val="PI Char"/>
    <w:autoRedefine/>
    <w:qFormat/>
    <w:uiPriority w:val="0"/>
    <w:rPr>
      <w:rFonts w:ascii="宋体" w:hAnsi="宋体" w:eastAsia="宋体"/>
      <w:kern w:val="2"/>
      <w:sz w:val="24"/>
      <w:szCs w:val="24"/>
      <w:lang w:val="en-US" w:eastAsia="zh-CN" w:bidi="ar-SA"/>
    </w:rPr>
  </w:style>
  <w:style w:type="character" w:customStyle="1" w:styleId="236">
    <w:name w:val="Default Char"/>
    <w:link w:val="237"/>
    <w:autoRedefine/>
    <w:qFormat/>
    <w:uiPriority w:val="0"/>
    <w:rPr>
      <w:rFonts w:ascii="仿宋_GB2312" w:eastAsia="仿宋_GB2312" w:cs="仿宋_GB2312"/>
      <w:color w:val="000000"/>
      <w:sz w:val="24"/>
      <w:szCs w:val="24"/>
      <w:lang w:val="en-US" w:eastAsia="zh-CN" w:bidi="ar-SA"/>
    </w:rPr>
  </w:style>
  <w:style w:type="paragraph" w:customStyle="1" w:styleId="237">
    <w:name w:val="Default"/>
    <w:link w:val="23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autoRedefine/>
    <w:qFormat/>
    <w:uiPriority w:val="0"/>
    <w:rPr>
      <w:color w:val="333333"/>
    </w:rPr>
  </w:style>
  <w:style w:type="character" w:customStyle="1" w:styleId="239">
    <w:name w:val="列出段落 Char2"/>
    <w:autoRedefine/>
    <w:qFormat/>
    <w:uiPriority w:val="34"/>
    <w:rPr>
      <w:rFonts w:ascii="Calibri" w:hAnsi="Calibri"/>
      <w:kern w:val="2"/>
      <w:sz w:val="28"/>
    </w:rPr>
  </w:style>
  <w:style w:type="character" w:customStyle="1" w:styleId="240">
    <w:name w:val="mdeck"/>
    <w:autoRedefine/>
    <w:qFormat/>
    <w:uiPriority w:val="0"/>
    <w:rPr>
      <w:rFonts w:ascii="仿宋_GB2312" w:eastAsia="微软雅黑"/>
      <w:b/>
      <w:kern w:val="2"/>
      <w:sz w:val="32"/>
      <w:szCs w:val="32"/>
      <w:lang w:val="en-US" w:eastAsia="zh-CN" w:bidi="ar-SA"/>
    </w:rPr>
  </w:style>
  <w:style w:type="character" w:customStyle="1" w:styleId="241">
    <w:name w:val="unnamed11"/>
    <w:autoRedefine/>
    <w:qFormat/>
    <w:uiPriority w:val="0"/>
    <w:rPr>
      <w:sz w:val="20"/>
      <w:szCs w:val="20"/>
    </w:rPr>
  </w:style>
  <w:style w:type="character" w:customStyle="1" w:styleId="242">
    <w:name w:val="正文文本 Char2"/>
    <w:autoRedefine/>
    <w:semiHidden/>
    <w:qFormat/>
    <w:uiPriority w:val="99"/>
    <w:rPr>
      <w:rFonts w:ascii="Times New Roman" w:hAnsi="Times New Roman" w:eastAsia="宋体" w:cs="Times New Roman"/>
      <w:snapToGrid w:val="0"/>
      <w:kern w:val="0"/>
      <w:szCs w:val="24"/>
    </w:rPr>
  </w:style>
  <w:style w:type="character" w:customStyle="1" w:styleId="243">
    <w:name w:val="标书正文格式 Char"/>
    <w:autoRedefine/>
    <w:qFormat/>
    <w:uiPriority w:val="0"/>
    <w:rPr>
      <w:rFonts w:eastAsia="楷体_GB2312"/>
      <w:kern w:val="2"/>
      <w:sz w:val="24"/>
      <w:szCs w:val="24"/>
      <w:lang w:bidi="ar-SA"/>
    </w:rPr>
  </w:style>
  <w:style w:type="character" w:customStyle="1" w:styleId="244">
    <w:name w:val="Char Char11"/>
    <w:autoRedefine/>
    <w:qFormat/>
    <w:locked/>
    <w:uiPriority w:val="0"/>
    <w:rPr>
      <w:rFonts w:ascii="宋体" w:hAnsi="宋体" w:eastAsia="宋体"/>
      <w:b/>
      <w:kern w:val="2"/>
      <w:sz w:val="24"/>
      <w:szCs w:val="24"/>
      <w:lang w:val="en-US" w:eastAsia="zh-CN" w:bidi="ar-SA"/>
    </w:rPr>
  </w:style>
  <w:style w:type="character" w:customStyle="1" w:styleId="245">
    <w:name w:val="ca-131"/>
    <w:autoRedefine/>
    <w:qFormat/>
    <w:uiPriority w:val="0"/>
    <w:rPr>
      <w:rFonts w:hint="eastAsia" w:ascii="仿宋_GB2312" w:eastAsia="仿宋_GB2312"/>
      <w:b/>
      <w:bCs/>
      <w:color w:val="000000"/>
      <w:spacing w:val="-20"/>
      <w:sz w:val="24"/>
      <w:szCs w:val="24"/>
    </w:rPr>
  </w:style>
  <w:style w:type="character" w:customStyle="1" w:styleId="246">
    <w:name w:val="tw4winMark"/>
    <w:autoRedefine/>
    <w:qFormat/>
    <w:uiPriority w:val="0"/>
    <w:rPr>
      <w:rFonts w:ascii="Courier New" w:hAnsi="Courier New" w:cs="Courier New"/>
      <w:vanish/>
      <w:color w:val="800080"/>
      <w:sz w:val="24"/>
      <w:szCs w:val="24"/>
      <w:vertAlign w:val="subscript"/>
    </w:rPr>
  </w:style>
  <w:style w:type="character" w:customStyle="1" w:styleId="247">
    <w:name w:val="正文样式 Char"/>
    <w:link w:val="248"/>
    <w:autoRedefine/>
    <w:qFormat/>
    <w:uiPriority w:val="0"/>
    <w:rPr>
      <w:rFonts w:ascii="Calibri" w:hAnsi="Calibri"/>
      <w:sz w:val="24"/>
      <w:szCs w:val="24"/>
    </w:rPr>
  </w:style>
  <w:style w:type="paragraph" w:customStyle="1" w:styleId="248">
    <w:name w:val="正文样式"/>
    <w:basedOn w:val="1"/>
    <w:link w:val="247"/>
    <w:autoRedefine/>
    <w:qFormat/>
    <w:uiPriority w:val="0"/>
    <w:pPr>
      <w:adjustRightInd/>
      <w:spacing w:line="360" w:lineRule="auto"/>
      <w:ind w:firstLine="480" w:firstLineChars="200"/>
    </w:pPr>
    <w:rPr>
      <w:kern w:val="0"/>
      <w:sz w:val="24"/>
    </w:rPr>
  </w:style>
  <w:style w:type="character" w:customStyle="1" w:styleId="249">
    <w:name w:val="表正文 Char3"/>
    <w:autoRedefine/>
    <w:qFormat/>
    <w:uiPriority w:val="0"/>
    <w:rPr>
      <w:rFonts w:eastAsia="宋体"/>
    </w:rPr>
  </w:style>
  <w:style w:type="character" w:customStyle="1" w:styleId="250">
    <w:name w:val="H5 Char"/>
    <w:autoRedefine/>
    <w:qFormat/>
    <w:uiPriority w:val="0"/>
    <w:rPr>
      <w:b/>
      <w:bCs/>
      <w:kern w:val="2"/>
      <w:sz w:val="28"/>
      <w:szCs w:val="28"/>
    </w:rPr>
  </w:style>
  <w:style w:type="character" w:customStyle="1" w:styleId="251">
    <w:name w:val="Char Char3"/>
    <w:autoRedefine/>
    <w:qFormat/>
    <w:uiPriority w:val="0"/>
    <w:rPr>
      <w:rFonts w:eastAsia="宋体"/>
      <w:kern w:val="2"/>
      <w:sz w:val="21"/>
      <w:szCs w:val="24"/>
      <w:lang w:val="en-US" w:eastAsia="zh-CN" w:bidi="ar-SA"/>
    </w:rPr>
  </w:style>
  <w:style w:type="character" w:customStyle="1" w:styleId="252">
    <w:name w:val="正文 编号 Char"/>
    <w:autoRedefine/>
    <w:qFormat/>
    <w:uiPriority w:val="0"/>
    <w:rPr>
      <w:rFonts w:ascii="仿宋_GB2312" w:hAnsi="仿宋_GB2312" w:eastAsia="仿宋_GB2312"/>
      <w:kern w:val="2"/>
      <w:sz w:val="24"/>
      <w:lang w:bidi="ar-SA"/>
    </w:rPr>
  </w:style>
  <w:style w:type="character" w:customStyle="1" w:styleId="253">
    <w:name w:val="question-title2"/>
    <w:autoRedefine/>
    <w:qFormat/>
    <w:uiPriority w:val="6"/>
    <w:rPr>
      <w:rFonts w:ascii="Arial" w:hAnsi="Arial" w:eastAsia="黑体" w:cs="Arial"/>
      <w:snapToGrid w:val="0"/>
      <w:kern w:val="0"/>
      <w:szCs w:val="21"/>
    </w:rPr>
  </w:style>
  <w:style w:type="character" w:customStyle="1" w:styleId="254">
    <w:name w:val="gf正文1 Char Char"/>
    <w:link w:val="255"/>
    <w:autoRedefine/>
    <w:qFormat/>
    <w:uiPriority w:val="0"/>
    <w:rPr>
      <w:rFonts w:ascii="宋体" w:hAnsi="宋体" w:cs="宋体"/>
      <w:kern w:val="2"/>
      <w:sz w:val="24"/>
      <w:szCs w:val="24"/>
    </w:rPr>
  </w:style>
  <w:style w:type="paragraph" w:customStyle="1" w:styleId="255">
    <w:name w:val="gf正文1"/>
    <w:basedOn w:val="1"/>
    <w:link w:val="254"/>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autoRedefine/>
    <w:qFormat/>
    <w:uiPriority w:val="6"/>
    <w:rPr>
      <w:rFonts w:ascii="宋体" w:hAnsi="宋体"/>
      <w:kern w:val="1"/>
      <w:sz w:val="21"/>
    </w:rPr>
  </w:style>
  <w:style w:type="character" w:customStyle="1" w:styleId="257">
    <w:name w:val="正文缩进 Char3"/>
    <w:autoRedefine/>
    <w:qFormat/>
    <w:uiPriority w:val="0"/>
    <w:rPr>
      <w:rFonts w:ascii="宋体" w:eastAsia="宋体"/>
      <w:snapToGrid w:val="0"/>
      <w:color w:val="000000"/>
      <w:kern w:val="28"/>
      <w:sz w:val="28"/>
      <w:lang w:val="en-US" w:eastAsia="zh-CN" w:bidi="ar-SA"/>
    </w:rPr>
  </w:style>
  <w:style w:type="character" w:customStyle="1" w:styleId="258">
    <w:name w:val="列出段落 Char1"/>
    <w:link w:val="259"/>
    <w:autoRedefine/>
    <w:qFormat/>
    <w:uiPriority w:val="0"/>
    <w:rPr>
      <w:rFonts w:ascii="Calibri" w:hAnsi="Calibri"/>
      <w:sz w:val="24"/>
      <w:lang w:eastAsia="en-US"/>
    </w:rPr>
  </w:style>
  <w:style w:type="paragraph" w:customStyle="1" w:styleId="259">
    <w:name w:val="列表1"/>
    <w:basedOn w:val="1"/>
    <w:next w:val="260"/>
    <w:link w:val="258"/>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1">
    <w:name w:val="Char Char8"/>
    <w:autoRedefine/>
    <w:qFormat/>
    <w:uiPriority w:val="0"/>
    <w:rPr>
      <w:rFonts w:eastAsia="宋体"/>
      <w:b/>
      <w:sz w:val="24"/>
      <w:lang w:val="en-GB" w:eastAsia="zh-CN"/>
    </w:rPr>
  </w:style>
  <w:style w:type="character" w:customStyle="1" w:styleId="262">
    <w:name w:val="Normal Indent Char Char"/>
    <w:autoRedefine/>
    <w:qFormat/>
    <w:uiPriority w:val="0"/>
    <w:rPr>
      <w:rFonts w:eastAsia="宋体"/>
      <w:kern w:val="2"/>
      <w:sz w:val="21"/>
      <w:lang w:val="en-US" w:eastAsia="zh-CN" w:bidi="ar-SA"/>
    </w:rPr>
  </w:style>
  <w:style w:type="character" w:customStyle="1" w:styleId="263">
    <w:name w:val="列表段落 字符"/>
    <w:autoRedefine/>
    <w:qFormat/>
    <w:uiPriority w:val="99"/>
  </w:style>
  <w:style w:type="character" w:customStyle="1" w:styleId="264">
    <w:name w:val="Ò³Ã¼ Char Char1"/>
    <w:autoRedefine/>
    <w:qFormat/>
    <w:uiPriority w:val="0"/>
    <w:rPr>
      <w:rFonts w:eastAsia="宋体"/>
      <w:kern w:val="2"/>
      <w:sz w:val="18"/>
      <w:szCs w:val="18"/>
      <w:lang w:val="en-US" w:eastAsia="zh-CN" w:bidi="ar-SA"/>
    </w:rPr>
  </w:style>
  <w:style w:type="character" w:customStyle="1" w:styleId="265">
    <w:name w:val="方案正文 Char"/>
    <w:autoRedefine/>
    <w:qFormat/>
    <w:uiPriority w:val="0"/>
    <w:rPr>
      <w:rFonts w:ascii="仿宋_GB2312" w:eastAsia="仿宋_GB2312"/>
      <w:b/>
      <w:color w:val="000000"/>
      <w:kern w:val="2"/>
      <w:sz w:val="24"/>
      <w:lang w:val="en-US" w:eastAsia="zh-CN" w:bidi="ar-SA"/>
    </w:rPr>
  </w:style>
  <w:style w:type="character" w:customStyle="1" w:styleId="266">
    <w:name w:val="Char Char30"/>
    <w:autoRedefine/>
    <w:qFormat/>
    <w:uiPriority w:val="6"/>
    <w:rPr>
      <w:rFonts w:ascii="Arial" w:hAnsi="Arial" w:eastAsia="黑体"/>
      <w:kern w:val="1"/>
      <w:sz w:val="21"/>
      <w:szCs w:val="21"/>
    </w:rPr>
  </w:style>
  <w:style w:type="character" w:customStyle="1" w:styleId="267">
    <w:name w:val="正文文本缩进 Char3"/>
    <w:link w:val="18"/>
    <w:autoRedefine/>
    <w:qFormat/>
    <w:uiPriority w:val="0"/>
    <w:rPr>
      <w:rFonts w:ascii="宋体" w:hAnsi="宋体"/>
      <w:kern w:val="2"/>
      <w:sz w:val="24"/>
      <w:szCs w:val="24"/>
    </w:rPr>
  </w:style>
  <w:style w:type="character" w:customStyle="1" w:styleId="268">
    <w:name w:val="font01"/>
    <w:autoRedefine/>
    <w:qFormat/>
    <w:uiPriority w:val="0"/>
    <w:rPr>
      <w:rFonts w:hint="eastAsia" w:ascii="微软雅黑" w:hAnsi="微软雅黑" w:eastAsia="微软雅黑" w:cs="微软雅黑"/>
      <w:color w:val="000000"/>
      <w:sz w:val="20"/>
      <w:szCs w:val="20"/>
      <w:u w:val="none"/>
    </w:rPr>
  </w:style>
  <w:style w:type="character" w:customStyle="1" w:styleId="269">
    <w:name w:val="Char Char20"/>
    <w:autoRedefine/>
    <w:qFormat/>
    <w:uiPriority w:val="6"/>
    <w:rPr>
      <w:kern w:val="1"/>
      <w:sz w:val="24"/>
    </w:rPr>
  </w:style>
  <w:style w:type="character" w:customStyle="1" w:styleId="270">
    <w:name w:val="tw4winExternal"/>
    <w:autoRedefine/>
    <w:qFormat/>
    <w:uiPriority w:val="0"/>
    <w:rPr>
      <w:rFonts w:ascii="Courier New" w:hAnsi="Courier New" w:cs="Courier New"/>
      <w:color w:val="808080"/>
      <w:lang w:val="en-US" w:eastAsia="zh-CN"/>
    </w:rPr>
  </w:style>
  <w:style w:type="character" w:customStyle="1" w:styleId="271">
    <w:name w:val="标题 4 Char1"/>
    <w:autoRedefine/>
    <w:qFormat/>
    <w:uiPriority w:val="9"/>
    <w:rPr>
      <w:rFonts w:ascii="Cambria" w:hAnsi="Cambria" w:eastAsia="宋体" w:cs="Times New Roman"/>
      <w:b/>
      <w:bCs/>
      <w:kern w:val="2"/>
      <w:sz w:val="28"/>
      <w:szCs w:val="28"/>
    </w:rPr>
  </w:style>
  <w:style w:type="character" w:customStyle="1" w:styleId="272">
    <w:name w:val="批注文字 Char2"/>
    <w:autoRedefine/>
    <w:qFormat/>
    <w:uiPriority w:val="99"/>
    <w:rPr>
      <w:rFonts w:ascii="Times New Roman" w:hAnsi="Times New Roman" w:eastAsia="宋体" w:cs="Times New Roman"/>
      <w:snapToGrid w:val="0"/>
      <w:kern w:val="0"/>
      <w:szCs w:val="24"/>
    </w:rPr>
  </w:style>
  <w:style w:type="character" w:customStyle="1" w:styleId="273">
    <w:name w:val="正文文本 2 Char"/>
    <w:autoRedefine/>
    <w:qFormat/>
    <w:uiPriority w:val="0"/>
    <w:rPr>
      <w:rFonts w:eastAsia="宋体"/>
      <w:kern w:val="2"/>
      <w:sz w:val="21"/>
      <w:szCs w:val="24"/>
      <w:lang w:val="en-US" w:eastAsia="zh-CN" w:bidi="ar-SA"/>
    </w:rPr>
  </w:style>
  <w:style w:type="character" w:customStyle="1" w:styleId="274">
    <w:name w:val="Ò³Ã¼ Char Char"/>
    <w:autoRedefine/>
    <w:qFormat/>
    <w:uiPriority w:val="0"/>
    <w:rPr>
      <w:rFonts w:eastAsia="宋体"/>
      <w:kern w:val="2"/>
      <w:sz w:val="18"/>
      <w:lang w:val="en-US" w:eastAsia="zh-CN" w:bidi="ar-SA"/>
    </w:rPr>
  </w:style>
  <w:style w:type="character" w:customStyle="1" w:styleId="275">
    <w:name w:val="message1"/>
    <w:autoRedefine/>
    <w:qFormat/>
    <w:uiPriority w:val="0"/>
    <w:rPr>
      <w:rFonts w:hint="default" w:ascii="Tahoma" w:hAnsi="Tahoma" w:cs="Tahoma"/>
      <w:sz w:val="18"/>
      <w:szCs w:val="18"/>
    </w:rPr>
  </w:style>
  <w:style w:type="character" w:customStyle="1" w:styleId="276">
    <w:name w:val="Char Char23"/>
    <w:autoRedefine/>
    <w:qFormat/>
    <w:uiPriority w:val="6"/>
    <w:rPr>
      <w:color w:val="0000FF"/>
      <w:sz w:val="21"/>
    </w:rPr>
  </w:style>
  <w:style w:type="character" w:customStyle="1" w:styleId="277">
    <w:name w:val="批注框文本 字符"/>
    <w:autoRedefine/>
    <w:qFormat/>
    <w:uiPriority w:val="0"/>
    <w:rPr>
      <w:rFonts w:ascii="Arial" w:hAnsi="Arial" w:eastAsia="黑体" w:cs="Arial"/>
      <w:snapToGrid w:val="0"/>
      <w:kern w:val="0"/>
      <w:sz w:val="18"/>
      <w:szCs w:val="18"/>
    </w:rPr>
  </w:style>
  <w:style w:type="character" w:customStyle="1" w:styleId="278">
    <w:name w:val="纯文本 Char2"/>
    <w:autoRedefine/>
    <w:semiHidden/>
    <w:qFormat/>
    <w:uiPriority w:val="99"/>
    <w:rPr>
      <w:rFonts w:ascii="宋体" w:hAnsi="Courier New" w:eastAsia="宋体" w:cs="Courier New"/>
    </w:rPr>
  </w:style>
  <w:style w:type="character" w:customStyle="1" w:styleId="279">
    <w:name w:val="Char Char25"/>
    <w:autoRedefine/>
    <w:qFormat/>
    <w:uiPriority w:val="6"/>
    <w:rPr>
      <w:rFonts w:ascii="宋体" w:hAnsi="宋体"/>
      <w:kern w:val="1"/>
      <w:sz w:val="24"/>
      <w:lang w:val="zh-CN"/>
    </w:rPr>
  </w:style>
  <w:style w:type="character" w:customStyle="1" w:styleId="280">
    <w:name w:val="Char Char411"/>
    <w:autoRedefine/>
    <w:qFormat/>
    <w:uiPriority w:val="0"/>
    <w:rPr>
      <w:rFonts w:eastAsia="宋体"/>
      <w:b/>
      <w:sz w:val="24"/>
      <w:lang w:val="en-GB" w:eastAsia="zh-CN" w:bidi="ar-SA"/>
    </w:rPr>
  </w:style>
  <w:style w:type="character" w:customStyle="1" w:styleId="281">
    <w:name w:val="Heading 7 Char"/>
    <w:autoRedefine/>
    <w:qFormat/>
    <w:locked/>
    <w:uiPriority w:val="0"/>
    <w:rPr>
      <w:rFonts w:ascii="宋体" w:hAnsi="宋体" w:eastAsia="宋体"/>
      <w:b/>
      <w:bCs/>
      <w:kern w:val="2"/>
      <w:sz w:val="24"/>
      <w:szCs w:val="24"/>
      <w:lang w:val="en-US" w:eastAsia="zh-CN" w:bidi="ar-SA"/>
    </w:rPr>
  </w:style>
  <w:style w:type="character" w:customStyle="1" w:styleId="282">
    <w:name w:val="此正文 Char"/>
    <w:link w:val="283"/>
    <w:autoRedefine/>
    <w:qFormat/>
    <w:uiPriority w:val="0"/>
    <w:rPr>
      <w:kern w:val="2"/>
      <w:sz w:val="24"/>
      <w:szCs w:val="24"/>
    </w:rPr>
  </w:style>
  <w:style w:type="paragraph" w:customStyle="1" w:styleId="283">
    <w:name w:val="此正文"/>
    <w:basedOn w:val="1"/>
    <w:link w:val="282"/>
    <w:autoRedefine/>
    <w:qFormat/>
    <w:uiPriority w:val="0"/>
    <w:pPr>
      <w:adjustRightInd/>
      <w:spacing w:line="360" w:lineRule="auto"/>
      <w:ind w:firstLine="200" w:firstLineChars="200"/>
    </w:pPr>
    <w:rPr>
      <w:sz w:val="24"/>
    </w:rPr>
  </w:style>
  <w:style w:type="character" w:customStyle="1" w:styleId="284">
    <w:name w:val="Char Char2"/>
    <w:autoRedefine/>
    <w:qFormat/>
    <w:uiPriority w:val="0"/>
    <w:rPr>
      <w:rFonts w:eastAsia="宋体"/>
      <w:b/>
      <w:bCs/>
      <w:kern w:val="2"/>
      <w:sz w:val="21"/>
      <w:szCs w:val="24"/>
      <w:lang w:val="en-US" w:eastAsia="zh-CN" w:bidi="ar-SA"/>
    </w:rPr>
  </w:style>
  <w:style w:type="character" w:customStyle="1" w:styleId="285">
    <w:name w:val="标题 1 Char"/>
    <w:link w:val="2"/>
    <w:autoRedefine/>
    <w:qFormat/>
    <w:uiPriority w:val="9"/>
    <w:rPr>
      <w:b/>
      <w:bCs/>
      <w:kern w:val="44"/>
      <w:sz w:val="44"/>
      <w:szCs w:val="44"/>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Char2"/>
    <w:link w:val="61"/>
    <w:autoRedefine/>
    <w:qFormat/>
    <w:uiPriority w:val="10"/>
    <w:rPr>
      <w:b/>
      <w:sz w:val="24"/>
      <w:lang w:val="en-GB"/>
    </w:rPr>
  </w:style>
  <w:style w:type="character" w:customStyle="1" w:styleId="289">
    <w:name w:val="font81"/>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Char"/>
    <w:link w:val="8"/>
    <w:autoRedefine/>
    <w:qFormat/>
    <w:uiPriority w:val="9"/>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Char"/>
    <w:link w:val="23"/>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Char"/>
    <w:link w:val="59"/>
    <w:autoRedefine/>
    <w:qFormat/>
    <w:uiPriority w:val="0"/>
    <w:rPr>
      <w:rFonts w:ascii="黑体" w:hAnsi="Courier New" w:eastAsia="黑体"/>
    </w:rPr>
  </w:style>
  <w:style w:type="character" w:customStyle="1" w:styleId="304">
    <w:name w:val="正文文本 2 Char1"/>
    <w:link w:val="58"/>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7"/>
    <w:link w:val="415"/>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Char"/>
    <w:link w:val="10"/>
    <w:autoRedefine/>
    <w:qFormat/>
    <w:uiPriority w:val="0"/>
    <w:rPr>
      <w:b/>
      <w:bCs/>
      <w:kern w:val="2"/>
      <w:sz w:val="24"/>
      <w:szCs w:val="24"/>
    </w:rPr>
  </w:style>
  <w:style w:type="character" w:customStyle="1" w:styleId="310">
    <w:name w:val="正文文本缩进 2 Char"/>
    <w:link w:val="38"/>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Char"/>
    <w:link w:val="52"/>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autoRedefine/>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autoRedefine/>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1"/>
    <w:link w:val="321"/>
    <w:autoRedefine/>
    <w:qFormat/>
    <w:uiPriority w:val="0"/>
    <w:pPr>
      <w:adjustRightInd/>
    </w:pPr>
    <w:rPr>
      <w:rFonts w:ascii="宋体" w:hAnsi="Courier New"/>
      <w:kern w:val="0"/>
      <w:sz w:val="20"/>
      <w:szCs w:val="20"/>
    </w:rPr>
  </w:style>
  <w:style w:type="character" w:customStyle="1" w:styleId="323">
    <w:name w:val="正文首行缩进 Char"/>
    <w:link w:val="63"/>
    <w:autoRedefine/>
    <w:qFormat/>
    <w:uiPriority w:val="0"/>
    <w:rPr>
      <w:rFonts w:ascii="宋体"/>
      <w:kern w:val="2"/>
      <w:sz w:val="24"/>
      <w:lang w:val="zh-CN"/>
    </w:rPr>
  </w:style>
  <w:style w:type="character" w:customStyle="1" w:styleId="324">
    <w:name w:val="h3 Char"/>
    <w:autoRedefine/>
    <w:qFormat/>
    <w:uiPriority w:val="0"/>
    <w:rPr>
      <w:rFonts w:eastAsia="宋体"/>
      <w:b/>
      <w:kern w:val="2"/>
      <w:sz w:val="32"/>
      <w:lang w:val="en-US" w:eastAsia="zh-CN" w:bidi="ar-SA"/>
    </w:rPr>
  </w:style>
  <w:style w:type="character" w:customStyle="1" w:styleId="325">
    <w:name w:val="dandyren_title1"/>
    <w:autoRedefine/>
    <w:qFormat/>
    <w:uiPriority w:val="0"/>
    <w:rPr>
      <w:b/>
      <w:bCs/>
      <w:color w:val="FF6633"/>
      <w:sz w:val="18"/>
      <w:szCs w:val="18"/>
    </w:rPr>
  </w:style>
  <w:style w:type="character" w:customStyle="1" w:styleId="326">
    <w:name w:val="Char Char31"/>
    <w:autoRedefine/>
    <w:qFormat/>
    <w:uiPriority w:val="6"/>
    <w:rPr>
      <w:rFonts w:ascii="Arial" w:hAnsi="Arial" w:eastAsia="黑体"/>
      <w:kern w:val="1"/>
      <w:sz w:val="24"/>
      <w:szCs w:val="24"/>
    </w:rPr>
  </w:style>
  <w:style w:type="character" w:customStyle="1" w:styleId="327">
    <w:name w:val="h Char1"/>
    <w:autoRedefine/>
    <w:qFormat/>
    <w:uiPriority w:val="0"/>
    <w:rPr>
      <w:sz w:val="18"/>
      <w:szCs w:val="18"/>
    </w:rPr>
  </w:style>
  <w:style w:type="character" w:customStyle="1" w:styleId="328">
    <w:name w:val="solutionfonts"/>
    <w:autoRedefine/>
    <w:qFormat/>
    <w:uiPriority w:val="0"/>
  </w:style>
  <w:style w:type="character" w:customStyle="1" w:styleId="329">
    <w:name w:val="标题 4 Char2"/>
    <w:link w:val="7"/>
    <w:autoRedefine/>
    <w:qFormat/>
    <w:uiPriority w:val="9"/>
    <w:rPr>
      <w:rFonts w:ascii="Arial" w:hAnsi="Arial" w:eastAsia="黑体"/>
      <w:b/>
      <w:bCs/>
      <w:kern w:val="2"/>
      <w:sz w:val="28"/>
      <w:szCs w:val="28"/>
      <w:lang w:val="zh-CN"/>
    </w:rPr>
  </w:style>
  <w:style w:type="character" w:customStyle="1" w:styleId="330">
    <w:name w:val="首行缩进 Char"/>
    <w:autoRedefine/>
    <w:qFormat/>
    <w:uiPriority w:val="0"/>
    <w:rPr>
      <w:rFonts w:ascii="宋体" w:eastAsia="宋体"/>
      <w:kern w:val="2"/>
      <w:sz w:val="24"/>
      <w:lang w:val="en-US" w:eastAsia="zh-CN" w:bidi="ar-SA"/>
    </w:rPr>
  </w:style>
  <w:style w:type="character" w:customStyle="1" w:styleId="331">
    <w:name w:val="Char Char52"/>
    <w:autoRedefine/>
    <w:qFormat/>
    <w:uiPriority w:val="0"/>
    <w:rPr>
      <w:rFonts w:ascii="宋体" w:hAnsi="Courier New" w:eastAsia="宋体"/>
      <w:kern w:val="2"/>
      <w:sz w:val="21"/>
      <w:lang w:val="en-US" w:eastAsia="zh-CN"/>
    </w:rPr>
  </w:style>
  <w:style w:type="character" w:customStyle="1" w:styleId="332">
    <w:name w:val="正文文本 3 Char"/>
    <w:link w:val="24"/>
    <w:autoRedefine/>
    <w:qFormat/>
    <w:uiPriority w:val="0"/>
    <w:rPr>
      <w:kern w:val="2"/>
      <w:sz w:val="21"/>
    </w:rPr>
  </w:style>
  <w:style w:type="character" w:customStyle="1" w:styleId="333">
    <w:name w:val="font31"/>
    <w:autoRedefine/>
    <w:qFormat/>
    <w:uiPriority w:val="0"/>
    <w:rPr>
      <w:rFonts w:hint="eastAsia" w:ascii="仿宋" w:hAnsi="仿宋" w:eastAsia="仿宋" w:cs="仿宋"/>
      <w:color w:val="000000"/>
      <w:sz w:val="20"/>
      <w:szCs w:val="20"/>
      <w:u w:val="none"/>
    </w:rPr>
  </w:style>
  <w:style w:type="character" w:customStyle="1" w:styleId="334">
    <w:name w:val="正文说明 Char"/>
    <w:link w:val="335"/>
    <w:autoRedefine/>
    <w:qFormat/>
    <w:uiPriority w:val="0"/>
    <w:rPr>
      <w:sz w:val="24"/>
      <w:szCs w:val="24"/>
    </w:rPr>
  </w:style>
  <w:style w:type="paragraph" w:customStyle="1" w:styleId="335">
    <w:name w:val="正文说明"/>
    <w:basedOn w:val="1"/>
    <w:link w:val="334"/>
    <w:autoRedefine/>
    <w:qFormat/>
    <w:uiPriority w:val="0"/>
    <w:pPr>
      <w:adjustRightInd/>
      <w:spacing w:line="360" w:lineRule="auto"/>
    </w:pPr>
    <w:rPr>
      <w:kern w:val="0"/>
      <w:sz w:val="24"/>
    </w:rPr>
  </w:style>
  <w:style w:type="character" w:customStyle="1" w:styleId="336">
    <w:name w:val="脚注文本 Char1"/>
    <w:autoRedefine/>
    <w:qFormat/>
    <w:uiPriority w:val="0"/>
    <w:rPr>
      <w:rFonts w:ascii="Times New Roman" w:hAnsi="Times New Roman" w:eastAsia="宋体" w:cs="Times New Roman"/>
      <w:sz w:val="18"/>
      <w:szCs w:val="18"/>
    </w:rPr>
  </w:style>
  <w:style w:type="character" w:customStyle="1" w:styleId="337">
    <w:name w:val="Char Char1211"/>
    <w:autoRedefine/>
    <w:qFormat/>
    <w:uiPriority w:val="0"/>
    <w:rPr>
      <w:rFonts w:ascii="仿宋_GB2312" w:eastAsia="仿宋_GB2312"/>
      <w:b/>
      <w:bCs/>
      <w:kern w:val="2"/>
      <w:sz w:val="24"/>
      <w:szCs w:val="24"/>
      <w:lang w:val="zh-CN" w:eastAsia="zh-CN" w:bidi="ar-SA"/>
    </w:rPr>
  </w:style>
  <w:style w:type="character" w:customStyle="1" w:styleId="338">
    <w:name w:val="标题 Char"/>
    <w:autoRedefine/>
    <w:qFormat/>
    <w:uiPriority w:val="0"/>
    <w:rPr>
      <w:rFonts w:eastAsia="宋体"/>
      <w:b/>
      <w:sz w:val="24"/>
      <w:lang w:val="en-GB" w:eastAsia="zh-CN" w:bidi="ar-SA"/>
    </w:rPr>
  </w:style>
  <w:style w:type="character" w:customStyle="1" w:styleId="339">
    <w:name w:val="Char Char35"/>
    <w:autoRedefine/>
    <w:qFormat/>
    <w:uiPriority w:val="6"/>
    <w:rPr>
      <w:rFonts w:ascii="Arial" w:hAnsi="Arial" w:eastAsia="黑体"/>
      <w:b/>
      <w:kern w:val="1"/>
      <w:sz w:val="28"/>
      <w:szCs w:val="28"/>
      <w:lang w:val="zh-CN"/>
    </w:rPr>
  </w:style>
  <w:style w:type="character" w:customStyle="1" w:styleId="340">
    <w:name w:val="纯文本 Char Char Char"/>
    <w:autoRedefine/>
    <w:qFormat/>
    <w:uiPriority w:val="0"/>
    <w:rPr>
      <w:rFonts w:ascii="宋体" w:hAnsi="Courier New" w:eastAsia="宋体"/>
      <w:kern w:val="2"/>
      <w:sz w:val="21"/>
      <w:lang w:val="en-US" w:eastAsia="zh-CN" w:bidi="ar-SA"/>
    </w:rPr>
  </w:style>
  <w:style w:type="character" w:customStyle="1" w:styleId="341">
    <w:name w:val="Table Text Char"/>
    <w:link w:val="342"/>
    <w:autoRedefine/>
    <w:qFormat/>
    <w:uiPriority w:val="0"/>
    <w:rPr>
      <w:sz w:val="24"/>
      <w:szCs w:val="24"/>
    </w:rPr>
  </w:style>
  <w:style w:type="paragraph" w:customStyle="1" w:styleId="342">
    <w:name w:val="Table Text"/>
    <w:basedOn w:val="1"/>
    <w:link w:val="341"/>
    <w:autoRedefine/>
    <w:qFormat/>
    <w:uiPriority w:val="0"/>
    <w:pPr>
      <w:widowControl/>
      <w:spacing w:before="60" w:after="60"/>
      <w:jc w:val="left"/>
    </w:pPr>
    <w:rPr>
      <w:kern w:val="0"/>
      <w:sz w:val="24"/>
    </w:rPr>
  </w:style>
  <w:style w:type="character" w:customStyle="1" w:styleId="343">
    <w:name w:val="正文1 Char1"/>
    <w:autoRedefine/>
    <w:qFormat/>
    <w:uiPriority w:val="0"/>
    <w:rPr>
      <w:rFonts w:ascii="仿宋_GB2312" w:hAnsi="Courier New" w:eastAsia="仿宋_GB2312"/>
      <w:kern w:val="28"/>
      <w:sz w:val="24"/>
      <w:szCs w:val="24"/>
      <w:lang w:val="en-US" w:eastAsia="zh-CN"/>
    </w:rPr>
  </w:style>
  <w:style w:type="character" w:customStyle="1" w:styleId="344">
    <w:name w:val="页脚 Char1"/>
    <w:autoRedefine/>
    <w:qFormat/>
    <w:uiPriority w:val="0"/>
    <w:rPr>
      <w:rFonts w:eastAsia="宋体"/>
      <w:kern w:val="2"/>
      <w:sz w:val="18"/>
      <w:szCs w:val="18"/>
      <w:lang w:val="en-US" w:eastAsia="zh-CN" w:bidi="ar-SA"/>
    </w:rPr>
  </w:style>
  <w:style w:type="character" w:customStyle="1" w:styleId="345">
    <w:name w:val="Bold"/>
    <w:autoRedefine/>
    <w:qFormat/>
    <w:uiPriority w:val="0"/>
    <w:rPr>
      <w:rFonts w:ascii="Arial" w:hAnsi="Arial" w:eastAsia="黑体" w:cs="Times New Roman"/>
      <w:b/>
      <w:kern w:val="2"/>
      <w:sz w:val="32"/>
      <w:szCs w:val="32"/>
      <w:lang w:val="en-US" w:eastAsia="zh-CN" w:bidi="ar-SA"/>
    </w:rPr>
  </w:style>
  <w:style w:type="character" w:customStyle="1" w:styleId="346">
    <w:name w:val="批注文字 Char1"/>
    <w:link w:val="22"/>
    <w:autoRedefine/>
    <w:qFormat/>
    <w:uiPriority w:val="0"/>
    <w:rPr>
      <w:kern w:val="2"/>
      <w:sz w:val="21"/>
      <w:szCs w:val="24"/>
    </w:rPr>
  </w:style>
  <w:style w:type="character" w:customStyle="1" w:styleId="347">
    <w:name w:val="签名 Char"/>
    <w:link w:val="44"/>
    <w:autoRedefine/>
    <w:qFormat/>
    <w:uiPriority w:val="0"/>
    <w:rPr>
      <w:rFonts w:eastAsia="仿宋_GB2312"/>
      <w:sz w:val="24"/>
    </w:rPr>
  </w:style>
  <w:style w:type="character" w:customStyle="1" w:styleId="348">
    <w:name w:val="hui3"/>
    <w:autoRedefine/>
    <w:qFormat/>
    <w:uiPriority w:val="0"/>
    <w:rPr>
      <w:color w:val="333333"/>
    </w:rPr>
  </w:style>
  <w:style w:type="character" w:customStyle="1" w:styleId="349">
    <w:name w:val="Char Char17"/>
    <w:autoRedefine/>
    <w:qFormat/>
    <w:uiPriority w:val="6"/>
    <w:rPr>
      <w:rFonts w:eastAsia="仿宋_GB2312"/>
      <w:sz w:val="24"/>
    </w:rPr>
  </w:style>
  <w:style w:type="character" w:customStyle="1" w:styleId="350">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1">
    <w:name w:val="Char Char37"/>
    <w:autoRedefine/>
    <w:qFormat/>
    <w:uiPriority w:val="6"/>
    <w:rPr>
      <w:b/>
      <w:kern w:val="1"/>
      <w:sz w:val="44"/>
      <w:szCs w:val="44"/>
    </w:rPr>
  </w:style>
  <w:style w:type="character" w:customStyle="1" w:styleId="352">
    <w:name w:val="列出段落 Char"/>
    <w:autoRedefine/>
    <w:qFormat/>
    <w:uiPriority w:val="0"/>
    <w:rPr>
      <w:rFonts w:eastAsia="楷体_GB2312" w:cs="Lucida Sans"/>
      <w:kern w:val="2"/>
      <w:sz w:val="24"/>
      <w:szCs w:val="24"/>
      <w:lang w:val="en-US" w:eastAsia="zh-CN" w:bidi="ar-SA"/>
    </w:rPr>
  </w:style>
  <w:style w:type="character" w:customStyle="1" w:styleId="353">
    <w:name w:val="正文文本缩进 3 Char1"/>
    <w:autoRedefine/>
    <w:semiHidden/>
    <w:qFormat/>
    <w:uiPriority w:val="99"/>
    <w:rPr>
      <w:rFonts w:ascii="Times New Roman" w:hAnsi="Times New Roman" w:eastAsia="宋体" w:cs="Times New Roman"/>
      <w:sz w:val="16"/>
      <w:szCs w:val="16"/>
    </w:rPr>
  </w:style>
  <w:style w:type="character" w:customStyle="1" w:styleId="354">
    <w:name w:val="公文正文 Char Char"/>
    <w:link w:val="355"/>
    <w:autoRedefine/>
    <w:qFormat/>
    <w:uiPriority w:val="0"/>
    <w:rPr>
      <w:rFonts w:ascii="仿宋_GB2312" w:eastAsia="仿宋_GB2312"/>
      <w:kern w:val="2"/>
      <w:sz w:val="24"/>
      <w:szCs w:val="24"/>
    </w:rPr>
  </w:style>
  <w:style w:type="paragraph" w:customStyle="1" w:styleId="355">
    <w:name w:val="公文正文"/>
    <w:basedOn w:val="1"/>
    <w:link w:val="354"/>
    <w:autoRedefine/>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autoRedefine/>
    <w:qFormat/>
    <w:uiPriority w:val="0"/>
    <w:rPr>
      <w:rFonts w:eastAsia="宋体"/>
      <w:sz w:val="24"/>
      <w:szCs w:val="24"/>
      <w:lang w:val="en-US" w:eastAsia="zh-CN" w:bidi="ar-SA"/>
    </w:rPr>
  </w:style>
  <w:style w:type="character" w:customStyle="1" w:styleId="357">
    <w:name w:val="标题 1 Char Char"/>
    <w:autoRedefine/>
    <w:qFormat/>
    <w:uiPriority w:val="0"/>
    <w:rPr>
      <w:rFonts w:hint="eastAsia" w:ascii="宋体" w:hAnsi="宋体" w:eastAsia="宋体"/>
      <w:b/>
      <w:spacing w:val="-2"/>
      <w:sz w:val="24"/>
      <w:lang w:val="en-US" w:eastAsia="zh-CN" w:bidi="ar-SA"/>
    </w:rPr>
  </w:style>
  <w:style w:type="character" w:customStyle="1" w:styleId="358">
    <w:name w:val="正文（缩进2汉字） Char"/>
    <w:link w:val="359"/>
    <w:autoRedefine/>
    <w:qFormat/>
    <w:uiPriority w:val="0"/>
    <w:rPr>
      <w:rFonts w:ascii="宋体"/>
    </w:rPr>
  </w:style>
  <w:style w:type="paragraph" w:customStyle="1" w:styleId="359">
    <w:name w:val="正文（缩进2汉字）"/>
    <w:basedOn w:val="1"/>
    <w:link w:val="35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1"/>
    <w:autoRedefine/>
    <w:qFormat/>
    <w:uiPriority w:val="0"/>
    <w:rPr>
      <w:rFonts w:ascii="Arial" w:hAnsi="Arial" w:eastAsia="黑体"/>
      <w:kern w:val="2"/>
      <w:sz w:val="24"/>
      <w:szCs w:val="24"/>
    </w:rPr>
  </w:style>
  <w:style w:type="character" w:customStyle="1" w:styleId="361">
    <w:name w:val="标书表格字体格式 Char"/>
    <w:autoRedefine/>
    <w:qFormat/>
    <w:uiPriority w:val="0"/>
    <w:rPr>
      <w:kern w:val="2"/>
      <w:sz w:val="21"/>
      <w:szCs w:val="24"/>
      <w:lang w:bidi="ar-SA"/>
    </w:rPr>
  </w:style>
  <w:style w:type="character" w:customStyle="1" w:styleId="362">
    <w:name w:val="tw4winError"/>
    <w:autoRedefine/>
    <w:qFormat/>
    <w:uiPriority w:val="0"/>
    <w:rPr>
      <w:rFonts w:ascii="Courier New" w:hAnsi="Courier New" w:cs="Courier New"/>
      <w:color w:val="00FF00"/>
      <w:sz w:val="40"/>
      <w:szCs w:val="40"/>
    </w:rPr>
  </w:style>
  <w:style w:type="character" w:customStyle="1" w:styleId="363">
    <w:name w:val="Body Text(ch) Char Char"/>
    <w:autoRedefine/>
    <w:qFormat/>
    <w:uiPriority w:val="0"/>
    <w:rPr>
      <w:rFonts w:ascii="宋体"/>
      <w:kern w:val="2"/>
      <w:sz w:val="24"/>
      <w:szCs w:val="21"/>
      <w:lang w:val="zh-CN"/>
    </w:rPr>
  </w:style>
  <w:style w:type="character" w:customStyle="1" w:styleId="364">
    <w:name w:val="正文首行缩进两字 Char"/>
    <w:autoRedefine/>
    <w:qFormat/>
    <w:uiPriority w:val="0"/>
    <w:rPr>
      <w:sz w:val="24"/>
      <w:szCs w:val="24"/>
      <w:lang w:val="en-US" w:eastAsia="zh-CN" w:bidi="ar-SA"/>
    </w:rPr>
  </w:style>
  <w:style w:type="character" w:customStyle="1" w:styleId="365">
    <w:name w:val="正文文本 Char"/>
    <w:autoRedefine/>
    <w:qFormat/>
    <w:uiPriority w:val="0"/>
    <w:rPr>
      <w:rFonts w:eastAsia="宋体"/>
      <w:kern w:val="2"/>
      <w:sz w:val="24"/>
      <w:szCs w:val="24"/>
      <w:lang w:val="en-US" w:eastAsia="zh-CN" w:bidi="ar-SA"/>
    </w:rPr>
  </w:style>
  <w:style w:type="character" w:customStyle="1" w:styleId="366">
    <w:name w:val="文档结构图 字符1"/>
    <w:autoRedefine/>
    <w:qFormat/>
    <w:uiPriority w:val="0"/>
    <w:rPr>
      <w:rFonts w:ascii="宋体" w:hAnsi="Calibri" w:eastAsia="黑体" w:cs="Arial"/>
      <w:snapToGrid w:val="0"/>
      <w:kern w:val="2"/>
      <w:sz w:val="18"/>
      <w:szCs w:val="18"/>
    </w:rPr>
  </w:style>
  <w:style w:type="character" w:customStyle="1" w:styleId="367">
    <w:name w:val="content"/>
    <w:autoRedefine/>
    <w:qFormat/>
    <w:uiPriority w:val="0"/>
  </w:style>
  <w:style w:type="character" w:customStyle="1" w:styleId="368">
    <w:name w:val="tw4winPopup"/>
    <w:autoRedefine/>
    <w:qFormat/>
    <w:uiPriority w:val="0"/>
    <w:rPr>
      <w:rFonts w:ascii="Courier New" w:hAnsi="Courier New" w:cs="Courier New"/>
      <w:color w:val="008000"/>
      <w:lang w:val="en-US" w:eastAsia="zh-CN"/>
    </w:rPr>
  </w:style>
  <w:style w:type="character" w:customStyle="1" w:styleId="369">
    <w:name w:val="param-name"/>
    <w:autoRedefine/>
    <w:qFormat/>
    <w:uiPriority w:val="99"/>
    <w:rPr>
      <w:rFonts w:ascii="Arial" w:hAnsi="Arial" w:eastAsia="黑体" w:cs="Arial"/>
      <w:snapToGrid w:val="0"/>
      <w:kern w:val="0"/>
      <w:szCs w:val="21"/>
    </w:rPr>
  </w:style>
  <w:style w:type="character" w:customStyle="1" w:styleId="370">
    <w:name w:val="标准正文格式 Char"/>
    <w:autoRedefine/>
    <w:qFormat/>
    <w:uiPriority w:val="0"/>
    <w:rPr>
      <w:rFonts w:ascii="宋体" w:eastAsia="仿宋_GB2312" w:cs="宋体"/>
      <w:color w:val="000000"/>
      <w:sz w:val="24"/>
      <w:lang w:val="en-US" w:eastAsia="zh-CN" w:bidi="ar-SA"/>
    </w:rPr>
  </w:style>
  <w:style w:type="character" w:customStyle="1" w:styleId="371">
    <w:name w:val="Char Char212"/>
    <w:autoRedefine/>
    <w:qFormat/>
    <w:uiPriority w:val="0"/>
    <w:rPr>
      <w:rFonts w:eastAsia="宋体"/>
      <w:b/>
      <w:bCs/>
      <w:kern w:val="2"/>
      <w:sz w:val="21"/>
      <w:szCs w:val="24"/>
      <w:lang w:val="en-US" w:eastAsia="zh-CN" w:bidi="ar-SA"/>
    </w:rPr>
  </w:style>
  <w:style w:type="character" w:customStyle="1" w:styleId="372">
    <w:name w:val="文档结构图 Char"/>
    <w:autoRedefine/>
    <w:qFormat/>
    <w:uiPriority w:val="0"/>
    <w:rPr>
      <w:rFonts w:eastAsia="宋体"/>
      <w:kern w:val="2"/>
      <w:sz w:val="21"/>
      <w:szCs w:val="24"/>
      <w:lang w:val="en-US" w:eastAsia="zh-CN" w:bidi="ar-SA"/>
    </w:rPr>
  </w:style>
  <w:style w:type="character" w:customStyle="1" w:styleId="373">
    <w:name w:val="zbggmain style9"/>
    <w:autoRedefine/>
    <w:qFormat/>
    <w:uiPriority w:val="0"/>
  </w:style>
  <w:style w:type="character" w:customStyle="1" w:styleId="374">
    <w:name w:val="Char Char16"/>
    <w:autoRedefine/>
    <w:qFormat/>
    <w:uiPriority w:val="6"/>
    <w:rPr>
      <w:kern w:val="1"/>
      <w:sz w:val="18"/>
      <w:szCs w:val="18"/>
    </w:rPr>
  </w:style>
  <w:style w:type="character" w:customStyle="1" w:styleId="375">
    <w:name w:val="font51"/>
    <w:autoRedefine/>
    <w:qFormat/>
    <w:uiPriority w:val="0"/>
    <w:rPr>
      <w:rFonts w:hint="eastAsia" w:ascii="仿宋" w:hAnsi="仿宋" w:eastAsia="仿宋" w:cs="仿宋"/>
      <w:color w:val="000000"/>
      <w:sz w:val="20"/>
      <w:szCs w:val="20"/>
      <w:u w:val="none"/>
    </w:rPr>
  </w:style>
  <w:style w:type="character" w:customStyle="1" w:styleId="376">
    <w:name w:val="Char Char82"/>
    <w:autoRedefine/>
    <w:qFormat/>
    <w:uiPriority w:val="0"/>
    <w:rPr>
      <w:rFonts w:eastAsia="宋体"/>
      <w:b/>
      <w:sz w:val="24"/>
      <w:lang w:val="en-GB" w:eastAsia="zh-CN"/>
    </w:rPr>
  </w:style>
  <w:style w:type="character" w:customStyle="1" w:styleId="377">
    <w:name w:val="正文文本缩进 3 Char"/>
    <w:link w:val="55"/>
    <w:autoRedefine/>
    <w:qFormat/>
    <w:uiPriority w:val="0"/>
    <w:rPr>
      <w:kern w:val="2"/>
      <w:sz w:val="24"/>
    </w:rPr>
  </w:style>
  <w:style w:type="character" w:customStyle="1" w:styleId="378">
    <w:name w:val="日期 Char1"/>
    <w:autoRedefine/>
    <w:semiHidden/>
    <w:qFormat/>
    <w:uiPriority w:val="99"/>
    <w:rPr>
      <w:rFonts w:ascii="Times New Roman" w:hAnsi="Times New Roman" w:eastAsia="宋体" w:cs="Times New Roman"/>
      <w:szCs w:val="24"/>
    </w:rPr>
  </w:style>
  <w:style w:type="character" w:customStyle="1" w:styleId="379">
    <w:name w:val="页眉 字符"/>
    <w:autoRedefine/>
    <w:qFormat/>
    <w:uiPriority w:val="99"/>
    <w:rPr>
      <w:kern w:val="2"/>
      <w:sz w:val="18"/>
      <w:szCs w:val="18"/>
    </w:rPr>
  </w:style>
  <w:style w:type="character" w:customStyle="1" w:styleId="380">
    <w:name w:val="Char Char33"/>
    <w:autoRedefine/>
    <w:qFormat/>
    <w:uiPriority w:val="6"/>
    <w:rPr>
      <w:rFonts w:ascii="Arial" w:hAnsi="Arial" w:eastAsia="黑体"/>
      <w:b/>
      <w:kern w:val="1"/>
      <w:sz w:val="24"/>
      <w:szCs w:val="24"/>
    </w:rPr>
  </w:style>
  <w:style w:type="character" w:customStyle="1" w:styleId="381">
    <w:name w:val="b11_01b Char"/>
    <w:link w:val="382"/>
    <w:autoRedefine/>
    <w:qFormat/>
    <w:uiPriority w:val="0"/>
    <w:rPr>
      <w:rFonts w:ascii="Verdana" w:hAnsi="Verdana"/>
      <w:b/>
      <w:bCs/>
      <w:color w:val="4A82CA"/>
      <w:sz w:val="17"/>
      <w:szCs w:val="17"/>
    </w:rPr>
  </w:style>
  <w:style w:type="paragraph" w:customStyle="1" w:styleId="382">
    <w:name w:val="b11_01b"/>
    <w:basedOn w:val="1"/>
    <w:next w:val="1"/>
    <w:link w:val="38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autoRedefine/>
    <w:qFormat/>
    <w:uiPriority w:val="6"/>
    <w:rPr>
      <w:rFonts w:ascii="仿宋_GB2312" w:eastAsia="仿宋_GB2312"/>
      <w:b/>
      <w:bCs/>
      <w:kern w:val="2"/>
      <w:sz w:val="24"/>
      <w:szCs w:val="24"/>
      <w:lang w:val="zh-CN" w:eastAsia="zh-CN" w:bidi="ar-SA"/>
    </w:rPr>
  </w:style>
  <w:style w:type="character" w:customStyle="1" w:styleId="384">
    <w:name w:val="Footer-Even Char"/>
    <w:autoRedefine/>
    <w:qFormat/>
    <w:uiPriority w:val="0"/>
    <w:rPr>
      <w:rFonts w:eastAsia="宋体"/>
      <w:kern w:val="2"/>
      <w:sz w:val="18"/>
      <w:lang w:val="en-US" w:eastAsia="zh-CN" w:bidi="ar-SA"/>
    </w:rPr>
  </w:style>
  <w:style w:type="character" w:customStyle="1" w:styleId="385">
    <w:name w:val="页脚 Char2"/>
    <w:link w:val="41"/>
    <w:autoRedefine/>
    <w:qFormat/>
    <w:locked/>
    <w:uiPriority w:val="99"/>
    <w:rPr>
      <w:kern w:val="2"/>
      <w:sz w:val="18"/>
      <w:szCs w:val="18"/>
    </w:rPr>
  </w:style>
  <w:style w:type="character" w:customStyle="1" w:styleId="386">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7">
    <w:name w:val="Char Char61"/>
    <w:autoRedefine/>
    <w:qFormat/>
    <w:uiPriority w:val="6"/>
    <w:rPr>
      <w:rFonts w:eastAsia="宋体"/>
      <w:kern w:val="2"/>
      <w:sz w:val="21"/>
      <w:szCs w:val="24"/>
      <w:lang w:val="en-US" w:eastAsia="zh-CN" w:bidi="ar-SA"/>
    </w:rPr>
  </w:style>
  <w:style w:type="character" w:customStyle="1" w:styleId="388">
    <w:name w:val="正文文字缩进 2 Char Char"/>
    <w:autoRedefine/>
    <w:qFormat/>
    <w:uiPriority w:val="0"/>
    <w:rPr>
      <w:rFonts w:ascii="宋体"/>
      <w:sz w:val="28"/>
    </w:rPr>
  </w:style>
  <w:style w:type="character" w:customStyle="1" w:styleId="389">
    <w:name w:val="f141"/>
    <w:autoRedefine/>
    <w:qFormat/>
    <w:uiPriority w:val="0"/>
    <w:rPr>
      <w:rFonts w:ascii="Tahoma" w:hAnsi="Tahoma" w:eastAsia="宋体"/>
      <w:b/>
      <w:kern w:val="2"/>
      <w:sz w:val="21"/>
      <w:szCs w:val="21"/>
      <w:lang w:val="en-US" w:eastAsia="zh-CN" w:bidi="ar-SA"/>
    </w:rPr>
  </w:style>
  <w:style w:type="character" w:customStyle="1" w:styleId="390">
    <w:name w:val="段落 Char Char"/>
    <w:link w:val="391"/>
    <w:autoRedefine/>
    <w:qFormat/>
    <w:uiPriority w:val="0"/>
    <w:rPr>
      <w:rFonts w:ascii="宋体" w:hAnsi="宋体"/>
      <w:sz w:val="24"/>
    </w:rPr>
  </w:style>
  <w:style w:type="paragraph" w:customStyle="1" w:styleId="391">
    <w:name w:val="段落"/>
    <w:basedOn w:val="1"/>
    <w:link w:val="390"/>
    <w:autoRedefine/>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autoRedefine/>
    <w:qFormat/>
    <w:uiPriority w:val="0"/>
    <w:rPr>
      <w:rFonts w:eastAsia="宋体"/>
      <w:b/>
      <w:bCs/>
      <w:kern w:val="2"/>
      <w:sz w:val="32"/>
      <w:szCs w:val="32"/>
      <w:lang w:val="en-US" w:eastAsia="zh-CN" w:bidi="ar-SA"/>
    </w:rPr>
  </w:style>
  <w:style w:type="character" w:customStyle="1" w:styleId="393">
    <w:name w:val="apple-converted-space"/>
    <w:autoRedefine/>
    <w:qFormat/>
    <w:uiPriority w:val="0"/>
  </w:style>
  <w:style w:type="character" w:customStyle="1" w:styleId="394">
    <w:name w:val="页眉 Char2"/>
    <w:link w:val="43"/>
    <w:autoRedefine/>
    <w:qFormat/>
    <w:uiPriority w:val="99"/>
    <w:rPr>
      <w:kern w:val="2"/>
      <w:sz w:val="18"/>
      <w:szCs w:val="18"/>
    </w:rPr>
  </w:style>
  <w:style w:type="character" w:customStyle="1" w:styleId="395">
    <w:name w:val="Char Char9"/>
    <w:autoRedefine/>
    <w:qFormat/>
    <w:uiPriority w:val="0"/>
    <w:rPr>
      <w:rFonts w:eastAsia="宋体"/>
      <w:kern w:val="2"/>
      <w:sz w:val="18"/>
      <w:szCs w:val="18"/>
      <w:lang w:val="en-US" w:eastAsia="zh-CN" w:bidi="ar-SA"/>
    </w:rPr>
  </w:style>
  <w:style w:type="character" w:customStyle="1" w:styleId="396">
    <w:name w:val="Char Char41"/>
    <w:autoRedefine/>
    <w:qFormat/>
    <w:uiPriority w:val="0"/>
    <w:rPr>
      <w:rFonts w:eastAsia="宋体"/>
      <w:b/>
      <w:sz w:val="24"/>
      <w:lang w:val="en-GB" w:eastAsia="zh-CN" w:bidi="ar-SA"/>
    </w:rPr>
  </w:style>
  <w:style w:type="character" w:customStyle="1" w:styleId="397">
    <w:name w:val="large1"/>
    <w:autoRedefine/>
    <w:qFormat/>
    <w:uiPriority w:val="0"/>
    <w:rPr>
      <w:rFonts w:hint="eastAsia" w:ascii="宋体" w:hAnsi="宋体" w:eastAsia="宋体"/>
      <w:sz w:val="21"/>
      <w:szCs w:val="21"/>
    </w:rPr>
  </w:style>
  <w:style w:type="character" w:customStyle="1" w:styleId="398">
    <w:name w:val="正文段 Char"/>
    <w:link w:val="399"/>
    <w:autoRedefine/>
    <w:qFormat/>
    <w:uiPriority w:val="0"/>
    <w:rPr>
      <w:sz w:val="24"/>
    </w:rPr>
  </w:style>
  <w:style w:type="paragraph" w:customStyle="1" w:styleId="399">
    <w:name w:val="正文段"/>
    <w:basedOn w:val="1"/>
    <w:link w:val="398"/>
    <w:autoRedefine/>
    <w:qFormat/>
    <w:uiPriority w:val="0"/>
    <w:pPr>
      <w:widowControl/>
      <w:snapToGrid w:val="0"/>
      <w:spacing w:afterLines="50"/>
      <w:ind w:firstLine="200" w:firstLineChars="200"/>
    </w:pPr>
    <w:rPr>
      <w:kern w:val="0"/>
      <w:sz w:val="24"/>
      <w:szCs w:val="20"/>
    </w:rPr>
  </w:style>
  <w:style w:type="character" w:customStyle="1" w:styleId="400">
    <w:name w:val="Char Char13"/>
    <w:autoRedefine/>
    <w:qFormat/>
    <w:uiPriority w:val="6"/>
    <w:rPr>
      <w:rFonts w:ascii="宋体" w:hAnsi="宋体"/>
      <w:kern w:val="1"/>
      <w:sz w:val="21"/>
      <w:szCs w:val="24"/>
    </w:rPr>
  </w:style>
  <w:style w:type="character" w:customStyle="1" w:styleId="40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autoRedefine/>
    <w:qFormat/>
    <w:uiPriority w:val="0"/>
    <w:rPr>
      <w:rFonts w:ascii="宋体" w:hAnsi="宋体"/>
      <w:kern w:val="2"/>
      <w:sz w:val="24"/>
      <w:szCs w:val="22"/>
    </w:rPr>
  </w:style>
  <w:style w:type="paragraph" w:customStyle="1" w:styleId="403">
    <w:name w:val="冯广丽"/>
    <w:basedOn w:val="1"/>
    <w:link w:val="402"/>
    <w:autoRedefine/>
    <w:qFormat/>
    <w:uiPriority w:val="0"/>
    <w:pPr>
      <w:adjustRightInd/>
      <w:spacing w:line="360" w:lineRule="auto"/>
      <w:ind w:firstLine="480" w:firstLineChars="200"/>
    </w:pPr>
    <w:rPr>
      <w:rFonts w:ascii="宋体" w:hAnsi="宋体"/>
      <w:sz w:val="24"/>
      <w:szCs w:val="22"/>
    </w:rPr>
  </w:style>
  <w:style w:type="character" w:customStyle="1" w:styleId="404">
    <w:name w:val="批注文字 字符"/>
    <w:autoRedefine/>
    <w:qFormat/>
    <w:uiPriority w:val="99"/>
    <w:rPr>
      <w:rFonts w:ascii="Arial" w:hAnsi="Arial" w:eastAsia="黑体" w:cs="Arial"/>
      <w:snapToGrid w:val="0"/>
      <w:kern w:val="0"/>
      <w:szCs w:val="21"/>
    </w:rPr>
  </w:style>
  <w:style w:type="character" w:customStyle="1" w:styleId="405">
    <w:name w:val="Char Char161"/>
    <w:autoRedefine/>
    <w:qFormat/>
    <w:uiPriority w:val="0"/>
    <w:rPr>
      <w:rFonts w:eastAsia="宋体"/>
      <w:b/>
      <w:kern w:val="2"/>
      <w:sz w:val="32"/>
      <w:lang w:val="en-US" w:eastAsia="zh-CN"/>
    </w:rPr>
  </w:style>
  <w:style w:type="character" w:customStyle="1" w:styleId="406">
    <w:name w:val="javascript"/>
    <w:autoRedefine/>
    <w:qFormat/>
    <w:uiPriority w:val="0"/>
  </w:style>
  <w:style w:type="character" w:customStyle="1" w:styleId="407">
    <w:name w:val="图名 Char"/>
    <w:autoRedefine/>
    <w:qFormat/>
    <w:uiPriority w:val="0"/>
    <w:rPr>
      <w:rFonts w:ascii="Arial" w:hAnsi="Arial" w:eastAsia="黑体"/>
      <w:kern w:val="2"/>
      <w:sz w:val="24"/>
      <w:szCs w:val="24"/>
      <w:lang w:val="en-US" w:eastAsia="zh-CN" w:bidi="ar-SA"/>
    </w:rPr>
  </w:style>
  <w:style w:type="character" w:customStyle="1" w:styleId="408">
    <w:name w:val="Used by Word for text of Help footnotes Char Char"/>
    <w:autoRedefine/>
    <w:qFormat/>
    <w:uiPriority w:val="0"/>
    <w:rPr>
      <w:rFonts w:ascii="Times New Roman" w:hAnsi="Times New Roman" w:eastAsia="宋体" w:cs="Times New Roman"/>
      <w:sz w:val="20"/>
      <w:szCs w:val="20"/>
    </w:rPr>
  </w:style>
  <w:style w:type="character" w:customStyle="1" w:styleId="409">
    <w:name w:val="编号，小四 Char"/>
    <w:link w:val="410"/>
    <w:autoRedefine/>
    <w:qFormat/>
    <w:uiPriority w:val="0"/>
    <w:rPr>
      <w:rFonts w:ascii="Arial" w:hAnsi="Arial"/>
      <w:sz w:val="24"/>
    </w:rPr>
  </w:style>
  <w:style w:type="paragraph" w:customStyle="1" w:styleId="410">
    <w:name w:val="编号，小四"/>
    <w:basedOn w:val="1"/>
    <w:link w:val="409"/>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autoRedefine/>
    <w:qFormat/>
    <w:uiPriority w:val="99"/>
    <w:rPr>
      <w:rFonts w:ascii="宋体" w:eastAsia="宋体" w:cs="宋体"/>
      <w:color w:val="000000"/>
      <w:sz w:val="14"/>
      <w:szCs w:val="14"/>
    </w:rPr>
  </w:style>
  <w:style w:type="character" w:customStyle="1" w:styleId="412">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3">
    <w:name w:val="未用 Char"/>
    <w:autoRedefine/>
    <w:qFormat/>
    <w:uiPriority w:val="0"/>
    <w:rPr>
      <w:rFonts w:ascii="Arial" w:hAnsi="Arial" w:eastAsia="黑体"/>
      <w:kern w:val="2"/>
      <w:sz w:val="21"/>
      <w:szCs w:val="21"/>
      <w:lang w:val="en-US" w:eastAsia="zh-CN" w:bidi="ar-SA"/>
    </w:rPr>
  </w:style>
  <w:style w:type="character" w:customStyle="1" w:styleId="414">
    <w:name w:val="myp1111"/>
    <w:autoRedefine/>
    <w:qFormat/>
    <w:uiPriority w:val="0"/>
    <w:rPr>
      <w:rFonts w:hint="default" w:ascii="ˎ̥" w:hAnsi="ˎ̥"/>
      <w:color w:val="000000"/>
      <w:sz w:val="20"/>
      <w:szCs w:val="20"/>
      <w:u w:val="none"/>
    </w:rPr>
  </w:style>
  <w:style w:type="character" w:customStyle="1" w:styleId="415">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6">
    <w:name w:val="h Char Char"/>
    <w:autoRedefine/>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autoRedefine/>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autoRedefine/>
    <w:qFormat/>
    <w:uiPriority w:val="0"/>
    <w:rPr>
      <w:rFonts w:ascii="宋体" w:hAnsi="宋体"/>
      <w:sz w:val="24"/>
    </w:rPr>
  </w:style>
  <w:style w:type="character" w:customStyle="1" w:styleId="421">
    <w:name w:val="tw4winJump"/>
    <w:autoRedefine/>
    <w:qFormat/>
    <w:uiPriority w:val="0"/>
    <w:rPr>
      <w:rFonts w:ascii="Courier New" w:hAnsi="Courier New" w:cs="Courier New"/>
      <w:color w:val="008080"/>
      <w:lang w:val="en-US" w:eastAsia="zh-CN"/>
    </w:rPr>
  </w:style>
  <w:style w:type="character" w:customStyle="1" w:styleId="422">
    <w:name w:val="标题 1 字符"/>
    <w:autoRedefine/>
    <w:qFormat/>
    <w:uiPriority w:val="9"/>
    <w:rPr>
      <w:rFonts w:ascii="Arial" w:hAnsi="Arial" w:eastAsia="黑体" w:cs="Arial"/>
      <w:b/>
      <w:bCs/>
      <w:snapToGrid w:val="0"/>
      <w:kern w:val="44"/>
      <w:sz w:val="44"/>
      <w:szCs w:val="44"/>
    </w:rPr>
  </w:style>
  <w:style w:type="character" w:customStyle="1" w:styleId="423">
    <w:name w:val="style36"/>
    <w:basedOn w:val="72"/>
    <w:autoRedefine/>
    <w:qFormat/>
    <w:uiPriority w:val="0"/>
    <w:rPr>
      <w:rFonts w:ascii="Arial" w:hAnsi="Arial" w:eastAsia="黑体" w:cs="Arial"/>
      <w:snapToGrid w:val="0"/>
      <w:kern w:val="0"/>
      <w:szCs w:val="21"/>
    </w:rPr>
  </w:style>
  <w:style w:type="character" w:customStyle="1" w:styleId="424">
    <w:name w:val="pt9"/>
    <w:autoRedefine/>
    <w:qFormat/>
    <w:uiPriority w:val="0"/>
    <w:rPr>
      <w:rFonts w:ascii="仿宋_GB2312" w:eastAsia="微软雅黑"/>
      <w:b/>
      <w:kern w:val="2"/>
      <w:sz w:val="32"/>
      <w:szCs w:val="32"/>
      <w:lang w:val="en-US" w:eastAsia="zh-CN" w:bidi="ar-SA"/>
    </w:rPr>
  </w:style>
  <w:style w:type="character" w:customStyle="1" w:styleId="425">
    <w:name w:val="DO_NOT_TRANSLATE"/>
    <w:autoRedefine/>
    <w:qFormat/>
    <w:uiPriority w:val="0"/>
    <w:rPr>
      <w:rFonts w:ascii="Courier New" w:hAnsi="Courier New" w:cs="Courier New"/>
      <w:color w:val="800000"/>
      <w:lang w:val="en-US" w:eastAsia="zh-CN"/>
    </w:rPr>
  </w:style>
  <w:style w:type="character" w:customStyle="1" w:styleId="426">
    <w:name w:val="标书1 Char1"/>
    <w:autoRedefine/>
    <w:qFormat/>
    <w:uiPriority w:val="0"/>
    <w:rPr>
      <w:rFonts w:eastAsia="宋体"/>
      <w:b/>
      <w:bCs/>
      <w:kern w:val="44"/>
      <w:sz w:val="44"/>
      <w:szCs w:val="44"/>
      <w:lang w:val="en-US" w:eastAsia="zh-CN" w:bidi="ar-SA"/>
    </w:rPr>
  </w:style>
  <w:style w:type="character" w:customStyle="1" w:styleId="427">
    <w:name w:val="页脚 字符"/>
    <w:autoRedefine/>
    <w:qFormat/>
    <w:uiPriority w:val="99"/>
    <w:rPr>
      <w:kern w:val="2"/>
      <w:sz w:val="18"/>
      <w:szCs w:val="18"/>
    </w:rPr>
  </w:style>
  <w:style w:type="character" w:customStyle="1" w:styleId="428">
    <w:name w:val="正文2 Char"/>
    <w:autoRedefine/>
    <w:qFormat/>
    <w:uiPriority w:val="0"/>
    <w:rPr>
      <w:rFonts w:eastAsia="宋体"/>
      <w:kern w:val="2"/>
      <w:sz w:val="24"/>
      <w:lang w:val="en-US" w:eastAsia="zh-CN" w:bidi="ar-SA"/>
    </w:rPr>
  </w:style>
  <w:style w:type="character" w:customStyle="1" w:styleId="429">
    <w:name w:val="Char Char21"/>
    <w:autoRedefine/>
    <w:qFormat/>
    <w:uiPriority w:val="6"/>
    <w:rPr>
      <w:rFonts w:ascii="宋体" w:hAnsi="宋体"/>
      <w:kern w:val="1"/>
      <w:sz w:val="24"/>
      <w:szCs w:val="21"/>
      <w:lang w:val="zh-CN"/>
    </w:rPr>
  </w:style>
  <w:style w:type="character" w:customStyle="1" w:styleId="430">
    <w:name w:val="样式 正文缩进 + 首行缩进:  2 字符 Char Char"/>
    <w:link w:val="431"/>
    <w:autoRedefine/>
    <w:qFormat/>
    <w:uiPriority w:val="0"/>
    <w:rPr>
      <w:rFonts w:cs="宋体"/>
      <w:kern w:val="2"/>
      <w:sz w:val="24"/>
    </w:rPr>
  </w:style>
  <w:style w:type="paragraph" w:customStyle="1" w:styleId="431">
    <w:name w:val="样式 正文缩进 + 首行缩进:  2 字符"/>
    <w:basedOn w:val="17"/>
    <w:link w:val="430"/>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6"/>
    <w:autoRedefine/>
    <w:qFormat/>
    <w:uiPriority w:val="0"/>
    <w:rPr>
      <w:rFonts w:ascii="宋体" w:hAnsi="Arial" w:eastAsia="宋体" w:cs="Arial"/>
      <w:snapToGrid w:val="0"/>
      <w:kern w:val="2"/>
      <w:sz w:val="24"/>
      <w:szCs w:val="21"/>
      <w:lang w:val="zh-CN" w:eastAsia="zh-CN" w:bidi="ar-SA"/>
    </w:rPr>
  </w:style>
  <w:style w:type="character" w:customStyle="1" w:styleId="433">
    <w:name w:val="gray6"/>
    <w:basedOn w:val="72"/>
    <w:autoRedefine/>
    <w:qFormat/>
    <w:uiPriority w:val="0"/>
    <w:rPr>
      <w:rFonts w:ascii="Arial" w:hAnsi="Arial" w:eastAsia="黑体" w:cs="Arial"/>
      <w:snapToGrid w:val="0"/>
      <w:kern w:val="0"/>
      <w:szCs w:val="21"/>
    </w:rPr>
  </w:style>
  <w:style w:type="character" w:customStyle="1" w:styleId="434">
    <w:name w:val="hui"/>
    <w:basedOn w:val="72"/>
    <w:autoRedefine/>
    <w:qFormat/>
    <w:uiPriority w:val="0"/>
    <w:rPr>
      <w:rFonts w:ascii="Arial" w:hAnsi="Arial" w:eastAsia="黑体" w:cs="Arial"/>
      <w:snapToGrid w:val="0"/>
      <w:kern w:val="0"/>
      <w:szCs w:val="21"/>
    </w:rPr>
  </w:style>
  <w:style w:type="character" w:customStyle="1" w:styleId="435">
    <w:name w:val="哈哈正文 Char Char"/>
    <w:autoRedefine/>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18"/>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autoRedefine/>
    <w:qFormat/>
    <w:uiPriority w:val="0"/>
    <w:pPr>
      <w:spacing w:before="120" w:line="360" w:lineRule="auto"/>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3">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firstLineChars="200"/>
    </w:pPr>
    <w:rPr>
      <w:rFonts w:ascii="Tahoma" w:hAnsi="Tahoma"/>
      <w:sz w:val="24"/>
      <w:szCs w:val="20"/>
    </w:rPr>
  </w:style>
  <w:style w:type="paragraph" w:customStyle="1" w:styleId="4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autoRedefine/>
    <w:qFormat/>
    <w:uiPriority w:val="0"/>
    <w:pPr>
      <w:tabs>
        <w:tab w:val="left" w:pos="360"/>
      </w:tabs>
    </w:pPr>
    <w:rPr>
      <w:sz w:val="24"/>
      <w:szCs w:val="20"/>
    </w:rPr>
  </w:style>
  <w:style w:type="paragraph" w:customStyle="1" w:styleId="458">
    <w:name w:val="Char Char11 Char Char Char"/>
    <w:basedOn w:val="1"/>
    <w:autoRedefine/>
    <w:qFormat/>
    <w:uiPriority w:val="0"/>
    <w:pPr>
      <w:spacing w:line="360" w:lineRule="auto"/>
    </w:pPr>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autoRedefine/>
    <w:qFormat/>
    <w:uiPriority w:val="0"/>
    <w:pPr>
      <w:tabs>
        <w:tab w:val="left" w:pos="2790"/>
        <w:tab w:val="left" w:pos="4230"/>
      </w:tabs>
      <w:spacing w:beforeLines="100"/>
      <w:jc w:val="left"/>
    </w:pPr>
  </w:style>
  <w:style w:type="paragraph" w:customStyle="1" w:styleId="46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autoRedefine/>
    <w:qFormat/>
    <w:uiPriority w:val="0"/>
    <w:pPr>
      <w:tabs>
        <w:tab w:val="left" w:pos="840"/>
      </w:tabs>
      <w:ind w:left="840" w:hanging="420"/>
    </w:pPr>
    <w:rPr>
      <w:rFonts w:ascii="Tahoma" w:hAnsi="Tahoma"/>
      <w:sz w:val="24"/>
    </w:rPr>
  </w:style>
  <w:style w:type="paragraph" w:customStyle="1" w:styleId="464">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3"/>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autoRedefine/>
    <w:qFormat/>
    <w:uiPriority w:val="0"/>
    <w:pPr>
      <w:adjustRightInd/>
      <w:spacing w:before="156" w:line="360" w:lineRule="auto"/>
      <w:ind w:firstLine="510" w:firstLineChars="200"/>
    </w:pPr>
    <w:rPr>
      <w:sz w:val="24"/>
      <w:szCs w:val="20"/>
    </w:rPr>
  </w:style>
  <w:style w:type="paragraph" w:customStyle="1" w:styleId="468">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autoRedefine/>
    <w:qFormat/>
    <w:uiPriority w:val="0"/>
    <w:rPr>
      <w:rFonts w:ascii="仿宋_GB2312" w:eastAsia="仿宋_GB2312"/>
      <w:b/>
      <w:sz w:val="32"/>
      <w:szCs w:val="32"/>
    </w:rPr>
  </w:style>
  <w:style w:type="paragraph" w:customStyle="1" w:styleId="47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3">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4">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autoRedefine/>
    <w:qFormat/>
    <w:uiPriority w:val="0"/>
    <w:pPr>
      <w:keepNext/>
      <w:tabs>
        <w:tab w:val="left" w:pos="360"/>
      </w:tabs>
      <w:outlineLvl w:val="5"/>
    </w:pPr>
  </w:style>
  <w:style w:type="paragraph" w:customStyle="1" w:styleId="476">
    <w:name w:val="5级标题"/>
    <w:basedOn w:val="477"/>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7">
    <w:name w:val="4级标题"/>
    <w:basedOn w:val="260"/>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9">
    <w:name w:val="Char2 Char Char"/>
    <w:basedOn w:val="1"/>
    <w:autoRedefine/>
    <w:qFormat/>
    <w:uiPriority w:val="0"/>
    <w:pPr>
      <w:adjustRightInd/>
    </w:pPr>
    <w:rPr>
      <w:rFonts w:ascii="Tahoma" w:hAnsi="Tahoma"/>
      <w:sz w:val="24"/>
      <w:szCs w:val="20"/>
    </w:rPr>
  </w:style>
  <w:style w:type="paragraph" w:customStyle="1" w:styleId="480">
    <w:name w:val="_Style 11"/>
    <w:basedOn w:val="1"/>
    <w:autoRedefine/>
    <w:qFormat/>
    <w:uiPriority w:val="34"/>
    <w:pPr>
      <w:adjustRightInd/>
      <w:ind w:firstLine="420" w:firstLineChars="200"/>
    </w:pPr>
    <w:rPr>
      <w:rFonts w:eastAsia="仿宋_GB2312"/>
      <w:sz w:val="28"/>
    </w:rPr>
  </w:style>
  <w:style w:type="paragraph" w:customStyle="1" w:styleId="481">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autoRedefine/>
    <w:qFormat/>
    <w:uiPriority w:val="0"/>
    <w:rPr>
      <w:rFonts w:ascii="Tahoma" w:hAnsi="Tahoma"/>
      <w:sz w:val="24"/>
      <w:szCs w:val="20"/>
    </w:rPr>
  </w:style>
  <w:style w:type="paragraph" w:customStyle="1" w:styleId="483">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4">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3"/>
    <w:autoRedefine/>
    <w:qFormat/>
    <w:uiPriority w:val="99"/>
    <w:rPr>
      <w:szCs w:val="22"/>
    </w:rPr>
  </w:style>
  <w:style w:type="paragraph" w:customStyle="1" w:styleId="4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autoRedefine/>
    <w:qFormat/>
    <w:uiPriority w:val="6"/>
    <w:rPr>
      <w:rFonts w:ascii="Tahoma" w:hAnsi="Tahoma" w:cs="仿宋_GB2312"/>
      <w:sz w:val="24"/>
      <w:szCs w:val="20"/>
    </w:rPr>
  </w:style>
  <w:style w:type="paragraph" w:customStyle="1" w:styleId="488">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3"/>
    <w:autoRedefine/>
    <w:qFormat/>
    <w:uiPriority w:val="0"/>
    <w:pPr>
      <w:tabs>
        <w:tab w:val="left" w:pos="1260"/>
      </w:tabs>
      <w:ind w:left="1260" w:hanging="420"/>
    </w:pPr>
    <w:rPr>
      <w:rFonts w:ascii="Arial" w:hAnsi="Arial" w:eastAsia="黑体"/>
      <w:lang w:val="en-US"/>
    </w:rPr>
  </w:style>
  <w:style w:type="paragraph" w:customStyle="1" w:styleId="492">
    <w:name w:val="五级无标题条"/>
    <w:basedOn w:val="1"/>
    <w:autoRedefine/>
    <w:qFormat/>
    <w:uiPriority w:val="0"/>
    <w:pPr>
      <w:adjustRightInd/>
    </w:pPr>
  </w:style>
  <w:style w:type="paragraph" w:customStyle="1" w:styleId="493">
    <w:name w:val="Char5"/>
    <w:basedOn w:val="1"/>
    <w:autoRedefine/>
    <w:qFormat/>
    <w:uiPriority w:val="0"/>
    <w:rPr>
      <w:rFonts w:ascii="仿宋_GB2312" w:eastAsia="仿宋_GB2312"/>
      <w:b/>
      <w:sz w:val="32"/>
      <w:szCs w:val="32"/>
    </w:rPr>
  </w:style>
  <w:style w:type="paragraph" w:customStyle="1" w:styleId="494">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autoRedefine/>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autoRedefine/>
    <w:qFormat/>
    <w:uiPriority w:val="0"/>
    <w:rPr>
      <w:rFonts w:ascii="仿宋_GB2312" w:eastAsia="仿宋_GB2312"/>
      <w:b/>
      <w:sz w:val="32"/>
      <w:szCs w:val="32"/>
    </w:rPr>
  </w:style>
  <w:style w:type="paragraph" w:customStyle="1" w:styleId="498">
    <w:name w:val="数字标题3"/>
    <w:basedOn w:val="5"/>
    <w:next w:val="1"/>
    <w:autoRedefine/>
    <w:qFormat/>
    <w:uiPriority w:val="0"/>
    <w:pPr>
      <w:spacing w:line="240" w:lineRule="auto"/>
    </w:pPr>
    <w:rPr>
      <w:sz w:val="28"/>
      <w:szCs w:val="28"/>
    </w:rPr>
  </w:style>
  <w:style w:type="paragraph" w:customStyle="1" w:styleId="499">
    <w:name w:val="FA正文"/>
    <w:basedOn w:val="1"/>
    <w:autoRedefine/>
    <w:qFormat/>
    <w:uiPriority w:val="0"/>
    <w:pPr>
      <w:spacing w:line="360" w:lineRule="auto"/>
      <w:ind w:firstLine="480" w:firstLineChars="200"/>
    </w:pPr>
    <w:rPr>
      <w:rFonts w:hAnsi="宋体"/>
      <w:sz w:val="24"/>
      <w:szCs w:val="20"/>
    </w:rPr>
  </w:style>
  <w:style w:type="paragraph" w:customStyle="1" w:styleId="500">
    <w:name w:val="MM Topic 5"/>
    <w:basedOn w:val="8"/>
    <w:autoRedefine/>
    <w:qFormat/>
    <w:uiPriority w:val="0"/>
    <w:pPr>
      <w:tabs>
        <w:tab w:val="left" w:pos="2520"/>
      </w:tabs>
      <w:adjustRightInd/>
      <w:ind w:left="2520" w:hanging="420"/>
    </w:pPr>
  </w:style>
  <w:style w:type="paragraph" w:customStyle="1" w:styleId="501">
    <w:name w:val="Char Char Char Char Char Char Char Char Char Char1"/>
    <w:basedOn w:val="1"/>
    <w:autoRedefine/>
    <w:qFormat/>
    <w:uiPriority w:val="0"/>
    <w:rPr>
      <w:rFonts w:ascii="仿宋_GB2312" w:eastAsia="仿宋_GB2312"/>
      <w:b/>
      <w:sz w:val="32"/>
      <w:szCs w:val="32"/>
    </w:rPr>
  </w:style>
  <w:style w:type="paragraph" w:customStyle="1" w:styleId="502">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autoRedefine/>
    <w:qFormat/>
    <w:uiPriority w:val="0"/>
    <w:rPr>
      <w:rFonts w:ascii="仿宋_GB2312" w:eastAsia="仿宋_GB2312"/>
      <w:b/>
      <w:sz w:val="32"/>
      <w:szCs w:val="32"/>
    </w:rPr>
  </w:style>
  <w:style w:type="paragraph" w:customStyle="1" w:styleId="505">
    <w:name w:val="Char2 Char Char Char1"/>
    <w:basedOn w:val="1"/>
    <w:autoRedefine/>
    <w:qFormat/>
    <w:uiPriority w:val="6"/>
    <w:rPr>
      <w:rFonts w:ascii="仿宋_GB2312" w:eastAsia="仿宋_GB2312"/>
      <w:b/>
      <w:sz w:val="32"/>
      <w:szCs w:val="32"/>
    </w:rPr>
  </w:style>
  <w:style w:type="paragraph" w:customStyle="1" w:styleId="506">
    <w:name w:val="默认段落样式"/>
    <w:basedOn w:val="133"/>
    <w:autoRedefine/>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5"/>
    <w:autoRedefine/>
    <w:qFormat/>
    <w:uiPriority w:val="0"/>
    <w:pPr>
      <w:tabs>
        <w:tab w:val="left" w:pos="1680"/>
      </w:tabs>
      <w:adjustRightInd/>
      <w:ind w:left="1680" w:hanging="420"/>
    </w:pPr>
  </w:style>
  <w:style w:type="paragraph" w:customStyle="1" w:styleId="510">
    <w:name w:val="标准小四"/>
    <w:basedOn w:val="1"/>
    <w:autoRedefine/>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autoRedefine/>
    <w:qFormat/>
    <w:uiPriority w:val="0"/>
    <w:pPr>
      <w:adjustRightInd/>
      <w:snapToGrid w:val="0"/>
      <w:spacing w:line="300" w:lineRule="auto"/>
    </w:pPr>
    <w:rPr>
      <w:rFonts w:eastAsia="仿宋"/>
      <w:szCs w:val="21"/>
    </w:rPr>
  </w:style>
  <w:style w:type="paragraph" w:customStyle="1" w:styleId="513">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autoRedefine/>
    <w:qFormat/>
    <w:uiPriority w:val="6"/>
    <w:pPr>
      <w:adjustRightInd/>
    </w:pPr>
    <w:rPr>
      <w:rFonts w:ascii="Tahoma" w:hAnsi="Tahoma"/>
      <w:sz w:val="24"/>
      <w:szCs w:val="20"/>
    </w:rPr>
  </w:style>
  <w:style w:type="paragraph" w:customStyle="1" w:styleId="515">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3"/>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 w:val="24"/>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7"/>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7"/>
    <w:next w:val="237"/>
    <w:autoRedefine/>
    <w:qFormat/>
    <w:uiPriority w:val="0"/>
    <w:rPr>
      <w:rFonts w:ascii="宋体" w:eastAsia="宋体" w:cs="Times New Roman"/>
      <w:color w:val="auto"/>
    </w:rPr>
  </w:style>
  <w:style w:type="paragraph" w:customStyle="1" w:styleId="551">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18"/>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 w:val="24"/>
      <w:szCs w:val="20"/>
    </w:rPr>
  </w:style>
  <w:style w:type="paragraph" w:customStyle="1" w:styleId="585">
    <w:name w:val="标题五"/>
    <w:basedOn w:val="1"/>
    <w:autoRedefine/>
    <w:qFormat/>
    <w:uiPriority w:val="0"/>
    <w:pPr>
      <w:adjustRightInd/>
      <w:spacing w:beforeLines="50" w:line="360" w:lineRule="auto"/>
    </w:pPr>
    <w:rPr>
      <w:b/>
      <w:sz w:val="24"/>
    </w:rPr>
  </w:style>
  <w:style w:type="paragraph" w:customStyle="1" w:styleId="586">
    <w:name w:val="Char Char1101"/>
    <w:basedOn w:val="1"/>
    <w:autoRedefine/>
    <w:qFormat/>
    <w:uiPriority w:val="0"/>
    <w:pPr>
      <w:spacing w:line="360" w:lineRule="auto"/>
    </w:pPr>
    <w:rPr>
      <w:rFonts w:ascii="Tahoma" w:hAnsi="Tahoma"/>
      <w:sz w:val="24"/>
      <w:szCs w:val="20"/>
    </w:rPr>
  </w:style>
  <w:style w:type="paragraph" w:customStyle="1" w:styleId="587">
    <w:name w:val="Char Char Char Char Char Char Char Char1"/>
    <w:basedOn w:val="1"/>
    <w:autoRedefine/>
    <w:qFormat/>
    <w:uiPriority w:val="0"/>
    <w:pPr>
      <w:tabs>
        <w:tab w:val="left" w:pos="360"/>
      </w:tabs>
    </w:pPr>
    <w:rPr>
      <w:sz w:val="24"/>
      <w:szCs w:val="20"/>
    </w:rPr>
  </w:style>
  <w:style w:type="paragraph" w:customStyle="1" w:styleId="588">
    <w:name w:val="Char Char Char 字元 字元"/>
    <w:basedOn w:val="1"/>
    <w:autoRedefine/>
    <w:qFormat/>
    <w:uiPriority w:val="0"/>
    <w:pPr>
      <w:adjustRightInd/>
      <w:spacing w:line="360" w:lineRule="auto"/>
      <w:ind w:firstLine="200" w:firstLineChars="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6"/>
    <w:autoRedefine/>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autoRedefine/>
    <w:qFormat/>
    <w:uiPriority w:val="0"/>
    <w:pPr>
      <w:adjustRightInd/>
    </w:pPr>
    <w:rPr>
      <w:sz w:val="18"/>
      <w:szCs w:val="20"/>
    </w:rPr>
  </w:style>
  <w:style w:type="paragraph" w:customStyle="1" w:styleId="596">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1">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18"/>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autoRedefine/>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8"/>
    <w:autoRedefine/>
    <w:qFormat/>
    <w:uiPriority w:val="0"/>
    <w:pPr>
      <w:snapToGrid w:val="0"/>
      <w:spacing w:line="360" w:lineRule="auto"/>
    </w:pPr>
    <w:rPr>
      <w:rFonts w:ascii="宋体"/>
      <w:b/>
      <w:sz w:val="24"/>
      <w:szCs w:val="20"/>
    </w:rPr>
  </w:style>
  <w:style w:type="paragraph" w:customStyle="1" w:styleId="606">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7">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autoRedefine/>
    <w:qFormat/>
    <w:uiPriority w:val="7"/>
    <w:pPr>
      <w:adjustRightInd/>
    </w:pPr>
    <w:rPr>
      <w:rFonts w:ascii="宋体" w:hAnsi="Courier New"/>
    </w:rPr>
  </w:style>
  <w:style w:type="paragraph" w:customStyle="1" w:styleId="609">
    <w:name w:val="Char3"/>
    <w:basedOn w:val="1"/>
    <w:autoRedefine/>
    <w:qFormat/>
    <w:uiPriority w:val="0"/>
    <w:pPr>
      <w:adjustRightInd/>
    </w:pPr>
    <w:rPr>
      <w:rFonts w:ascii="仿宋_GB2312" w:eastAsia="仿宋_GB2312"/>
      <w:b/>
      <w:sz w:val="32"/>
      <w:szCs w:val="32"/>
    </w:rPr>
  </w:style>
  <w:style w:type="paragraph" w:customStyle="1" w:styleId="61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autoRedefine/>
    <w:qFormat/>
    <w:uiPriority w:val="0"/>
    <w:pPr>
      <w:widowControl/>
      <w:adjustRightInd/>
      <w:spacing w:after="160" w:line="240" w:lineRule="exact"/>
      <w:jc w:val="left"/>
    </w:pPr>
    <w:rPr>
      <w:szCs w:val="20"/>
    </w:rPr>
  </w:style>
  <w:style w:type="paragraph" w:customStyle="1" w:styleId="618">
    <w:name w:val="表格标题2"/>
    <w:basedOn w:val="619"/>
    <w:autoRedefine/>
    <w:qFormat/>
    <w:uiPriority w:val="0"/>
    <w:rPr>
      <w:b/>
    </w:rPr>
  </w:style>
  <w:style w:type="paragraph" w:customStyle="1" w:styleId="619">
    <w:name w:val="表格内文"/>
    <w:basedOn w:val="1"/>
    <w:autoRedefine/>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autoRedefine/>
    <w:qFormat/>
    <w:uiPriority w:val="0"/>
    <w:rPr>
      <w:rFonts w:ascii="仿宋_GB2312" w:eastAsia="仿宋_GB2312"/>
      <w:b/>
      <w:sz w:val="32"/>
      <w:szCs w:val="32"/>
    </w:rPr>
  </w:style>
  <w:style w:type="paragraph" w:customStyle="1" w:styleId="621">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autoRedefine/>
    <w:qFormat/>
    <w:uiPriority w:val="0"/>
    <w:pPr>
      <w:spacing w:line="360" w:lineRule="auto"/>
    </w:pPr>
    <w:rPr>
      <w:szCs w:val="20"/>
    </w:rPr>
  </w:style>
  <w:style w:type="paragraph" w:customStyle="1" w:styleId="624">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6">
    <w:name w:val="MM Topic 1"/>
    <w:basedOn w:val="2"/>
    <w:autoRedefine/>
    <w:qFormat/>
    <w:uiPriority w:val="0"/>
    <w:pPr>
      <w:tabs>
        <w:tab w:val="left" w:pos="840"/>
      </w:tabs>
      <w:adjustRightInd/>
      <w:ind w:left="840" w:hanging="420"/>
    </w:pPr>
  </w:style>
  <w:style w:type="paragraph" w:customStyle="1" w:styleId="627">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autoRedefine/>
    <w:qFormat/>
    <w:uiPriority w:val="0"/>
    <w:pPr>
      <w:spacing w:line="360" w:lineRule="auto"/>
      <w:ind w:firstLine="200" w:firstLineChars="200"/>
    </w:pPr>
    <w:rPr>
      <w:kern w:val="0"/>
      <w:sz w:val="24"/>
      <w:szCs w:val="20"/>
    </w:rPr>
  </w:style>
  <w:style w:type="paragraph" w:customStyle="1" w:styleId="629">
    <w:name w:val="表格"/>
    <w:basedOn w:val="1"/>
    <w:autoRedefine/>
    <w:qFormat/>
    <w:uiPriority w:val="0"/>
    <w:pPr>
      <w:snapToGrid w:val="0"/>
      <w:ind w:firstLine="42" w:firstLineChars="21"/>
    </w:pPr>
    <w:rPr>
      <w:rFonts w:ascii="宋体" w:hAnsi="宋体"/>
      <w:kern w:val="0"/>
      <w:sz w:val="20"/>
      <w:szCs w:val="20"/>
    </w:rPr>
  </w:style>
  <w:style w:type="paragraph" w:customStyle="1" w:styleId="630">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autoRedefine/>
    <w:qFormat/>
    <w:uiPriority w:val="0"/>
    <w:pPr>
      <w:adjustRightInd/>
      <w:spacing w:line="300" w:lineRule="auto"/>
      <w:jc w:val="center"/>
    </w:pPr>
  </w:style>
  <w:style w:type="paragraph" w:customStyle="1" w:styleId="635">
    <w:name w:val="_Style 6"/>
    <w:basedOn w:val="1"/>
    <w:autoRedefine/>
    <w:qFormat/>
    <w:uiPriority w:val="34"/>
    <w:pPr>
      <w:adjustRightInd/>
      <w:ind w:firstLine="420" w:firstLineChars="200"/>
    </w:pPr>
    <w:rPr>
      <w:rFonts w:eastAsia="仿宋_GB2312"/>
      <w:sz w:val="28"/>
    </w:rPr>
  </w:style>
  <w:style w:type="paragraph" w:customStyle="1" w:styleId="636">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autoRedefine/>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autoRedefine/>
    <w:qFormat/>
    <w:uiPriority w:val="0"/>
    <w:rPr>
      <w:rFonts w:ascii="仿宋_GB2312" w:eastAsia="仿宋_GB2312"/>
      <w:b/>
      <w:sz w:val="32"/>
      <w:szCs w:val="20"/>
    </w:rPr>
  </w:style>
  <w:style w:type="paragraph" w:customStyle="1" w:styleId="646">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autoRedefine/>
    <w:qFormat/>
    <w:uiPriority w:val="0"/>
    <w:pPr>
      <w:adjustRightInd/>
      <w:ind w:firstLine="200" w:firstLineChars="200"/>
    </w:pPr>
    <w:rPr>
      <w:rFonts w:ascii="Tahoma" w:hAnsi="Tahoma"/>
      <w:sz w:val="24"/>
      <w:szCs w:val="20"/>
    </w:rPr>
  </w:style>
  <w:style w:type="paragraph" w:customStyle="1" w:styleId="648">
    <w:name w:val="a1"/>
    <w:basedOn w:val="1"/>
    <w:autoRedefine/>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autoRedefine/>
    <w:qFormat/>
    <w:uiPriority w:val="0"/>
    <w:pPr>
      <w:spacing w:afterLines="50"/>
      <w:jc w:val="left"/>
      <w:outlineLvl w:val="3"/>
    </w:pPr>
    <w:rPr>
      <w:sz w:val="24"/>
      <w:szCs w:val="24"/>
    </w:rPr>
  </w:style>
  <w:style w:type="paragraph" w:customStyle="1" w:styleId="650">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autoRedefine/>
    <w:qFormat/>
    <w:uiPriority w:val="0"/>
    <w:pPr>
      <w:adjustRightInd/>
    </w:pPr>
    <w:rPr>
      <w:rFonts w:ascii="Tahoma" w:hAnsi="Tahoma"/>
      <w:sz w:val="24"/>
      <w:szCs w:val="20"/>
    </w:rPr>
  </w:style>
  <w:style w:type="paragraph" w:customStyle="1" w:styleId="655">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autoRedefine/>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autoRedefine/>
    <w:qFormat/>
    <w:uiPriority w:val="0"/>
    <w:pPr>
      <w:tabs>
        <w:tab w:val="left" w:pos="1260"/>
        <w:tab w:val="left" w:pos="1680"/>
        <w:tab w:val="left" w:pos="2100"/>
      </w:tabs>
      <w:ind w:left="0"/>
      <w:outlineLvl w:val="3"/>
    </w:pPr>
  </w:style>
  <w:style w:type="paragraph" w:customStyle="1" w:styleId="658">
    <w:name w:val="一级条标题"/>
    <w:basedOn w:val="659"/>
    <w:next w:val="641"/>
    <w:autoRedefine/>
    <w:qFormat/>
    <w:uiPriority w:val="0"/>
    <w:pPr>
      <w:tabs>
        <w:tab w:val="left" w:pos="1260"/>
        <w:tab w:val="left" w:pos="1680"/>
      </w:tabs>
      <w:spacing w:beforeLines="0" w:afterLines="0"/>
      <w:ind w:left="1680"/>
      <w:outlineLvl w:val="2"/>
    </w:pPr>
  </w:style>
  <w:style w:type="paragraph" w:customStyle="1" w:styleId="659">
    <w:name w:val="章标题"/>
    <w:next w:val="641"/>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autoRedefine/>
    <w:qFormat/>
    <w:uiPriority w:val="0"/>
    <w:pPr>
      <w:tabs>
        <w:tab w:val="left" w:pos="840"/>
      </w:tabs>
      <w:spacing w:after="0"/>
      <w:ind w:left="900"/>
    </w:pPr>
  </w:style>
  <w:style w:type="paragraph" w:customStyle="1" w:styleId="66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autoRedefine/>
    <w:qFormat/>
    <w:uiPriority w:val="6"/>
    <w:pPr>
      <w:widowControl/>
      <w:adjustRightInd/>
      <w:ind w:left="720" w:hanging="720"/>
    </w:pPr>
    <w:rPr>
      <w:color w:val="000000"/>
      <w:kern w:val="0"/>
      <w:sz w:val="24"/>
      <w:szCs w:val="20"/>
      <w:lang w:val="en-GB"/>
    </w:rPr>
  </w:style>
  <w:style w:type="paragraph" w:customStyle="1" w:styleId="669">
    <w:name w:val="表1"/>
    <w:basedOn w:val="1"/>
    <w:autoRedefine/>
    <w:qFormat/>
    <w:uiPriority w:val="0"/>
    <w:pPr>
      <w:tabs>
        <w:tab w:val="left" w:pos="703"/>
      </w:tabs>
      <w:adjustRightInd/>
      <w:spacing w:line="360" w:lineRule="auto"/>
      <w:ind w:left="703"/>
      <w:jc w:val="center"/>
    </w:pPr>
  </w:style>
  <w:style w:type="paragraph" w:customStyle="1" w:styleId="67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autoRedefine/>
    <w:qFormat/>
    <w:uiPriority w:val="0"/>
    <w:pPr>
      <w:tabs>
        <w:tab w:val="left" w:pos="840"/>
      </w:tabs>
      <w:adjustRightInd/>
      <w:ind w:left="840" w:hanging="420"/>
    </w:pPr>
  </w:style>
  <w:style w:type="paragraph" w:customStyle="1" w:styleId="68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7"/>
    <w:autoRedefine/>
    <w:qFormat/>
    <w:uiPriority w:val="0"/>
    <w:pPr>
      <w:tabs>
        <w:tab w:val="left" w:pos="2100"/>
      </w:tabs>
      <w:adjustRightInd/>
      <w:ind w:left="2100" w:hanging="420"/>
    </w:pPr>
    <w:rPr>
      <w:lang w:val="en-US"/>
    </w:rPr>
  </w:style>
  <w:style w:type="paragraph" w:customStyle="1" w:styleId="688">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9">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autoRedefine/>
    <w:qFormat/>
    <w:uiPriority w:val="6"/>
    <w:pPr>
      <w:spacing w:line="360" w:lineRule="auto"/>
    </w:pPr>
    <w:rPr>
      <w:szCs w:val="20"/>
    </w:rPr>
  </w:style>
  <w:style w:type="paragraph" w:customStyle="1" w:styleId="691">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6"/>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autoRedefine/>
    <w:qFormat/>
    <w:uiPriority w:val="0"/>
    <w:pPr>
      <w:adjustRightInd/>
      <w:spacing w:line="360" w:lineRule="auto"/>
      <w:jc w:val="center"/>
    </w:pPr>
    <w:rPr>
      <w:sz w:val="24"/>
    </w:rPr>
  </w:style>
  <w:style w:type="paragraph" w:customStyle="1" w:styleId="701">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autoRedefine/>
    <w:qFormat/>
    <w:uiPriority w:val="6"/>
    <w:rPr>
      <w:rFonts w:ascii="仿宋_GB2312" w:eastAsia="仿宋_GB2312"/>
      <w:b/>
      <w:sz w:val="32"/>
      <w:szCs w:val="32"/>
    </w:rPr>
  </w:style>
  <w:style w:type="paragraph" w:customStyle="1" w:styleId="703">
    <w:name w:val="正文缩进1"/>
    <w:basedOn w:val="1"/>
    <w:next w:val="18"/>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autoRedefine/>
    <w:qFormat/>
    <w:uiPriority w:val="0"/>
    <w:pPr>
      <w:widowControl/>
      <w:adjustRightInd/>
      <w:spacing w:after="160" w:line="240" w:lineRule="exact"/>
      <w:jc w:val="left"/>
    </w:pPr>
    <w:rPr>
      <w:szCs w:val="20"/>
    </w:rPr>
  </w:style>
  <w:style w:type="paragraph" w:customStyle="1" w:styleId="706">
    <w:name w:val="Char Char1121"/>
    <w:basedOn w:val="1"/>
    <w:autoRedefine/>
    <w:qFormat/>
    <w:uiPriority w:val="0"/>
    <w:pPr>
      <w:spacing w:line="360" w:lineRule="auto"/>
    </w:pPr>
    <w:rPr>
      <w:szCs w:val="20"/>
    </w:rPr>
  </w:style>
  <w:style w:type="paragraph" w:customStyle="1" w:styleId="70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autoRedefine/>
    <w:qFormat/>
    <w:uiPriority w:val="0"/>
    <w:rPr>
      <w:rFonts w:ascii="Times New Roman" w:hAnsi="Times New Roman" w:eastAsia="宋体" w:cs="Times New Roman"/>
      <w:lang w:val="en-US" w:eastAsia="en-US" w:bidi="ar-SA"/>
    </w:rPr>
  </w:style>
  <w:style w:type="paragraph" w:customStyle="1" w:styleId="710">
    <w:name w:val="带编号样式"/>
    <w:basedOn w:val="628"/>
    <w:autoRedefine/>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4">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autoRedefine/>
    <w:qFormat/>
    <w:uiPriority w:val="0"/>
    <w:pPr>
      <w:spacing w:line="240" w:lineRule="atLeast"/>
      <w:ind w:left="420" w:firstLine="420"/>
    </w:pPr>
    <w:rPr>
      <w:sz w:val="24"/>
    </w:rPr>
  </w:style>
  <w:style w:type="paragraph" w:customStyle="1" w:styleId="717">
    <w:name w:val="WW-正文文字缩进 2"/>
    <w:basedOn w:val="1"/>
    <w:autoRedefine/>
    <w:qFormat/>
    <w:uiPriority w:val="0"/>
    <w:pPr>
      <w:suppressAutoHyphens/>
      <w:adjustRightInd/>
      <w:ind w:firstLine="420"/>
    </w:pPr>
    <w:rPr>
      <w:kern w:val="1"/>
      <w:szCs w:val="20"/>
    </w:rPr>
  </w:style>
  <w:style w:type="paragraph" w:customStyle="1" w:styleId="718">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autoRedefine/>
    <w:qFormat/>
    <w:uiPriority w:val="0"/>
    <w:pPr>
      <w:adjustRightInd/>
      <w:spacing w:line="400" w:lineRule="exact"/>
      <w:ind w:firstLine="200" w:firstLineChars="200"/>
    </w:pPr>
    <w:rPr>
      <w:rFonts w:ascii="Arial" w:hAnsi="Arial"/>
    </w:rPr>
  </w:style>
  <w:style w:type="paragraph" w:customStyle="1" w:styleId="721">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8"/>
    <w:autoRedefine/>
    <w:qFormat/>
    <w:uiPriority w:val="0"/>
    <w:pPr>
      <w:spacing w:after="120" w:line="480" w:lineRule="auto"/>
      <w:ind w:left="420" w:leftChars="200"/>
    </w:pPr>
    <w:rPr>
      <w:sz w:val="24"/>
      <w:szCs w:val="20"/>
    </w:rPr>
  </w:style>
  <w:style w:type="paragraph" w:customStyle="1" w:styleId="724">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autoRedefine/>
    <w:qFormat/>
    <w:uiPriority w:val="0"/>
    <w:rPr>
      <w:rFonts w:ascii="仿宋_GB2312" w:eastAsia="仿宋_GB2312"/>
      <w:b/>
      <w:sz w:val="32"/>
      <w:szCs w:val="20"/>
    </w:rPr>
  </w:style>
  <w:style w:type="paragraph" w:customStyle="1" w:styleId="733">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autoRedefine/>
    <w:qFormat/>
    <w:uiPriority w:val="0"/>
    <w:rPr>
      <w:rFonts w:ascii="仿宋_GB2312" w:eastAsia="仿宋_GB2312"/>
      <w:b/>
      <w:sz w:val="32"/>
      <w:szCs w:val="32"/>
    </w:rPr>
  </w:style>
  <w:style w:type="paragraph" w:customStyle="1" w:styleId="737">
    <w:name w:val="Char3 Char Char Char1"/>
    <w:basedOn w:val="1"/>
    <w:autoRedefine/>
    <w:qFormat/>
    <w:uiPriority w:val="6"/>
    <w:pPr>
      <w:widowControl/>
      <w:adjustRightInd/>
      <w:spacing w:after="160" w:line="240" w:lineRule="exact"/>
      <w:jc w:val="left"/>
    </w:pPr>
    <w:rPr>
      <w:szCs w:val="20"/>
    </w:rPr>
  </w:style>
  <w:style w:type="paragraph" w:customStyle="1" w:styleId="738">
    <w:name w:val="Char1 Char Char Char21"/>
    <w:basedOn w:val="1"/>
    <w:autoRedefine/>
    <w:qFormat/>
    <w:uiPriority w:val="0"/>
    <w:rPr>
      <w:rFonts w:ascii="Tahoma" w:hAnsi="Tahoma"/>
      <w:sz w:val="24"/>
      <w:szCs w:val="20"/>
    </w:rPr>
  </w:style>
  <w:style w:type="paragraph" w:customStyle="1" w:styleId="739">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autoRedefine/>
    <w:qFormat/>
    <w:uiPriority w:val="0"/>
    <w:pPr>
      <w:spacing w:line="360" w:lineRule="auto"/>
      <w:ind w:firstLine="200" w:firstLineChars="200"/>
    </w:pPr>
    <w:rPr>
      <w:sz w:val="24"/>
    </w:rPr>
  </w:style>
  <w:style w:type="paragraph" w:customStyle="1" w:styleId="74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autoRedefine/>
    <w:qFormat/>
    <w:uiPriority w:val="0"/>
    <w:pPr>
      <w:adjustRightInd/>
      <w:ind w:firstLine="200" w:firstLineChars="200"/>
    </w:pPr>
    <w:rPr>
      <w:rFonts w:ascii="Tahoma" w:hAnsi="Tahoma"/>
      <w:sz w:val="24"/>
      <w:szCs w:val="20"/>
    </w:rPr>
  </w:style>
  <w:style w:type="paragraph" w:customStyle="1" w:styleId="747">
    <w:name w:val="_标题2"/>
    <w:basedOn w:val="714"/>
    <w:next w:val="714"/>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autoRedefine/>
    <w:qFormat/>
    <w:uiPriority w:val="0"/>
    <w:pPr>
      <w:adjustRightInd/>
      <w:spacing w:line="360" w:lineRule="auto"/>
    </w:pPr>
    <w:rPr>
      <w:rFonts w:ascii="宋体" w:hAnsi="宋体"/>
      <w:szCs w:val="20"/>
    </w:rPr>
  </w:style>
  <w:style w:type="paragraph" w:customStyle="1" w:styleId="753">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autoRedefine/>
    <w:qFormat/>
    <w:uiPriority w:val="0"/>
    <w:pPr>
      <w:adjustRightInd/>
    </w:pPr>
    <w:rPr>
      <w:rFonts w:ascii="Tahoma" w:hAnsi="Tahoma"/>
      <w:sz w:val="24"/>
    </w:rPr>
  </w:style>
  <w:style w:type="paragraph" w:customStyle="1" w:styleId="755">
    <w:name w:val="Char Char Char Char11"/>
    <w:basedOn w:val="1"/>
    <w:autoRedefine/>
    <w:qFormat/>
    <w:uiPriority w:val="0"/>
    <w:rPr>
      <w:rFonts w:ascii="Tahoma" w:hAnsi="Tahoma"/>
      <w:sz w:val="24"/>
      <w:szCs w:val="20"/>
    </w:rPr>
  </w:style>
  <w:style w:type="paragraph" w:customStyle="1" w:styleId="75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autoRedefine/>
    <w:qFormat/>
    <w:uiPriority w:val="0"/>
    <w:rPr>
      <w:rFonts w:ascii="Tahoma" w:hAnsi="Tahoma"/>
      <w:sz w:val="24"/>
      <w:szCs w:val="20"/>
    </w:rPr>
  </w:style>
  <w:style w:type="paragraph" w:customStyle="1" w:styleId="758">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autoRedefine/>
    <w:qFormat/>
    <w:uiPriority w:val="0"/>
    <w:pPr>
      <w:adjustRightInd/>
    </w:pPr>
    <w:rPr>
      <w:szCs w:val="20"/>
    </w:rPr>
  </w:style>
  <w:style w:type="paragraph" w:customStyle="1" w:styleId="76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2">
    <w:name w:val="_Style 5"/>
    <w:basedOn w:val="1"/>
    <w:autoRedefine/>
    <w:qFormat/>
    <w:uiPriority w:val="34"/>
    <w:pPr>
      <w:adjustRightInd/>
      <w:ind w:firstLine="420" w:firstLineChars="200"/>
    </w:pPr>
    <w:rPr>
      <w:rFonts w:eastAsia="仿宋_GB2312"/>
      <w:sz w:val="28"/>
    </w:rPr>
  </w:style>
  <w:style w:type="paragraph" w:customStyle="1" w:styleId="763">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autoRedefine/>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autoRedefine/>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6"/>
    <w:autoRedefine/>
    <w:qFormat/>
    <w:uiPriority w:val="0"/>
    <w:pPr>
      <w:autoSpaceDE/>
      <w:autoSpaceDN/>
      <w:snapToGrid w:val="0"/>
      <w:ind w:firstLine="480" w:firstLineChars="200"/>
    </w:pPr>
    <w:rPr>
      <w:rFonts w:ascii="Times New Roman"/>
      <w:szCs w:val="24"/>
      <w:lang w:val="en-US"/>
    </w:rPr>
  </w:style>
  <w:style w:type="paragraph" w:customStyle="1" w:styleId="77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autoRedefine/>
    <w:qFormat/>
    <w:uiPriority w:val="0"/>
    <w:rPr>
      <w:rFonts w:ascii="宋体" w:hAnsi="Times New Roman" w:eastAsia="宋体" w:cs="Times New Roman"/>
      <w:kern w:val="2"/>
      <w:lang w:val="en-US" w:eastAsia="zh-CN" w:bidi="ar-SA"/>
    </w:rPr>
  </w:style>
  <w:style w:type="paragraph" w:customStyle="1" w:styleId="773">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autoRedefine/>
    <w:qFormat/>
    <w:uiPriority w:val="0"/>
    <w:pPr>
      <w:tabs>
        <w:tab w:val="left" w:pos="360"/>
      </w:tabs>
    </w:pPr>
    <w:rPr>
      <w:sz w:val="24"/>
      <w:szCs w:val="20"/>
    </w:rPr>
  </w:style>
  <w:style w:type="paragraph" w:customStyle="1" w:styleId="777">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18"/>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7"/>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autoRedefine/>
    <w:qFormat/>
    <w:uiPriority w:val="0"/>
    <w:pPr>
      <w:widowControl/>
      <w:adjustRightInd/>
    </w:pPr>
    <w:rPr>
      <w:kern w:val="0"/>
      <w:szCs w:val="21"/>
    </w:rPr>
  </w:style>
  <w:style w:type="paragraph" w:customStyle="1" w:styleId="786">
    <w:name w:val="Char6"/>
    <w:basedOn w:val="1"/>
    <w:autoRedefine/>
    <w:qFormat/>
    <w:uiPriority w:val="0"/>
    <w:rPr>
      <w:rFonts w:ascii="仿宋_GB2312" w:eastAsia="仿宋_GB2312"/>
      <w:b/>
      <w:sz w:val="32"/>
      <w:szCs w:val="32"/>
    </w:rPr>
  </w:style>
  <w:style w:type="paragraph" w:customStyle="1" w:styleId="787">
    <w:name w:val="Char111"/>
    <w:basedOn w:val="1"/>
    <w:autoRedefine/>
    <w:qFormat/>
    <w:uiPriority w:val="0"/>
    <w:rPr>
      <w:rFonts w:ascii="仿宋_GB2312" w:eastAsia="仿宋_GB2312"/>
      <w:b/>
      <w:sz w:val="32"/>
      <w:szCs w:val="32"/>
    </w:rPr>
  </w:style>
  <w:style w:type="paragraph" w:customStyle="1" w:styleId="788">
    <w:name w:val="标题3"/>
    <w:basedOn w:val="5"/>
    <w:next w:val="55"/>
    <w:autoRedefine/>
    <w:qFormat/>
    <w:uiPriority w:val="0"/>
    <w:pPr>
      <w:tabs>
        <w:tab w:val="clear" w:pos="900"/>
      </w:tabs>
      <w:spacing w:after="0" w:line="360" w:lineRule="auto"/>
    </w:pPr>
    <w:rPr>
      <w:rFonts w:ascii="仿宋" w:hAnsi="仿宋" w:eastAsia="仿宋" w:cs="仿宋"/>
    </w:rPr>
  </w:style>
  <w:style w:type="paragraph" w:customStyle="1" w:styleId="789">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autoRedefine/>
    <w:qFormat/>
    <w:uiPriority w:val="0"/>
    <w:pPr>
      <w:adjustRightInd/>
      <w:ind w:firstLine="200" w:firstLineChars="200"/>
    </w:pPr>
    <w:rPr>
      <w:rFonts w:ascii="Tahoma" w:hAnsi="Tahoma"/>
      <w:sz w:val="24"/>
      <w:szCs w:val="20"/>
    </w:rPr>
  </w:style>
  <w:style w:type="paragraph" w:customStyle="1" w:styleId="792">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autoRedefine/>
    <w:qFormat/>
    <w:uiPriority w:val="0"/>
    <w:rPr>
      <w:rFonts w:ascii="仿宋_GB2312" w:eastAsia="仿宋_GB2312"/>
      <w:b/>
      <w:sz w:val="32"/>
      <w:szCs w:val="32"/>
    </w:rPr>
  </w:style>
  <w:style w:type="paragraph" w:customStyle="1" w:styleId="795">
    <w:name w:val="五级条标题"/>
    <w:basedOn w:val="796"/>
    <w:next w:val="641"/>
    <w:autoRedefine/>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autoRedefine/>
    <w:qFormat/>
    <w:uiPriority w:val="0"/>
    <w:pPr>
      <w:tabs>
        <w:tab w:val="left" w:pos="2940"/>
        <w:tab w:val="clear" w:pos="2520"/>
      </w:tabs>
      <w:ind w:left="2940"/>
      <w:outlineLvl w:val="5"/>
    </w:pPr>
  </w:style>
  <w:style w:type="paragraph" w:customStyle="1" w:styleId="797">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autoRedefine/>
    <w:qFormat/>
    <w:uiPriority w:val="0"/>
    <w:rPr>
      <w:rFonts w:ascii="仿宋_GB2312" w:eastAsia="仿宋_GB2312"/>
      <w:b/>
      <w:sz w:val="32"/>
      <w:szCs w:val="32"/>
    </w:rPr>
  </w:style>
  <w:style w:type="paragraph" w:customStyle="1" w:styleId="79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autoRedefine/>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3">
    <w:name w:val="单元格左对齐"/>
    <w:basedOn w:val="1"/>
    <w:autoRedefine/>
    <w:qFormat/>
    <w:uiPriority w:val="0"/>
    <w:pPr>
      <w:adjustRightInd/>
      <w:spacing w:line="360" w:lineRule="auto"/>
    </w:pPr>
    <w:rPr>
      <w:sz w:val="24"/>
    </w:rPr>
  </w:style>
  <w:style w:type="paragraph" w:customStyle="1" w:styleId="804">
    <w:name w:val="正文主体"/>
    <w:basedOn w:val="625"/>
    <w:autoRedefine/>
    <w:qFormat/>
    <w:uiPriority w:val="0"/>
  </w:style>
  <w:style w:type="paragraph" w:customStyle="1" w:styleId="80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spacing w:line="360" w:lineRule="auto"/>
      <w:ind w:firstLine="480" w:firstLineChars="200"/>
    </w:pPr>
    <w:rPr>
      <w:sz w:val="24"/>
      <w:szCs w:val="20"/>
    </w:rPr>
  </w:style>
  <w:style w:type="paragraph" w:customStyle="1" w:styleId="809">
    <w:name w:val="P1"/>
    <w:basedOn w:val="1"/>
    <w:autoRedefine/>
    <w:qFormat/>
    <w:uiPriority w:val="0"/>
    <w:pPr>
      <w:adjustRightInd/>
      <w:spacing w:line="288" w:lineRule="auto"/>
      <w:ind w:firstLine="425" w:firstLineChars="200"/>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pPr>
      <w:spacing w:line="360" w:lineRule="auto"/>
    </w:pPr>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3">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6"/>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autoRedefine/>
    <w:qFormat/>
    <w:uiPriority w:val="0"/>
    <w:pPr>
      <w:spacing w:line="360" w:lineRule="auto"/>
    </w:pPr>
    <w:rPr>
      <w:szCs w:val="20"/>
    </w:rPr>
  </w:style>
  <w:style w:type="paragraph" w:customStyle="1" w:styleId="81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autoRedefine/>
    <w:qFormat/>
    <w:uiPriority w:val="0"/>
    <w:pPr>
      <w:spacing w:line="360" w:lineRule="auto"/>
    </w:pPr>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18"/>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autoRedefine/>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21"/>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0"/>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39"/>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0"/>
    <w:autoRedefine/>
    <w:qFormat/>
    <w:uiPriority w:val="0"/>
    <w:rPr>
      <w:b w:val="0"/>
      <w:sz w:val="20"/>
    </w:rPr>
  </w:style>
  <w:style w:type="paragraph" w:customStyle="1" w:styleId="895">
    <w:name w:val="正文首行缩进1"/>
    <w:basedOn w:val="26"/>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数字标题5"/>
    <w:basedOn w:val="8"/>
    <w:next w:val="1"/>
    <w:autoRedefine/>
    <w:qFormat/>
    <w:uiPriority w:val="0"/>
    <w:pPr>
      <w:tabs>
        <w:tab w:val="left" w:pos="1080"/>
      </w:tabs>
      <w:ind w:left="1080" w:hanging="1080"/>
    </w:pPr>
  </w:style>
  <w:style w:type="paragraph" w:customStyle="1" w:styleId="897">
    <w:name w:val="数字标题1"/>
    <w:basedOn w:val="2"/>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5"/>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3"/>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39"/>
    <w:autoRedefine/>
    <w:qFormat/>
    <w:uiPriority w:val="0"/>
    <w:rPr>
      <w:kern w:val="2"/>
      <w:sz w:val="21"/>
      <w:szCs w:val="24"/>
      <w:lang w:val="zh-CN"/>
    </w:rPr>
  </w:style>
  <w:style w:type="character" w:customStyle="1" w:styleId="933">
    <w:name w:val="无间隔 Char"/>
    <w:link w:val="485"/>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60"/>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2"/>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character" w:customStyle="1" w:styleId="964">
    <w:name w:val="search_content1"/>
    <w:autoRedefine/>
    <w:qFormat/>
    <w:uiPriority w:val="0"/>
    <w:rPr>
      <w:sz w:val="20"/>
      <w:szCs w:val="20"/>
    </w:rPr>
  </w:style>
  <w:style w:type="paragraph" w:customStyle="1" w:styleId="965">
    <w:name w:val="防指正文"/>
    <w:basedOn w:val="1"/>
    <w:autoRedefine/>
    <w:qFormat/>
    <w:uiPriority w:val="0"/>
    <w:pPr>
      <w:tabs>
        <w:tab w:val="left" w:pos="540"/>
      </w:tabs>
      <w:snapToGrid w:val="0"/>
      <w:spacing w:line="360" w:lineRule="auto"/>
    </w:pPr>
    <w:rPr>
      <w:rFonts w:ascii="宋体" w:hAnsi="宋体"/>
      <w:bCs/>
      <w:sz w:val="24"/>
    </w:rPr>
  </w:style>
  <w:style w:type="character" w:customStyle="1" w:styleId="966">
    <w:name w:val="未处理的提及2"/>
    <w:basedOn w:val="72"/>
    <w:autoRedefine/>
    <w:semiHidden/>
    <w:unhideWhenUsed/>
    <w:qFormat/>
    <w:uiPriority w:val="99"/>
    <w:rPr>
      <w:color w:val="605E5C"/>
      <w:shd w:val="clear" w:color="auto" w:fill="E1DFDD"/>
    </w:rPr>
  </w:style>
  <w:style w:type="paragraph" w:customStyle="1" w:styleId="967">
    <w:name w:val="修订4"/>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68">
    <w:name w:val="纯文本 字符2"/>
    <w:autoRedefine/>
    <w:qFormat/>
    <w:uiPriority w:val="0"/>
    <w:rPr>
      <w:rFonts w:ascii="宋体" w:hAnsi="Courier New" w:eastAsia="宋体"/>
      <w:kern w:val="2"/>
      <w:sz w:val="21"/>
      <w:lang w:val="en-US" w:eastAsia="zh-CN" w:bidi="ar-SA"/>
    </w:rPr>
  </w:style>
  <w:style w:type="paragraph" w:customStyle="1" w:styleId="969">
    <w:name w:val="修订5"/>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70">
    <w:name w:val="bookmark-item"/>
    <w:basedOn w:val="72"/>
    <w:autoRedefine/>
    <w:qFormat/>
    <w:uiPriority w:val="0"/>
  </w:style>
  <w:style w:type="table" w:customStyle="1" w:styleId="971">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1E8A10B-F3ED-42A6-B747-1DBF3C647F1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76</Pages>
  <Words>18385</Words>
  <Characters>19803</Characters>
  <Lines>311</Lines>
  <Paragraphs>87</Paragraphs>
  <TotalTime>0</TotalTime>
  <ScaleCrop>false</ScaleCrop>
  <LinksUpToDate>false</LinksUpToDate>
  <CharactersWithSpaces>19967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Mx.</dc:creator>
  <cp:lastModifiedBy>15113</cp:lastModifiedBy>
  <cp:lastPrinted>2022-03-03T06:10:00Z</cp:lastPrinted>
  <dcterms:modified xsi:type="dcterms:W3CDTF">2025-04-10T02:31:17Z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25CFBC6704CC4D61B81872E31EF7E7DF_13</vt:lpwstr>
  </property>
  <property fmtid="{D5CDD505-2E9C-101B-9397-08002B2CF9AE}" pid="5" name="KSOTemplateDocerSaveRecord">
    <vt:lpwstr>eyJoZGlkIjoiODVkY2RmYTc3YTYwOGMwMWNiOWUxNTlhMzk5YjJmNDIiLCJ1c2VySWQiOiIyMzQ3MDAzMjYifQ==</vt:lpwstr>
  </property>
</Properties>
</file>