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13611E">
      <w:pPr>
        <w:spacing w:line="360" w:lineRule="auto"/>
        <w:jc w:val="center"/>
        <w:rPr>
          <w:rFonts w:ascii="仿宋_GB2312" w:hAnsi="宋体" w:eastAsia="仿宋_GB2312"/>
          <w:b/>
          <w:color w:val="auto"/>
          <w:sz w:val="52"/>
          <w:szCs w:val="52"/>
          <w:highlight w:val="none"/>
        </w:rPr>
      </w:pPr>
    </w:p>
    <w:p w14:paraId="70C84766">
      <w:pPr>
        <w:pStyle w:val="2"/>
        <w:rPr>
          <w:color w:val="auto"/>
          <w:highlight w:val="none"/>
        </w:rPr>
      </w:pPr>
    </w:p>
    <w:p w14:paraId="7C0EF2B1">
      <w:pPr>
        <w:spacing w:line="360" w:lineRule="auto"/>
        <w:jc w:val="center"/>
        <w:rPr>
          <w:rFonts w:hint="eastAsia" w:ascii="宋体" w:hAnsi="宋体" w:eastAsia="宋体"/>
          <w:b/>
          <w:color w:val="auto"/>
          <w:sz w:val="52"/>
          <w:szCs w:val="52"/>
          <w:highlight w:val="none"/>
          <w:lang w:eastAsia="zh-CN"/>
        </w:rPr>
      </w:pPr>
      <w:r>
        <w:rPr>
          <w:rFonts w:hint="eastAsia" w:ascii="宋体" w:hAnsi="宋体"/>
          <w:b/>
          <w:color w:val="auto"/>
          <w:sz w:val="52"/>
          <w:szCs w:val="52"/>
          <w:highlight w:val="none"/>
          <w:lang w:eastAsia="zh-CN"/>
        </w:rPr>
        <w:t>湖州市中心医院安防服务招标项目</w:t>
      </w:r>
    </w:p>
    <w:p w14:paraId="00DC63AD">
      <w:pPr>
        <w:pStyle w:val="2"/>
        <w:rPr>
          <w:color w:val="auto"/>
          <w:highlight w:val="none"/>
        </w:rPr>
      </w:pPr>
    </w:p>
    <w:p w14:paraId="626BDBE4">
      <w:pPr>
        <w:snapToGrid w:val="0"/>
        <w:spacing w:line="360" w:lineRule="auto"/>
        <w:jc w:val="center"/>
        <w:rPr>
          <w:rFonts w:hint="eastAsia" w:ascii="宋体" w:hAnsi="宋体"/>
          <w:b/>
          <w:color w:val="auto"/>
          <w:sz w:val="28"/>
          <w:szCs w:val="28"/>
          <w:highlight w:val="none"/>
        </w:rPr>
      </w:pPr>
    </w:p>
    <w:p w14:paraId="36D9E745">
      <w:pPr>
        <w:snapToGrid w:val="0"/>
        <w:spacing w:line="360" w:lineRule="auto"/>
        <w:jc w:val="center"/>
        <w:rPr>
          <w:rFonts w:hint="eastAsia" w:ascii="宋体" w:hAnsi="宋体"/>
          <w:b/>
          <w:color w:val="auto"/>
          <w:sz w:val="28"/>
          <w:szCs w:val="28"/>
          <w:highlight w:val="none"/>
        </w:rPr>
      </w:pPr>
      <w:r>
        <w:rPr>
          <w:rFonts w:hint="eastAsia" w:ascii="宋体" w:hAnsi="宋体"/>
          <w:b/>
          <w:color w:val="auto"/>
          <w:sz w:val="28"/>
          <w:szCs w:val="28"/>
          <w:highlight w:val="none"/>
        </w:rPr>
        <w:t>（财政审批编号：HZCG[2025]130号）</w:t>
      </w:r>
    </w:p>
    <w:p w14:paraId="4A147CC2">
      <w:pPr>
        <w:snapToGrid w:val="0"/>
        <w:spacing w:beforeLines="50" w:line="360" w:lineRule="auto"/>
        <w:jc w:val="center"/>
        <w:rPr>
          <w:rFonts w:ascii="隶书" w:hAnsi="Arial Narrow" w:eastAsia="楷体_GB2312"/>
          <w:color w:val="auto"/>
          <w:sz w:val="30"/>
          <w:szCs w:val="72"/>
          <w:highlight w:val="none"/>
        </w:rPr>
      </w:pPr>
      <w:r>
        <w:rPr>
          <w:rFonts w:hint="eastAsia" w:ascii="宋体" w:hAnsi="宋体" w:cs="宋体"/>
          <w:b/>
          <w:color w:val="auto"/>
          <w:sz w:val="52"/>
          <w:szCs w:val="52"/>
          <w:highlight w:val="none"/>
        </w:rPr>
        <w:t>（电子招投标）</w:t>
      </w:r>
    </w:p>
    <w:p w14:paraId="6F712EC7">
      <w:pPr>
        <w:snapToGrid w:val="0"/>
        <w:spacing w:beforeLines="50" w:line="360" w:lineRule="auto"/>
        <w:rPr>
          <w:rFonts w:ascii="隶书" w:hAnsi="Arial Narrow" w:eastAsia="楷体_GB2312"/>
          <w:color w:val="auto"/>
          <w:sz w:val="30"/>
          <w:szCs w:val="72"/>
          <w:highlight w:val="none"/>
        </w:rPr>
      </w:pPr>
    </w:p>
    <w:p w14:paraId="5C771BEF">
      <w:pPr>
        <w:spacing w:beforeLines="50"/>
        <w:jc w:val="center"/>
        <w:rPr>
          <w:rFonts w:ascii="宋体" w:hAnsi="宋体"/>
          <w:color w:val="auto"/>
          <w:sz w:val="72"/>
          <w:szCs w:val="72"/>
          <w:highlight w:val="none"/>
        </w:rPr>
      </w:pPr>
      <w:r>
        <w:rPr>
          <w:rFonts w:hint="eastAsia" w:ascii="宋体" w:hAnsi="宋体"/>
          <w:color w:val="auto"/>
          <w:sz w:val="72"/>
          <w:szCs w:val="72"/>
          <w:highlight w:val="none"/>
        </w:rPr>
        <w:t>公开招标采购文件</w:t>
      </w:r>
    </w:p>
    <w:p w14:paraId="14EC1AB7">
      <w:pPr>
        <w:snapToGrid w:val="0"/>
        <w:spacing w:line="360" w:lineRule="auto"/>
        <w:rPr>
          <w:rFonts w:ascii="宋体" w:hAnsi="宋体"/>
          <w:color w:val="auto"/>
          <w:sz w:val="30"/>
          <w:szCs w:val="72"/>
          <w:highlight w:val="none"/>
        </w:rPr>
      </w:pPr>
    </w:p>
    <w:p w14:paraId="44140572">
      <w:pPr>
        <w:snapToGrid w:val="0"/>
        <w:spacing w:line="360" w:lineRule="auto"/>
        <w:rPr>
          <w:rFonts w:ascii="宋体" w:hAnsi="宋体"/>
          <w:color w:val="auto"/>
          <w:sz w:val="30"/>
          <w:szCs w:val="72"/>
          <w:highlight w:val="none"/>
        </w:rPr>
      </w:pPr>
    </w:p>
    <w:p w14:paraId="0B5E25B7">
      <w:pPr>
        <w:snapToGrid w:val="0"/>
        <w:spacing w:line="360" w:lineRule="auto"/>
        <w:rPr>
          <w:rFonts w:ascii="宋体" w:hAnsi="宋体"/>
          <w:color w:val="auto"/>
          <w:sz w:val="30"/>
          <w:szCs w:val="72"/>
          <w:highlight w:val="none"/>
        </w:rPr>
      </w:pPr>
    </w:p>
    <w:p w14:paraId="68372578">
      <w:pPr>
        <w:pStyle w:val="13"/>
        <w:snapToGrid w:val="0"/>
        <w:spacing w:beforeLines="0" w:afterLines="0" w:line="360" w:lineRule="auto"/>
        <w:ind w:firstLine="596" w:firstLineChars="198"/>
        <w:rPr>
          <w:rFonts w:hint="eastAsia" w:hAnsi="宋体" w:eastAsia="宋体"/>
          <w:b/>
          <w:color w:val="auto"/>
          <w:sz w:val="30"/>
          <w:szCs w:val="30"/>
          <w:highlight w:val="none"/>
          <w:lang w:eastAsia="zh-CN"/>
        </w:rPr>
      </w:pPr>
      <w:r>
        <w:rPr>
          <w:rFonts w:hAnsi="宋体"/>
          <w:b/>
          <w:color w:val="auto"/>
          <w:sz w:val="30"/>
          <w:szCs w:val="30"/>
          <w:highlight w:val="none"/>
        </w:rPr>
        <w:t>项目编号：</w:t>
      </w:r>
      <w:r>
        <w:rPr>
          <w:rFonts w:hint="eastAsia" w:hAnsi="宋体"/>
          <w:b/>
          <w:color w:val="auto"/>
          <w:sz w:val="30"/>
          <w:szCs w:val="30"/>
          <w:highlight w:val="none"/>
          <w:lang w:eastAsia="zh-CN"/>
        </w:rPr>
        <w:t>HYHZ2025-33</w:t>
      </w:r>
    </w:p>
    <w:p w14:paraId="4945AA4F">
      <w:pPr>
        <w:pStyle w:val="13"/>
        <w:snapToGrid w:val="0"/>
        <w:spacing w:beforeLines="0" w:afterLines="0" w:line="360" w:lineRule="auto"/>
        <w:ind w:left="2086" w:leftChars="282" w:hanging="1494" w:hangingChars="496"/>
        <w:rPr>
          <w:rFonts w:hint="eastAsia" w:hAnsi="宋体" w:eastAsia="宋体"/>
          <w:b/>
          <w:color w:val="auto"/>
          <w:sz w:val="30"/>
          <w:szCs w:val="30"/>
          <w:highlight w:val="none"/>
          <w:lang w:eastAsia="zh-CN"/>
        </w:rPr>
      </w:pPr>
      <w:r>
        <w:rPr>
          <w:rFonts w:hint="eastAsia" w:hAnsi="宋体"/>
          <w:b/>
          <w:color w:val="auto"/>
          <w:sz w:val="30"/>
          <w:szCs w:val="30"/>
          <w:highlight w:val="none"/>
        </w:rPr>
        <w:t>项目名称：</w:t>
      </w:r>
      <w:r>
        <w:rPr>
          <w:rFonts w:hint="eastAsia" w:hAnsi="宋体"/>
          <w:b/>
          <w:color w:val="auto"/>
          <w:sz w:val="30"/>
          <w:szCs w:val="30"/>
          <w:highlight w:val="none"/>
          <w:lang w:eastAsia="zh-CN"/>
        </w:rPr>
        <w:t>湖州市中心医院安防服务招标项目</w:t>
      </w:r>
    </w:p>
    <w:p w14:paraId="5C001239">
      <w:pPr>
        <w:pStyle w:val="13"/>
        <w:snapToGrid w:val="0"/>
        <w:spacing w:beforeLines="0" w:afterLines="0" w:line="360" w:lineRule="auto"/>
        <w:ind w:left="2087" w:leftChars="284" w:hanging="1491" w:hangingChars="495"/>
        <w:rPr>
          <w:rFonts w:hAnsi="宋体"/>
          <w:b/>
          <w:color w:val="auto"/>
          <w:sz w:val="30"/>
          <w:szCs w:val="30"/>
          <w:highlight w:val="none"/>
        </w:rPr>
      </w:pPr>
      <w:r>
        <w:rPr>
          <w:rFonts w:hAnsi="宋体"/>
          <w:b/>
          <w:color w:val="auto"/>
          <w:sz w:val="30"/>
          <w:szCs w:val="30"/>
          <w:highlight w:val="none"/>
        </w:rPr>
        <w:t>采购单位：</w:t>
      </w:r>
      <w:r>
        <w:rPr>
          <w:rFonts w:hint="eastAsia" w:hAnsi="宋体"/>
          <w:b/>
          <w:color w:val="auto"/>
          <w:sz w:val="30"/>
          <w:szCs w:val="30"/>
          <w:highlight w:val="none"/>
        </w:rPr>
        <w:t>湖州市中心医院</w:t>
      </w:r>
    </w:p>
    <w:p w14:paraId="41C3BF6B">
      <w:pPr>
        <w:pStyle w:val="13"/>
        <w:snapToGrid w:val="0"/>
        <w:spacing w:beforeLines="0" w:afterLines="0" w:line="360" w:lineRule="auto"/>
        <w:ind w:firstLine="590" w:firstLineChars="196"/>
        <w:rPr>
          <w:rFonts w:hAnsi="宋体"/>
          <w:b/>
          <w:color w:val="auto"/>
          <w:sz w:val="30"/>
          <w:szCs w:val="30"/>
          <w:highlight w:val="none"/>
        </w:rPr>
      </w:pPr>
      <w:r>
        <w:rPr>
          <w:rFonts w:hAnsi="宋体"/>
          <w:b/>
          <w:color w:val="auto"/>
          <w:sz w:val="30"/>
          <w:szCs w:val="30"/>
          <w:highlight w:val="none"/>
        </w:rPr>
        <w:t>代理机构：</w:t>
      </w:r>
      <w:r>
        <w:rPr>
          <w:rFonts w:hint="eastAsia" w:hAnsi="宋体"/>
          <w:b/>
          <w:color w:val="auto"/>
          <w:sz w:val="30"/>
          <w:szCs w:val="30"/>
          <w:highlight w:val="none"/>
        </w:rPr>
        <w:t>浙江华耀建设咨询有限公司</w:t>
      </w:r>
    </w:p>
    <w:p w14:paraId="07FEB87E">
      <w:pPr>
        <w:pStyle w:val="13"/>
        <w:snapToGrid w:val="0"/>
        <w:spacing w:beforeLines="0" w:afterLines="0" w:line="360" w:lineRule="auto"/>
        <w:ind w:firstLine="590" w:firstLineChars="196"/>
        <w:rPr>
          <w:rFonts w:hAnsi="宋体"/>
          <w:b/>
          <w:color w:val="auto"/>
          <w:sz w:val="30"/>
          <w:szCs w:val="30"/>
          <w:highlight w:val="none"/>
        </w:rPr>
      </w:pPr>
    </w:p>
    <w:p w14:paraId="7EEDEEDB">
      <w:pPr>
        <w:snapToGrid w:val="0"/>
        <w:spacing w:line="360" w:lineRule="auto"/>
        <w:jc w:val="center"/>
        <w:rPr>
          <w:rFonts w:ascii="宋体" w:hAnsi="宋体"/>
          <w:b/>
          <w:bCs/>
          <w:color w:val="auto"/>
          <w:w w:val="95"/>
          <w:sz w:val="30"/>
          <w:szCs w:val="30"/>
          <w:highlight w:val="none"/>
        </w:rPr>
      </w:pPr>
      <w:r>
        <w:rPr>
          <w:rFonts w:hint="eastAsia" w:ascii="宋体" w:hAnsi="宋体"/>
          <w:b/>
          <w:bCs/>
          <w:color w:val="auto"/>
          <w:w w:val="95"/>
          <w:sz w:val="30"/>
          <w:szCs w:val="30"/>
          <w:highlight w:val="none"/>
        </w:rPr>
        <w:t>2025年</w:t>
      </w:r>
      <w:r>
        <w:rPr>
          <w:rFonts w:hint="eastAsia" w:ascii="宋体" w:hAnsi="宋体"/>
          <w:b/>
          <w:bCs/>
          <w:color w:val="auto"/>
          <w:w w:val="95"/>
          <w:sz w:val="30"/>
          <w:szCs w:val="30"/>
          <w:highlight w:val="none"/>
          <w:lang w:val="en-US" w:eastAsia="zh-CN"/>
        </w:rPr>
        <w:t>4</w:t>
      </w:r>
      <w:r>
        <w:rPr>
          <w:rFonts w:hint="eastAsia" w:ascii="宋体" w:hAnsi="宋体"/>
          <w:b/>
          <w:bCs/>
          <w:color w:val="auto"/>
          <w:w w:val="95"/>
          <w:sz w:val="30"/>
          <w:szCs w:val="30"/>
          <w:highlight w:val="none"/>
        </w:rPr>
        <w:t>月</w:t>
      </w:r>
      <w:r>
        <w:rPr>
          <w:rFonts w:hint="eastAsia" w:ascii="宋体" w:hAnsi="宋体"/>
          <w:b/>
          <w:bCs/>
          <w:color w:val="auto"/>
          <w:w w:val="95"/>
          <w:sz w:val="30"/>
          <w:szCs w:val="30"/>
          <w:highlight w:val="none"/>
          <w:lang w:val="en-US" w:eastAsia="zh-CN"/>
        </w:rPr>
        <w:t>1</w:t>
      </w:r>
      <w:r>
        <w:rPr>
          <w:rFonts w:hint="eastAsia" w:ascii="宋体" w:hAnsi="宋体"/>
          <w:b/>
          <w:bCs/>
          <w:color w:val="auto"/>
          <w:w w:val="95"/>
          <w:sz w:val="30"/>
          <w:szCs w:val="30"/>
          <w:highlight w:val="none"/>
        </w:rPr>
        <w:t>日</w:t>
      </w:r>
    </w:p>
    <w:p w14:paraId="167F30D7">
      <w:pPr>
        <w:pStyle w:val="13"/>
        <w:spacing w:beforeLines="0" w:afterLines="0" w:line="360" w:lineRule="auto"/>
        <w:jc w:val="center"/>
        <w:rPr>
          <w:rFonts w:ascii="创艺简标宋" w:hAnsi="宋体" w:eastAsia="创艺简标宋"/>
          <w:b/>
          <w:color w:val="auto"/>
          <w:sz w:val="44"/>
          <w:szCs w:val="44"/>
          <w:highlight w:val="none"/>
        </w:rPr>
      </w:pPr>
    </w:p>
    <w:p w14:paraId="515CBF8C">
      <w:pPr>
        <w:pStyle w:val="13"/>
        <w:spacing w:beforeLines="0" w:afterLines="0" w:line="360" w:lineRule="auto"/>
        <w:rPr>
          <w:rFonts w:ascii="创艺简标宋" w:hAnsi="宋体" w:eastAsia="创艺简标宋"/>
          <w:b/>
          <w:color w:val="auto"/>
          <w:sz w:val="44"/>
          <w:szCs w:val="44"/>
          <w:highlight w:val="none"/>
        </w:rPr>
      </w:pPr>
    </w:p>
    <w:p w14:paraId="60CBC10E">
      <w:pPr>
        <w:pStyle w:val="13"/>
        <w:spacing w:beforeLines="0" w:afterLines="0" w:line="360" w:lineRule="auto"/>
        <w:jc w:val="center"/>
        <w:rPr>
          <w:rFonts w:ascii="创艺简标宋" w:hAnsi="宋体" w:eastAsia="创艺简标宋"/>
          <w:b/>
          <w:color w:val="auto"/>
          <w:sz w:val="44"/>
          <w:szCs w:val="44"/>
          <w:highlight w:val="none"/>
        </w:rPr>
      </w:pPr>
      <w:r>
        <w:rPr>
          <w:rFonts w:hint="eastAsia" w:ascii="创艺简标宋" w:hAnsi="宋体" w:eastAsia="创艺简标宋"/>
          <w:b/>
          <w:color w:val="auto"/>
          <w:sz w:val="44"/>
          <w:szCs w:val="44"/>
          <w:highlight w:val="none"/>
        </w:rPr>
        <w:t>目    录</w:t>
      </w:r>
    </w:p>
    <w:p w14:paraId="27DC0951">
      <w:pPr>
        <w:pStyle w:val="13"/>
        <w:spacing w:beforeLines="0" w:afterLines="0" w:line="360" w:lineRule="auto"/>
        <w:jc w:val="center"/>
        <w:rPr>
          <w:rFonts w:ascii="创艺简标宋" w:hAnsi="宋体" w:eastAsia="创艺简标宋"/>
          <w:color w:val="auto"/>
          <w:sz w:val="44"/>
          <w:szCs w:val="44"/>
          <w:highlight w:val="none"/>
        </w:rPr>
      </w:pPr>
    </w:p>
    <w:p w14:paraId="64F4A1A3">
      <w:pPr>
        <w:numPr>
          <w:ilvl w:val="0"/>
          <w:numId w:val="2"/>
        </w:numPr>
        <w:spacing w:line="360" w:lineRule="auto"/>
        <w:ind w:left="600" w:hanging="600"/>
        <w:rPr>
          <w:rFonts w:ascii="宋体" w:hAnsi="宋体"/>
          <w:color w:val="auto"/>
          <w:sz w:val="30"/>
          <w:szCs w:val="20"/>
          <w:highlight w:val="none"/>
        </w:rPr>
      </w:pPr>
      <w:r>
        <w:rPr>
          <w:rFonts w:hint="eastAsia" w:ascii="宋体" w:hAnsi="宋体"/>
          <w:color w:val="auto"/>
          <w:sz w:val="30"/>
          <w:highlight w:val="none"/>
        </w:rPr>
        <w:t>公开招标采购公告   -------------------------3</w:t>
      </w:r>
    </w:p>
    <w:p w14:paraId="53953087">
      <w:pPr>
        <w:numPr>
          <w:ilvl w:val="0"/>
          <w:numId w:val="2"/>
        </w:numPr>
        <w:spacing w:line="360" w:lineRule="auto"/>
        <w:ind w:left="600" w:hanging="600"/>
        <w:rPr>
          <w:rFonts w:ascii="宋体" w:hAnsi="宋体"/>
          <w:color w:val="auto"/>
          <w:sz w:val="30"/>
          <w:szCs w:val="20"/>
          <w:highlight w:val="none"/>
        </w:rPr>
      </w:pPr>
      <w:r>
        <w:rPr>
          <w:rFonts w:hint="eastAsia" w:ascii="宋体" w:hAnsi="宋体"/>
          <w:color w:val="auto"/>
          <w:sz w:val="30"/>
          <w:highlight w:val="none"/>
        </w:rPr>
        <w:t>招标需求   ---------------------------------7</w:t>
      </w:r>
    </w:p>
    <w:p w14:paraId="024E4E70">
      <w:pPr>
        <w:numPr>
          <w:ilvl w:val="0"/>
          <w:numId w:val="2"/>
        </w:numPr>
        <w:spacing w:line="360" w:lineRule="auto"/>
        <w:ind w:left="600" w:hanging="600"/>
        <w:rPr>
          <w:color w:val="auto"/>
          <w:sz w:val="30"/>
          <w:szCs w:val="30"/>
          <w:highlight w:val="none"/>
        </w:rPr>
      </w:pPr>
      <w:r>
        <w:rPr>
          <w:rFonts w:hint="eastAsia" w:ascii="宋体" w:hAnsi="宋体"/>
          <w:color w:val="auto"/>
          <w:sz w:val="30"/>
          <w:highlight w:val="none"/>
        </w:rPr>
        <w:t>投标人须知   ------------------------------10</w:t>
      </w:r>
    </w:p>
    <w:p w14:paraId="430F61CC">
      <w:pPr>
        <w:spacing w:line="360" w:lineRule="auto"/>
        <w:ind w:firstLine="1350" w:firstLineChars="450"/>
        <w:rPr>
          <w:rFonts w:ascii="宋体" w:hAnsi="宋体"/>
          <w:color w:val="auto"/>
          <w:sz w:val="30"/>
          <w:highlight w:val="none"/>
        </w:rPr>
      </w:pPr>
      <w:r>
        <w:rPr>
          <w:rFonts w:hint="eastAsia"/>
          <w:color w:val="auto"/>
          <w:sz w:val="30"/>
          <w:szCs w:val="30"/>
          <w:highlight w:val="none"/>
        </w:rPr>
        <w:t xml:space="preserve">一、总则    </w:t>
      </w:r>
      <w:r>
        <w:rPr>
          <w:rFonts w:hint="eastAsia" w:ascii="宋体" w:hAnsi="宋体"/>
          <w:color w:val="auto"/>
          <w:sz w:val="30"/>
          <w:highlight w:val="none"/>
        </w:rPr>
        <w:t>--------------------------------11</w:t>
      </w:r>
    </w:p>
    <w:p w14:paraId="6043EB4D">
      <w:pPr>
        <w:spacing w:line="360" w:lineRule="auto"/>
        <w:ind w:firstLine="1350" w:firstLineChars="450"/>
        <w:rPr>
          <w:rFonts w:ascii="宋体" w:hAnsi="宋体"/>
          <w:color w:val="auto"/>
          <w:sz w:val="30"/>
          <w:highlight w:val="none"/>
        </w:rPr>
      </w:pPr>
      <w:r>
        <w:rPr>
          <w:rFonts w:hint="eastAsia"/>
          <w:color w:val="auto"/>
          <w:sz w:val="30"/>
          <w:szCs w:val="30"/>
          <w:highlight w:val="none"/>
        </w:rPr>
        <w:t xml:space="preserve">二、招标文件    </w:t>
      </w:r>
      <w:r>
        <w:rPr>
          <w:rFonts w:hint="eastAsia" w:ascii="宋体" w:hAnsi="宋体"/>
          <w:color w:val="auto"/>
          <w:sz w:val="30"/>
          <w:highlight w:val="none"/>
        </w:rPr>
        <w:t>----------------------------14</w:t>
      </w:r>
    </w:p>
    <w:p w14:paraId="48BCB04F">
      <w:pPr>
        <w:spacing w:line="360" w:lineRule="auto"/>
        <w:ind w:firstLine="1350" w:firstLineChars="450"/>
        <w:rPr>
          <w:rFonts w:ascii="宋体" w:hAnsi="宋体"/>
          <w:color w:val="auto"/>
          <w:sz w:val="30"/>
          <w:highlight w:val="none"/>
        </w:rPr>
      </w:pPr>
      <w:r>
        <w:rPr>
          <w:rFonts w:hint="eastAsia"/>
          <w:color w:val="auto"/>
          <w:sz w:val="30"/>
          <w:szCs w:val="30"/>
          <w:highlight w:val="none"/>
        </w:rPr>
        <w:t xml:space="preserve">三、投标文件的编制     </w:t>
      </w:r>
      <w:r>
        <w:rPr>
          <w:rFonts w:hint="eastAsia" w:ascii="宋体" w:hAnsi="宋体"/>
          <w:color w:val="auto"/>
          <w:sz w:val="30"/>
          <w:highlight w:val="none"/>
        </w:rPr>
        <w:t>---------------------15</w:t>
      </w:r>
    </w:p>
    <w:p w14:paraId="388E865C">
      <w:pPr>
        <w:spacing w:line="360" w:lineRule="auto"/>
        <w:ind w:firstLine="1350" w:firstLineChars="450"/>
        <w:rPr>
          <w:rFonts w:ascii="宋体" w:hAnsi="宋体"/>
          <w:color w:val="auto"/>
          <w:sz w:val="30"/>
          <w:highlight w:val="none"/>
        </w:rPr>
      </w:pPr>
      <w:r>
        <w:rPr>
          <w:rFonts w:hint="eastAsia"/>
          <w:color w:val="auto"/>
          <w:sz w:val="30"/>
          <w:szCs w:val="30"/>
          <w:highlight w:val="none"/>
        </w:rPr>
        <w:t xml:space="preserve">四、开标   </w:t>
      </w:r>
      <w:r>
        <w:rPr>
          <w:rFonts w:hint="eastAsia" w:ascii="宋体" w:hAnsi="宋体"/>
          <w:color w:val="auto"/>
          <w:sz w:val="30"/>
          <w:highlight w:val="none"/>
        </w:rPr>
        <w:t>---------------------------------20</w:t>
      </w:r>
    </w:p>
    <w:p w14:paraId="7BEF7237">
      <w:pPr>
        <w:spacing w:line="360" w:lineRule="auto"/>
        <w:ind w:firstLine="1350" w:firstLineChars="450"/>
        <w:rPr>
          <w:rFonts w:ascii="宋体" w:hAnsi="宋体"/>
          <w:color w:val="auto"/>
          <w:sz w:val="30"/>
          <w:highlight w:val="none"/>
        </w:rPr>
      </w:pPr>
      <w:r>
        <w:rPr>
          <w:rFonts w:hint="eastAsia"/>
          <w:color w:val="auto"/>
          <w:sz w:val="30"/>
          <w:szCs w:val="30"/>
          <w:highlight w:val="none"/>
        </w:rPr>
        <w:t xml:space="preserve">五、评标   </w:t>
      </w:r>
      <w:r>
        <w:rPr>
          <w:rFonts w:hint="eastAsia" w:ascii="宋体" w:hAnsi="宋体"/>
          <w:color w:val="auto"/>
          <w:sz w:val="30"/>
          <w:highlight w:val="none"/>
        </w:rPr>
        <w:t>---------------------------------21</w:t>
      </w:r>
    </w:p>
    <w:p w14:paraId="6CF4171D">
      <w:pPr>
        <w:spacing w:line="360" w:lineRule="auto"/>
        <w:ind w:firstLine="1350" w:firstLineChars="450"/>
        <w:rPr>
          <w:rFonts w:ascii="宋体" w:hAnsi="宋体"/>
          <w:color w:val="auto"/>
          <w:sz w:val="30"/>
          <w:highlight w:val="none"/>
        </w:rPr>
      </w:pPr>
      <w:r>
        <w:rPr>
          <w:rFonts w:hint="eastAsia"/>
          <w:color w:val="auto"/>
          <w:sz w:val="30"/>
          <w:szCs w:val="30"/>
          <w:highlight w:val="none"/>
        </w:rPr>
        <w:t xml:space="preserve">六、定标   </w:t>
      </w:r>
      <w:r>
        <w:rPr>
          <w:rFonts w:hint="eastAsia" w:ascii="宋体" w:hAnsi="宋体"/>
          <w:color w:val="auto"/>
          <w:sz w:val="30"/>
          <w:highlight w:val="none"/>
        </w:rPr>
        <w:t>---------------------------------23</w:t>
      </w:r>
    </w:p>
    <w:p w14:paraId="13BC33B0">
      <w:pPr>
        <w:spacing w:line="360" w:lineRule="auto"/>
        <w:ind w:firstLine="1350" w:firstLineChars="450"/>
        <w:rPr>
          <w:color w:val="auto"/>
          <w:sz w:val="30"/>
          <w:szCs w:val="30"/>
          <w:highlight w:val="none"/>
        </w:rPr>
      </w:pPr>
      <w:r>
        <w:rPr>
          <w:rFonts w:hint="eastAsia"/>
          <w:color w:val="auto"/>
          <w:sz w:val="30"/>
          <w:szCs w:val="30"/>
          <w:highlight w:val="none"/>
        </w:rPr>
        <w:t xml:space="preserve">七、合同授予   </w:t>
      </w:r>
      <w:r>
        <w:rPr>
          <w:rFonts w:hint="eastAsia" w:ascii="宋体" w:hAnsi="宋体"/>
          <w:color w:val="auto"/>
          <w:sz w:val="30"/>
          <w:highlight w:val="none"/>
        </w:rPr>
        <w:t>-----------------------------24</w:t>
      </w:r>
    </w:p>
    <w:p w14:paraId="3D453D73">
      <w:pPr>
        <w:numPr>
          <w:ilvl w:val="0"/>
          <w:numId w:val="2"/>
        </w:numPr>
        <w:spacing w:line="360" w:lineRule="auto"/>
        <w:ind w:left="600" w:hanging="600"/>
        <w:rPr>
          <w:rFonts w:ascii="宋体" w:hAnsi="宋体"/>
          <w:color w:val="auto"/>
          <w:sz w:val="30"/>
          <w:szCs w:val="20"/>
          <w:highlight w:val="none"/>
        </w:rPr>
      </w:pPr>
      <w:r>
        <w:rPr>
          <w:rFonts w:hint="eastAsia" w:ascii="宋体" w:hAnsi="宋体"/>
          <w:color w:val="auto"/>
          <w:sz w:val="30"/>
          <w:highlight w:val="none"/>
        </w:rPr>
        <w:t>评标办法及评分标准 ------------------------25</w:t>
      </w:r>
    </w:p>
    <w:p w14:paraId="2F39845B">
      <w:pPr>
        <w:numPr>
          <w:ilvl w:val="0"/>
          <w:numId w:val="2"/>
        </w:numPr>
        <w:spacing w:line="360" w:lineRule="auto"/>
        <w:ind w:left="600" w:hanging="600"/>
        <w:rPr>
          <w:rFonts w:ascii="宋体" w:hAnsi="宋体"/>
          <w:color w:val="auto"/>
          <w:sz w:val="30"/>
          <w:szCs w:val="20"/>
          <w:highlight w:val="none"/>
        </w:rPr>
      </w:pPr>
      <w:r>
        <w:rPr>
          <w:rFonts w:hint="eastAsia" w:ascii="宋体" w:hAnsi="宋体"/>
          <w:color w:val="auto"/>
          <w:sz w:val="30"/>
          <w:highlight w:val="none"/>
        </w:rPr>
        <w:t>政府采购合同主要条款-----------------------29</w:t>
      </w:r>
    </w:p>
    <w:p w14:paraId="17D7F56B">
      <w:pPr>
        <w:numPr>
          <w:ilvl w:val="0"/>
          <w:numId w:val="2"/>
        </w:numPr>
        <w:spacing w:line="360" w:lineRule="auto"/>
        <w:ind w:left="600" w:hanging="600"/>
        <w:rPr>
          <w:rFonts w:ascii="宋体" w:hAnsi="宋体"/>
          <w:color w:val="auto"/>
          <w:sz w:val="30"/>
          <w:szCs w:val="20"/>
          <w:highlight w:val="none"/>
        </w:rPr>
      </w:pPr>
      <w:r>
        <w:rPr>
          <w:rFonts w:hint="eastAsia" w:ascii="宋体" w:hAnsi="宋体"/>
          <w:color w:val="auto"/>
          <w:sz w:val="30"/>
          <w:highlight w:val="none"/>
        </w:rPr>
        <w:t>投标文件格式    ---------------------------32</w:t>
      </w:r>
    </w:p>
    <w:p w14:paraId="39610F72">
      <w:pPr>
        <w:rPr>
          <w:color w:val="auto"/>
          <w:highlight w:val="none"/>
        </w:rPr>
      </w:pPr>
    </w:p>
    <w:p w14:paraId="785B5D5D">
      <w:pPr>
        <w:rPr>
          <w:color w:val="auto"/>
          <w:highlight w:val="none"/>
        </w:rPr>
      </w:pPr>
    </w:p>
    <w:p w14:paraId="7D5C99F0">
      <w:pPr>
        <w:rPr>
          <w:color w:val="auto"/>
          <w:highlight w:val="none"/>
        </w:rPr>
      </w:pPr>
    </w:p>
    <w:p w14:paraId="0271DDFA">
      <w:pPr>
        <w:spacing w:line="360" w:lineRule="auto"/>
        <w:rPr>
          <w:rFonts w:ascii="宋体" w:hAnsi="宋体"/>
          <w:color w:val="auto"/>
          <w:sz w:val="30"/>
          <w:szCs w:val="20"/>
          <w:highlight w:val="none"/>
        </w:rPr>
      </w:pPr>
    </w:p>
    <w:p w14:paraId="78A730C6">
      <w:pPr>
        <w:rPr>
          <w:color w:val="auto"/>
          <w:highlight w:val="none"/>
        </w:rPr>
      </w:pPr>
    </w:p>
    <w:p w14:paraId="5CCBF90F">
      <w:pPr>
        <w:rPr>
          <w:color w:val="auto"/>
          <w:highlight w:val="none"/>
        </w:rPr>
      </w:pPr>
    </w:p>
    <w:p w14:paraId="5EFEFE34">
      <w:pPr>
        <w:spacing w:line="360" w:lineRule="auto"/>
        <w:rPr>
          <w:rFonts w:ascii="宋体" w:hAnsi="宋体"/>
          <w:color w:val="auto"/>
          <w:sz w:val="30"/>
          <w:szCs w:val="20"/>
          <w:highlight w:val="none"/>
        </w:rPr>
      </w:pPr>
    </w:p>
    <w:p w14:paraId="32DE8AD1">
      <w:pPr>
        <w:spacing w:line="360" w:lineRule="auto"/>
        <w:rPr>
          <w:rFonts w:ascii="宋体" w:hAnsi="宋体"/>
          <w:color w:val="auto"/>
          <w:sz w:val="30"/>
          <w:szCs w:val="20"/>
          <w:highlight w:val="none"/>
        </w:rPr>
      </w:pPr>
    </w:p>
    <w:p w14:paraId="160467A9">
      <w:pPr>
        <w:rPr>
          <w:rFonts w:hint="eastAsia" w:ascii="黑体" w:hAnsi="宋体" w:eastAsia="黑体"/>
          <w:color w:val="auto"/>
          <w:sz w:val="30"/>
          <w:szCs w:val="30"/>
          <w:highlight w:val="none"/>
        </w:rPr>
      </w:pPr>
      <w:r>
        <w:rPr>
          <w:rFonts w:hint="eastAsia" w:ascii="黑体" w:hAnsi="宋体" w:eastAsia="黑体"/>
          <w:color w:val="auto"/>
          <w:sz w:val="30"/>
          <w:szCs w:val="30"/>
          <w:highlight w:val="none"/>
        </w:rPr>
        <w:br w:type="page"/>
      </w:r>
    </w:p>
    <w:p w14:paraId="07BF9FEB">
      <w:pPr>
        <w:pStyle w:val="13"/>
        <w:snapToGrid w:val="0"/>
        <w:spacing w:beforeLines="0" w:afterLines="0" w:line="360" w:lineRule="auto"/>
        <w:jc w:val="center"/>
        <w:outlineLvl w:val="0"/>
        <w:rPr>
          <w:rFonts w:ascii="黑体" w:hAnsi="宋体" w:eastAsia="黑体"/>
          <w:color w:val="auto"/>
          <w:sz w:val="30"/>
          <w:szCs w:val="30"/>
          <w:highlight w:val="none"/>
        </w:rPr>
      </w:pPr>
      <w:r>
        <w:rPr>
          <w:rFonts w:hint="eastAsia" w:ascii="黑体" w:hAnsi="宋体" w:eastAsia="黑体"/>
          <w:color w:val="auto"/>
          <w:sz w:val="30"/>
          <w:szCs w:val="30"/>
          <w:highlight w:val="none"/>
        </w:rPr>
        <w:t>第一章  公开招标采购公告</w:t>
      </w:r>
    </w:p>
    <w:p w14:paraId="3ECBA3BC">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olor w:val="auto"/>
          <w:sz w:val="24"/>
          <w:highlight w:val="none"/>
        </w:rPr>
      </w:pPr>
      <w:r>
        <w:rPr>
          <w:rFonts w:hint="eastAsia" w:ascii="宋体" w:hAnsi="宋体"/>
          <w:color w:val="auto"/>
          <w:sz w:val="24"/>
          <w:highlight w:val="none"/>
        </w:rPr>
        <w:t>项目概况</w:t>
      </w:r>
    </w:p>
    <w:p w14:paraId="7155811D">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olor w:val="auto"/>
          <w:sz w:val="24"/>
          <w:highlight w:val="none"/>
        </w:rPr>
      </w:pPr>
      <w:r>
        <w:rPr>
          <w:rFonts w:hint="eastAsia" w:ascii="宋体" w:hAnsi="宋体"/>
          <w:color w:val="auto"/>
          <w:sz w:val="24"/>
          <w:highlight w:val="none"/>
          <w:lang w:eastAsia="zh-CN"/>
        </w:rPr>
        <w:t>湖州市中心医院安防服务招标项目</w:t>
      </w:r>
      <w:r>
        <w:rPr>
          <w:rFonts w:hint="eastAsia" w:ascii="宋体" w:hAnsi="宋体"/>
          <w:color w:val="auto"/>
          <w:sz w:val="24"/>
          <w:highlight w:val="none"/>
        </w:rPr>
        <w:t>的潜在投标人应在浙江政府采购网（http://zfcg.czt.zj.gov.cn/) 获取招标文件，并于2025年</w:t>
      </w:r>
      <w:r>
        <w:rPr>
          <w:rFonts w:hint="eastAsia" w:ascii="宋体" w:hAnsi="宋体"/>
          <w:color w:val="auto"/>
          <w:sz w:val="24"/>
          <w:highlight w:val="none"/>
          <w:lang w:val="en-US" w:eastAsia="zh-CN"/>
        </w:rPr>
        <w:t>4</w:t>
      </w:r>
      <w:r>
        <w:rPr>
          <w:rFonts w:hint="eastAsia" w:ascii="宋体" w:hAnsi="宋体"/>
          <w:color w:val="auto"/>
          <w:sz w:val="24"/>
          <w:highlight w:val="none"/>
        </w:rPr>
        <w:t>月</w:t>
      </w:r>
      <w:r>
        <w:rPr>
          <w:rFonts w:hint="eastAsia" w:ascii="宋体" w:hAnsi="宋体"/>
          <w:color w:val="auto"/>
          <w:sz w:val="24"/>
          <w:highlight w:val="none"/>
          <w:lang w:val="en-US" w:eastAsia="zh-CN"/>
        </w:rPr>
        <w:t>23</w:t>
      </w:r>
      <w:r>
        <w:rPr>
          <w:rFonts w:hint="eastAsia" w:ascii="宋体" w:hAnsi="宋体"/>
          <w:color w:val="auto"/>
          <w:sz w:val="24"/>
          <w:highlight w:val="none"/>
        </w:rPr>
        <w:t>日14：</w:t>
      </w:r>
      <w:r>
        <w:rPr>
          <w:rFonts w:hint="eastAsia" w:ascii="宋体" w:hAnsi="宋体"/>
          <w:color w:val="auto"/>
          <w:sz w:val="24"/>
          <w:highlight w:val="none"/>
          <w:lang w:val="en-US" w:eastAsia="zh-CN"/>
        </w:rPr>
        <w:t>0</w:t>
      </w:r>
      <w:r>
        <w:rPr>
          <w:rFonts w:hint="eastAsia" w:ascii="宋体" w:hAnsi="宋体"/>
          <w:color w:val="auto"/>
          <w:sz w:val="24"/>
          <w:highlight w:val="none"/>
        </w:rPr>
        <w:t>0（北京时间）前递交投标文件。</w:t>
      </w:r>
    </w:p>
    <w:p w14:paraId="71D9047B">
      <w:pPr>
        <w:snapToGrid w:val="0"/>
        <w:spacing w:line="360" w:lineRule="auto"/>
        <w:ind w:firstLine="482" w:firstLineChars="200"/>
        <w:rPr>
          <w:rFonts w:ascii="宋体" w:hAnsi="宋体"/>
          <w:color w:val="auto"/>
          <w:sz w:val="24"/>
          <w:highlight w:val="none"/>
        </w:rPr>
      </w:pPr>
      <w:r>
        <w:rPr>
          <w:rFonts w:hint="eastAsia" w:ascii="宋体" w:hAnsi="宋体" w:cs="Arial"/>
          <w:b/>
          <w:color w:val="auto"/>
          <w:sz w:val="24"/>
          <w:highlight w:val="none"/>
        </w:rPr>
        <w:t>一、项目基本情况</w:t>
      </w:r>
    </w:p>
    <w:p w14:paraId="6456391D">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项目编号：</w:t>
      </w:r>
      <w:r>
        <w:rPr>
          <w:rFonts w:hint="eastAsia" w:ascii="宋体" w:hAnsi="宋体"/>
          <w:color w:val="auto"/>
          <w:sz w:val="24"/>
          <w:highlight w:val="none"/>
          <w:lang w:eastAsia="zh-CN"/>
        </w:rPr>
        <w:t>HYHZ2025-33</w:t>
      </w:r>
      <w:r>
        <w:rPr>
          <w:rFonts w:hint="eastAsia" w:ascii="宋体" w:hAnsi="宋体"/>
          <w:color w:val="auto"/>
          <w:sz w:val="24"/>
          <w:highlight w:val="none"/>
        </w:rPr>
        <w:t>(</w:t>
      </w:r>
      <w:r>
        <w:rPr>
          <w:color w:val="auto"/>
          <w:highlight w:val="none"/>
        </w:rPr>
        <w:fldChar w:fldCharType="begin"/>
      </w:r>
      <w:r>
        <w:rPr>
          <w:color w:val="auto"/>
          <w:highlight w:val="none"/>
        </w:rPr>
        <w:instrText xml:space="preserve"> HYPERLINK "https://pay.zcygov.cn/purchaseplan_front/" \l "/plan/list/detail?id=1000000000008155833&amp;encrypt=c77a4982d7694e5b620c252d661c49da" \t "https://www.zcygov.cn/delegation-order/order/_blank" </w:instrText>
      </w:r>
      <w:r>
        <w:rPr>
          <w:color w:val="auto"/>
          <w:highlight w:val="none"/>
        </w:rPr>
        <w:fldChar w:fldCharType="separate"/>
      </w:r>
      <w:r>
        <w:rPr>
          <w:rFonts w:hint="eastAsia" w:ascii="宋体" w:hAnsi="宋体"/>
          <w:color w:val="auto"/>
          <w:sz w:val="24"/>
          <w:highlight w:val="none"/>
          <w:lang w:eastAsia="zh-CN"/>
        </w:rPr>
        <w:t>HZCG[2025]130号</w:t>
      </w:r>
      <w:r>
        <w:rPr>
          <w:rFonts w:hint="eastAsia" w:ascii="宋体" w:hAnsi="宋体"/>
          <w:color w:val="auto"/>
          <w:sz w:val="24"/>
          <w:highlight w:val="none"/>
        </w:rPr>
        <w:fldChar w:fldCharType="end"/>
      </w:r>
      <w:r>
        <w:rPr>
          <w:rFonts w:hint="eastAsia" w:ascii="宋体" w:hAnsi="宋体"/>
          <w:color w:val="auto"/>
          <w:sz w:val="24"/>
          <w:highlight w:val="none"/>
        </w:rPr>
        <w:t>)</w:t>
      </w:r>
    </w:p>
    <w:p w14:paraId="26010BCB">
      <w:pPr>
        <w:spacing w:line="360" w:lineRule="auto"/>
        <w:ind w:firstLine="480" w:firstLineChars="200"/>
        <w:rPr>
          <w:rFonts w:hint="eastAsia" w:ascii="宋体" w:hAnsi="宋体" w:eastAsia="宋体"/>
          <w:color w:val="auto"/>
          <w:sz w:val="24"/>
          <w:highlight w:val="none"/>
          <w:lang w:eastAsia="zh-CN"/>
        </w:rPr>
      </w:pPr>
      <w:r>
        <w:rPr>
          <w:rFonts w:hint="eastAsia" w:ascii="宋体" w:hAnsi="宋体"/>
          <w:color w:val="auto"/>
          <w:sz w:val="24"/>
          <w:highlight w:val="none"/>
        </w:rPr>
        <w:t>项目名称：</w:t>
      </w:r>
      <w:r>
        <w:rPr>
          <w:rFonts w:hint="eastAsia" w:ascii="宋体" w:hAnsi="宋体"/>
          <w:color w:val="auto"/>
          <w:sz w:val="24"/>
          <w:highlight w:val="none"/>
          <w:lang w:eastAsia="zh-CN"/>
        </w:rPr>
        <w:t>湖州市中心医院安防服务招标项目</w:t>
      </w:r>
    </w:p>
    <w:p w14:paraId="35C1926F">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预算金额：3750万元（1250万元/年*3年）</w:t>
      </w:r>
    </w:p>
    <w:p w14:paraId="48DE2149">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最高限价：3500</w:t>
      </w:r>
      <w:r>
        <w:rPr>
          <w:rFonts w:hint="eastAsia" w:ascii="宋体" w:hAnsi="宋体" w:cs="宋体"/>
          <w:color w:val="auto"/>
          <w:kern w:val="0"/>
          <w:sz w:val="24"/>
          <w:highlight w:val="none"/>
        </w:rPr>
        <w:t>万元</w:t>
      </w:r>
      <w:r>
        <w:rPr>
          <w:rFonts w:hint="eastAsia" w:ascii="宋体" w:hAnsi="宋体"/>
          <w:color w:val="auto"/>
          <w:sz w:val="24"/>
          <w:highlight w:val="none"/>
        </w:rPr>
        <w:t>（1167万元/年*3年）</w:t>
      </w:r>
    </w:p>
    <w:p w14:paraId="10085763">
      <w:pPr>
        <w:snapToGrid w:val="0"/>
        <w:spacing w:line="360" w:lineRule="auto"/>
        <w:ind w:firstLine="480" w:firstLineChars="200"/>
        <w:rPr>
          <w:rFonts w:ascii="宋体" w:hAnsi="宋体" w:cs="宋体"/>
          <w:color w:val="auto"/>
          <w:kern w:val="0"/>
          <w:sz w:val="24"/>
          <w:highlight w:val="none"/>
        </w:rPr>
      </w:pPr>
      <w:r>
        <w:rPr>
          <w:rFonts w:hint="eastAsia" w:ascii="宋体" w:hAnsi="宋体"/>
          <w:color w:val="auto"/>
          <w:sz w:val="24"/>
          <w:highlight w:val="none"/>
        </w:rPr>
        <w:t>采购需求：详</w:t>
      </w:r>
      <w:r>
        <w:rPr>
          <w:rFonts w:hint="eastAsia" w:ascii="宋体" w:hAnsi="宋体" w:cs="仿宋"/>
          <w:color w:val="auto"/>
          <w:sz w:val="24"/>
          <w:highlight w:val="none"/>
        </w:rPr>
        <w:t>见招标文件第二章采购需求</w:t>
      </w:r>
    </w:p>
    <w:p w14:paraId="428522BD">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合同履行期限：</w:t>
      </w:r>
      <w:r>
        <w:rPr>
          <w:rFonts w:hint="eastAsia" w:ascii="宋体" w:hAnsi="宋体"/>
          <w:color w:val="auto"/>
          <w:sz w:val="24"/>
          <w:highlight w:val="none"/>
        </w:rPr>
        <w:t>详</w:t>
      </w:r>
      <w:r>
        <w:rPr>
          <w:rFonts w:hint="eastAsia" w:ascii="宋体" w:hAnsi="宋体" w:cs="仿宋"/>
          <w:color w:val="auto"/>
          <w:sz w:val="24"/>
          <w:highlight w:val="none"/>
        </w:rPr>
        <w:t>见招标文件第二章采购需求</w:t>
      </w:r>
    </w:p>
    <w:p w14:paraId="3D7E4265">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本项目（</w:t>
      </w:r>
      <w:r>
        <w:rPr>
          <w:rFonts w:hint="eastAsia" w:ascii="宋体" w:hAnsi="宋体" w:cs="仿宋"/>
          <w:i/>
          <w:color w:val="auto"/>
          <w:sz w:val="24"/>
          <w:highlight w:val="none"/>
        </w:rPr>
        <w:t>否</w:t>
      </w:r>
      <w:r>
        <w:rPr>
          <w:rFonts w:hint="eastAsia" w:ascii="宋体" w:hAnsi="宋体" w:cs="仿宋"/>
          <w:color w:val="auto"/>
          <w:sz w:val="24"/>
          <w:highlight w:val="none"/>
        </w:rPr>
        <w:t>）接受联合体投标。</w:t>
      </w:r>
    </w:p>
    <w:p w14:paraId="52B2523E">
      <w:pPr>
        <w:snapToGrid w:val="0"/>
        <w:spacing w:line="360" w:lineRule="auto"/>
        <w:ind w:firstLine="482" w:firstLineChars="200"/>
        <w:rPr>
          <w:rFonts w:ascii="宋体" w:hAnsi="宋体" w:cs="Arial"/>
          <w:b/>
          <w:color w:val="auto"/>
          <w:sz w:val="24"/>
          <w:highlight w:val="none"/>
        </w:rPr>
      </w:pPr>
      <w:r>
        <w:rPr>
          <w:rFonts w:hint="eastAsia" w:ascii="宋体" w:hAnsi="宋体" w:cs="Arial"/>
          <w:b/>
          <w:color w:val="auto"/>
          <w:sz w:val="24"/>
          <w:highlight w:val="none"/>
        </w:rPr>
        <w:t xml:space="preserve">二、申请人的资格要求 </w:t>
      </w:r>
    </w:p>
    <w:p w14:paraId="6C8F2E45">
      <w:pPr>
        <w:snapToGrid w:val="0"/>
        <w:spacing w:line="360" w:lineRule="auto"/>
        <w:ind w:firstLine="480" w:firstLineChars="200"/>
        <w:rPr>
          <w:rFonts w:ascii="宋体" w:hAnsi="宋体"/>
          <w:color w:val="auto"/>
          <w:sz w:val="24"/>
          <w:highlight w:val="none"/>
        </w:rPr>
      </w:pPr>
      <w:r>
        <w:rPr>
          <w:rFonts w:hint="eastAsia" w:ascii="宋体" w:hAnsi="宋体" w:cs="仿宋"/>
          <w:color w:val="auto"/>
          <w:sz w:val="24"/>
          <w:highlight w:val="none"/>
        </w:rPr>
        <w:t>1.满足《中华人民共和国政府采购法》第二十二条规定；</w:t>
      </w:r>
      <w:r>
        <w:rPr>
          <w:rFonts w:hint="eastAsia" w:ascii="宋体" w:hAnsi="宋体"/>
          <w:color w:val="auto"/>
          <w:sz w:val="24"/>
          <w:highlight w:val="none"/>
        </w:rPr>
        <w:t>未被“信用中国”（www.creditchina.gov.cn）、中国政府采购网（www.ccgp.gov.cn）列入失信被执行人、重大税收违法案件当事人名单、政府采购严重违法失信行为记录名单。</w:t>
      </w:r>
    </w:p>
    <w:p w14:paraId="79E83210">
      <w:pPr>
        <w:snapToGrid w:val="0"/>
        <w:spacing w:line="360" w:lineRule="auto"/>
        <w:ind w:firstLine="472" w:firstLineChars="196"/>
        <w:rPr>
          <w:rFonts w:ascii="宋体" w:hAnsi="宋体"/>
          <w:color w:val="auto"/>
          <w:sz w:val="24"/>
          <w:highlight w:val="none"/>
        </w:rPr>
      </w:pPr>
      <w:r>
        <w:rPr>
          <w:rFonts w:hint="eastAsia" w:ascii="宋体" w:hAnsi="宋体"/>
          <w:b/>
          <w:color w:val="auto"/>
          <w:sz w:val="24"/>
          <w:highlight w:val="none"/>
        </w:rPr>
        <w:t>2.落实政府采购政策需满足的资格要求：</w:t>
      </w:r>
      <w:r>
        <w:rPr>
          <w:rFonts w:hint="eastAsia" w:ascii="宋体" w:hAnsi="宋体" w:cs="仿宋"/>
          <w:color w:val="auto"/>
          <w:sz w:val="24"/>
          <w:highlight w:val="none"/>
        </w:rPr>
        <w:t>本项目专门面向中小企业采购，供应商需提供符合《政府采购促进中小企业发展管理办法》（财库【2020】46号）和本采购文件规定的《中小企业声明函》（格式详见附件）</w:t>
      </w:r>
      <w:r>
        <w:rPr>
          <w:rFonts w:hint="eastAsia" w:ascii="宋体" w:hAnsi="宋体"/>
          <w:color w:val="auto"/>
          <w:sz w:val="24"/>
          <w:highlight w:val="none"/>
          <w:lang w:val="zh-CN"/>
        </w:rPr>
        <w:t>或提供残疾人福利性单位《残疾人福利性单位声明函》（格式详见附件）或提供监狱企业证明文件（需省级以上监狱管理局、戒毒管理局（含新疆生产建设兵团）出具)</w:t>
      </w:r>
      <w:r>
        <w:rPr>
          <w:rFonts w:hint="eastAsia" w:ascii="宋体" w:hAnsi="宋体" w:cs="宋体"/>
          <w:color w:val="auto"/>
          <w:sz w:val="24"/>
          <w:szCs w:val="20"/>
          <w:highlight w:val="none"/>
        </w:rPr>
        <w:t>。</w:t>
      </w:r>
    </w:p>
    <w:p w14:paraId="5ED60187">
      <w:pPr>
        <w:widowControl/>
        <w:spacing w:line="360" w:lineRule="auto"/>
        <w:ind w:firstLine="480" w:firstLineChars="200"/>
        <w:jc w:val="left"/>
        <w:rPr>
          <w:rFonts w:ascii="宋体" w:hAnsi="宋体"/>
          <w:color w:val="auto"/>
          <w:sz w:val="24"/>
          <w:highlight w:val="none"/>
          <w:lang w:val="zh-CN"/>
        </w:rPr>
      </w:pPr>
      <w:r>
        <w:rPr>
          <w:rFonts w:hint="eastAsia" w:ascii="宋体" w:hAnsi="宋体"/>
          <w:color w:val="auto"/>
          <w:sz w:val="24"/>
          <w:highlight w:val="none"/>
          <w:lang w:val="zh-CN"/>
        </w:rPr>
        <w:t>▲3.本项目的特定资格要求：具有公安部门颁发的有效的《保安服务许可证》。</w:t>
      </w:r>
    </w:p>
    <w:p w14:paraId="35A84B75">
      <w:pPr>
        <w:widowControl/>
        <w:spacing w:line="360" w:lineRule="auto"/>
        <w:ind w:firstLine="482" w:firstLineChars="200"/>
        <w:jc w:val="left"/>
        <w:rPr>
          <w:rFonts w:ascii="宋体" w:hAnsi="宋体" w:cs="Arial"/>
          <w:b/>
          <w:color w:val="auto"/>
          <w:sz w:val="24"/>
          <w:highlight w:val="none"/>
        </w:rPr>
      </w:pPr>
      <w:r>
        <w:rPr>
          <w:rFonts w:hint="eastAsia" w:ascii="宋体" w:hAnsi="宋体" w:cs="Arial"/>
          <w:b/>
          <w:color w:val="auto"/>
          <w:sz w:val="24"/>
          <w:highlight w:val="none"/>
        </w:rPr>
        <w:t xml:space="preserve">三、获取招标文件 </w:t>
      </w:r>
    </w:p>
    <w:p w14:paraId="7963FB14">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时间：2025年</w:t>
      </w:r>
      <w:r>
        <w:rPr>
          <w:rFonts w:hint="eastAsia" w:ascii="宋体" w:hAnsi="宋体" w:cs="仿宋"/>
          <w:color w:val="auto"/>
          <w:sz w:val="24"/>
          <w:highlight w:val="none"/>
          <w:lang w:val="en-US" w:eastAsia="zh-CN"/>
        </w:rPr>
        <w:t>4</w:t>
      </w:r>
      <w:r>
        <w:rPr>
          <w:rFonts w:hint="eastAsia" w:ascii="宋体" w:hAnsi="宋体" w:cs="仿宋"/>
          <w:color w:val="auto"/>
          <w:sz w:val="24"/>
          <w:highlight w:val="none"/>
        </w:rPr>
        <w:t>月</w:t>
      </w:r>
      <w:r>
        <w:rPr>
          <w:rFonts w:hint="eastAsia" w:ascii="宋体" w:hAnsi="宋体" w:cs="仿宋"/>
          <w:color w:val="auto"/>
          <w:sz w:val="24"/>
          <w:highlight w:val="none"/>
          <w:lang w:val="en-US" w:eastAsia="zh-CN"/>
        </w:rPr>
        <w:t>1</w:t>
      </w:r>
      <w:r>
        <w:rPr>
          <w:rFonts w:hint="eastAsia" w:ascii="宋体" w:hAnsi="宋体" w:cs="仿宋"/>
          <w:color w:val="auto"/>
          <w:sz w:val="24"/>
          <w:highlight w:val="none"/>
        </w:rPr>
        <w:t xml:space="preserve">日至 </w:t>
      </w:r>
      <w:r>
        <w:rPr>
          <w:rFonts w:hint="eastAsia" w:ascii="宋体" w:hAnsi="宋体"/>
          <w:color w:val="auto"/>
          <w:sz w:val="24"/>
          <w:highlight w:val="none"/>
        </w:rPr>
        <w:t>2025年</w:t>
      </w:r>
      <w:r>
        <w:rPr>
          <w:rFonts w:hint="eastAsia" w:ascii="宋体" w:hAnsi="宋体"/>
          <w:color w:val="auto"/>
          <w:sz w:val="24"/>
          <w:highlight w:val="none"/>
          <w:lang w:val="en-US" w:eastAsia="zh-CN"/>
        </w:rPr>
        <w:t>4</w:t>
      </w:r>
      <w:r>
        <w:rPr>
          <w:rFonts w:hint="eastAsia" w:ascii="宋体" w:hAnsi="宋体"/>
          <w:color w:val="auto"/>
          <w:sz w:val="24"/>
          <w:highlight w:val="none"/>
        </w:rPr>
        <w:t>月</w:t>
      </w:r>
      <w:r>
        <w:rPr>
          <w:rFonts w:hint="eastAsia" w:ascii="宋体" w:hAnsi="宋体"/>
          <w:color w:val="auto"/>
          <w:sz w:val="24"/>
          <w:highlight w:val="none"/>
          <w:lang w:val="en-US" w:eastAsia="zh-CN"/>
        </w:rPr>
        <w:t>23</w:t>
      </w:r>
      <w:r>
        <w:rPr>
          <w:rFonts w:hint="eastAsia" w:ascii="宋体" w:hAnsi="宋体"/>
          <w:color w:val="auto"/>
          <w:sz w:val="24"/>
          <w:highlight w:val="none"/>
        </w:rPr>
        <w:t>日</w:t>
      </w:r>
      <w:r>
        <w:rPr>
          <w:rFonts w:hint="eastAsia" w:ascii="宋体" w:hAnsi="宋体" w:cs="仿宋"/>
          <w:color w:val="auto"/>
          <w:sz w:val="24"/>
          <w:highlight w:val="none"/>
        </w:rPr>
        <w:t>，每天上午00:00至12:00，下午12:00至23:59</w:t>
      </w:r>
    </w:p>
    <w:p w14:paraId="7CFA42D3">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地点：本次招标文件实行网上获取，不接受供应商现场报名，供应商须登录浙江政府采购网（http://zfcg.czt.zj.gov.cn/）进入政采云系统“项目采购”模块“获取采购文件”菜单，进行网上获取招标文件（“政采云”注册账号、密码登录系统后获取招标文件）</w:t>
      </w:r>
    </w:p>
    <w:p w14:paraId="1399F115">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方式：本次招标文件实行网上获取，不接受供应商现场报名。</w:t>
      </w:r>
    </w:p>
    <w:p w14:paraId="0628BEC6">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售价：0</w:t>
      </w:r>
    </w:p>
    <w:p w14:paraId="5DDD81A3">
      <w:pPr>
        <w:snapToGrid w:val="0"/>
        <w:spacing w:line="360" w:lineRule="auto"/>
        <w:ind w:firstLine="482" w:firstLineChars="200"/>
        <w:rPr>
          <w:rFonts w:ascii="宋体" w:hAnsi="宋体" w:cs="Arial"/>
          <w:b/>
          <w:color w:val="auto"/>
          <w:sz w:val="24"/>
          <w:highlight w:val="none"/>
        </w:rPr>
      </w:pPr>
      <w:r>
        <w:rPr>
          <w:rFonts w:hint="eastAsia" w:ascii="宋体" w:hAnsi="宋体" w:cs="Arial"/>
          <w:b/>
          <w:color w:val="auto"/>
          <w:sz w:val="24"/>
          <w:highlight w:val="none"/>
        </w:rPr>
        <w:t xml:space="preserve">四、提交投标文件截止时间、开标时间和地点 </w:t>
      </w:r>
    </w:p>
    <w:p w14:paraId="17C18428">
      <w:pPr>
        <w:snapToGrid w:val="0"/>
        <w:spacing w:line="360" w:lineRule="auto"/>
        <w:ind w:firstLine="600" w:firstLineChars="250"/>
        <w:rPr>
          <w:rFonts w:ascii="宋体" w:hAnsi="宋体" w:cs="仿宋"/>
          <w:bCs/>
          <w:color w:val="auto"/>
          <w:sz w:val="24"/>
          <w:highlight w:val="none"/>
        </w:rPr>
      </w:pPr>
      <w:r>
        <w:rPr>
          <w:rFonts w:hint="eastAsia" w:ascii="宋体" w:hAnsi="宋体" w:cs="仿宋"/>
          <w:color w:val="auto"/>
          <w:sz w:val="24"/>
          <w:highlight w:val="none"/>
        </w:rPr>
        <w:t>2025年</w:t>
      </w:r>
      <w:r>
        <w:rPr>
          <w:rFonts w:hint="eastAsia" w:ascii="宋体" w:hAnsi="宋体" w:cs="仿宋"/>
          <w:color w:val="auto"/>
          <w:sz w:val="24"/>
          <w:highlight w:val="none"/>
          <w:lang w:val="en-US" w:eastAsia="zh-CN"/>
        </w:rPr>
        <w:t>4</w:t>
      </w:r>
      <w:r>
        <w:rPr>
          <w:rFonts w:hint="eastAsia" w:ascii="宋体" w:hAnsi="宋体"/>
          <w:color w:val="auto"/>
          <w:sz w:val="24"/>
          <w:highlight w:val="none"/>
        </w:rPr>
        <w:t>月</w:t>
      </w:r>
      <w:r>
        <w:rPr>
          <w:rFonts w:hint="eastAsia" w:ascii="宋体" w:hAnsi="宋体"/>
          <w:color w:val="auto"/>
          <w:sz w:val="24"/>
          <w:highlight w:val="none"/>
          <w:lang w:val="en-US" w:eastAsia="zh-CN"/>
        </w:rPr>
        <w:t>23</w:t>
      </w:r>
      <w:r>
        <w:rPr>
          <w:rFonts w:hint="eastAsia" w:ascii="宋体" w:hAnsi="宋体"/>
          <w:color w:val="auto"/>
          <w:sz w:val="24"/>
          <w:highlight w:val="none"/>
        </w:rPr>
        <w:t>日14：</w:t>
      </w:r>
      <w:r>
        <w:rPr>
          <w:rFonts w:hint="eastAsia" w:ascii="宋体" w:hAnsi="宋体"/>
          <w:color w:val="auto"/>
          <w:sz w:val="24"/>
          <w:highlight w:val="none"/>
          <w:lang w:val="en-US" w:eastAsia="zh-CN"/>
        </w:rPr>
        <w:t>0</w:t>
      </w:r>
      <w:r>
        <w:rPr>
          <w:rFonts w:hint="eastAsia" w:ascii="宋体" w:hAnsi="宋体"/>
          <w:color w:val="auto"/>
          <w:sz w:val="24"/>
          <w:highlight w:val="none"/>
        </w:rPr>
        <w:t>0</w:t>
      </w:r>
      <w:r>
        <w:rPr>
          <w:rFonts w:hint="eastAsia" w:ascii="宋体" w:hAnsi="宋体" w:cs="仿宋"/>
          <w:bCs/>
          <w:color w:val="auto"/>
          <w:sz w:val="24"/>
          <w:highlight w:val="none"/>
        </w:rPr>
        <w:t>（北京时间）</w:t>
      </w:r>
    </w:p>
    <w:p w14:paraId="461ACEB4">
      <w:pPr>
        <w:snapToGrid w:val="0"/>
        <w:spacing w:line="360" w:lineRule="auto"/>
        <w:ind w:firstLine="600" w:firstLineChars="250"/>
        <w:rPr>
          <w:rFonts w:ascii="宋体" w:hAnsi="宋体" w:cs="仿宋"/>
          <w:bCs/>
          <w:color w:val="auto"/>
          <w:sz w:val="24"/>
          <w:highlight w:val="none"/>
          <w:u w:val="single"/>
        </w:rPr>
      </w:pPr>
      <w:r>
        <w:rPr>
          <w:rFonts w:hint="eastAsia" w:ascii="宋体" w:hAnsi="宋体" w:cs="仿宋"/>
          <w:color w:val="auto"/>
          <w:sz w:val="24"/>
          <w:highlight w:val="none"/>
        </w:rPr>
        <w:t>地点：通过“政府采购云平台（http://www.zcygov.cn）”实行在线投标及开标</w:t>
      </w:r>
    </w:p>
    <w:p w14:paraId="5056FDD0">
      <w:pPr>
        <w:snapToGrid w:val="0"/>
        <w:spacing w:line="360" w:lineRule="auto"/>
        <w:ind w:firstLine="482" w:firstLineChars="200"/>
        <w:rPr>
          <w:rFonts w:ascii="宋体" w:hAnsi="宋体" w:cs="Arial"/>
          <w:b/>
          <w:color w:val="auto"/>
          <w:sz w:val="24"/>
          <w:highlight w:val="none"/>
        </w:rPr>
      </w:pPr>
      <w:r>
        <w:rPr>
          <w:rFonts w:hint="eastAsia" w:ascii="宋体" w:hAnsi="宋体" w:cs="Arial"/>
          <w:b/>
          <w:color w:val="auto"/>
          <w:sz w:val="24"/>
          <w:highlight w:val="none"/>
        </w:rPr>
        <w:t>五、公告期限</w:t>
      </w:r>
    </w:p>
    <w:p w14:paraId="32A76420">
      <w:pPr>
        <w:snapToGrid w:val="0"/>
        <w:spacing w:line="360" w:lineRule="auto"/>
        <w:ind w:firstLine="480" w:firstLineChars="200"/>
        <w:rPr>
          <w:rFonts w:ascii="宋体" w:hAnsi="宋体" w:cs="仿宋"/>
          <w:color w:val="auto"/>
          <w:kern w:val="0"/>
          <w:sz w:val="24"/>
          <w:highlight w:val="none"/>
        </w:rPr>
      </w:pPr>
      <w:r>
        <w:rPr>
          <w:rFonts w:hint="eastAsia" w:ascii="宋体" w:hAnsi="宋体" w:cs="仿宋"/>
          <w:color w:val="auto"/>
          <w:kern w:val="0"/>
          <w:sz w:val="24"/>
          <w:highlight w:val="none"/>
        </w:rPr>
        <w:t>自本公告发布之日起5个工作日。</w:t>
      </w:r>
    </w:p>
    <w:p w14:paraId="23211866">
      <w:pPr>
        <w:snapToGrid w:val="0"/>
        <w:spacing w:line="360" w:lineRule="auto"/>
        <w:ind w:firstLine="482" w:firstLineChars="200"/>
        <w:rPr>
          <w:rFonts w:ascii="宋体" w:hAnsi="宋体" w:cs="Arial"/>
          <w:b/>
          <w:color w:val="auto"/>
          <w:sz w:val="24"/>
          <w:highlight w:val="none"/>
        </w:rPr>
      </w:pPr>
      <w:r>
        <w:rPr>
          <w:rFonts w:hint="eastAsia" w:ascii="宋体" w:hAnsi="宋体" w:cs="Arial"/>
          <w:b/>
          <w:color w:val="auto"/>
          <w:sz w:val="24"/>
          <w:highlight w:val="none"/>
        </w:rPr>
        <w:t>六、其他补充事宜</w:t>
      </w:r>
    </w:p>
    <w:p w14:paraId="200B7407">
      <w:pPr>
        <w:spacing w:line="360" w:lineRule="auto"/>
        <w:ind w:firstLine="480" w:firstLineChars="200"/>
        <w:rPr>
          <w:rFonts w:ascii="宋体" w:hAnsi="宋体" w:cs="仿宋"/>
          <w:color w:val="auto"/>
          <w:kern w:val="0"/>
          <w:sz w:val="24"/>
          <w:highlight w:val="none"/>
        </w:rPr>
      </w:pPr>
      <w:r>
        <w:rPr>
          <w:rFonts w:hint="eastAsia" w:ascii="宋体" w:hAnsi="宋体" w:cs="仿宋"/>
          <w:color w:val="auto"/>
          <w:sz w:val="24"/>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31944A9">
      <w:pPr>
        <w:spacing w:line="360" w:lineRule="auto"/>
        <w:ind w:firstLine="480" w:firstLineChars="200"/>
        <w:rPr>
          <w:rFonts w:ascii="宋体" w:hAnsi="宋体" w:cs="仿宋"/>
          <w:color w:val="auto"/>
          <w:kern w:val="0"/>
          <w:sz w:val="24"/>
          <w:highlight w:val="none"/>
        </w:rPr>
      </w:pPr>
      <w:r>
        <w:rPr>
          <w:rFonts w:hint="eastAsia" w:ascii="宋体" w:hAnsi="宋体" w:cs="仿宋"/>
          <w:color w:val="auto"/>
          <w:sz w:val="24"/>
          <w:highlight w:val="none"/>
        </w:rPr>
        <w:t>2.根据《中华人民共和国财政部令第94号-政府采购质疑和投诉办法》规定，供应商在法定质疑期内须一次性提出针对同一采购程序环节的质疑。质疑供应商对采购人、采购代理机构的答复不满意或者采购人、采购代理机构未在规定的时间内作出答复的，可以在答复期满后十五个工作日内向同级政府采购监督管理部门投诉。</w:t>
      </w:r>
    </w:p>
    <w:p w14:paraId="25F6F36D">
      <w:pPr>
        <w:spacing w:line="360" w:lineRule="auto"/>
        <w:ind w:firstLine="480" w:firstLineChars="200"/>
        <w:rPr>
          <w:rFonts w:ascii="宋体" w:hAnsi="宋体" w:cs="仿宋"/>
          <w:color w:val="auto"/>
          <w:kern w:val="0"/>
          <w:sz w:val="24"/>
          <w:highlight w:val="none"/>
        </w:rPr>
      </w:pPr>
      <w:r>
        <w:rPr>
          <w:rFonts w:hint="eastAsia" w:ascii="宋体" w:hAnsi="宋体" w:cs="仿宋"/>
          <w:color w:val="auto"/>
          <w:sz w:val="24"/>
          <w:highlight w:val="none"/>
        </w:rPr>
        <w:t>3.潜在供应商已依法获取（依法获取指：供应商按本项目招标公告要求在政采云系统上获取并报名成功）其可质疑的招标文件，可以对该文件提出质疑。未按照规定方式依法获取招标文件的，不得对招标文件提起质疑投诉。</w:t>
      </w:r>
    </w:p>
    <w:p w14:paraId="3D8D452E">
      <w:pPr>
        <w:spacing w:line="360" w:lineRule="auto"/>
        <w:ind w:firstLine="480" w:firstLineChars="200"/>
        <w:rPr>
          <w:rFonts w:ascii="宋体" w:hAnsi="宋体" w:cs="仿宋"/>
          <w:color w:val="auto"/>
          <w:kern w:val="0"/>
          <w:sz w:val="24"/>
          <w:highlight w:val="none"/>
        </w:rPr>
      </w:pPr>
      <w:r>
        <w:rPr>
          <w:rFonts w:hint="eastAsia" w:ascii="宋体" w:hAnsi="宋体" w:cs="仿宋"/>
          <w:color w:val="auto"/>
          <w:sz w:val="24"/>
          <w:highlight w:val="none"/>
        </w:rPr>
        <w:t>4.答疑内容是招标文件的组成部分，并将在网上发布补充（答疑、澄清）文件，潜在供应商应自行关注网站公告，采购人不再一一通知，供应商因自身贻误行为导致投标失效的，责任自负。</w:t>
      </w:r>
    </w:p>
    <w:p w14:paraId="275F6017">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5.为有效破解当前中小微企业面临的“融资难、融资贵”困局，充分发挥好政府采购扶持小微企业发展的政策功能，本项目中标供应商可凭中标通知书等材料至“绿贷通平台”网页（https://lvdt.huzldt.com）或“政采贷”平台网页（www.zcygov.cn）申请相关融资产品。具体操作方式可在“绿贷通”或“政采贷”平台网站查询，也可向“绿贷通”或“政采贷”平台电话咨询（“绿贷通”联系电话：0572-2392590、“政采贷”联系电话：0572-2151055、18698580797）。</w:t>
      </w:r>
    </w:p>
    <w:p w14:paraId="7F60056C">
      <w:pPr>
        <w:snapToGrid w:val="0"/>
        <w:spacing w:line="360" w:lineRule="auto"/>
        <w:ind w:firstLine="480" w:firstLineChars="200"/>
        <w:rPr>
          <w:rFonts w:ascii="宋体" w:hAnsi="宋体" w:cs="Arial"/>
          <w:b/>
          <w:color w:val="auto"/>
          <w:sz w:val="24"/>
          <w:highlight w:val="none"/>
        </w:rPr>
      </w:pPr>
      <w:r>
        <w:rPr>
          <w:rFonts w:hint="eastAsia" w:ascii="宋体" w:hAnsi="宋体" w:cs="宋体"/>
          <w:color w:val="auto"/>
          <w:sz w:val="24"/>
          <w:highlight w:val="none"/>
        </w:rPr>
        <w:t>6.</w:t>
      </w:r>
      <w:r>
        <w:rPr>
          <w:rFonts w:ascii="宋体" w:hAnsi="宋体" w:cs="宋体"/>
          <w:color w:val="auto"/>
          <w:sz w:val="24"/>
          <w:highlight w:val="none"/>
        </w:rPr>
        <w:t>根据《政府采购促进中小企业发展管理办法》，本项目是否专门面向中小企业采购：</w:t>
      </w:r>
      <w:r>
        <w:rPr>
          <w:rFonts w:hint="eastAsia" w:ascii="宋体" w:hAnsi="宋体" w:cs="宋体"/>
          <w:color w:val="auto"/>
          <w:sz w:val="24"/>
          <w:highlight w:val="none"/>
        </w:rPr>
        <w:t>是。</w:t>
      </w:r>
    </w:p>
    <w:p w14:paraId="35370CF2">
      <w:pPr>
        <w:snapToGrid w:val="0"/>
        <w:spacing w:line="360" w:lineRule="auto"/>
        <w:ind w:firstLine="480" w:firstLineChars="200"/>
        <w:rPr>
          <w:rFonts w:ascii="宋体" w:hAnsi="宋体" w:cs="仿宋"/>
          <w:color w:val="auto"/>
          <w:kern w:val="0"/>
          <w:sz w:val="24"/>
          <w:highlight w:val="none"/>
        </w:rPr>
      </w:pPr>
      <w:r>
        <w:rPr>
          <w:rFonts w:hint="eastAsia" w:ascii="宋体" w:hAnsi="宋体" w:cs="仿宋"/>
          <w:color w:val="auto"/>
          <w:sz w:val="24"/>
          <w:highlight w:val="none"/>
        </w:rPr>
        <w:t>7.本项目公告发布网站： 浙江政府采购网：</w:t>
      </w:r>
      <w:r>
        <w:rPr>
          <w:color w:val="auto"/>
          <w:highlight w:val="none"/>
        </w:rPr>
        <w:fldChar w:fldCharType="begin"/>
      </w:r>
      <w:r>
        <w:rPr>
          <w:color w:val="auto"/>
          <w:highlight w:val="none"/>
        </w:rPr>
        <w:instrText xml:space="preserve"> HYPERLINK "http://zfcg.czt.zj.gov.cn/" </w:instrText>
      </w:r>
      <w:r>
        <w:rPr>
          <w:color w:val="auto"/>
          <w:highlight w:val="none"/>
        </w:rPr>
        <w:fldChar w:fldCharType="separate"/>
      </w:r>
      <w:r>
        <w:rPr>
          <w:rStyle w:val="28"/>
          <w:rFonts w:hint="eastAsia" w:ascii="宋体" w:hAnsi="宋体" w:cs="仿宋"/>
          <w:color w:val="auto"/>
          <w:sz w:val="24"/>
          <w:highlight w:val="none"/>
        </w:rPr>
        <w:t>http://zfcg.czt.zj.gov.cn/</w:t>
      </w:r>
      <w:r>
        <w:rPr>
          <w:rStyle w:val="28"/>
          <w:rFonts w:hint="eastAsia" w:ascii="宋体" w:hAnsi="宋体" w:cs="仿宋"/>
          <w:color w:val="auto"/>
          <w:sz w:val="24"/>
          <w:highlight w:val="none"/>
        </w:rPr>
        <w:fldChar w:fldCharType="end"/>
      </w:r>
      <w:r>
        <w:rPr>
          <w:rFonts w:hint="eastAsia"/>
          <w:color w:val="auto"/>
          <w:highlight w:val="none"/>
        </w:rPr>
        <w:t>，</w:t>
      </w:r>
      <w:r>
        <w:rPr>
          <w:rFonts w:hint="eastAsia" w:ascii="宋体" w:hAnsi="宋体" w:cs="仿宋"/>
          <w:color w:val="auto"/>
          <w:sz w:val="24"/>
          <w:highlight w:val="none"/>
        </w:rPr>
        <w:t>湖州市公共资源交易信息网：http://ggzy.huzhou.gov.cn/hzfront/-“政府采购”-“分散采购”模块</w:t>
      </w:r>
    </w:p>
    <w:p w14:paraId="40379D36">
      <w:pPr>
        <w:spacing w:line="360" w:lineRule="auto"/>
        <w:ind w:firstLine="480" w:firstLineChars="200"/>
        <w:rPr>
          <w:rFonts w:ascii="宋体" w:hAnsi="宋体" w:cs="仿宋"/>
          <w:color w:val="auto"/>
          <w:kern w:val="0"/>
          <w:sz w:val="24"/>
          <w:highlight w:val="none"/>
        </w:rPr>
      </w:pPr>
      <w:r>
        <w:rPr>
          <w:rFonts w:hint="eastAsia" w:ascii="宋体" w:hAnsi="宋体" w:cs="仿宋"/>
          <w:color w:val="auto"/>
          <w:sz w:val="24"/>
          <w:highlight w:val="none"/>
        </w:rPr>
        <w:t>8.投标事项：</w:t>
      </w:r>
    </w:p>
    <w:p w14:paraId="4FB279F4">
      <w:pPr>
        <w:spacing w:line="360" w:lineRule="auto"/>
        <w:ind w:firstLine="480" w:firstLineChars="200"/>
        <w:rPr>
          <w:rFonts w:ascii="宋体" w:hAnsi="宋体" w:cs="仿宋"/>
          <w:color w:val="auto"/>
          <w:kern w:val="0"/>
          <w:sz w:val="24"/>
          <w:highlight w:val="none"/>
        </w:rPr>
      </w:pPr>
      <w:r>
        <w:rPr>
          <w:rFonts w:hint="eastAsia" w:ascii="宋体" w:hAnsi="宋体" w:cs="仿宋"/>
          <w:color w:val="auto"/>
          <w:sz w:val="24"/>
          <w:highlight w:val="none"/>
        </w:rPr>
        <w:t>（1）本项目为电子招投标项目，实行网上招投标，应按照本招标文件及政采云平台的要求编制、加密，要求供应商通过政采云系统在线投标响应，投标截止时间前须完成电子投标文件的上传，供应商在使用系统进行投标的过程中遇到涉及平台使用的任何问题，可致电政采云平台技术支持热线咨询，联系方式：400-881-7190。</w:t>
      </w:r>
    </w:p>
    <w:p w14:paraId="59314942">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（2）参与政府采购项目的注册供应商，需登录浙江政府采购云平台（http://www.zcygov.cn）进行网上报名，尚未注册的供应商应当先在浙江政府采购云平台上申请注册。</w:t>
      </w:r>
    </w:p>
    <w:p w14:paraId="4D1F5BDC">
      <w:pPr>
        <w:spacing w:line="360" w:lineRule="auto"/>
        <w:ind w:firstLine="480" w:firstLineChars="200"/>
        <w:jc w:val="left"/>
        <w:rPr>
          <w:rFonts w:ascii="宋体" w:hAnsi="宋体" w:cs="仿宋"/>
          <w:color w:val="auto"/>
          <w:kern w:val="0"/>
          <w:sz w:val="24"/>
          <w:highlight w:val="none"/>
        </w:rPr>
      </w:pPr>
      <w:r>
        <w:rPr>
          <w:rFonts w:hint="eastAsia" w:ascii="宋体" w:hAnsi="宋体" w:cs="仿宋"/>
          <w:color w:val="auto"/>
          <w:sz w:val="24"/>
          <w:highlight w:val="none"/>
        </w:rPr>
        <w:t>（3）政府采购项目电子交易操作指南：</w:t>
      </w:r>
      <w:r>
        <w:rPr>
          <w:color w:val="auto"/>
          <w:highlight w:val="none"/>
        </w:rPr>
        <w:t>https://service.zcygov.cn/#/knowledges/CW1EtGwBFdiHxlNd6I3m/6IMVAG0BFdiHxlNdQ8Na</w:t>
      </w:r>
    </w:p>
    <w:p w14:paraId="3896A208">
      <w:pPr>
        <w:spacing w:line="360" w:lineRule="auto"/>
        <w:ind w:firstLine="480" w:firstLineChars="200"/>
        <w:rPr>
          <w:rFonts w:ascii="宋体" w:hAnsi="宋体" w:cs="仿宋"/>
          <w:color w:val="auto"/>
          <w:kern w:val="0"/>
          <w:sz w:val="24"/>
          <w:highlight w:val="none"/>
        </w:rPr>
      </w:pPr>
      <w:r>
        <w:rPr>
          <w:rFonts w:hint="eastAsia" w:ascii="宋体" w:hAnsi="宋体" w:cs="仿宋"/>
          <w:color w:val="auto"/>
          <w:sz w:val="24"/>
          <w:highlight w:val="none"/>
        </w:rPr>
        <w:t>（4）为确保网上操作合法、有效和安全，供应商应当在投标截止时间前完成在“政府采购云平台”的身份认证，确保在电子投标过程中能够对相关数据电文进行加密和使用电子签章。使用“政采云电子交易客户端”需要提前申领CA数字证书（完成CA数字证书办理预计一周左右，建议各投标人自行把握时间），申领流程请自行前往“浙江政府采购网-下载专区-电子交易客户端-CA驱动和申领流程”进行查阅。办理流程详见http://zfcg.czt.zj.gov.cn/bidClientTemplate/2019-05-27/12945.html，并登录“浙江政府采购网”（http://zfcg.czt.zj.gov.cn/），进入“下载专区”下载“政采云电子交易客户端”，制作投标文件。</w:t>
      </w:r>
    </w:p>
    <w:p w14:paraId="63FE635C">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（5）投标供应商应当在投标截止时间前，将生成的“电子加密投标文件”上传递交至“政府采购云平台”。投标截止时间以后上传递交的投标文件将被“政府采购云平台”拒收。</w:t>
      </w:r>
    </w:p>
    <w:p w14:paraId="0ADFC83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（6）备</w:t>
      </w:r>
      <w:r>
        <w:rPr>
          <w:rFonts w:hint="eastAsia" w:ascii="宋体" w:hAnsi="宋体"/>
          <w:color w:val="auto"/>
          <w:sz w:val="24"/>
          <w:highlight w:val="none"/>
        </w:rPr>
        <w:t>份</w:t>
      </w:r>
      <w:r>
        <w:rPr>
          <w:rFonts w:hint="eastAsia" w:ascii="宋体" w:hAnsi="宋体" w:cs="宋体"/>
          <w:color w:val="auto"/>
          <w:kern w:val="0"/>
          <w:sz w:val="24"/>
          <w:highlight w:val="none"/>
        </w:rPr>
        <w:t>投标文件</w:t>
      </w:r>
      <w:r>
        <w:rPr>
          <w:rFonts w:hint="eastAsia" w:ascii="宋体" w:hAnsi="宋体"/>
          <w:color w:val="auto"/>
          <w:sz w:val="24"/>
          <w:highlight w:val="none"/>
        </w:rPr>
        <w:t>：根据“浙江省政府采购项目电子交易管理暂行办法”第二十条规定，本次招标允许供应商递交备份</w:t>
      </w:r>
      <w:r>
        <w:rPr>
          <w:rFonts w:hint="eastAsia" w:ascii="宋体" w:hAnsi="宋体" w:cs="宋体"/>
          <w:color w:val="auto"/>
          <w:kern w:val="0"/>
          <w:sz w:val="24"/>
          <w:highlight w:val="none"/>
        </w:rPr>
        <w:t>投标文件</w:t>
      </w:r>
      <w:r>
        <w:rPr>
          <w:rFonts w:hint="eastAsia" w:ascii="宋体" w:hAnsi="宋体"/>
          <w:color w:val="auto"/>
          <w:sz w:val="24"/>
          <w:highlight w:val="none"/>
        </w:rPr>
        <w:t>，仅提交备份</w:t>
      </w:r>
      <w:r>
        <w:rPr>
          <w:rFonts w:hint="eastAsia" w:ascii="宋体" w:hAnsi="宋体" w:cs="宋体"/>
          <w:color w:val="auto"/>
          <w:kern w:val="0"/>
          <w:sz w:val="24"/>
          <w:highlight w:val="none"/>
        </w:rPr>
        <w:t>投标文件</w:t>
      </w:r>
      <w:r>
        <w:rPr>
          <w:rFonts w:hint="eastAsia" w:ascii="宋体" w:hAnsi="宋体"/>
          <w:color w:val="auto"/>
          <w:sz w:val="24"/>
          <w:highlight w:val="none"/>
        </w:rPr>
        <w:t>的，</w:t>
      </w:r>
      <w:r>
        <w:rPr>
          <w:rFonts w:hint="eastAsia" w:ascii="宋体" w:hAnsi="宋体" w:cs="宋体"/>
          <w:color w:val="auto"/>
          <w:kern w:val="0"/>
          <w:sz w:val="24"/>
          <w:highlight w:val="none"/>
        </w:rPr>
        <w:t>投标</w:t>
      </w:r>
      <w:r>
        <w:rPr>
          <w:rFonts w:hint="eastAsia" w:ascii="宋体" w:hAnsi="宋体"/>
          <w:color w:val="auto"/>
          <w:sz w:val="24"/>
          <w:highlight w:val="none"/>
        </w:rPr>
        <w:t>无效。本项目不强制要求供应商提交备份</w:t>
      </w:r>
      <w:r>
        <w:rPr>
          <w:rFonts w:hint="eastAsia" w:ascii="宋体" w:hAnsi="宋体" w:cs="宋体"/>
          <w:color w:val="auto"/>
          <w:kern w:val="0"/>
          <w:sz w:val="24"/>
          <w:highlight w:val="none"/>
        </w:rPr>
        <w:t>投标文件</w:t>
      </w:r>
      <w:r>
        <w:rPr>
          <w:rFonts w:hint="eastAsia" w:ascii="宋体" w:hAnsi="宋体"/>
          <w:color w:val="auto"/>
          <w:sz w:val="24"/>
          <w:highlight w:val="none"/>
        </w:rPr>
        <w:t>，但由于未提交备份</w:t>
      </w:r>
      <w:r>
        <w:rPr>
          <w:rFonts w:hint="eastAsia" w:ascii="宋体" w:hAnsi="宋体" w:cs="宋体"/>
          <w:color w:val="auto"/>
          <w:kern w:val="0"/>
          <w:sz w:val="24"/>
          <w:highlight w:val="none"/>
        </w:rPr>
        <w:t>投标文件</w:t>
      </w:r>
      <w:r>
        <w:rPr>
          <w:rFonts w:hint="eastAsia" w:ascii="宋体" w:hAnsi="宋体"/>
          <w:color w:val="auto"/>
          <w:sz w:val="24"/>
          <w:highlight w:val="none"/>
        </w:rPr>
        <w:t>而造成项目开评标活动无法进行下去的，</w:t>
      </w:r>
      <w:r>
        <w:rPr>
          <w:rFonts w:hint="eastAsia" w:ascii="宋体" w:hAnsi="宋体" w:cs="宋体"/>
          <w:color w:val="auto"/>
          <w:kern w:val="0"/>
          <w:sz w:val="24"/>
          <w:highlight w:val="none"/>
        </w:rPr>
        <w:t>投标</w:t>
      </w:r>
      <w:r>
        <w:rPr>
          <w:rFonts w:hint="eastAsia" w:ascii="宋体" w:hAnsi="宋体"/>
          <w:color w:val="auto"/>
          <w:sz w:val="24"/>
          <w:highlight w:val="none"/>
        </w:rPr>
        <w:t>无效的，相关风险由供应</w:t>
      </w:r>
      <w:r>
        <w:rPr>
          <w:rFonts w:hint="eastAsia" w:ascii="宋体" w:hAnsi="宋体" w:cs="宋体"/>
          <w:color w:val="auto"/>
          <w:kern w:val="0"/>
          <w:sz w:val="24"/>
          <w:highlight w:val="none"/>
        </w:rPr>
        <w:t>商自行承担。</w:t>
      </w:r>
      <w:r>
        <w:rPr>
          <w:rFonts w:ascii="宋体" w:hAnsi="宋体" w:cs="宋体"/>
          <w:color w:val="auto"/>
          <w:kern w:val="0"/>
          <w:sz w:val="24"/>
          <w:highlight w:val="none"/>
        </w:rPr>
        <w:t>备份</w:t>
      </w:r>
      <w:r>
        <w:rPr>
          <w:rFonts w:hint="eastAsia" w:ascii="宋体" w:hAnsi="宋体" w:cs="宋体"/>
          <w:color w:val="auto"/>
          <w:kern w:val="0"/>
          <w:sz w:val="24"/>
          <w:highlight w:val="none"/>
        </w:rPr>
        <w:t>投标文件</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1份。</w:t>
      </w:r>
      <w:r>
        <w:rPr>
          <w:rFonts w:ascii="宋体" w:hAnsi="宋体" w:cs="宋体"/>
          <w:color w:val="auto"/>
          <w:kern w:val="0"/>
          <w:sz w:val="24"/>
          <w:highlight w:val="none"/>
        </w:rPr>
        <w:t>以介质存储的数据电文形式的备份</w:t>
      </w:r>
      <w:r>
        <w:rPr>
          <w:rFonts w:hint="eastAsia" w:ascii="宋体" w:hAnsi="宋体" w:cs="宋体"/>
          <w:color w:val="auto"/>
          <w:kern w:val="0"/>
          <w:sz w:val="24"/>
          <w:highlight w:val="none"/>
        </w:rPr>
        <w:t>投标文件</w:t>
      </w:r>
      <w:r>
        <w:rPr>
          <w:rFonts w:hint="eastAsia" w:ascii="宋体" w:hAnsi="宋体" w:cs="宋体"/>
          <w:color w:val="auto"/>
          <w:kern w:val="0"/>
          <w:sz w:val="24"/>
          <w:highlight w:val="none"/>
          <w:lang w:eastAsia="zh-CN"/>
        </w:rPr>
        <w:t>（</w:t>
      </w:r>
      <w:r>
        <w:rPr>
          <w:rFonts w:ascii="宋体" w:hAnsi="宋体" w:cs="宋体"/>
          <w:color w:val="auto"/>
          <w:kern w:val="0"/>
          <w:sz w:val="24"/>
          <w:highlight w:val="none"/>
        </w:rPr>
        <w:t>BFBS格式)，按政采云平台项目采购-电子交易操作指南中上传的电子</w:t>
      </w:r>
      <w:r>
        <w:rPr>
          <w:rFonts w:hint="eastAsia" w:ascii="宋体" w:hAnsi="宋体" w:cs="宋体"/>
          <w:color w:val="auto"/>
          <w:kern w:val="0"/>
          <w:sz w:val="24"/>
          <w:highlight w:val="none"/>
        </w:rPr>
        <w:t>投标文件</w:t>
      </w:r>
      <w:r>
        <w:rPr>
          <w:rFonts w:ascii="宋体" w:hAnsi="宋体" w:cs="宋体"/>
          <w:color w:val="auto"/>
          <w:kern w:val="0"/>
          <w:sz w:val="24"/>
          <w:highlight w:val="none"/>
        </w:rPr>
        <w:t>格式，以U盘形式存储提供)。U盘盘面上粘贴标签，标注单位名称，装入一个外包封袋中进行邮寄</w:t>
      </w:r>
      <w:r>
        <w:rPr>
          <w:rFonts w:hint="eastAsia" w:ascii="宋体" w:hAnsi="宋体" w:cs="宋体"/>
          <w:color w:val="auto"/>
          <w:kern w:val="0"/>
          <w:sz w:val="24"/>
          <w:highlight w:val="none"/>
          <w:lang w:eastAsia="zh-CN"/>
        </w:rPr>
        <w:t>。</w:t>
      </w:r>
      <w:r>
        <w:rPr>
          <w:rFonts w:ascii="宋体" w:hAnsi="宋体" w:cs="宋体"/>
          <w:color w:val="auto"/>
          <w:kern w:val="0"/>
          <w:sz w:val="24"/>
          <w:highlight w:val="none"/>
        </w:rPr>
        <w:t>邮寄时，总的外包封袋上可不注明单位名称，但应注明单位的联系人、联系电话及项目名称</w:t>
      </w:r>
      <w:r>
        <w:rPr>
          <w:rFonts w:hint="eastAsia" w:ascii="宋体" w:hAnsi="宋体" w:cs="宋体"/>
          <w:color w:val="auto"/>
          <w:kern w:val="0"/>
          <w:sz w:val="24"/>
          <w:highlight w:val="none"/>
        </w:rPr>
        <w:t>。邮寄地址为：浙江华耀建设咨询有限公司（湖州市静江公寓1单元1101室），联系人：张治中，联系电话：0572-2198738</w:t>
      </w:r>
      <w:r>
        <w:rPr>
          <w:color w:val="auto"/>
          <w:highlight w:val="none"/>
        </w:rPr>
        <w:fldChar w:fldCharType="begin"/>
      </w:r>
      <w:r>
        <w:rPr>
          <w:color w:val="auto"/>
          <w:highlight w:val="none"/>
        </w:rPr>
        <w:instrText xml:space="preserve"> HYPERLINK "mailto:huayaohz@163.com。供应商应于2020年9月" </w:instrText>
      </w:r>
      <w:r>
        <w:rPr>
          <w:color w:val="auto"/>
          <w:highlight w:val="none"/>
        </w:rPr>
        <w:fldChar w:fldCharType="separate"/>
      </w:r>
      <w:r>
        <w:rPr>
          <w:rFonts w:hint="eastAsia" w:ascii="宋体" w:hAnsi="宋体" w:cs="宋体"/>
          <w:color w:val="auto"/>
          <w:kern w:val="0"/>
          <w:sz w:val="24"/>
          <w:highlight w:val="none"/>
        </w:rPr>
        <w:t>，</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拒绝到付。以收件人实际签收时间为准，逾期送达的将拒绝接收。</w:t>
      </w:r>
    </w:p>
    <w:p w14:paraId="43506F5E">
      <w:pPr>
        <w:spacing w:line="360" w:lineRule="auto"/>
        <w:ind w:firstLine="480" w:firstLineChars="200"/>
        <w:rPr>
          <w:rFonts w:ascii="宋体" w:hAnsi="宋体"/>
          <w:color w:val="auto"/>
          <w:sz w:val="24"/>
          <w:highlight w:val="none"/>
        </w:rPr>
      </w:pPr>
      <w:r>
        <w:rPr>
          <w:rFonts w:hint="eastAsia" w:ascii="宋体" w:hAnsi="宋体" w:cs="宋体"/>
          <w:color w:val="auto"/>
          <w:kern w:val="0"/>
          <w:sz w:val="24"/>
          <w:highlight w:val="none"/>
        </w:rPr>
        <w:t>（7）本项目开评标会议通过政采云电子交易系统在线完成，</w:t>
      </w:r>
      <w:r>
        <w:rPr>
          <w:rFonts w:hint="eastAsia" w:ascii="宋体" w:hAnsi="宋体"/>
          <w:color w:val="auto"/>
          <w:sz w:val="24"/>
          <w:highlight w:val="none"/>
        </w:rPr>
        <w:t>请潜在供应商代表自行准备联网的计算机设备、“政府采购云平台”CA数字证书。开评标会议开始后，应全程关注政采云电子交易系统的各类通知：在线询标等，及时澄清、响应，避免逾期无效等情况的发生。</w:t>
      </w:r>
    </w:p>
    <w:p w14:paraId="7D4D2818">
      <w:pPr>
        <w:snapToGrid w:val="0"/>
        <w:spacing w:line="360" w:lineRule="auto"/>
        <w:ind w:firstLine="542" w:firstLineChars="225"/>
        <w:rPr>
          <w:rFonts w:ascii="宋体" w:hAnsi="宋体" w:cs="Arial"/>
          <w:b/>
          <w:color w:val="auto"/>
          <w:sz w:val="24"/>
          <w:highlight w:val="none"/>
        </w:rPr>
      </w:pPr>
      <w:r>
        <w:rPr>
          <w:rFonts w:hint="eastAsia" w:ascii="宋体" w:hAnsi="宋体" w:cs="Arial"/>
          <w:b/>
          <w:color w:val="auto"/>
          <w:sz w:val="24"/>
          <w:highlight w:val="none"/>
        </w:rPr>
        <w:t>七、业务咨询：</w:t>
      </w:r>
    </w:p>
    <w:p w14:paraId="6D7CE296">
      <w:pPr>
        <w:snapToGrid w:val="0"/>
        <w:spacing w:line="360" w:lineRule="auto"/>
        <w:ind w:firstLine="470" w:firstLineChars="196"/>
        <w:rPr>
          <w:rFonts w:ascii="宋体" w:hAnsi="宋体" w:cs="Arial"/>
          <w:b/>
          <w:color w:val="auto"/>
          <w:sz w:val="24"/>
          <w:highlight w:val="none"/>
        </w:rPr>
      </w:pPr>
      <w:r>
        <w:rPr>
          <w:rFonts w:hint="eastAsia" w:ascii="宋体" w:hAnsi="宋体"/>
          <w:color w:val="auto"/>
          <w:sz w:val="24"/>
          <w:highlight w:val="none"/>
        </w:rPr>
        <w:t>1.采购代理机构名称：浙江华耀建设咨询有限公司</w:t>
      </w:r>
    </w:p>
    <w:p w14:paraId="00FACF3B">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地址：</w:t>
      </w:r>
      <w:r>
        <w:rPr>
          <w:rFonts w:hint="eastAsia" w:ascii="宋体" w:hAnsi="宋体" w:cs="宋体"/>
          <w:color w:val="auto"/>
          <w:kern w:val="0"/>
          <w:sz w:val="24"/>
          <w:highlight w:val="none"/>
        </w:rPr>
        <w:t>浙江省湖州市静江公寓1单元1101室</w:t>
      </w:r>
    </w:p>
    <w:p w14:paraId="61CAA262">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联系人：小张；联系电话：0572-2198738；传真：0572-2198739</w:t>
      </w:r>
    </w:p>
    <w:p w14:paraId="22B7053C">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供应商质疑函接收人：何女士   联系电话：0572-2371910</w:t>
      </w:r>
    </w:p>
    <w:p w14:paraId="11F647EE">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电子邮箱：</w:t>
      </w:r>
      <w:r>
        <w:rPr>
          <w:color w:val="auto"/>
          <w:highlight w:val="none"/>
        </w:rPr>
        <w:fldChar w:fldCharType="begin"/>
      </w:r>
      <w:r>
        <w:rPr>
          <w:color w:val="auto"/>
          <w:highlight w:val="none"/>
        </w:rPr>
        <w:instrText xml:space="preserve"> HYPERLINK "mailto:huayaohz@163.com。" </w:instrText>
      </w:r>
      <w:r>
        <w:rPr>
          <w:color w:val="auto"/>
          <w:highlight w:val="none"/>
        </w:rPr>
        <w:fldChar w:fldCharType="separate"/>
      </w:r>
      <w:r>
        <w:rPr>
          <w:rFonts w:hint="eastAsia" w:ascii="宋体" w:hAnsi="宋体"/>
          <w:color w:val="auto"/>
          <w:sz w:val="24"/>
          <w:highlight w:val="none"/>
        </w:rPr>
        <w:t>huayaohz@163.com</w:t>
      </w:r>
      <w:r>
        <w:rPr>
          <w:rFonts w:hint="eastAsia" w:ascii="宋体" w:hAnsi="宋体"/>
          <w:color w:val="auto"/>
          <w:sz w:val="24"/>
          <w:highlight w:val="none"/>
        </w:rPr>
        <w:fldChar w:fldCharType="end"/>
      </w:r>
    </w:p>
    <w:p w14:paraId="1D777F4D">
      <w:pPr>
        <w:snapToGrid w:val="0"/>
        <w:spacing w:line="360" w:lineRule="auto"/>
        <w:ind w:firstLine="420" w:firstLineChars="200"/>
        <w:rPr>
          <w:color w:val="auto"/>
          <w:highlight w:val="none"/>
        </w:rPr>
      </w:pPr>
    </w:p>
    <w:p w14:paraId="6A416125">
      <w:pPr>
        <w:snapToGrid w:val="0"/>
        <w:spacing w:line="360" w:lineRule="auto"/>
        <w:ind w:firstLine="470" w:firstLineChars="196"/>
        <w:rPr>
          <w:rFonts w:ascii="宋体" w:hAnsi="宋体"/>
          <w:color w:val="auto"/>
          <w:sz w:val="24"/>
          <w:highlight w:val="none"/>
        </w:rPr>
      </w:pPr>
      <w:r>
        <w:rPr>
          <w:rFonts w:hint="eastAsia" w:ascii="宋体" w:hAnsi="宋体" w:cs="Arial"/>
          <w:color w:val="auto"/>
          <w:sz w:val="24"/>
          <w:highlight w:val="none"/>
        </w:rPr>
        <w:t>2.采购人名称：</w:t>
      </w:r>
      <w:r>
        <w:rPr>
          <w:rFonts w:hint="eastAsia" w:ascii="宋体" w:hAnsi="宋体"/>
          <w:color w:val="auto"/>
          <w:sz w:val="24"/>
          <w:highlight w:val="none"/>
        </w:rPr>
        <w:t>湖州市中心医院</w:t>
      </w:r>
    </w:p>
    <w:p w14:paraId="23D5B858">
      <w:pPr>
        <w:snapToGrid w:val="0"/>
        <w:spacing w:line="360" w:lineRule="auto"/>
        <w:ind w:firstLine="470" w:firstLineChars="196"/>
        <w:rPr>
          <w:rFonts w:ascii="宋体" w:hAnsi="宋体" w:cs="宋体"/>
          <w:color w:val="auto"/>
          <w:sz w:val="24"/>
          <w:highlight w:val="none"/>
        </w:rPr>
      </w:pPr>
      <w:r>
        <w:rPr>
          <w:rFonts w:hint="eastAsia" w:ascii="宋体"/>
          <w:color w:val="auto"/>
          <w:sz w:val="24"/>
          <w:highlight w:val="none"/>
        </w:rPr>
        <w:t>联系人：邱先生            联系电话：</w:t>
      </w:r>
      <w:r>
        <w:rPr>
          <w:rFonts w:ascii="宋体" w:hAnsi="宋体" w:cs="宋体"/>
          <w:color w:val="auto"/>
          <w:sz w:val="24"/>
          <w:highlight w:val="none"/>
        </w:rPr>
        <w:t>0572-</w:t>
      </w:r>
      <w:r>
        <w:rPr>
          <w:rFonts w:hint="eastAsia" w:ascii="宋体" w:hAnsi="宋体" w:cs="宋体"/>
          <w:color w:val="auto"/>
          <w:sz w:val="24"/>
          <w:highlight w:val="none"/>
        </w:rPr>
        <w:t>2555126</w:t>
      </w:r>
    </w:p>
    <w:p w14:paraId="42A836F8">
      <w:pPr>
        <w:snapToGrid w:val="0"/>
        <w:spacing w:line="360" w:lineRule="auto"/>
        <w:ind w:firstLine="470" w:firstLineChars="196"/>
        <w:rPr>
          <w:rFonts w:ascii="宋体" w:hAnsi="宋体" w:cs="宋体"/>
          <w:color w:val="auto"/>
          <w:sz w:val="24"/>
          <w:highlight w:val="none"/>
        </w:rPr>
      </w:pPr>
      <w:r>
        <w:rPr>
          <w:rFonts w:hint="eastAsia" w:ascii="宋体" w:hAnsi="宋体" w:cs="宋体"/>
          <w:color w:val="auto"/>
          <w:sz w:val="24"/>
          <w:highlight w:val="none"/>
        </w:rPr>
        <w:t>采购人质疑联系人：徐云</w:t>
      </w:r>
      <w:r>
        <w:rPr>
          <w:rFonts w:ascii="宋体"/>
          <w:color w:val="auto"/>
          <w:sz w:val="24"/>
          <w:highlight w:val="none"/>
        </w:rPr>
        <w:t>  </w:t>
      </w:r>
      <w:r>
        <w:rPr>
          <w:rFonts w:hint="eastAsia" w:ascii="宋体" w:hAnsi="宋体" w:cs="宋体"/>
          <w:color w:val="auto"/>
          <w:sz w:val="24"/>
          <w:highlight w:val="none"/>
        </w:rPr>
        <w:t>联系电话：</w:t>
      </w:r>
      <w:r>
        <w:rPr>
          <w:rFonts w:ascii="宋体" w:hAnsi="宋体" w:cs="宋体"/>
          <w:color w:val="auto"/>
          <w:sz w:val="24"/>
          <w:highlight w:val="none"/>
        </w:rPr>
        <w:t>0572-</w:t>
      </w:r>
      <w:r>
        <w:rPr>
          <w:rFonts w:hint="eastAsia" w:ascii="宋体" w:hAnsi="宋体" w:cs="宋体"/>
          <w:color w:val="auto"/>
          <w:sz w:val="24"/>
          <w:highlight w:val="none"/>
        </w:rPr>
        <w:t>2555370</w:t>
      </w:r>
    </w:p>
    <w:p w14:paraId="6DB98388">
      <w:pPr>
        <w:snapToGrid w:val="0"/>
        <w:spacing w:line="360" w:lineRule="auto"/>
        <w:ind w:firstLine="470" w:firstLineChars="196"/>
        <w:rPr>
          <w:rFonts w:ascii="宋体" w:hAnsi="宋体" w:cs="宋体"/>
          <w:color w:val="auto"/>
          <w:sz w:val="24"/>
          <w:highlight w:val="none"/>
        </w:rPr>
      </w:pPr>
    </w:p>
    <w:p w14:paraId="3010FB7A">
      <w:pPr>
        <w:snapToGrid w:val="0"/>
        <w:spacing w:line="360" w:lineRule="auto"/>
        <w:ind w:firstLine="470" w:firstLineChars="196"/>
        <w:rPr>
          <w:rFonts w:ascii="宋体" w:hAnsi="宋体" w:cs="宋体"/>
          <w:color w:val="auto"/>
          <w:sz w:val="24"/>
          <w:highlight w:val="none"/>
        </w:rPr>
      </w:pPr>
      <w:r>
        <w:rPr>
          <w:rFonts w:hint="eastAsia" w:ascii="宋体" w:hAnsi="宋体" w:cs="Arial"/>
          <w:color w:val="auto"/>
          <w:sz w:val="24"/>
          <w:highlight w:val="none"/>
        </w:rPr>
        <w:t>3.同级政府采购监督管理部门名称：</w:t>
      </w:r>
      <w:r>
        <w:rPr>
          <w:rFonts w:hint="eastAsia" w:ascii="宋体" w:hAnsi="宋体" w:cs="宋体"/>
          <w:color w:val="auto"/>
          <w:sz w:val="24"/>
          <w:highlight w:val="none"/>
        </w:rPr>
        <w:t>湖州市财政局采监处</w:t>
      </w:r>
    </w:p>
    <w:p w14:paraId="0611FE78">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地址：湖州市龙王山路518号</w:t>
      </w:r>
    </w:p>
    <w:p w14:paraId="71DB0A86">
      <w:pPr>
        <w:snapToGrid w:val="0"/>
        <w:spacing w:line="360" w:lineRule="auto"/>
        <w:ind w:firstLine="470" w:firstLineChars="196"/>
        <w:rPr>
          <w:rFonts w:ascii="宋体" w:hAnsi="宋体" w:cs="Arial"/>
          <w:color w:val="auto"/>
          <w:sz w:val="24"/>
          <w:highlight w:val="none"/>
        </w:rPr>
      </w:pPr>
      <w:r>
        <w:rPr>
          <w:rFonts w:hint="eastAsia" w:ascii="宋体" w:hAnsi="宋体" w:cs="Arial"/>
          <w:color w:val="auto"/>
          <w:sz w:val="24"/>
          <w:highlight w:val="none"/>
        </w:rPr>
        <w:t>联系人：程先生；监督投诉电话：0572-2150216</w:t>
      </w:r>
    </w:p>
    <w:p w14:paraId="726DC4DB">
      <w:pPr>
        <w:snapToGrid w:val="0"/>
        <w:spacing w:line="360" w:lineRule="auto"/>
        <w:ind w:left="238" w:firstLine="240" w:firstLineChars="100"/>
        <w:jc w:val="right"/>
        <w:rPr>
          <w:rFonts w:ascii="宋体" w:hAnsi="宋体"/>
          <w:color w:val="auto"/>
          <w:sz w:val="24"/>
          <w:highlight w:val="none"/>
        </w:rPr>
      </w:pPr>
      <w:r>
        <w:rPr>
          <w:rFonts w:hint="eastAsia" w:ascii="宋体" w:hAnsi="宋体" w:cs="Arial"/>
          <w:color w:val="auto"/>
          <w:sz w:val="24"/>
          <w:highlight w:val="none"/>
        </w:rPr>
        <w:t xml:space="preserve">                                                     湖州市中心医院</w:t>
      </w:r>
    </w:p>
    <w:p w14:paraId="18FDE504">
      <w:pPr>
        <w:snapToGrid w:val="0"/>
        <w:spacing w:line="360" w:lineRule="auto"/>
        <w:ind w:left="238"/>
        <w:jc w:val="right"/>
        <w:rPr>
          <w:rFonts w:ascii="宋体" w:hAnsi="宋体"/>
          <w:color w:val="auto"/>
          <w:sz w:val="24"/>
          <w:highlight w:val="none"/>
        </w:rPr>
      </w:pPr>
      <w:r>
        <w:rPr>
          <w:rFonts w:hint="eastAsia" w:ascii="宋体" w:hAnsi="宋体"/>
          <w:color w:val="auto"/>
          <w:sz w:val="24"/>
          <w:highlight w:val="none"/>
        </w:rPr>
        <w:t xml:space="preserve">                                                 浙江华耀建设咨询有限公司</w:t>
      </w:r>
    </w:p>
    <w:p w14:paraId="7D37F107">
      <w:pPr>
        <w:snapToGrid w:val="0"/>
        <w:spacing w:line="360" w:lineRule="auto"/>
        <w:ind w:left="238"/>
        <w:jc w:val="right"/>
        <w:rPr>
          <w:rFonts w:ascii="宋体" w:hAnsi="宋体"/>
          <w:color w:val="auto"/>
          <w:sz w:val="24"/>
          <w:highlight w:val="none"/>
        </w:rPr>
      </w:pPr>
      <w:r>
        <w:rPr>
          <w:rFonts w:hint="eastAsia" w:ascii="宋体" w:hAnsi="宋体"/>
          <w:color w:val="auto"/>
          <w:sz w:val="24"/>
          <w:highlight w:val="none"/>
        </w:rPr>
        <w:t>2025年</w:t>
      </w:r>
      <w:r>
        <w:rPr>
          <w:rFonts w:hint="eastAsia" w:ascii="宋体" w:hAnsi="宋体"/>
          <w:color w:val="auto"/>
          <w:sz w:val="24"/>
          <w:highlight w:val="none"/>
          <w:lang w:val="en-US" w:eastAsia="zh-CN"/>
        </w:rPr>
        <w:t>4</w:t>
      </w:r>
      <w:r>
        <w:rPr>
          <w:rFonts w:hint="eastAsia" w:ascii="宋体" w:hAnsi="宋体"/>
          <w:color w:val="auto"/>
          <w:sz w:val="24"/>
          <w:highlight w:val="none"/>
        </w:rPr>
        <w:t>月</w:t>
      </w:r>
      <w:r>
        <w:rPr>
          <w:rFonts w:hint="eastAsia" w:ascii="宋体" w:hAnsi="宋体"/>
          <w:color w:val="auto"/>
          <w:sz w:val="24"/>
          <w:highlight w:val="none"/>
          <w:lang w:val="en-US" w:eastAsia="zh-CN"/>
        </w:rPr>
        <w:t>1</w:t>
      </w:r>
      <w:r>
        <w:rPr>
          <w:rFonts w:hint="eastAsia" w:ascii="宋体" w:hAnsi="宋体"/>
          <w:color w:val="auto"/>
          <w:sz w:val="24"/>
          <w:highlight w:val="none"/>
        </w:rPr>
        <w:t>日</w:t>
      </w:r>
    </w:p>
    <w:p w14:paraId="06AD6E5A">
      <w:pPr>
        <w:pStyle w:val="2"/>
        <w:rPr>
          <w:color w:val="auto"/>
          <w:highlight w:val="none"/>
        </w:rPr>
      </w:pPr>
    </w:p>
    <w:p w14:paraId="15AD3058">
      <w:pPr>
        <w:jc w:val="left"/>
        <w:rPr>
          <w:rFonts w:ascii="宋体" w:hAnsi="宋体" w:cs="仿宋"/>
          <w:b/>
          <w:color w:val="auto"/>
          <w:sz w:val="24"/>
          <w:highlight w:val="none"/>
        </w:rPr>
      </w:pPr>
      <w:r>
        <w:rPr>
          <w:rFonts w:hint="eastAsia" w:ascii="宋体" w:hAnsi="宋体" w:cs="仿宋"/>
          <w:b/>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34A493DF">
      <w:pPr>
        <w:rPr>
          <w:rFonts w:ascii="宋体" w:hAnsi="宋体" w:cs="仿宋"/>
          <w:b/>
          <w:color w:val="auto"/>
          <w:sz w:val="24"/>
          <w:highlight w:val="none"/>
        </w:rPr>
      </w:pPr>
      <w:r>
        <w:rPr>
          <w:rFonts w:hint="eastAsia" w:ascii="宋体" w:hAnsi="宋体" w:cs="仿宋"/>
          <w:b/>
          <w:color w:val="auto"/>
          <w:sz w:val="24"/>
          <w:highlight w:val="none"/>
        </w:rPr>
        <w:t>CA问题联系电话（人工）：汇信CA 400-888-4636；天谷CA 400-087-8198。</w:t>
      </w:r>
    </w:p>
    <w:p w14:paraId="6288F3CD">
      <w:pPr>
        <w:pStyle w:val="2"/>
        <w:rPr>
          <w:color w:val="auto"/>
          <w:highlight w:val="none"/>
        </w:rPr>
      </w:pPr>
    </w:p>
    <w:p w14:paraId="24B83BFC">
      <w:pPr>
        <w:rPr>
          <w:rFonts w:ascii="宋体" w:hAnsi="宋体"/>
          <w:b/>
          <w:color w:val="auto"/>
          <w:sz w:val="30"/>
          <w:szCs w:val="30"/>
          <w:highlight w:val="none"/>
        </w:rPr>
      </w:pPr>
      <w:r>
        <w:rPr>
          <w:rFonts w:hint="eastAsia" w:ascii="宋体" w:hAnsi="宋体"/>
          <w:b/>
          <w:color w:val="auto"/>
          <w:sz w:val="30"/>
          <w:szCs w:val="30"/>
          <w:highlight w:val="none"/>
        </w:rPr>
        <w:br w:type="page"/>
      </w:r>
    </w:p>
    <w:p w14:paraId="7B2279DF">
      <w:pPr>
        <w:snapToGrid w:val="0"/>
        <w:spacing w:line="360" w:lineRule="auto"/>
        <w:ind w:left="238"/>
        <w:jc w:val="center"/>
        <w:rPr>
          <w:rFonts w:ascii="宋体" w:hAnsi="宋体"/>
          <w:b/>
          <w:color w:val="auto"/>
          <w:sz w:val="30"/>
          <w:szCs w:val="30"/>
          <w:highlight w:val="none"/>
        </w:rPr>
      </w:pPr>
      <w:r>
        <w:rPr>
          <w:rFonts w:hint="eastAsia" w:ascii="宋体" w:hAnsi="宋体"/>
          <w:b/>
          <w:color w:val="auto"/>
          <w:sz w:val="30"/>
          <w:szCs w:val="30"/>
          <w:highlight w:val="none"/>
        </w:rPr>
        <w:t>第二章  招标需求</w:t>
      </w:r>
    </w:p>
    <w:p w14:paraId="23D3CE3B">
      <w:pPr>
        <w:widowControl/>
        <w:spacing w:line="360" w:lineRule="auto"/>
        <w:ind w:firstLine="482" w:firstLineChars="200"/>
        <w:rPr>
          <w:rFonts w:hint="eastAsia" w:ascii="宋体" w:hAnsi="宋体" w:eastAsia="宋体"/>
          <w:color w:val="auto"/>
          <w:sz w:val="24"/>
          <w:highlight w:val="none"/>
          <w:lang w:eastAsia="zh-CN"/>
        </w:rPr>
      </w:pPr>
      <w:r>
        <w:rPr>
          <w:rFonts w:hint="eastAsia" w:ascii="宋体" w:hAnsi="宋体"/>
          <w:b/>
          <w:color w:val="auto"/>
          <w:sz w:val="24"/>
          <w:highlight w:val="none"/>
        </w:rPr>
        <w:t>一、采购项目名称：</w:t>
      </w:r>
      <w:r>
        <w:rPr>
          <w:rFonts w:hint="eastAsia" w:ascii="宋体" w:hAnsi="宋体"/>
          <w:b/>
          <w:color w:val="auto"/>
          <w:sz w:val="24"/>
          <w:highlight w:val="none"/>
          <w:lang w:eastAsia="zh-CN"/>
        </w:rPr>
        <w:t>湖州市中心医院安防服务招标项目</w:t>
      </w:r>
    </w:p>
    <w:p w14:paraId="7FC77722">
      <w:pPr>
        <w:widowControl/>
        <w:spacing w:line="360" w:lineRule="auto"/>
        <w:ind w:firstLine="482" w:firstLineChars="200"/>
        <w:rPr>
          <w:rFonts w:hint="eastAsia" w:ascii="宋体" w:hAnsi="宋体" w:eastAsia="宋体"/>
          <w:b/>
          <w:color w:val="auto"/>
          <w:sz w:val="24"/>
          <w:highlight w:val="none"/>
          <w:lang w:eastAsia="zh-CN"/>
        </w:rPr>
      </w:pPr>
      <w:r>
        <w:rPr>
          <w:rFonts w:hint="eastAsia" w:ascii="宋体" w:hAnsi="宋体"/>
          <w:b/>
          <w:color w:val="auto"/>
          <w:sz w:val="24"/>
          <w:highlight w:val="none"/>
        </w:rPr>
        <w:t>二、采购项目编号：</w:t>
      </w:r>
      <w:r>
        <w:rPr>
          <w:rFonts w:hint="eastAsia" w:ascii="宋体" w:hAnsi="宋体"/>
          <w:b/>
          <w:color w:val="auto"/>
          <w:sz w:val="24"/>
          <w:highlight w:val="none"/>
          <w:lang w:eastAsia="zh-CN"/>
        </w:rPr>
        <w:t>HYHZ2025-33</w:t>
      </w:r>
    </w:p>
    <w:p w14:paraId="0234AE2E">
      <w:pPr>
        <w:widowControl/>
        <w:spacing w:line="360" w:lineRule="auto"/>
        <w:ind w:firstLine="482" w:firstLineChars="200"/>
        <w:rPr>
          <w:rFonts w:ascii="宋体" w:hAnsi="宋体" w:cs="宋体"/>
          <w:b/>
          <w:color w:val="auto"/>
          <w:kern w:val="0"/>
          <w:sz w:val="24"/>
          <w:highlight w:val="none"/>
        </w:rPr>
      </w:pPr>
      <w:r>
        <w:rPr>
          <w:rFonts w:hint="eastAsia" w:ascii="宋体" w:hAnsi="宋体"/>
          <w:b/>
          <w:color w:val="auto"/>
          <w:sz w:val="24"/>
          <w:highlight w:val="none"/>
        </w:rPr>
        <w:t>三、</w:t>
      </w:r>
      <w:r>
        <w:rPr>
          <w:rFonts w:hint="eastAsia" w:ascii="宋体" w:hAnsi="宋体" w:cs="宋体"/>
          <w:b/>
          <w:color w:val="auto"/>
          <w:kern w:val="0"/>
          <w:sz w:val="24"/>
          <w:highlight w:val="none"/>
        </w:rPr>
        <w:t>采购项目预算</w:t>
      </w:r>
      <w:r>
        <w:rPr>
          <w:rFonts w:hint="eastAsia" w:ascii="宋体" w:hAnsi="宋体"/>
          <w:b/>
          <w:color w:val="auto"/>
          <w:sz w:val="24"/>
          <w:highlight w:val="none"/>
        </w:rPr>
        <w:t>：</w:t>
      </w:r>
      <w:r>
        <w:rPr>
          <w:rFonts w:hint="eastAsia" w:ascii="宋体" w:hAnsi="宋体" w:cs="宋体"/>
          <w:b/>
          <w:color w:val="auto"/>
          <w:kern w:val="0"/>
          <w:sz w:val="24"/>
          <w:highlight w:val="none"/>
        </w:rPr>
        <w:t>人民币叁仟柒佰伍拾万元整（￥37500000.00）</w:t>
      </w:r>
    </w:p>
    <w:p w14:paraId="5C7C9A35">
      <w:pPr>
        <w:widowControl/>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kern w:val="0"/>
          <w:sz w:val="24"/>
          <w:highlight w:val="none"/>
        </w:rPr>
        <w:t>四、最高限价：人民币叁仟伍佰万元整，</w:t>
      </w:r>
      <w:r>
        <w:rPr>
          <w:rFonts w:hint="eastAsia" w:ascii="宋体" w:hAnsi="宋体" w:cs="宋体"/>
          <w:b/>
          <w:color w:val="auto"/>
          <w:sz w:val="24"/>
          <w:highlight w:val="none"/>
        </w:rPr>
        <w:t>1167万元/年*3年，投标人需折算成每月人均综合单价、每日人均综合单价。</w:t>
      </w:r>
    </w:p>
    <w:p w14:paraId="41942BCF">
      <w:pPr>
        <w:pStyle w:val="2"/>
        <w:rPr>
          <w:rFonts w:ascii="宋体" w:hAnsi="宋体" w:cs="宋体"/>
          <w:b/>
          <w:color w:val="auto"/>
          <w:sz w:val="24"/>
          <w:szCs w:val="24"/>
          <w:highlight w:val="none"/>
        </w:rPr>
      </w:pPr>
      <w:r>
        <w:rPr>
          <w:rFonts w:hint="eastAsia" w:ascii="宋体" w:hAnsi="宋体" w:cs="宋体"/>
          <w:b/>
          <w:color w:val="auto"/>
          <w:sz w:val="24"/>
          <w:szCs w:val="24"/>
          <w:highlight w:val="none"/>
        </w:rPr>
        <w:t>注：本次投标报价包含所有安保人员基本工资、国定节假日，劳保福利及养老、人身安全保险、医疗等全部费用。</w:t>
      </w:r>
    </w:p>
    <w:p w14:paraId="40D1AB99">
      <w:pPr>
        <w:widowControl/>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五、采购项目实施地点：进场时间以采购人书面通知时间及人数为准，地点为采购人指定地点</w:t>
      </w:r>
    </w:p>
    <w:p w14:paraId="5BB33199">
      <w:pPr>
        <w:widowControl/>
        <w:spacing w:line="360" w:lineRule="auto"/>
        <w:ind w:firstLine="482" w:firstLineChars="200"/>
        <w:outlineLvl w:val="1"/>
        <w:rPr>
          <w:rFonts w:ascii="宋体" w:hAnsi="宋体"/>
          <w:b/>
          <w:color w:val="auto"/>
          <w:sz w:val="24"/>
          <w:highlight w:val="none"/>
        </w:rPr>
      </w:pPr>
      <w:r>
        <w:rPr>
          <w:rFonts w:hint="eastAsia" w:ascii="宋体" w:hAnsi="宋体"/>
          <w:b/>
          <w:color w:val="auto"/>
          <w:sz w:val="24"/>
          <w:highlight w:val="none"/>
        </w:rPr>
        <w:t>六、采购项目服务要求：</w:t>
      </w:r>
    </w:p>
    <w:p w14:paraId="67033751">
      <w:pPr>
        <w:widowControl/>
        <w:spacing w:line="360" w:lineRule="auto"/>
        <w:outlineLvl w:val="1"/>
        <w:rPr>
          <w:rFonts w:ascii="宋体" w:hAnsi="宋体" w:cs="Arial"/>
          <w:b/>
          <w:bCs/>
          <w:color w:val="auto"/>
          <w:sz w:val="24"/>
          <w:highlight w:val="none"/>
        </w:rPr>
      </w:pPr>
      <w:r>
        <w:rPr>
          <w:rFonts w:hint="eastAsia" w:ascii="宋体" w:hAnsi="宋体" w:cs="Arial"/>
          <w:b/>
          <w:bCs/>
          <w:color w:val="auto"/>
          <w:sz w:val="24"/>
          <w:highlight w:val="none"/>
        </w:rPr>
        <w:t>5.1 人员需求</w:t>
      </w:r>
    </w:p>
    <w:p w14:paraId="3DDB08F7">
      <w:pPr>
        <w:widowControl/>
        <w:spacing w:line="360" w:lineRule="auto"/>
        <w:ind w:firstLine="480" w:firstLineChars="200"/>
        <w:jc w:val="left"/>
        <w:outlineLvl w:val="1"/>
        <w:rPr>
          <w:rFonts w:ascii="宋体" w:hAnsi="宋体" w:cs="Arial"/>
          <w:color w:val="auto"/>
          <w:sz w:val="24"/>
          <w:highlight w:val="none"/>
        </w:rPr>
      </w:pPr>
      <w:r>
        <w:rPr>
          <w:rFonts w:hint="eastAsia" w:ascii="宋体" w:hAnsi="宋体" w:cs="Arial"/>
          <w:color w:val="auto"/>
          <w:sz w:val="24"/>
          <w:highlight w:val="none"/>
        </w:rPr>
        <w:t>湖州市中心医院2025-</w:t>
      </w:r>
      <w:r>
        <w:rPr>
          <w:rFonts w:hint="eastAsia" w:ascii="宋体" w:hAnsi="宋体" w:cs="Arial"/>
          <w:color w:val="auto"/>
          <w:sz w:val="24"/>
          <w:highlight w:val="none"/>
          <w:lang w:eastAsia="zh-CN"/>
        </w:rPr>
        <w:t>2028</w:t>
      </w:r>
      <w:r>
        <w:rPr>
          <w:rFonts w:hint="eastAsia" w:ascii="宋体" w:hAnsi="宋体" w:cs="Arial"/>
          <w:color w:val="auto"/>
          <w:sz w:val="24"/>
          <w:highlight w:val="none"/>
        </w:rPr>
        <w:t>年安防服务招标项目，主要包含一期、二期大楼内部及院区周边，以及开发区分院院区的安保工作。人员需求如附表所示（根据岗位测算，具体工作时间和所需人员数量可根据医院实际情况临时调整）：</w:t>
      </w:r>
    </w:p>
    <w:tbl>
      <w:tblPr>
        <w:tblStyle w:val="24"/>
        <w:tblW w:w="65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26"/>
        <w:gridCol w:w="1246"/>
        <w:gridCol w:w="2420"/>
      </w:tblGrid>
      <w:tr w14:paraId="4C089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09" w:type="dxa"/>
            <w:tcBorders>
              <w:top w:val="single" w:color="auto" w:sz="4" w:space="0"/>
              <w:left w:val="single" w:color="auto" w:sz="4" w:space="0"/>
              <w:bottom w:val="single" w:color="auto" w:sz="4" w:space="0"/>
              <w:right w:val="single" w:color="auto" w:sz="4" w:space="0"/>
            </w:tcBorders>
            <w:noWrap/>
            <w:vAlign w:val="center"/>
          </w:tcPr>
          <w:p w14:paraId="60B327EC">
            <w:pPr>
              <w:jc w:val="center"/>
              <w:rPr>
                <w:rFonts w:ascii="宋体" w:hAnsi="宋体"/>
                <w:b/>
                <w:color w:val="auto"/>
                <w:sz w:val="24"/>
                <w:highlight w:val="none"/>
              </w:rPr>
            </w:pPr>
            <w:r>
              <w:rPr>
                <w:rFonts w:hint="eastAsia" w:ascii="宋体" w:hAnsi="宋体"/>
                <w:b/>
                <w:color w:val="auto"/>
                <w:sz w:val="24"/>
                <w:highlight w:val="none"/>
              </w:rPr>
              <w:t>序号</w:t>
            </w:r>
          </w:p>
        </w:tc>
        <w:tc>
          <w:tcPr>
            <w:tcW w:w="2126" w:type="dxa"/>
            <w:tcBorders>
              <w:top w:val="single" w:color="auto" w:sz="4" w:space="0"/>
              <w:left w:val="single" w:color="auto" w:sz="4" w:space="0"/>
              <w:bottom w:val="single" w:color="auto" w:sz="4" w:space="0"/>
              <w:right w:val="single" w:color="auto" w:sz="4" w:space="0"/>
            </w:tcBorders>
            <w:noWrap/>
            <w:vAlign w:val="center"/>
          </w:tcPr>
          <w:p w14:paraId="0DE5EB5D">
            <w:pPr>
              <w:jc w:val="center"/>
              <w:rPr>
                <w:rFonts w:ascii="宋体" w:hAnsi="宋体"/>
                <w:b/>
                <w:color w:val="auto"/>
                <w:sz w:val="24"/>
                <w:highlight w:val="none"/>
              </w:rPr>
            </w:pPr>
            <w:r>
              <w:rPr>
                <w:rFonts w:hint="eastAsia" w:ascii="宋体" w:hAnsi="宋体"/>
                <w:b/>
                <w:color w:val="auto"/>
                <w:sz w:val="24"/>
                <w:highlight w:val="none"/>
              </w:rPr>
              <w:t>岗位名称</w:t>
            </w:r>
          </w:p>
        </w:tc>
        <w:tc>
          <w:tcPr>
            <w:tcW w:w="1246" w:type="dxa"/>
            <w:tcBorders>
              <w:top w:val="single" w:color="auto" w:sz="4" w:space="0"/>
              <w:left w:val="single" w:color="auto" w:sz="4" w:space="0"/>
              <w:bottom w:val="single" w:color="auto" w:sz="4" w:space="0"/>
              <w:right w:val="single" w:color="auto" w:sz="4" w:space="0"/>
            </w:tcBorders>
            <w:noWrap/>
            <w:vAlign w:val="center"/>
          </w:tcPr>
          <w:p w14:paraId="5081BD30">
            <w:pPr>
              <w:jc w:val="center"/>
              <w:rPr>
                <w:rFonts w:ascii="宋体" w:hAnsi="宋体"/>
                <w:b/>
                <w:color w:val="auto"/>
                <w:sz w:val="24"/>
                <w:highlight w:val="none"/>
              </w:rPr>
            </w:pPr>
            <w:r>
              <w:rPr>
                <w:rFonts w:hint="eastAsia" w:ascii="宋体" w:hAnsi="宋体"/>
                <w:b/>
                <w:color w:val="auto"/>
                <w:sz w:val="24"/>
                <w:highlight w:val="none"/>
              </w:rPr>
              <w:t>预估人数</w:t>
            </w:r>
          </w:p>
        </w:tc>
        <w:tc>
          <w:tcPr>
            <w:tcW w:w="2420" w:type="dxa"/>
            <w:tcBorders>
              <w:top w:val="single" w:color="auto" w:sz="4" w:space="0"/>
              <w:left w:val="single" w:color="auto" w:sz="4" w:space="0"/>
              <w:bottom w:val="single" w:color="auto" w:sz="4" w:space="0"/>
              <w:right w:val="single" w:color="auto" w:sz="4" w:space="0"/>
            </w:tcBorders>
            <w:noWrap/>
            <w:vAlign w:val="center"/>
          </w:tcPr>
          <w:p w14:paraId="5553EE34">
            <w:pPr>
              <w:jc w:val="center"/>
              <w:rPr>
                <w:rFonts w:ascii="宋体" w:hAnsi="宋体"/>
                <w:b/>
                <w:color w:val="auto"/>
                <w:sz w:val="24"/>
                <w:highlight w:val="none"/>
              </w:rPr>
            </w:pPr>
            <w:r>
              <w:rPr>
                <w:rFonts w:hint="eastAsia" w:ascii="宋体" w:hAnsi="宋体"/>
                <w:b/>
                <w:color w:val="auto"/>
                <w:sz w:val="24"/>
                <w:highlight w:val="none"/>
              </w:rPr>
              <w:t>最低</w:t>
            </w:r>
            <w:bookmarkStart w:id="2" w:name="_GoBack"/>
            <w:r>
              <w:rPr>
                <w:rFonts w:hint="eastAsia" w:ascii="宋体" w:hAnsi="宋体"/>
                <w:b/>
                <w:color w:val="auto"/>
                <w:sz w:val="24"/>
                <w:highlight w:val="none"/>
              </w:rPr>
              <w:t>年</w:t>
            </w:r>
            <w:bookmarkEnd w:id="2"/>
            <w:r>
              <w:rPr>
                <w:rFonts w:hint="eastAsia" w:ascii="宋体" w:hAnsi="宋体"/>
                <w:b/>
                <w:color w:val="auto"/>
                <w:sz w:val="24"/>
                <w:highlight w:val="none"/>
              </w:rPr>
              <w:t>薪（元/人）</w:t>
            </w:r>
          </w:p>
        </w:tc>
      </w:tr>
      <w:tr w14:paraId="07A65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09" w:type="dxa"/>
            <w:tcBorders>
              <w:top w:val="single" w:color="auto" w:sz="4" w:space="0"/>
              <w:left w:val="single" w:color="auto" w:sz="4" w:space="0"/>
              <w:bottom w:val="single" w:color="auto" w:sz="4" w:space="0"/>
              <w:right w:val="single" w:color="auto" w:sz="4" w:space="0"/>
            </w:tcBorders>
            <w:noWrap/>
            <w:vAlign w:val="center"/>
          </w:tcPr>
          <w:p w14:paraId="768AA5D1">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1</w:t>
            </w:r>
          </w:p>
        </w:tc>
        <w:tc>
          <w:tcPr>
            <w:tcW w:w="2126" w:type="dxa"/>
            <w:tcBorders>
              <w:top w:val="single" w:color="auto" w:sz="4" w:space="0"/>
              <w:left w:val="single" w:color="auto" w:sz="4" w:space="0"/>
              <w:bottom w:val="single" w:color="auto" w:sz="4" w:space="0"/>
              <w:right w:val="single" w:color="auto" w:sz="4" w:space="0"/>
            </w:tcBorders>
            <w:noWrap/>
            <w:vAlign w:val="center"/>
          </w:tcPr>
          <w:p w14:paraId="1517AB2E">
            <w:pPr>
              <w:widowControl/>
              <w:jc w:val="left"/>
              <w:textAlignment w:val="center"/>
              <w:rPr>
                <w:rFonts w:ascii="宋体" w:hAnsi="宋体"/>
                <w:color w:val="auto"/>
                <w:sz w:val="24"/>
                <w:highlight w:val="none"/>
              </w:rPr>
            </w:pPr>
            <w:r>
              <w:rPr>
                <w:rFonts w:hint="eastAsia" w:ascii="宋体" w:hAnsi="宋体" w:cs="宋体"/>
                <w:color w:val="auto"/>
                <w:kern w:val="0"/>
                <w:sz w:val="24"/>
                <w:highlight w:val="none"/>
              </w:rPr>
              <w:t>大队长、副大队长</w:t>
            </w:r>
          </w:p>
        </w:tc>
        <w:tc>
          <w:tcPr>
            <w:tcW w:w="1246" w:type="dxa"/>
            <w:tcBorders>
              <w:top w:val="single" w:color="auto" w:sz="4" w:space="0"/>
              <w:left w:val="single" w:color="auto" w:sz="4" w:space="0"/>
              <w:bottom w:val="single" w:color="auto" w:sz="4" w:space="0"/>
              <w:right w:val="single" w:color="auto" w:sz="4" w:space="0"/>
            </w:tcBorders>
            <w:noWrap/>
            <w:vAlign w:val="center"/>
          </w:tcPr>
          <w:p w14:paraId="1BC76139">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2</w:t>
            </w:r>
          </w:p>
        </w:tc>
        <w:tc>
          <w:tcPr>
            <w:tcW w:w="2420" w:type="dxa"/>
            <w:tcBorders>
              <w:top w:val="single" w:color="auto" w:sz="4" w:space="0"/>
              <w:left w:val="single" w:color="auto" w:sz="4" w:space="0"/>
              <w:bottom w:val="single" w:color="auto" w:sz="4" w:space="0"/>
              <w:right w:val="single" w:color="auto" w:sz="4" w:space="0"/>
            </w:tcBorders>
            <w:noWrap/>
            <w:vAlign w:val="center"/>
          </w:tcPr>
          <w:p w14:paraId="17AF98A4">
            <w:pPr>
              <w:widowControl/>
              <w:jc w:val="center"/>
              <w:textAlignment w:val="center"/>
              <w:rPr>
                <w:rFonts w:ascii="宋体" w:hAnsi="宋体" w:cs="宋体"/>
                <w:color w:val="auto"/>
                <w:kern w:val="0"/>
                <w:sz w:val="24"/>
                <w:highlight w:val="none"/>
              </w:rPr>
            </w:pPr>
            <w:r>
              <w:rPr>
                <w:rFonts w:hint="eastAsia" w:ascii="宋体" w:hAnsi="宋体" w:cs="宋体"/>
                <w:color w:val="auto"/>
                <w:kern w:val="0"/>
                <w:sz w:val="22"/>
                <w:szCs w:val="22"/>
                <w:highlight w:val="none"/>
              </w:rPr>
              <w:t>60000</w:t>
            </w:r>
          </w:p>
        </w:tc>
      </w:tr>
      <w:tr w14:paraId="78FE1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09" w:type="dxa"/>
            <w:tcBorders>
              <w:top w:val="single" w:color="auto" w:sz="4" w:space="0"/>
              <w:left w:val="single" w:color="auto" w:sz="4" w:space="0"/>
              <w:bottom w:val="single" w:color="auto" w:sz="4" w:space="0"/>
              <w:right w:val="single" w:color="auto" w:sz="4" w:space="0"/>
            </w:tcBorders>
            <w:noWrap/>
            <w:vAlign w:val="center"/>
          </w:tcPr>
          <w:p w14:paraId="6FB8DCC3">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2</w:t>
            </w:r>
          </w:p>
        </w:tc>
        <w:tc>
          <w:tcPr>
            <w:tcW w:w="2126" w:type="dxa"/>
            <w:tcBorders>
              <w:top w:val="single" w:color="auto" w:sz="4" w:space="0"/>
              <w:left w:val="single" w:color="auto" w:sz="4" w:space="0"/>
              <w:bottom w:val="single" w:color="auto" w:sz="4" w:space="0"/>
              <w:right w:val="single" w:color="auto" w:sz="4" w:space="0"/>
            </w:tcBorders>
            <w:noWrap/>
            <w:vAlign w:val="center"/>
          </w:tcPr>
          <w:p w14:paraId="7C5E86AC">
            <w:pPr>
              <w:widowControl/>
              <w:jc w:val="left"/>
              <w:textAlignment w:val="center"/>
              <w:rPr>
                <w:rFonts w:ascii="宋体" w:hAnsi="宋体"/>
                <w:color w:val="auto"/>
                <w:sz w:val="24"/>
                <w:highlight w:val="none"/>
              </w:rPr>
            </w:pPr>
            <w:r>
              <w:rPr>
                <w:rFonts w:hint="eastAsia" w:ascii="宋体" w:hAnsi="宋体" w:cs="宋体"/>
                <w:color w:val="auto"/>
                <w:kern w:val="0"/>
                <w:sz w:val="24"/>
                <w:highlight w:val="none"/>
              </w:rPr>
              <w:t>班长</w:t>
            </w:r>
          </w:p>
        </w:tc>
        <w:tc>
          <w:tcPr>
            <w:tcW w:w="1246" w:type="dxa"/>
            <w:tcBorders>
              <w:top w:val="single" w:color="auto" w:sz="4" w:space="0"/>
              <w:left w:val="single" w:color="auto" w:sz="4" w:space="0"/>
              <w:bottom w:val="single" w:color="auto" w:sz="4" w:space="0"/>
              <w:right w:val="single" w:color="auto" w:sz="4" w:space="0"/>
            </w:tcBorders>
            <w:noWrap/>
            <w:vAlign w:val="center"/>
          </w:tcPr>
          <w:p w14:paraId="46179BFF">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6</w:t>
            </w:r>
          </w:p>
        </w:tc>
        <w:tc>
          <w:tcPr>
            <w:tcW w:w="2420" w:type="dxa"/>
            <w:tcBorders>
              <w:top w:val="single" w:color="auto" w:sz="4" w:space="0"/>
              <w:left w:val="single" w:color="auto" w:sz="4" w:space="0"/>
              <w:bottom w:val="single" w:color="auto" w:sz="4" w:space="0"/>
              <w:right w:val="single" w:color="auto" w:sz="4" w:space="0"/>
            </w:tcBorders>
            <w:noWrap/>
            <w:vAlign w:val="center"/>
          </w:tcPr>
          <w:p w14:paraId="131119BC">
            <w:pPr>
              <w:widowControl/>
              <w:jc w:val="center"/>
              <w:textAlignment w:val="center"/>
              <w:rPr>
                <w:rFonts w:ascii="宋体" w:hAnsi="宋体" w:cs="宋体"/>
                <w:color w:val="auto"/>
                <w:kern w:val="0"/>
                <w:sz w:val="24"/>
                <w:highlight w:val="none"/>
              </w:rPr>
            </w:pPr>
            <w:r>
              <w:rPr>
                <w:rFonts w:hint="eastAsia" w:ascii="宋体" w:hAnsi="宋体" w:cs="宋体"/>
                <w:color w:val="auto"/>
                <w:kern w:val="0"/>
                <w:sz w:val="22"/>
                <w:szCs w:val="22"/>
                <w:highlight w:val="none"/>
              </w:rPr>
              <w:t>55200</w:t>
            </w:r>
          </w:p>
        </w:tc>
      </w:tr>
      <w:tr w14:paraId="346B2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09" w:type="dxa"/>
            <w:tcBorders>
              <w:top w:val="single" w:color="auto" w:sz="4" w:space="0"/>
              <w:left w:val="single" w:color="auto" w:sz="4" w:space="0"/>
              <w:bottom w:val="single" w:color="auto" w:sz="4" w:space="0"/>
              <w:right w:val="single" w:color="auto" w:sz="4" w:space="0"/>
            </w:tcBorders>
            <w:noWrap/>
            <w:vAlign w:val="center"/>
          </w:tcPr>
          <w:p w14:paraId="24CC1C87">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3</w:t>
            </w:r>
          </w:p>
        </w:tc>
        <w:tc>
          <w:tcPr>
            <w:tcW w:w="2126" w:type="dxa"/>
            <w:tcBorders>
              <w:top w:val="single" w:color="auto" w:sz="4" w:space="0"/>
              <w:left w:val="single" w:color="auto" w:sz="4" w:space="0"/>
              <w:bottom w:val="single" w:color="auto" w:sz="4" w:space="0"/>
              <w:right w:val="single" w:color="auto" w:sz="4" w:space="0"/>
            </w:tcBorders>
            <w:noWrap/>
            <w:vAlign w:val="center"/>
          </w:tcPr>
          <w:p w14:paraId="357A8F93">
            <w:pPr>
              <w:widowControl/>
              <w:jc w:val="left"/>
              <w:textAlignment w:val="center"/>
              <w:rPr>
                <w:rFonts w:ascii="宋体" w:hAnsi="宋体"/>
                <w:color w:val="auto"/>
                <w:sz w:val="24"/>
                <w:highlight w:val="none"/>
              </w:rPr>
            </w:pPr>
            <w:r>
              <w:rPr>
                <w:rFonts w:hint="eastAsia" w:ascii="宋体" w:hAnsi="宋体" w:cs="宋体"/>
                <w:color w:val="auto"/>
                <w:kern w:val="0"/>
                <w:sz w:val="24"/>
                <w:highlight w:val="none"/>
              </w:rPr>
              <w:t>特保组长、交协组长</w:t>
            </w:r>
          </w:p>
        </w:tc>
        <w:tc>
          <w:tcPr>
            <w:tcW w:w="1246" w:type="dxa"/>
            <w:tcBorders>
              <w:top w:val="single" w:color="auto" w:sz="4" w:space="0"/>
              <w:left w:val="single" w:color="auto" w:sz="4" w:space="0"/>
              <w:bottom w:val="single" w:color="auto" w:sz="4" w:space="0"/>
              <w:right w:val="single" w:color="auto" w:sz="4" w:space="0"/>
            </w:tcBorders>
            <w:noWrap/>
            <w:vAlign w:val="center"/>
          </w:tcPr>
          <w:p w14:paraId="7A88C7A8">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2</w:t>
            </w:r>
          </w:p>
        </w:tc>
        <w:tc>
          <w:tcPr>
            <w:tcW w:w="2420" w:type="dxa"/>
            <w:tcBorders>
              <w:top w:val="single" w:color="auto" w:sz="4" w:space="0"/>
              <w:left w:val="single" w:color="auto" w:sz="4" w:space="0"/>
              <w:bottom w:val="single" w:color="auto" w:sz="4" w:space="0"/>
              <w:right w:val="single" w:color="auto" w:sz="4" w:space="0"/>
            </w:tcBorders>
            <w:noWrap/>
            <w:vAlign w:val="center"/>
          </w:tcPr>
          <w:p w14:paraId="3E3D0A7D">
            <w:pPr>
              <w:widowControl/>
              <w:jc w:val="center"/>
              <w:textAlignment w:val="center"/>
              <w:rPr>
                <w:rFonts w:ascii="宋体" w:hAnsi="宋体" w:cs="宋体"/>
                <w:color w:val="auto"/>
                <w:kern w:val="0"/>
                <w:sz w:val="24"/>
                <w:highlight w:val="none"/>
              </w:rPr>
            </w:pPr>
            <w:r>
              <w:rPr>
                <w:rFonts w:hint="eastAsia" w:ascii="宋体" w:hAnsi="宋体" w:cs="宋体"/>
                <w:color w:val="auto"/>
                <w:kern w:val="0"/>
                <w:sz w:val="22"/>
                <w:szCs w:val="22"/>
                <w:highlight w:val="none"/>
              </w:rPr>
              <w:t>55200</w:t>
            </w:r>
          </w:p>
        </w:tc>
      </w:tr>
      <w:tr w14:paraId="7BBB9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09" w:type="dxa"/>
            <w:tcBorders>
              <w:top w:val="single" w:color="auto" w:sz="4" w:space="0"/>
              <w:left w:val="single" w:color="auto" w:sz="4" w:space="0"/>
              <w:bottom w:val="single" w:color="auto" w:sz="4" w:space="0"/>
              <w:right w:val="single" w:color="auto" w:sz="4" w:space="0"/>
            </w:tcBorders>
            <w:noWrap/>
            <w:vAlign w:val="center"/>
          </w:tcPr>
          <w:p w14:paraId="5EB89BB9">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4</w:t>
            </w:r>
          </w:p>
        </w:tc>
        <w:tc>
          <w:tcPr>
            <w:tcW w:w="2126" w:type="dxa"/>
            <w:tcBorders>
              <w:top w:val="single" w:color="auto" w:sz="4" w:space="0"/>
              <w:left w:val="single" w:color="auto" w:sz="4" w:space="0"/>
              <w:bottom w:val="single" w:color="auto" w:sz="4" w:space="0"/>
              <w:right w:val="single" w:color="auto" w:sz="4" w:space="0"/>
            </w:tcBorders>
            <w:noWrap/>
            <w:vAlign w:val="center"/>
          </w:tcPr>
          <w:p w14:paraId="34CEDF6E">
            <w:pPr>
              <w:widowControl/>
              <w:jc w:val="left"/>
              <w:textAlignment w:val="center"/>
              <w:rPr>
                <w:rFonts w:ascii="宋体" w:hAnsi="宋体"/>
                <w:color w:val="auto"/>
                <w:sz w:val="24"/>
                <w:highlight w:val="none"/>
              </w:rPr>
            </w:pPr>
            <w:r>
              <w:rPr>
                <w:rFonts w:hint="eastAsia" w:ascii="宋体" w:hAnsi="宋体" w:cs="宋体"/>
                <w:color w:val="auto"/>
                <w:kern w:val="0"/>
                <w:sz w:val="24"/>
                <w:highlight w:val="none"/>
              </w:rPr>
              <w:t>特保</w:t>
            </w:r>
          </w:p>
        </w:tc>
        <w:tc>
          <w:tcPr>
            <w:tcW w:w="1246" w:type="dxa"/>
            <w:tcBorders>
              <w:top w:val="single" w:color="auto" w:sz="4" w:space="0"/>
              <w:left w:val="single" w:color="auto" w:sz="4" w:space="0"/>
              <w:bottom w:val="single" w:color="auto" w:sz="4" w:space="0"/>
              <w:right w:val="single" w:color="auto" w:sz="4" w:space="0"/>
            </w:tcBorders>
            <w:noWrap/>
            <w:vAlign w:val="center"/>
          </w:tcPr>
          <w:p w14:paraId="34F56D2E">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13</w:t>
            </w:r>
          </w:p>
        </w:tc>
        <w:tc>
          <w:tcPr>
            <w:tcW w:w="2420" w:type="dxa"/>
            <w:tcBorders>
              <w:top w:val="single" w:color="auto" w:sz="4" w:space="0"/>
              <w:left w:val="single" w:color="auto" w:sz="4" w:space="0"/>
              <w:bottom w:val="single" w:color="auto" w:sz="4" w:space="0"/>
              <w:right w:val="single" w:color="auto" w:sz="4" w:space="0"/>
            </w:tcBorders>
            <w:noWrap/>
            <w:vAlign w:val="center"/>
          </w:tcPr>
          <w:p w14:paraId="09A42EC7">
            <w:pPr>
              <w:widowControl/>
              <w:jc w:val="center"/>
              <w:textAlignment w:val="center"/>
              <w:rPr>
                <w:rFonts w:ascii="宋体" w:hAnsi="宋体" w:cs="宋体"/>
                <w:color w:val="auto"/>
                <w:kern w:val="0"/>
                <w:sz w:val="24"/>
                <w:highlight w:val="none"/>
              </w:rPr>
            </w:pPr>
            <w:r>
              <w:rPr>
                <w:rFonts w:hint="eastAsia" w:ascii="宋体" w:hAnsi="宋体" w:cs="宋体"/>
                <w:color w:val="auto"/>
                <w:kern w:val="0"/>
                <w:sz w:val="22"/>
                <w:szCs w:val="22"/>
                <w:highlight w:val="none"/>
              </w:rPr>
              <w:t>50000</w:t>
            </w:r>
          </w:p>
        </w:tc>
      </w:tr>
      <w:tr w14:paraId="72001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09" w:type="dxa"/>
            <w:tcBorders>
              <w:top w:val="single" w:color="auto" w:sz="4" w:space="0"/>
              <w:left w:val="single" w:color="auto" w:sz="4" w:space="0"/>
              <w:bottom w:val="single" w:color="auto" w:sz="4" w:space="0"/>
              <w:right w:val="single" w:color="auto" w:sz="4" w:space="0"/>
            </w:tcBorders>
            <w:noWrap/>
            <w:vAlign w:val="center"/>
          </w:tcPr>
          <w:p w14:paraId="0FD5CB8A">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5</w:t>
            </w:r>
          </w:p>
        </w:tc>
        <w:tc>
          <w:tcPr>
            <w:tcW w:w="2126" w:type="dxa"/>
            <w:tcBorders>
              <w:top w:val="single" w:color="auto" w:sz="4" w:space="0"/>
              <w:left w:val="single" w:color="auto" w:sz="4" w:space="0"/>
              <w:bottom w:val="single" w:color="auto" w:sz="4" w:space="0"/>
              <w:right w:val="single" w:color="auto" w:sz="4" w:space="0"/>
            </w:tcBorders>
            <w:noWrap/>
            <w:vAlign w:val="center"/>
          </w:tcPr>
          <w:p w14:paraId="075C94C2">
            <w:pPr>
              <w:widowControl/>
              <w:jc w:val="left"/>
              <w:textAlignment w:val="center"/>
              <w:rPr>
                <w:rFonts w:ascii="宋体" w:hAnsi="宋体"/>
                <w:color w:val="auto"/>
                <w:sz w:val="24"/>
                <w:highlight w:val="none"/>
              </w:rPr>
            </w:pPr>
            <w:r>
              <w:rPr>
                <w:rFonts w:hint="eastAsia" w:ascii="宋体" w:hAnsi="宋体" w:cs="宋体"/>
                <w:color w:val="auto"/>
                <w:kern w:val="0"/>
                <w:sz w:val="24"/>
                <w:highlight w:val="none"/>
              </w:rPr>
              <w:t>消控组长、副组长</w:t>
            </w:r>
          </w:p>
        </w:tc>
        <w:tc>
          <w:tcPr>
            <w:tcW w:w="1246" w:type="dxa"/>
            <w:tcBorders>
              <w:top w:val="single" w:color="auto" w:sz="4" w:space="0"/>
              <w:left w:val="single" w:color="auto" w:sz="4" w:space="0"/>
              <w:bottom w:val="single" w:color="auto" w:sz="4" w:space="0"/>
              <w:right w:val="single" w:color="auto" w:sz="4" w:space="0"/>
            </w:tcBorders>
            <w:noWrap/>
            <w:vAlign w:val="center"/>
          </w:tcPr>
          <w:p w14:paraId="1593CE92">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1</w:t>
            </w:r>
          </w:p>
        </w:tc>
        <w:tc>
          <w:tcPr>
            <w:tcW w:w="2420" w:type="dxa"/>
            <w:tcBorders>
              <w:top w:val="single" w:color="auto" w:sz="4" w:space="0"/>
              <w:left w:val="single" w:color="auto" w:sz="4" w:space="0"/>
              <w:bottom w:val="single" w:color="auto" w:sz="4" w:space="0"/>
              <w:right w:val="single" w:color="auto" w:sz="4" w:space="0"/>
            </w:tcBorders>
            <w:noWrap/>
            <w:vAlign w:val="center"/>
          </w:tcPr>
          <w:p w14:paraId="43BFB45A">
            <w:pPr>
              <w:widowControl/>
              <w:jc w:val="center"/>
              <w:textAlignment w:val="center"/>
              <w:rPr>
                <w:rFonts w:ascii="宋体" w:hAnsi="宋体" w:cs="宋体"/>
                <w:color w:val="auto"/>
                <w:kern w:val="0"/>
                <w:sz w:val="24"/>
                <w:highlight w:val="none"/>
              </w:rPr>
            </w:pPr>
            <w:r>
              <w:rPr>
                <w:rFonts w:hint="eastAsia" w:ascii="宋体" w:hAnsi="宋体" w:cs="宋体"/>
                <w:color w:val="auto"/>
                <w:kern w:val="0"/>
                <w:sz w:val="22"/>
                <w:szCs w:val="22"/>
                <w:highlight w:val="none"/>
              </w:rPr>
              <w:t>55200</w:t>
            </w:r>
          </w:p>
        </w:tc>
      </w:tr>
      <w:tr w14:paraId="495BD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09" w:type="dxa"/>
            <w:tcBorders>
              <w:top w:val="single" w:color="auto" w:sz="4" w:space="0"/>
              <w:left w:val="single" w:color="auto" w:sz="4" w:space="0"/>
              <w:bottom w:val="single" w:color="auto" w:sz="4" w:space="0"/>
              <w:right w:val="single" w:color="auto" w:sz="4" w:space="0"/>
            </w:tcBorders>
            <w:noWrap/>
            <w:vAlign w:val="center"/>
          </w:tcPr>
          <w:p w14:paraId="23816DF0">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6</w:t>
            </w:r>
          </w:p>
        </w:tc>
        <w:tc>
          <w:tcPr>
            <w:tcW w:w="2126" w:type="dxa"/>
            <w:tcBorders>
              <w:top w:val="single" w:color="auto" w:sz="4" w:space="0"/>
              <w:left w:val="single" w:color="auto" w:sz="4" w:space="0"/>
              <w:bottom w:val="single" w:color="auto" w:sz="4" w:space="0"/>
              <w:right w:val="single" w:color="auto" w:sz="4" w:space="0"/>
            </w:tcBorders>
            <w:noWrap/>
            <w:vAlign w:val="center"/>
          </w:tcPr>
          <w:p w14:paraId="039244BF">
            <w:pPr>
              <w:widowControl/>
              <w:jc w:val="left"/>
              <w:textAlignment w:val="center"/>
              <w:rPr>
                <w:rFonts w:ascii="宋体" w:hAnsi="宋体"/>
                <w:color w:val="auto"/>
                <w:sz w:val="24"/>
                <w:highlight w:val="none"/>
              </w:rPr>
            </w:pPr>
            <w:r>
              <w:rPr>
                <w:rFonts w:hint="eastAsia" w:ascii="宋体" w:hAnsi="宋体" w:cs="宋体"/>
                <w:color w:val="auto"/>
                <w:kern w:val="0"/>
                <w:sz w:val="24"/>
                <w:highlight w:val="none"/>
              </w:rPr>
              <w:t>消控员</w:t>
            </w:r>
          </w:p>
        </w:tc>
        <w:tc>
          <w:tcPr>
            <w:tcW w:w="1246" w:type="dxa"/>
            <w:tcBorders>
              <w:top w:val="single" w:color="auto" w:sz="4" w:space="0"/>
              <w:left w:val="single" w:color="auto" w:sz="4" w:space="0"/>
              <w:bottom w:val="single" w:color="auto" w:sz="4" w:space="0"/>
              <w:right w:val="single" w:color="auto" w:sz="4" w:space="0"/>
            </w:tcBorders>
            <w:noWrap/>
            <w:vAlign w:val="center"/>
          </w:tcPr>
          <w:p w14:paraId="449B11A5">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8</w:t>
            </w:r>
          </w:p>
        </w:tc>
        <w:tc>
          <w:tcPr>
            <w:tcW w:w="2420" w:type="dxa"/>
            <w:tcBorders>
              <w:top w:val="single" w:color="auto" w:sz="4" w:space="0"/>
              <w:left w:val="single" w:color="auto" w:sz="4" w:space="0"/>
              <w:bottom w:val="single" w:color="auto" w:sz="4" w:space="0"/>
              <w:right w:val="single" w:color="auto" w:sz="4" w:space="0"/>
            </w:tcBorders>
            <w:noWrap/>
            <w:vAlign w:val="center"/>
          </w:tcPr>
          <w:p w14:paraId="6813A85C">
            <w:pPr>
              <w:widowControl/>
              <w:jc w:val="center"/>
              <w:textAlignment w:val="center"/>
              <w:rPr>
                <w:rFonts w:ascii="宋体" w:hAnsi="宋体" w:cs="宋体"/>
                <w:color w:val="auto"/>
                <w:kern w:val="0"/>
                <w:sz w:val="24"/>
                <w:highlight w:val="none"/>
              </w:rPr>
            </w:pPr>
            <w:r>
              <w:rPr>
                <w:rFonts w:hint="eastAsia" w:ascii="宋体" w:hAnsi="宋体" w:cs="宋体"/>
                <w:color w:val="auto"/>
                <w:kern w:val="0"/>
                <w:sz w:val="22"/>
                <w:szCs w:val="22"/>
                <w:highlight w:val="none"/>
              </w:rPr>
              <w:t>48000</w:t>
            </w:r>
          </w:p>
        </w:tc>
      </w:tr>
      <w:tr w14:paraId="55372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09" w:type="dxa"/>
            <w:tcBorders>
              <w:top w:val="single" w:color="auto" w:sz="4" w:space="0"/>
              <w:left w:val="single" w:color="auto" w:sz="4" w:space="0"/>
              <w:bottom w:val="single" w:color="auto" w:sz="4" w:space="0"/>
              <w:right w:val="single" w:color="auto" w:sz="4" w:space="0"/>
            </w:tcBorders>
            <w:noWrap/>
            <w:vAlign w:val="center"/>
          </w:tcPr>
          <w:p w14:paraId="22D87ECF">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7</w:t>
            </w:r>
          </w:p>
        </w:tc>
        <w:tc>
          <w:tcPr>
            <w:tcW w:w="2126" w:type="dxa"/>
            <w:tcBorders>
              <w:top w:val="single" w:color="auto" w:sz="4" w:space="0"/>
              <w:left w:val="single" w:color="auto" w:sz="4" w:space="0"/>
              <w:bottom w:val="single" w:color="auto" w:sz="4" w:space="0"/>
              <w:right w:val="single" w:color="auto" w:sz="4" w:space="0"/>
            </w:tcBorders>
            <w:noWrap/>
            <w:vAlign w:val="center"/>
          </w:tcPr>
          <w:p w14:paraId="3DF1A434">
            <w:pPr>
              <w:widowControl/>
              <w:jc w:val="left"/>
              <w:textAlignment w:val="center"/>
              <w:rPr>
                <w:rFonts w:ascii="宋体" w:hAnsi="宋体"/>
                <w:color w:val="auto"/>
                <w:sz w:val="24"/>
                <w:highlight w:val="none"/>
              </w:rPr>
            </w:pPr>
            <w:r>
              <w:rPr>
                <w:rFonts w:hint="eastAsia" w:ascii="宋体" w:hAnsi="宋体" w:cs="宋体"/>
                <w:color w:val="auto"/>
                <w:kern w:val="0"/>
                <w:sz w:val="24"/>
                <w:highlight w:val="none"/>
              </w:rPr>
              <w:t>普保</w:t>
            </w:r>
          </w:p>
        </w:tc>
        <w:tc>
          <w:tcPr>
            <w:tcW w:w="1246" w:type="dxa"/>
            <w:tcBorders>
              <w:top w:val="single" w:color="auto" w:sz="4" w:space="0"/>
              <w:left w:val="single" w:color="auto" w:sz="4" w:space="0"/>
              <w:bottom w:val="single" w:color="auto" w:sz="4" w:space="0"/>
              <w:right w:val="single" w:color="auto" w:sz="4" w:space="0"/>
            </w:tcBorders>
            <w:noWrap/>
            <w:vAlign w:val="center"/>
          </w:tcPr>
          <w:p w14:paraId="06217A95">
            <w:pPr>
              <w:widowControl/>
              <w:jc w:val="center"/>
              <w:textAlignment w:val="center"/>
              <w:rPr>
                <w:rFonts w:ascii="宋体" w:hAnsi="宋体"/>
                <w:color w:val="auto"/>
                <w:sz w:val="24"/>
                <w:highlight w:val="none"/>
              </w:rPr>
            </w:pPr>
            <w:r>
              <w:rPr>
                <w:rFonts w:hint="eastAsia" w:ascii="宋体" w:hAnsi="宋体" w:cs="宋体"/>
                <w:color w:val="auto"/>
                <w:kern w:val="0"/>
                <w:sz w:val="24"/>
                <w:highlight w:val="none"/>
              </w:rPr>
              <w:t>136</w:t>
            </w:r>
          </w:p>
        </w:tc>
        <w:tc>
          <w:tcPr>
            <w:tcW w:w="2420" w:type="dxa"/>
            <w:tcBorders>
              <w:top w:val="single" w:color="auto" w:sz="4" w:space="0"/>
              <w:left w:val="single" w:color="auto" w:sz="4" w:space="0"/>
              <w:bottom w:val="single" w:color="auto" w:sz="4" w:space="0"/>
              <w:right w:val="single" w:color="auto" w:sz="4" w:space="0"/>
            </w:tcBorders>
            <w:noWrap/>
            <w:vAlign w:val="center"/>
          </w:tcPr>
          <w:p w14:paraId="28024985">
            <w:pPr>
              <w:widowControl/>
              <w:jc w:val="center"/>
              <w:textAlignment w:val="center"/>
              <w:rPr>
                <w:rFonts w:ascii="宋体" w:hAnsi="宋体"/>
                <w:color w:val="auto"/>
                <w:sz w:val="24"/>
                <w:highlight w:val="none"/>
              </w:rPr>
            </w:pPr>
          </w:p>
        </w:tc>
      </w:tr>
      <w:tr w14:paraId="3373C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835" w:type="dxa"/>
            <w:gridSpan w:val="2"/>
            <w:tcBorders>
              <w:top w:val="single" w:color="auto" w:sz="4" w:space="0"/>
              <w:left w:val="single" w:color="auto" w:sz="4" w:space="0"/>
              <w:bottom w:val="single" w:color="auto" w:sz="4" w:space="0"/>
              <w:right w:val="single" w:color="auto" w:sz="4" w:space="0"/>
            </w:tcBorders>
            <w:noWrap/>
            <w:vAlign w:val="center"/>
          </w:tcPr>
          <w:p w14:paraId="5D10F3EE">
            <w:pPr>
              <w:widowControl/>
              <w:jc w:val="left"/>
              <w:textAlignment w:val="center"/>
              <w:rPr>
                <w:rFonts w:ascii="宋体" w:hAnsi="宋体" w:cs="宋体"/>
                <w:color w:val="auto"/>
                <w:kern w:val="0"/>
                <w:sz w:val="24"/>
                <w:highlight w:val="none"/>
              </w:rPr>
            </w:pPr>
            <w:r>
              <w:rPr>
                <w:rFonts w:hint="eastAsia" w:ascii="宋体" w:hAnsi="宋体" w:cs="宋体"/>
                <w:color w:val="auto"/>
                <w:kern w:val="0"/>
                <w:sz w:val="24"/>
                <w:highlight w:val="none"/>
              </w:rPr>
              <w:t>合计</w:t>
            </w:r>
          </w:p>
        </w:tc>
        <w:tc>
          <w:tcPr>
            <w:tcW w:w="1246" w:type="dxa"/>
            <w:tcBorders>
              <w:top w:val="single" w:color="auto" w:sz="4" w:space="0"/>
              <w:left w:val="single" w:color="auto" w:sz="4" w:space="0"/>
              <w:bottom w:val="single" w:color="auto" w:sz="4" w:space="0"/>
              <w:right w:val="single" w:color="auto" w:sz="4" w:space="0"/>
            </w:tcBorders>
            <w:noWrap/>
            <w:vAlign w:val="center"/>
          </w:tcPr>
          <w:p w14:paraId="7DBD408A">
            <w:pPr>
              <w:widowControl/>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168</w:t>
            </w:r>
          </w:p>
        </w:tc>
        <w:tc>
          <w:tcPr>
            <w:tcW w:w="2420" w:type="dxa"/>
            <w:tcBorders>
              <w:top w:val="single" w:color="auto" w:sz="4" w:space="0"/>
              <w:left w:val="single" w:color="auto" w:sz="4" w:space="0"/>
              <w:bottom w:val="single" w:color="auto" w:sz="4" w:space="0"/>
              <w:right w:val="single" w:color="auto" w:sz="4" w:space="0"/>
            </w:tcBorders>
            <w:noWrap/>
            <w:vAlign w:val="center"/>
          </w:tcPr>
          <w:p w14:paraId="04F65AF4">
            <w:pPr>
              <w:widowControl/>
              <w:jc w:val="center"/>
              <w:textAlignment w:val="center"/>
              <w:rPr>
                <w:rFonts w:ascii="宋体" w:hAnsi="宋体" w:cs="宋体"/>
                <w:color w:val="auto"/>
                <w:kern w:val="0"/>
                <w:sz w:val="22"/>
                <w:szCs w:val="22"/>
                <w:highlight w:val="none"/>
              </w:rPr>
            </w:pPr>
          </w:p>
        </w:tc>
      </w:tr>
    </w:tbl>
    <w:p w14:paraId="165CD96E">
      <w:pPr>
        <w:widowControl/>
        <w:spacing w:line="360" w:lineRule="auto"/>
        <w:ind w:firstLine="480" w:firstLineChars="200"/>
        <w:jc w:val="left"/>
        <w:outlineLvl w:val="1"/>
        <w:rPr>
          <w:rFonts w:ascii="宋体" w:hAnsi="宋体" w:cs="Arial"/>
          <w:color w:val="auto"/>
          <w:sz w:val="24"/>
          <w:highlight w:val="none"/>
        </w:rPr>
      </w:pPr>
      <w:r>
        <w:rPr>
          <w:rFonts w:hint="eastAsia" w:ascii="宋体" w:hAnsi="宋体" w:cs="Arial"/>
          <w:color w:val="auto"/>
          <w:sz w:val="24"/>
          <w:highlight w:val="none"/>
        </w:rPr>
        <w:t>（服务人员薪金要求均为最低限数</w:t>
      </w:r>
      <w:r>
        <w:rPr>
          <w:rFonts w:hint="eastAsia" w:ascii="宋体" w:hAnsi="宋体" w:cs="Arial"/>
          <w:color w:val="auto"/>
          <w:sz w:val="24"/>
          <w:highlight w:val="none"/>
          <w:lang w:eastAsia="zh-CN"/>
        </w:rPr>
        <w:t>且</w:t>
      </w:r>
      <w:r>
        <w:rPr>
          <w:rFonts w:hint="eastAsia" w:ascii="宋体" w:hAnsi="宋体" w:cs="Arial"/>
          <w:color w:val="auto"/>
          <w:sz w:val="24"/>
          <w:highlight w:val="none"/>
        </w:rPr>
        <w:t>不包含住宿费用、法定节日加班费、夜餐费、企业给予福利部分、岗位津贴、高温费、感染补贴、企业应缴纳的社保部分。如低于要求，差额部分全额扣除）</w:t>
      </w:r>
    </w:p>
    <w:p w14:paraId="1815D8EA">
      <w:pPr>
        <w:widowControl/>
        <w:spacing w:line="360" w:lineRule="auto"/>
        <w:ind w:firstLine="480" w:firstLineChars="200"/>
        <w:jc w:val="left"/>
        <w:outlineLvl w:val="1"/>
        <w:rPr>
          <w:rFonts w:ascii="宋体" w:hAnsi="宋体" w:cs="Arial"/>
          <w:color w:val="auto"/>
          <w:sz w:val="24"/>
          <w:highlight w:val="none"/>
        </w:rPr>
      </w:pPr>
      <w:r>
        <w:rPr>
          <w:rFonts w:hint="eastAsia" w:ascii="宋体" w:hAnsi="宋体" w:cs="Arial"/>
          <w:color w:val="auto"/>
          <w:sz w:val="24"/>
          <w:highlight w:val="none"/>
        </w:rPr>
        <w:t>具体岗位如下表所示：</w:t>
      </w:r>
    </w:p>
    <w:p w14:paraId="6F8C82D2">
      <w:pPr>
        <w:widowControl/>
        <w:spacing w:line="360" w:lineRule="auto"/>
        <w:outlineLvl w:val="1"/>
        <w:rPr>
          <w:rFonts w:ascii="宋体" w:hAnsi="宋体" w:cs="Arial"/>
          <w:b/>
          <w:bCs/>
          <w:color w:val="auto"/>
          <w:sz w:val="24"/>
          <w:highlight w:val="none"/>
        </w:rPr>
      </w:pPr>
      <w:r>
        <w:rPr>
          <w:color w:val="auto"/>
          <w:highlight w:val="none"/>
        </w:rPr>
        <w:drawing>
          <wp:inline distT="0" distB="0" distL="114300" distR="114300">
            <wp:extent cx="5967730" cy="1343025"/>
            <wp:effectExtent l="0" t="0" r="13970" b="952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0"/>
                    <a:stretch>
                      <a:fillRect/>
                    </a:stretch>
                  </pic:blipFill>
                  <pic:spPr>
                    <a:xfrm>
                      <a:off x="0" y="0"/>
                      <a:ext cx="5967730" cy="1343025"/>
                    </a:xfrm>
                    <a:prstGeom prst="rect">
                      <a:avLst/>
                    </a:prstGeom>
                    <a:noFill/>
                    <a:ln>
                      <a:noFill/>
                    </a:ln>
                  </pic:spPr>
                </pic:pic>
              </a:graphicData>
            </a:graphic>
          </wp:inline>
        </w:drawing>
      </w:r>
    </w:p>
    <w:p w14:paraId="15E7E814">
      <w:pPr>
        <w:widowControl/>
        <w:spacing w:line="360" w:lineRule="auto"/>
        <w:outlineLvl w:val="1"/>
        <w:rPr>
          <w:rFonts w:ascii="宋体" w:hAnsi="宋体" w:cs="Arial"/>
          <w:b/>
          <w:bCs/>
          <w:color w:val="auto"/>
          <w:sz w:val="24"/>
          <w:highlight w:val="none"/>
        </w:rPr>
      </w:pPr>
      <w:r>
        <w:rPr>
          <w:rFonts w:hint="eastAsia" w:ascii="宋体" w:hAnsi="宋体" w:cs="Arial"/>
          <w:b/>
          <w:bCs/>
          <w:color w:val="auto"/>
          <w:sz w:val="24"/>
          <w:highlight w:val="none"/>
        </w:rPr>
        <w:t>5.2项目实施</w:t>
      </w:r>
    </w:p>
    <w:p w14:paraId="165F91F1">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本项目采购服务期限为3年，逐年考核实施，即当年度服务期满前一个月医院业务主管职能部门组织当年度履约验收，验收合格方可继续执行下一年度服务，否则医院有权提前终止合同。</w:t>
      </w:r>
    </w:p>
    <w:p w14:paraId="6BE25B65">
      <w:pPr>
        <w:widowControl/>
        <w:spacing w:line="360" w:lineRule="auto"/>
        <w:outlineLvl w:val="1"/>
        <w:rPr>
          <w:rFonts w:ascii="宋体" w:hAnsi="宋体" w:cs="Arial"/>
          <w:b/>
          <w:bCs/>
          <w:color w:val="auto"/>
          <w:sz w:val="24"/>
          <w:highlight w:val="none"/>
        </w:rPr>
      </w:pPr>
      <w:r>
        <w:rPr>
          <w:rFonts w:hint="eastAsia" w:ascii="宋体" w:hAnsi="宋体" w:cs="Arial"/>
          <w:b/>
          <w:bCs/>
          <w:color w:val="auto"/>
          <w:sz w:val="24"/>
          <w:highlight w:val="none"/>
        </w:rPr>
        <w:t>5.3 服务内容</w:t>
      </w:r>
    </w:p>
    <w:p w14:paraId="002FAEB8">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1.门卫管理： </w:t>
      </w:r>
    </w:p>
    <w:p w14:paraId="20508662">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（1）实行二十四小时定岗值班。 </w:t>
      </w:r>
    </w:p>
    <w:p w14:paraId="171745F0">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（2）建立《门卫职责》和《物资进出门核查制度》。 </w:t>
      </w:r>
    </w:p>
    <w:p w14:paraId="6B72CA0F">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（3）确保大门及周边的环境良好，交通通畅。 </w:t>
      </w:r>
    </w:p>
    <w:p w14:paraId="7D622535">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（4）清理大门外无证摊贩占道经营。 </w:t>
      </w:r>
    </w:p>
    <w:p w14:paraId="6FA310F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（5）禁止</w:t>
      </w:r>
      <w:r>
        <w:rPr>
          <w:rFonts w:hint="eastAsia" w:ascii="宋体" w:hAnsi="宋体" w:cs="Arial"/>
          <w:color w:val="auto"/>
          <w:sz w:val="24"/>
          <w:highlight w:val="none"/>
          <w:lang w:eastAsia="zh-CN"/>
        </w:rPr>
        <w:t>营利</w:t>
      </w:r>
      <w:r>
        <w:rPr>
          <w:rFonts w:hint="eastAsia" w:ascii="宋体" w:hAnsi="宋体" w:cs="Arial"/>
          <w:color w:val="auto"/>
          <w:sz w:val="24"/>
          <w:highlight w:val="none"/>
        </w:rPr>
        <w:t xml:space="preserve">车辆、山寨救护车出入，保持出入口畅通。禁止共享单车进入院区。 </w:t>
      </w:r>
    </w:p>
    <w:p w14:paraId="3458352D">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（6）引导各类车辆进出，按不同功能区域有序停放。 </w:t>
      </w:r>
    </w:p>
    <w:p w14:paraId="07B7935F">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（7）维护进出口以及院内的正常交通秩序。 </w:t>
      </w:r>
    </w:p>
    <w:p w14:paraId="5B09097C">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（8）检查进出医院的物资，确保医院的物品不流失。 </w:t>
      </w:r>
    </w:p>
    <w:p w14:paraId="0F04BD77">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（9）投标单位必须配合医院荣润公司对机动车辆的收费管理，做好收费闸口换班及无现金收费的管理。 </w:t>
      </w:r>
    </w:p>
    <w:p w14:paraId="30C1733F">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2.停车场秩序管理服务： </w:t>
      </w:r>
    </w:p>
    <w:p w14:paraId="6F02D9B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（1）维持机动车和非机动车停放秩序。 </w:t>
      </w:r>
    </w:p>
    <w:p w14:paraId="61932D7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（2）加强巡视，对地下室车库内重要设施是否完备每日核查。 </w:t>
      </w:r>
    </w:p>
    <w:p w14:paraId="3D0DF89A">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（3）开展地下室停车管理，包括一期、二期的地下室，对地下机动车库进行秩序监管，不得超量停车，确保出入口畅通，库内交通顺畅。</w:t>
      </w:r>
    </w:p>
    <w:p w14:paraId="37582E67">
      <w:pPr>
        <w:widowControl/>
        <w:spacing w:line="360" w:lineRule="auto"/>
        <w:ind w:firstLine="480" w:firstLineChars="200"/>
        <w:outlineLvl w:val="1"/>
        <w:rPr>
          <w:color w:val="auto"/>
          <w:highlight w:val="none"/>
        </w:rPr>
      </w:pPr>
      <w:r>
        <w:rPr>
          <w:rFonts w:hint="eastAsia" w:ascii="宋体" w:hAnsi="宋体" w:cs="Arial"/>
          <w:color w:val="auto"/>
          <w:sz w:val="24"/>
          <w:highlight w:val="none"/>
        </w:rPr>
        <w:t>（4）停车楼保安负责确保停车场安全，包括监控车辆进出、维护秩序，及时处理突发事件，确保出入口畅通，库内交通顺畅，保障人员和财产安全。</w:t>
      </w:r>
    </w:p>
    <w:p w14:paraId="5D1A8E35">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3.配合采购人开展相应的警示服务： </w:t>
      </w:r>
    </w:p>
    <w:p w14:paraId="6D783DA2">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（1）配合采购人在适当的地方张贴防盗警示语，提醒病人及家属保管好自己的物品。 </w:t>
      </w:r>
    </w:p>
    <w:p w14:paraId="6F67766D">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（2）配合采购人在各病区利用各种办法通知病人及家属，注意保管自己的贵重物品。 </w:t>
      </w:r>
    </w:p>
    <w:p w14:paraId="32E38947">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（3）配合采购人在办公区域张贴宣传标语，警示员工注意防火防盗。 </w:t>
      </w:r>
    </w:p>
    <w:p w14:paraId="47D6E338">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（4）配合采购人在消防重点区域必须张贴禁火标语。 </w:t>
      </w:r>
    </w:p>
    <w:p w14:paraId="3DAEB5EF">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4.病区陪人管理： </w:t>
      </w:r>
    </w:p>
    <w:p w14:paraId="56D57B69">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（1）根据浙江省三级甲类医院的要求进行陪人管理，执行医院的《探视制度》。 </w:t>
      </w:r>
    </w:p>
    <w:p w14:paraId="43A50F9A">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（2）每日 7：30—8：30 加强对病区的管理，清理病区内的陪人，方便医护人员查房。 </w:t>
      </w:r>
    </w:p>
    <w:p w14:paraId="1C7378E7">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（3）21：30—6：30 严格控制病区陪人，原则上一病人一陪人，确保病人有安宁的休息环境。 </w:t>
      </w:r>
    </w:p>
    <w:p w14:paraId="0FC0D4F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（4）对医院公共区域要进行严格管理，严禁病人家属及闲杂人员在该区域滞留和打地铺睡觉。 </w:t>
      </w:r>
    </w:p>
    <w:p w14:paraId="5289690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（5）若医院作息时间有调整，中标单位必须无条件服从。 </w:t>
      </w:r>
    </w:p>
    <w:p w14:paraId="7D6C089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5.消防管理： </w:t>
      </w:r>
    </w:p>
    <w:p w14:paraId="0697A21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（1）建立完整的《消防管理制度》、《消防检查制度》、《消防日巡视制度》以及《灭火疏散应急预案》等台账，并落实、定期组织演练。 </w:t>
      </w:r>
    </w:p>
    <w:p w14:paraId="433F5C1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2）每月一次对院区进行规定项目（灭火器是否完好有效；消防水带水枪是否齐全；消防栓是否有水；应急疏散通道是否畅通；安全疏散通道标志、安全出口标志、应急照明装置是否完好有效）的消防大检查，并作登记备档；有违反消防规定的，要及时通知整改，并监督整改过程。 </w:t>
      </w:r>
    </w:p>
    <w:p w14:paraId="0122348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（3）建立院区消防器材分布图档案，按规定进行“消防四个能力建设”，并在每个病房张贴安全 疏散示意图（印刷品院方提供），与各病区的消防责任人签订消防协议，以明确责任，共同管理。 </w:t>
      </w:r>
    </w:p>
    <w:p w14:paraId="3D91769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（4）组织义务消防队，制定《义务消防队工作制度》和《义务消防队员职责》，组织义务消防队 员学习、训练及演练。 </w:t>
      </w:r>
    </w:p>
    <w:p w14:paraId="15D081F2">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（5）按规定进行“消防四个能力建设”要求每日进行巡查，查处违章用电、用火、用气情况；保持消防通道通畅；建立消防重点部门（配电房、木工间、氧气间等）的管理规范。 </w:t>
      </w:r>
    </w:p>
    <w:p w14:paraId="69D2D47D">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（6）当接收到一体化报警中心报警时，应按照消防部门规定的“一分钟有反馈，三分钟到达现场，五分钟灭初期火灾”要求。一体化报警中心的其他报警处理也参照消防规定的时间。 </w:t>
      </w:r>
    </w:p>
    <w:p w14:paraId="75D377F2">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（7）组织队员进行每二小时一次的防火巡查，每日对消防安全重点部位巡查，并做好台账。 </w:t>
      </w:r>
    </w:p>
    <w:p w14:paraId="6BDA626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6.医院公共安全指挥中心的管理： </w:t>
      </w:r>
    </w:p>
    <w:p w14:paraId="15E82BBD">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医院将视频监控室和消防监控室合并建设为一体化报警中心，由维保消防服务公司负责一体化报警后中心的运行，中标人必须服从报警中心的指挥，当接到指令后，安保队必须确保二名以上的队员在三分钟内赶赴呼叫现场，及时控制事态，确保医护人员人身的绝对安全及医院财物不受破坏。 </w:t>
      </w:r>
    </w:p>
    <w:p w14:paraId="124FC1FD">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（2）中标人应确保每班的带队队长应首先从报警中心进行交接班，传达工作信息，保持班内至少 2 小时在报警中心值班。采购人遇到重大节日或特定活动，可以要求中标人安排一名队长全部在报警中心值守。 </w:t>
      </w:r>
    </w:p>
    <w:p w14:paraId="5283B9B2">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（3）采购人要求中标人必须提供每日巡查的信息化打卡数据，并要求中标人每日提供按照采购人抽查要求从视频监控系统内对安保人员巡查的图像截屏资料，每日上午 9 时汇总后报送采购人检查确认。</w:t>
      </w:r>
    </w:p>
    <w:p w14:paraId="3E0C18B0">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（4）操作视频监控系统时应服从医院对视频系统管理要求，服从消防外包单位对视频系统使用的管理要求。 </w:t>
      </w:r>
    </w:p>
    <w:p w14:paraId="06E6DEC9">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7.治安及安检设备的管理： </w:t>
      </w:r>
    </w:p>
    <w:p w14:paraId="24262E34">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（1）对服务区域内进行定时有效的巡逻，确保医院、病人及家属的财产不受损失。 </w:t>
      </w:r>
    </w:p>
    <w:p w14:paraId="3486640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（2）制定预案，针对医院的情况，积极应对各类治安案件。 </w:t>
      </w:r>
    </w:p>
    <w:p w14:paraId="12B64BAC">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（3）严密监控医院的重点要害部位，发现报警立即出击。 </w:t>
      </w:r>
    </w:p>
    <w:p w14:paraId="7F83CC58">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（4）根据省市卫健委及省市公安部门要求，人员进入医院诊疗区域必须进行安检，维护院区各大窗口的秩序和安全。 </w:t>
      </w:r>
    </w:p>
    <w:p w14:paraId="5C50FF02">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（5）维护各诊室的秩序，杜绝围观现象。  </w:t>
      </w:r>
    </w:p>
    <w:p w14:paraId="3E290E0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6）易燃易爆剧毒麻醉药品以及各类危险品的管理。制定《易燃易爆剧毒麻醉药品以及各类危险品的管理制度》，以及易燃易爆剧毒麻醉药品以及各类危险品进院时的运输路线，建立易燃易爆剧毒麻醉药品以及各类危险品的登记工作，并经常进行检查。 </w:t>
      </w:r>
    </w:p>
    <w:p w14:paraId="1729B355">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7）重点要害部位的管理。确定院区的重点要害部位，登记重点要害部位工作人员的情况，制定《重点要害部位的管理制度》，落实重点要害部位的防范措施（三防），每月对红外线报警系统进行检查，确保系统的完好有效。 </w:t>
      </w:r>
    </w:p>
    <w:p w14:paraId="6D1D26EA">
      <w:pPr>
        <w:widowControl/>
        <w:spacing w:line="360" w:lineRule="auto"/>
        <w:ind w:firstLine="480" w:firstLineChars="200"/>
        <w:outlineLvl w:val="1"/>
        <w:rPr>
          <w:color w:val="auto"/>
          <w:highlight w:val="none"/>
        </w:rPr>
      </w:pPr>
      <w:r>
        <w:rPr>
          <w:rFonts w:hint="eastAsia" w:ascii="宋体" w:hAnsi="宋体" w:cs="Arial"/>
          <w:color w:val="auto"/>
          <w:sz w:val="24"/>
          <w:highlight w:val="none"/>
        </w:rPr>
        <w:t xml:space="preserve">（8）及时有效制止各种突发事件和医疗纠纷。保证解决纠纷时有足够的人员和装备，竭力保证医务人员的尊严、保证人身不受侵犯。如出现人身伤害事件，一定要滞留住肇事人员。 </w:t>
      </w:r>
    </w:p>
    <w:p w14:paraId="233B6AA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8.开发区分院的安防管理</w:t>
      </w:r>
    </w:p>
    <w:p w14:paraId="4827C001">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（1）实行二十四小时定岗值班。 </w:t>
      </w:r>
    </w:p>
    <w:p w14:paraId="3E6C21E1">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（2）严格执行人员、物资进出门核查制度，防止发生盗窃事件。 </w:t>
      </w:r>
    </w:p>
    <w:p w14:paraId="17918749">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（3）加强巡视，对院区重要设施是否完备每日核查。</w:t>
      </w:r>
    </w:p>
    <w:p w14:paraId="5BE06607">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（4）按照消防部门有关规定做好消防巡查及登记工作，如有事宜能够按照应急响应流程及时上报处置。</w:t>
      </w:r>
    </w:p>
    <w:p w14:paraId="46596122">
      <w:pPr>
        <w:widowControl/>
        <w:spacing w:line="360" w:lineRule="auto"/>
        <w:outlineLvl w:val="1"/>
        <w:rPr>
          <w:rFonts w:ascii="宋体" w:hAnsi="宋体" w:cs="Arial"/>
          <w:b/>
          <w:bCs/>
          <w:color w:val="auto"/>
          <w:sz w:val="24"/>
          <w:highlight w:val="none"/>
        </w:rPr>
      </w:pPr>
      <w:r>
        <w:rPr>
          <w:rFonts w:hint="eastAsia" w:ascii="宋体" w:hAnsi="宋体"/>
          <w:b/>
          <w:color w:val="auto"/>
          <w:sz w:val="24"/>
          <w:highlight w:val="none"/>
        </w:rPr>
        <w:t>七、采购项目服务要求：</w:t>
      </w:r>
    </w:p>
    <w:p w14:paraId="6F496480">
      <w:pPr>
        <w:widowControl/>
        <w:spacing w:line="360" w:lineRule="auto"/>
        <w:outlineLvl w:val="1"/>
        <w:rPr>
          <w:rFonts w:ascii="宋体" w:hAnsi="宋体" w:cs="Arial"/>
          <w:b/>
          <w:bCs/>
          <w:color w:val="auto"/>
          <w:sz w:val="24"/>
          <w:highlight w:val="none"/>
        </w:rPr>
      </w:pPr>
      <w:r>
        <w:rPr>
          <w:rFonts w:hint="eastAsia" w:ascii="宋体" w:hAnsi="宋体" w:cs="Arial"/>
          <w:b/>
          <w:bCs/>
          <w:color w:val="auto"/>
          <w:sz w:val="24"/>
          <w:highlight w:val="none"/>
        </w:rPr>
        <w:t>6.1人员要求：</w:t>
      </w:r>
    </w:p>
    <w:p w14:paraId="7B1C0C6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1、本项目中标单位需为湖州市中心医院本部提供160名保安服务人员</w:t>
      </w:r>
      <w:r>
        <w:rPr>
          <w:rFonts w:hint="eastAsia" w:ascii="宋体" w:hAnsi="宋体" w:cs="Arial"/>
          <w:color w:val="auto"/>
          <w:sz w:val="24"/>
          <w:highlight w:val="none"/>
          <w:lang w:eastAsia="zh-CN"/>
        </w:rPr>
        <w:t>（</w:t>
      </w:r>
      <w:r>
        <w:rPr>
          <w:rFonts w:hint="eastAsia" w:ascii="宋体" w:hAnsi="宋体" w:cs="Arial"/>
          <w:color w:val="auto"/>
          <w:sz w:val="24"/>
          <w:highlight w:val="none"/>
        </w:rPr>
        <w:t>其中消控人员9名男性，安检人员24名女性，警务站15名男性)，</w:t>
      </w:r>
      <w:r>
        <w:rPr>
          <w:rFonts w:hint="eastAsia" w:ascii="宋体" w:hAnsi="宋体" w:cs="Arial"/>
          <w:b/>
          <w:bCs/>
          <w:color w:val="auto"/>
          <w:sz w:val="24"/>
          <w:highlight w:val="none"/>
        </w:rPr>
        <w:t>50岁以下人员比例满足卫健、公安厅要求。</w:t>
      </w:r>
      <w:r>
        <w:rPr>
          <w:rFonts w:hint="eastAsia" w:ascii="宋体" w:hAnsi="宋体" w:cs="Arial"/>
          <w:color w:val="auto"/>
          <w:sz w:val="24"/>
          <w:highlight w:val="none"/>
        </w:rPr>
        <w:t>各岗位的保安人员可按采购人需求随意调配使用，且160名保安人员具备驾驶证的人数不少于40人及巡逻电瓶车操作证人数不少于8人（以上人员需提供相关证明材料和证书）。</w:t>
      </w:r>
    </w:p>
    <w:p w14:paraId="7C24DCB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（1）所有人员必须持有从业资格证，其中消控室及专职消防员人员</w:t>
      </w:r>
      <w:r>
        <w:rPr>
          <w:rFonts w:hint="eastAsia" w:ascii="宋体" w:hAnsi="宋体" w:cs="Arial"/>
          <w:color w:val="auto"/>
          <w:sz w:val="24"/>
          <w:highlight w:val="none"/>
          <w:lang w:eastAsia="zh-CN"/>
        </w:rPr>
        <w:t>须具备</w:t>
      </w:r>
      <w:r>
        <w:rPr>
          <w:rFonts w:hint="eastAsia" w:ascii="宋体" w:hAnsi="宋体" w:cs="Arial"/>
          <w:color w:val="auto"/>
          <w:sz w:val="24"/>
          <w:highlight w:val="none"/>
        </w:rPr>
        <w:t>中级及以上建（构）筑物消防员证，具备驾驶证的人数不少于40人，所有人员需熟知消防的四个能力建设，并能熟练的使用反恐防暴器材及消防器材设备等。</w:t>
      </w:r>
    </w:p>
    <w:p w14:paraId="21705A49">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2）男性保安为136名，年龄18——法定退休年龄以下，身高1.70米以上；女性保安为24名，年龄18——40周岁以下，身高1.60米以上，（高中及以上学历，五官端正，身体健康，思维正常，视（裸）力0.8以上；身体无残疾，无明显标记，无传染病或</w:t>
      </w:r>
      <w:r>
        <w:rPr>
          <w:rFonts w:hint="eastAsia" w:ascii="宋体" w:hAnsi="宋体" w:cs="Arial"/>
          <w:color w:val="auto"/>
          <w:sz w:val="24"/>
          <w:highlight w:val="none"/>
          <w:lang w:eastAsia="zh-CN"/>
        </w:rPr>
        <w:t>其他不</w:t>
      </w:r>
      <w:r>
        <w:rPr>
          <w:rFonts w:hint="eastAsia" w:ascii="宋体" w:hAnsi="宋体" w:cs="Arial"/>
          <w:color w:val="auto"/>
          <w:sz w:val="24"/>
          <w:highlight w:val="none"/>
        </w:rPr>
        <w:t>适宜从事保安服务的病损），在湖州市中心医院定点体检，费用公司自理。均不得在外兼职，以上所有队员均须持证上岗，全员缴纳社保。具备吃苦耐劳、工作认真仔细、能满足医院岗位要求、身体健康，做到仪表端正、着装整齐、形象良好。</w:t>
      </w:r>
    </w:p>
    <w:p w14:paraId="56BC6F8C">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（3）未受过刑事、劳动教养、治安处罚等处分，品性端正、作风正派、遵纪守法。</w:t>
      </w:r>
    </w:p>
    <w:p w14:paraId="5713544A">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（4）能流利使用普通话及本地方言。</w:t>
      </w:r>
    </w:p>
    <w:p w14:paraId="0F16DF7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5）保安正、副队长具备大专及以上学历，年龄不超过40岁，具有3年以上三甲医院保卫工作经验，精通电脑办公软件操作，有协调能力，能适应采购人的各项工作要求，能进行良好沟通及密切配合，退伍军人优先，人员优秀可适当放宽条件。队长实行24小时听班制。中标后，队长未经采购人同意不得随意更换，否则采购人有权在服务费用扣除相应的费用。</w:t>
      </w:r>
    </w:p>
    <w:p w14:paraId="608F5820">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6）班长（包括消控、特保、交协）具备中专及以上学历，年龄不超过50岁，具有3年以上三甲医院工作经验，精通电脑办公软件操作，能承上启下、协调员工、能带教新进院保安人员，退伍军人优先，人员优秀可适当放宽条件。</w:t>
      </w:r>
    </w:p>
    <w:p w14:paraId="562DC49B">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（7）特保具备高中及以上学历，年龄不超过45岁，具有3年以上工作经验，精通电脑办公软件操作，退伍军人优先，人员优秀可适当放宽条件。</w:t>
      </w:r>
    </w:p>
    <w:p w14:paraId="0FA334A4">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（8）保安正副队长常日班，消控室及各岗位安保人员四班三运转。</w:t>
      </w:r>
    </w:p>
    <w:p w14:paraId="4DB45C3A">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（9）公司派驻此项目一名专职管理人员（每星期需到位一天），负责此项目的运行管理，进行检查督促工作。（费用从公司管理费中支出）</w:t>
      </w:r>
    </w:p>
    <w:p w14:paraId="29B77A47">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2、本项目中标单位需为湖州市中心医院开发区分院提供8名保安服务人员。各岗位的保安人员可按采购人需求随意调配使用，且8名保安人员具备驾驶证的人数不少于4人。（以上人员需提供相关证明材料和证书）</w:t>
      </w:r>
    </w:p>
    <w:p w14:paraId="48984738">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（1）所有人员必须持有从业资格证，其中消控室及专职消防员人员</w:t>
      </w:r>
      <w:r>
        <w:rPr>
          <w:rFonts w:hint="eastAsia" w:ascii="宋体" w:hAnsi="宋体" w:cs="Arial"/>
          <w:color w:val="auto"/>
          <w:sz w:val="24"/>
          <w:highlight w:val="none"/>
          <w:lang w:eastAsia="zh-CN"/>
        </w:rPr>
        <w:t>须具备</w:t>
      </w:r>
      <w:r>
        <w:rPr>
          <w:rFonts w:hint="eastAsia" w:ascii="宋体" w:hAnsi="宋体" w:cs="Arial"/>
          <w:color w:val="auto"/>
          <w:sz w:val="24"/>
          <w:highlight w:val="none"/>
        </w:rPr>
        <w:t>建（构）筑物消防员证，具备驾驶证的人数不少于4人，所有人员需熟知消防的四个能力建设，并能熟练的使用反恐防暴器材及消防器材设备等。</w:t>
      </w:r>
    </w:p>
    <w:p w14:paraId="6B5C4F3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（2）男性保安为8名，年龄18——60周岁以下，身高1.70米以上；身体无残疾，无明显标记，无传染病或</w:t>
      </w:r>
      <w:r>
        <w:rPr>
          <w:rFonts w:hint="eastAsia" w:ascii="宋体" w:hAnsi="宋体" w:cs="Arial"/>
          <w:color w:val="auto"/>
          <w:sz w:val="24"/>
          <w:highlight w:val="none"/>
          <w:lang w:eastAsia="zh-CN"/>
        </w:rPr>
        <w:t>其他不</w:t>
      </w:r>
      <w:r>
        <w:rPr>
          <w:rFonts w:hint="eastAsia" w:ascii="宋体" w:hAnsi="宋体" w:cs="Arial"/>
          <w:color w:val="auto"/>
          <w:sz w:val="24"/>
          <w:highlight w:val="none"/>
        </w:rPr>
        <w:t>适宜从事保安服务的病损），在湖州市中心医院定点体检，费用公司自理。均不得在外兼职，以上所有队员均须持证上岗，全员缴纳社保。具备吃苦耐劳、工作认真仔细、能满足医院岗位要求、身体健康，做到仪表端正、着装整齐、形象良好。</w:t>
      </w:r>
    </w:p>
    <w:p w14:paraId="37B2813A">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（3）未受过刑事、劳动教养、治安处罚等处分，品性端正、作风正派、遵纪守法。</w:t>
      </w:r>
    </w:p>
    <w:p w14:paraId="0D217885">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（4）能流利使用普通话及本地方言。</w:t>
      </w:r>
    </w:p>
    <w:p w14:paraId="6C921D44">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（5）班长具备中专及以上学历，年龄不超过45岁，具有3年以上工作经验，精通电脑办公软件操作，退伍军人优先，人员优秀可适当放宽条件。</w:t>
      </w:r>
    </w:p>
    <w:p w14:paraId="16D8312C">
      <w:pPr>
        <w:widowControl/>
        <w:spacing w:line="360" w:lineRule="auto"/>
        <w:outlineLvl w:val="1"/>
        <w:rPr>
          <w:rFonts w:ascii="宋体" w:hAnsi="宋体" w:cs="Arial"/>
          <w:color w:val="auto"/>
          <w:sz w:val="24"/>
          <w:highlight w:val="none"/>
        </w:rPr>
      </w:pPr>
      <w:r>
        <w:rPr>
          <w:rFonts w:hint="eastAsia" w:ascii="宋体" w:hAnsi="宋体" w:cs="Arial"/>
          <w:b/>
          <w:bCs/>
          <w:color w:val="auto"/>
          <w:sz w:val="24"/>
          <w:highlight w:val="none"/>
        </w:rPr>
        <w:t xml:space="preserve">6.2装备设施要求： </w:t>
      </w:r>
    </w:p>
    <w:p w14:paraId="00FCD0F6">
      <w:pPr>
        <w:widowControl/>
        <w:spacing w:line="360" w:lineRule="auto"/>
        <w:ind w:firstLine="480" w:firstLineChars="200"/>
        <w:outlineLvl w:val="1"/>
        <w:rPr>
          <w:color w:val="auto"/>
          <w:highlight w:val="none"/>
        </w:rPr>
      </w:pPr>
      <w:r>
        <w:rPr>
          <w:rFonts w:hint="eastAsia" w:ascii="宋体" w:hAnsi="宋体" w:cs="Arial"/>
          <w:color w:val="auto"/>
          <w:sz w:val="24"/>
          <w:highlight w:val="none"/>
        </w:rPr>
        <w:t xml:space="preserve">★（1）中标人必须采购通讯对讲机，保安人员每人配备一部，组建群组对讲机通讯组，并提供 4 部对讲机供安全指挥中心和保卫后勤科使用（开发区分院参照执行）。 </w:t>
      </w:r>
    </w:p>
    <w:p w14:paraId="7544513F">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（2）按照医院警务室器械标准配置警用器械。其中头盔、防刺服、大型盾牌、个人三件套（辣椒 水、甩棍、绳索、武装带）、防刺手套、防暴钢叉或锁脚器每人一套。其中重型头盔数量应占三分之一以上。</w:t>
      </w:r>
    </w:p>
    <w:p w14:paraId="28BFC6F9">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（3）按照采购人要求配置巡更系统，并服从采购人对巡更系统的管理要求。 </w:t>
      </w:r>
    </w:p>
    <w:p w14:paraId="50A5F788">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（4）中标人需提供满足工作、训练需要的必要设备。 </w:t>
      </w:r>
    </w:p>
    <w:p w14:paraId="254F4BED">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★（5）中标人在本部需提供10辆2轮电瓶巡逻车（含车辆的维修及配件更换），在开发区分院需提供2辆2轮电瓶巡逻车（含车辆的维修及配件更换）。</w:t>
      </w:r>
    </w:p>
    <w:p w14:paraId="579C15C8">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（6）中标人必须满足公安部门对医院安保的要求，如有不足必须补充至满足要求。</w:t>
      </w:r>
    </w:p>
    <w:p w14:paraId="245CAB40">
      <w:pPr>
        <w:widowControl/>
        <w:spacing w:line="360" w:lineRule="auto"/>
        <w:outlineLvl w:val="1"/>
        <w:rPr>
          <w:rFonts w:ascii="宋体" w:hAnsi="宋体" w:cs="Arial"/>
          <w:b/>
          <w:bCs/>
          <w:color w:val="auto"/>
          <w:sz w:val="24"/>
          <w:highlight w:val="none"/>
        </w:rPr>
      </w:pPr>
      <w:r>
        <w:rPr>
          <w:rFonts w:hint="eastAsia" w:ascii="宋体" w:hAnsi="宋体" w:cs="Arial"/>
          <w:b/>
          <w:bCs/>
          <w:color w:val="auto"/>
          <w:sz w:val="24"/>
          <w:highlight w:val="none"/>
        </w:rPr>
        <w:t>6.3服务要求：</w:t>
      </w:r>
    </w:p>
    <w:p w14:paraId="02D7C034">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（1）由于中标人的责任导致医院物品被盗，中标人应按院方核准价格承担等价赔偿。 </w:t>
      </w:r>
    </w:p>
    <w:p w14:paraId="3A5C871D">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（2）地下室停车管理需与停车管理服务外包单位做好工作协调工作。对地下机动车库进行秩序监管，不得超量停车，确保出入口畅通，库内交通顺畅。</w:t>
      </w:r>
    </w:p>
    <w:p w14:paraId="566C3F4A">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（3）地面临时停车场必须全年每天二十四小时有人员管理值岗，地表临时停车场仅用于医务用车、公务用车停放。 </w:t>
      </w:r>
    </w:p>
    <w:p w14:paraId="7E3799CF">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（4）如出现医护人员的身心受到侵犯，必须立即制止；依据情节及时报警，且控制肇事人员，配合公安部门进行处置。 </w:t>
      </w:r>
    </w:p>
    <w:p w14:paraId="26098215">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（5）每月检查紧急呼叫系统，确保完好有效，出现故障要及时报告采购人修理；如出现紧急呼叫无应答，视后果轻重予以处罚。 </w:t>
      </w:r>
    </w:p>
    <w:p w14:paraId="4F389518">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（6）按《消防户籍化管理》落实消防管理措施，建立各种消防档案备查；组织义务消防队员学习和训练（每月一次，每次一小时）及演练（每年两次），并建立档案。 </w:t>
      </w:r>
    </w:p>
    <w:p w14:paraId="5316879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（7）若院方举行相关应急演练，中标单位须及时无条件予以配合，确保各种应急演练顺利实施。 </w:t>
      </w:r>
    </w:p>
    <w:p w14:paraId="7D50ECFD">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（8）如需在院区张贴告示，必须得到采购人的许可，严禁乱张贴。 </w:t>
      </w:r>
    </w:p>
    <w:p w14:paraId="59AB0161">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（9）中标人要维护采购人利益，文明、礼貌、优质服务，处处体现以病人为中心、病人优先的服务理念，不得做出有损采购人形象的言论或行为。 </w:t>
      </w:r>
    </w:p>
    <w:p w14:paraId="1AB6E041">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（10）因中标人在服务过程中产生纠纷及投诉由其自行解决，处理结果报采购人保卫处备案。因中标人原因，采购人接受相关主管部门检查不达标或出现违规现象，中标单位须承担相应责任，并落实整改。</w:t>
      </w:r>
    </w:p>
    <w:p w14:paraId="4C55471D">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（11）第三方投诉处理。中标人应本着服务为本的精神落实安保工作，如有第三方投诉，保卫后勤科查实后，中标人须妥善处理至投诉圆满解决。</w:t>
      </w:r>
    </w:p>
    <w:p w14:paraId="7CB09BCC">
      <w:pPr>
        <w:widowControl/>
        <w:spacing w:line="360" w:lineRule="auto"/>
        <w:outlineLvl w:val="1"/>
        <w:rPr>
          <w:rFonts w:ascii="宋体" w:hAnsi="宋体" w:cs="Arial"/>
          <w:b/>
          <w:bCs/>
          <w:color w:val="auto"/>
          <w:sz w:val="24"/>
          <w:highlight w:val="none"/>
        </w:rPr>
      </w:pPr>
      <w:r>
        <w:rPr>
          <w:rFonts w:hint="eastAsia" w:ascii="宋体" w:hAnsi="宋体" w:cs="Arial"/>
          <w:b/>
          <w:bCs/>
          <w:color w:val="auto"/>
          <w:sz w:val="24"/>
          <w:highlight w:val="none"/>
        </w:rPr>
        <w:t>6.4质量考核</w:t>
      </w:r>
    </w:p>
    <w:p w14:paraId="4B243C29">
      <w:pPr>
        <w:numPr>
          <w:ilvl w:val="0"/>
          <w:numId w:val="3"/>
        </w:numPr>
        <w:spacing w:beforeLines="10" w:line="400" w:lineRule="exact"/>
        <w:ind w:firstLine="480" w:firstLineChars="200"/>
        <w:rPr>
          <w:rFonts w:ascii="宋体" w:hAnsi="宋体"/>
          <w:color w:val="auto"/>
          <w:sz w:val="24"/>
          <w:highlight w:val="none"/>
        </w:rPr>
      </w:pPr>
      <w:r>
        <w:rPr>
          <w:rFonts w:hint="eastAsia" w:ascii="宋体" w:hAnsi="宋体"/>
          <w:color w:val="auto"/>
          <w:sz w:val="24"/>
          <w:highlight w:val="none"/>
        </w:rPr>
        <w:t>医院组织考评小组每月进行服务考核。</w:t>
      </w:r>
    </w:p>
    <w:p w14:paraId="277AAA78">
      <w:pPr>
        <w:widowControl/>
        <w:spacing w:beforeLines="10" w:line="400" w:lineRule="exact"/>
        <w:ind w:firstLine="480" w:firstLineChars="200"/>
        <w:rPr>
          <w:rFonts w:ascii="宋体" w:hAnsi="宋体" w:cs="Arial"/>
          <w:color w:val="auto"/>
          <w:sz w:val="24"/>
          <w:highlight w:val="none"/>
        </w:rPr>
      </w:pPr>
      <w:r>
        <w:rPr>
          <w:rFonts w:hint="eastAsia" w:ascii="宋体" w:hAnsi="宋体" w:cs="Arial"/>
          <w:color w:val="auto"/>
          <w:sz w:val="24"/>
          <w:highlight w:val="none"/>
        </w:rPr>
        <w:t xml:space="preserve">（2）院区内每月发生偷盗案件不得大于 2 起（以辖区派出所报案记录为准），每发生 1 起，采购人对中标人罚款 500.00 元，连续三个月偷盗案件每月大于二起，或当月大于五起，采购人对中标人罚款 2000 元。 </w:t>
      </w:r>
    </w:p>
    <w:p w14:paraId="79C515EE">
      <w:pPr>
        <w:spacing w:beforeLines="10" w:line="400" w:lineRule="exact"/>
        <w:ind w:firstLine="480" w:firstLineChars="200"/>
        <w:rPr>
          <w:rFonts w:ascii="宋体" w:hAnsi="宋体" w:cs="Arial"/>
          <w:color w:val="auto"/>
          <w:sz w:val="24"/>
          <w:highlight w:val="none"/>
        </w:rPr>
      </w:pPr>
      <w:r>
        <w:rPr>
          <w:rFonts w:hint="eastAsia" w:ascii="宋体" w:hAnsi="宋体" w:cs="Arial"/>
          <w:color w:val="auto"/>
          <w:sz w:val="24"/>
          <w:highlight w:val="none"/>
        </w:rPr>
        <w:t>（3）第三方投诉经查实每起事件则对中标人罚款2000.00元</w:t>
      </w:r>
    </w:p>
    <w:p w14:paraId="521FEDDD">
      <w:pPr>
        <w:spacing w:beforeLines="10" w:line="400" w:lineRule="exact"/>
        <w:ind w:firstLine="480" w:firstLineChars="200"/>
        <w:rPr>
          <w:rFonts w:ascii="宋体" w:hAnsi="宋体"/>
          <w:color w:val="auto"/>
          <w:sz w:val="24"/>
          <w:highlight w:val="none"/>
        </w:rPr>
      </w:pPr>
      <w:r>
        <w:rPr>
          <w:rFonts w:hint="eastAsia" w:ascii="宋体" w:hAnsi="宋体"/>
          <w:color w:val="auto"/>
          <w:sz w:val="24"/>
          <w:highlight w:val="none"/>
        </w:rPr>
        <w:t>（4）服务</w:t>
      </w:r>
      <w:r>
        <w:rPr>
          <w:rFonts w:hint="eastAsia" w:ascii="宋体" w:hAnsi="宋体" w:cs="Arial"/>
          <w:color w:val="auto"/>
          <w:sz w:val="24"/>
          <w:highlight w:val="none"/>
        </w:rPr>
        <w:t>考核≥90分为合格；每月考核89-85分之间扣当月保安服务费的1%；84分及以下扣除当月保安服务费2%。连续或累计3个月考核不合格，医院有权单方面解除合同，重新招标。</w:t>
      </w:r>
    </w:p>
    <w:p w14:paraId="09D34B0D">
      <w:pPr>
        <w:spacing w:beforeLines="10" w:line="400" w:lineRule="exact"/>
        <w:ind w:firstLine="480" w:firstLineChars="200"/>
        <w:rPr>
          <w:rFonts w:ascii="宋体" w:hAnsi="宋体"/>
          <w:color w:val="auto"/>
          <w:sz w:val="24"/>
          <w:highlight w:val="none"/>
        </w:rPr>
      </w:pPr>
      <w:r>
        <w:rPr>
          <w:rFonts w:hint="eastAsia" w:ascii="宋体" w:hAnsi="宋体"/>
          <w:color w:val="auto"/>
          <w:sz w:val="24"/>
          <w:highlight w:val="none"/>
        </w:rPr>
        <w:t>（5）服务考核内容和标准以“保安服务考核表”为准，具体内容如下：</w:t>
      </w:r>
    </w:p>
    <w:p w14:paraId="6DF02FE1">
      <w:pPr>
        <w:rPr>
          <w:rFonts w:ascii="宋体" w:hAnsi="宋体"/>
          <w:color w:val="auto"/>
          <w:sz w:val="24"/>
          <w:highlight w:val="none"/>
        </w:rPr>
      </w:pPr>
      <w:r>
        <w:rPr>
          <w:rFonts w:hint="eastAsia" w:ascii="宋体" w:hAnsi="宋体"/>
          <w:color w:val="auto"/>
          <w:sz w:val="24"/>
          <w:highlight w:val="none"/>
        </w:rPr>
        <w:br w:type="page"/>
      </w:r>
    </w:p>
    <w:tbl>
      <w:tblPr>
        <w:tblStyle w:val="24"/>
        <w:tblpPr w:leftFromText="180" w:rightFromText="180" w:vertAnchor="text" w:horzAnchor="page" w:tblpX="860" w:tblpY="261"/>
        <w:tblOverlap w:val="never"/>
        <w:tblW w:w="9830" w:type="dxa"/>
        <w:tblInd w:w="0" w:type="dxa"/>
        <w:tblLayout w:type="fixed"/>
        <w:tblCellMar>
          <w:top w:w="0" w:type="dxa"/>
          <w:left w:w="108" w:type="dxa"/>
          <w:bottom w:w="0" w:type="dxa"/>
          <w:right w:w="108" w:type="dxa"/>
        </w:tblCellMar>
      </w:tblPr>
      <w:tblGrid>
        <w:gridCol w:w="600"/>
        <w:gridCol w:w="2192"/>
        <w:gridCol w:w="1977"/>
        <w:gridCol w:w="3164"/>
        <w:gridCol w:w="554"/>
        <w:gridCol w:w="690"/>
        <w:gridCol w:w="653"/>
      </w:tblGrid>
      <w:tr w14:paraId="3B9A04D8">
        <w:tblPrEx>
          <w:tblCellMar>
            <w:top w:w="0" w:type="dxa"/>
            <w:left w:w="108" w:type="dxa"/>
            <w:bottom w:w="0" w:type="dxa"/>
            <w:right w:w="108" w:type="dxa"/>
          </w:tblCellMar>
        </w:tblPrEx>
        <w:trPr>
          <w:trHeight w:val="540" w:hRule="atLeast"/>
        </w:trPr>
        <w:tc>
          <w:tcPr>
            <w:tcW w:w="9830" w:type="dxa"/>
            <w:gridSpan w:val="7"/>
            <w:tcBorders>
              <w:top w:val="nil"/>
              <w:left w:val="nil"/>
              <w:bottom w:val="nil"/>
              <w:right w:val="nil"/>
            </w:tcBorders>
            <w:shd w:val="clear" w:color="auto" w:fill="auto"/>
            <w:noWrap/>
            <w:vAlign w:val="center"/>
          </w:tcPr>
          <w:p w14:paraId="2BC53526">
            <w:pPr>
              <w:widowControl/>
              <w:jc w:val="center"/>
              <w:textAlignment w:val="center"/>
              <w:rPr>
                <w:rFonts w:ascii="宋体" w:hAnsi="宋体" w:cs="宋体"/>
                <w:b/>
                <w:bCs/>
                <w:color w:val="auto"/>
                <w:sz w:val="44"/>
                <w:szCs w:val="44"/>
                <w:highlight w:val="none"/>
              </w:rPr>
            </w:pPr>
            <w:r>
              <w:rPr>
                <w:rFonts w:hint="eastAsia" w:ascii="宋体" w:hAnsi="宋体" w:cs="宋体"/>
                <w:b/>
                <w:bCs/>
                <w:color w:val="auto"/>
                <w:kern w:val="0"/>
                <w:sz w:val="44"/>
                <w:szCs w:val="44"/>
                <w:highlight w:val="none"/>
              </w:rPr>
              <w:t>保安服务考核表</w:t>
            </w:r>
          </w:p>
        </w:tc>
      </w:tr>
      <w:tr w14:paraId="73D7AEBF">
        <w:tblPrEx>
          <w:tblCellMar>
            <w:top w:w="0" w:type="dxa"/>
            <w:left w:w="108" w:type="dxa"/>
            <w:bottom w:w="0" w:type="dxa"/>
            <w:right w:w="108" w:type="dxa"/>
          </w:tblCellMar>
        </w:tblPrEx>
        <w:trPr>
          <w:trHeight w:val="285"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0DDE9">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rPr>
              <w:t>序号</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B38A9">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rPr>
              <w:t>主要量化考核细则</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10F13">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rPr>
              <w:t>考核要求</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17F96">
            <w:pPr>
              <w:widowControl/>
              <w:jc w:val="center"/>
              <w:textAlignment w:val="center"/>
              <w:rPr>
                <w:rFonts w:ascii="宋体" w:hAnsi="宋体" w:cs="宋体"/>
                <w:b/>
                <w:bCs/>
                <w:color w:val="auto"/>
                <w:szCs w:val="21"/>
                <w:highlight w:val="none"/>
              </w:rPr>
            </w:pPr>
            <w:r>
              <w:rPr>
                <w:rStyle w:val="44"/>
                <w:rFonts w:hint="default"/>
                <w:color w:val="auto"/>
                <w:sz w:val="21"/>
                <w:szCs w:val="21"/>
                <w:highlight w:val="none"/>
              </w:rPr>
              <w:t>细 化</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AD36F">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rPr>
              <w:t>分值</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04BEB">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rPr>
              <w:t>扣分原因</w:t>
            </w: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E0356">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rPr>
              <w:t>得分</w:t>
            </w:r>
          </w:p>
        </w:tc>
      </w:tr>
      <w:tr w14:paraId="12E1F28A">
        <w:tblPrEx>
          <w:tblCellMar>
            <w:top w:w="0" w:type="dxa"/>
            <w:left w:w="108" w:type="dxa"/>
            <w:bottom w:w="0" w:type="dxa"/>
            <w:right w:w="108" w:type="dxa"/>
          </w:tblCellMar>
        </w:tblPrEx>
        <w:trPr>
          <w:trHeight w:val="1425"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963BD">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EBE3C">
            <w:pPr>
              <w:widowControl/>
              <w:jc w:val="left"/>
              <w:textAlignment w:val="center"/>
              <w:rPr>
                <w:rFonts w:ascii="宋体" w:hAnsi="宋体" w:cs="宋体"/>
                <w:color w:val="auto"/>
                <w:szCs w:val="21"/>
                <w:highlight w:val="none"/>
              </w:rPr>
            </w:pPr>
            <w:r>
              <w:rPr>
                <w:rStyle w:val="45"/>
                <w:rFonts w:hint="default"/>
                <w:color w:val="auto"/>
                <w:sz w:val="21"/>
                <w:szCs w:val="21"/>
                <w:highlight w:val="none"/>
              </w:rPr>
              <w:t>人员编制与管理规章制度健全，组织健全，工作</w:t>
            </w:r>
            <w:r>
              <w:rPr>
                <w:rStyle w:val="45"/>
                <w:rFonts w:hint="eastAsia"/>
                <w:color w:val="auto"/>
                <w:sz w:val="21"/>
                <w:szCs w:val="21"/>
                <w:highlight w:val="none"/>
                <w:lang w:eastAsia="zh-CN"/>
              </w:rPr>
              <w:t>职责</w:t>
            </w:r>
            <w:r>
              <w:rPr>
                <w:rStyle w:val="45"/>
                <w:rFonts w:hint="default"/>
                <w:color w:val="auto"/>
                <w:sz w:val="21"/>
                <w:szCs w:val="21"/>
                <w:highlight w:val="none"/>
              </w:rPr>
              <w:t>落实，安保、消防分工管理措施合理，实行全员保消结合的管理模式。</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E4BD3">
            <w:pPr>
              <w:widowControl/>
              <w:textAlignment w:val="center"/>
              <w:rPr>
                <w:rFonts w:ascii="宋体" w:hAnsi="宋体" w:cs="宋体"/>
                <w:color w:val="auto"/>
                <w:szCs w:val="21"/>
                <w:highlight w:val="none"/>
              </w:rPr>
            </w:pPr>
            <w:r>
              <w:rPr>
                <w:rStyle w:val="46"/>
                <w:rFonts w:hint="default"/>
                <w:color w:val="auto"/>
                <w:sz w:val="21"/>
                <w:szCs w:val="21"/>
                <w:highlight w:val="none"/>
              </w:rPr>
              <w:t>必须完成人员与机构 设置和人员分工和制 度建设。查资料、考勤</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77C5D">
            <w:pPr>
              <w:widowControl/>
              <w:jc w:val="left"/>
              <w:textAlignment w:val="center"/>
              <w:rPr>
                <w:rFonts w:ascii="宋体" w:hAnsi="宋体" w:cs="宋体"/>
                <w:color w:val="auto"/>
                <w:szCs w:val="21"/>
                <w:highlight w:val="none"/>
              </w:rPr>
            </w:pPr>
            <w:r>
              <w:rPr>
                <w:rStyle w:val="46"/>
                <w:rFonts w:hint="default"/>
                <w:color w:val="auto"/>
                <w:sz w:val="21"/>
                <w:szCs w:val="21"/>
                <w:highlight w:val="none"/>
              </w:rPr>
              <w:t>1、中标人队员按照招标要求配置，得10分。                            2、中标人队员少于招标人需求人数或年龄不符合要求的</w:t>
            </w:r>
            <w:r>
              <w:rPr>
                <w:rStyle w:val="46"/>
                <w:rFonts w:hint="eastAsia"/>
                <w:color w:val="auto"/>
                <w:sz w:val="21"/>
                <w:szCs w:val="21"/>
                <w:highlight w:val="none"/>
                <w:lang w:eastAsia="zh-CN"/>
              </w:rPr>
              <w:t>，</w:t>
            </w:r>
            <w:r>
              <w:rPr>
                <w:rStyle w:val="46"/>
                <w:rFonts w:hint="default"/>
                <w:color w:val="auto"/>
                <w:sz w:val="21"/>
                <w:szCs w:val="21"/>
                <w:highlight w:val="none"/>
              </w:rPr>
              <w:t>每查实缺少1人或1人年龄不符合要求的扣1分。                                                    3、未经采购人同意，擅自更换队长的本项目不得分。</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38D73">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A5F94">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CAE0B">
            <w:pPr>
              <w:rPr>
                <w:rFonts w:ascii="宋体" w:hAnsi="宋体" w:cs="宋体"/>
                <w:color w:val="auto"/>
                <w:szCs w:val="21"/>
                <w:highlight w:val="none"/>
              </w:rPr>
            </w:pPr>
          </w:p>
        </w:tc>
      </w:tr>
      <w:tr w14:paraId="786A0E47">
        <w:tblPrEx>
          <w:tblCellMar>
            <w:top w:w="0" w:type="dxa"/>
            <w:left w:w="108" w:type="dxa"/>
            <w:bottom w:w="0" w:type="dxa"/>
            <w:right w:w="108" w:type="dxa"/>
          </w:tblCellMar>
        </w:tblPrEx>
        <w:trPr>
          <w:trHeight w:val="116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16507">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12597">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制定安全保卫工作计划和自查并组织实行；每月召开管理会议。</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0C348">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每月</w:t>
            </w:r>
            <w:r>
              <w:rPr>
                <w:rFonts w:hint="eastAsia" w:ascii="宋体" w:hAnsi="宋体" w:cs="宋体"/>
                <w:color w:val="auto"/>
                <w:kern w:val="0"/>
                <w:szCs w:val="21"/>
                <w:highlight w:val="none"/>
                <w:lang w:eastAsia="zh-CN"/>
              </w:rPr>
              <w:t>制定计划</w:t>
            </w:r>
            <w:r>
              <w:rPr>
                <w:rFonts w:hint="eastAsia" w:ascii="宋体" w:hAnsi="宋体" w:cs="宋体"/>
                <w:color w:val="auto"/>
                <w:kern w:val="0"/>
                <w:szCs w:val="21"/>
                <w:highlight w:val="none"/>
              </w:rPr>
              <w:t>上报医院，每月组织考核和管理会议。查资料</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DFE26">
            <w:pPr>
              <w:widowControl/>
              <w:numPr>
                <w:ilvl w:val="0"/>
                <w:numId w:val="4"/>
              </w:numPr>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每月有计划并上报保卫科得4分，无不得分 。    </w:t>
            </w:r>
          </w:p>
          <w:p w14:paraId="4C90BB3C">
            <w:pPr>
              <w:widowControl/>
              <w:numPr>
                <w:ilvl w:val="0"/>
                <w:numId w:val="4"/>
              </w:numPr>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每月有自查与整改计划得4分，无不得分 。                     3、每月有管理会议得2分。无不得分。</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2B24B">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C39EE">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72C38">
            <w:pPr>
              <w:rPr>
                <w:rFonts w:ascii="宋体" w:hAnsi="宋体" w:cs="宋体"/>
                <w:color w:val="auto"/>
                <w:szCs w:val="21"/>
                <w:highlight w:val="none"/>
              </w:rPr>
            </w:pPr>
          </w:p>
        </w:tc>
      </w:tr>
      <w:tr w14:paraId="35EE2818">
        <w:tblPrEx>
          <w:tblCellMar>
            <w:top w:w="0" w:type="dxa"/>
            <w:left w:w="108" w:type="dxa"/>
            <w:bottom w:w="0" w:type="dxa"/>
            <w:right w:w="108" w:type="dxa"/>
          </w:tblCellMar>
        </w:tblPrEx>
        <w:trPr>
          <w:trHeight w:val="1995"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AA586">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3</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62137">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建立规范的员工考核制度和奖 罚制度，实行定期的考核和奖罚管理</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D68BF">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每月有员工考核和奖罚。查资料</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F40A3">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1、员工考核制度落实情况。落实到位得5分，考核措施不到位，视情况酌情扣1-3分。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2、员工奖罚制度落实情况。奖罚分明 得5分。奖罚制度流于形式、表面化， 本项不得分。保卫科日常检查中如发现员工有重大违反管理规定，每人次扣1分。至本项得分</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5分)扣完为止。该员工经教育后仍再犯，医院有权责令辞退。</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3DD03">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E58F6">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B2A74">
            <w:pPr>
              <w:rPr>
                <w:rFonts w:ascii="宋体" w:hAnsi="宋体" w:cs="宋体"/>
                <w:color w:val="auto"/>
                <w:szCs w:val="21"/>
                <w:highlight w:val="none"/>
              </w:rPr>
            </w:pPr>
          </w:p>
        </w:tc>
      </w:tr>
      <w:tr w14:paraId="020EE5B8">
        <w:tblPrEx>
          <w:tblCellMar>
            <w:top w:w="0" w:type="dxa"/>
            <w:left w:w="108" w:type="dxa"/>
            <w:bottom w:w="0" w:type="dxa"/>
            <w:right w:w="108" w:type="dxa"/>
          </w:tblCellMar>
        </w:tblPrEx>
        <w:trPr>
          <w:trHeight w:val="162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0C525">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4</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E94E2">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保安队伍服从医院执勤日程安  排，认真做好交接班制度和巡查制度，填写好值班日志和巡查记录。 集中交班和实行交班会操。</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1172E">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每日要有早晚二次集中交班及会操，值班保安完成每日交班记 录，出入口物品记录 和人员登记。查资料</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94982">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1、执行每日早晚交班制度的得2分，少一次扣1分。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2、各点值班员完成每日交班记录的得3 分。无记录本项目不得分，记录不规范每个扣0. 1分。</w:t>
            </w:r>
          </w:p>
        </w:tc>
        <w:tc>
          <w:tcPr>
            <w:tcW w:w="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AB916">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1D7C5">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FD528">
            <w:pPr>
              <w:rPr>
                <w:rFonts w:ascii="宋体" w:hAnsi="宋体" w:cs="宋体"/>
                <w:color w:val="auto"/>
                <w:szCs w:val="21"/>
                <w:highlight w:val="none"/>
              </w:rPr>
            </w:pPr>
          </w:p>
        </w:tc>
      </w:tr>
      <w:tr w14:paraId="31FC2E0F">
        <w:tblPrEx>
          <w:tblCellMar>
            <w:top w:w="0" w:type="dxa"/>
            <w:left w:w="108" w:type="dxa"/>
            <w:bottom w:w="0" w:type="dxa"/>
            <w:right w:w="108" w:type="dxa"/>
          </w:tblCellMar>
        </w:tblPrEx>
        <w:trPr>
          <w:trHeight w:val="162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1E77E">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0EFE0">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消防监控室人员必须全部持有建</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构)筑物消防员证，并做好监控记录和监控消防中心设施保养具备应急操作能力，做好日常巡查 和设施保养维护，并做好院内相关记录 。</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13C45">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每日要做好监控和消防记录和巡查记录，消防栓检查，消防门和监控门禁等检查记录。查资料</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93A44">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1、执行每班双人值班得2分。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2、监控与消防记录齐全得2分。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3、消防人员日常巡查工作到位1分。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11A73">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AD173">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F9885">
            <w:pPr>
              <w:rPr>
                <w:rFonts w:ascii="宋体" w:hAnsi="宋体" w:cs="宋体"/>
                <w:color w:val="auto"/>
                <w:szCs w:val="21"/>
                <w:highlight w:val="none"/>
              </w:rPr>
            </w:pPr>
          </w:p>
        </w:tc>
      </w:tr>
      <w:tr w14:paraId="4982DE11">
        <w:tblPrEx>
          <w:tblCellMar>
            <w:top w:w="0" w:type="dxa"/>
            <w:left w:w="108" w:type="dxa"/>
            <w:bottom w:w="0" w:type="dxa"/>
            <w:right w:w="108" w:type="dxa"/>
          </w:tblCellMar>
        </w:tblPrEx>
        <w:trPr>
          <w:trHeight w:val="270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26079">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6</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DA96F">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医院重要部位的巡查到位和维护就诊秩序，保持良好的就诊和治安环境，有效打击院内偷盗行为。做好医疗纠纷、节能减排、控烟防火，防盗、门禁、乱挂衣服，违规电器查收、病人走失、贵重物品 等专项工作。及时上报各类出现的问题和不良事件。</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A3798">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每日做好有效打击院内偷盗行为。做好医疗纠纷、节能减排、文明引导、控烟，防火，防盗、门禁、乱挂衣服，违规电器查收，病人走失、贵重物品等专项工作，并有记录。及时上报各类问题和不良事件。查资料</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458D2">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1、维持医院就诊秩序，文明引导。4 分 。</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2、及时排除消防隐患与消防报警，三分钟必须到达现场。4分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3、落实控烟工作。4分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4、打击院内盗窃。4分。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5、违规电器查收、病人走失、贵重物品等专项工作4分。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每次检查不符合扣0.5分。)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1E53E">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20</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80EAE">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F53C2">
            <w:pPr>
              <w:rPr>
                <w:rFonts w:ascii="宋体" w:hAnsi="宋体" w:cs="宋体"/>
                <w:color w:val="auto"/>
                <w:szCs w:val="21"/>
                <w:highlight w:val="none"/>
              </w:rPr>
            </w:pPr>
          </w:p>
        </w:tc>
      </w:tr>
      <w:tr w14:paraId="2BF889CA">
        <w:tblPrEx>
          <w:tblCellMar>
            <w:top w:w="0" w:type="dxa"/>
            <w:left w:w="108" w:type="dxa"/>
            <w:bottom w:w="0" w:type="dxa"/>
            <w:right w:w="108" w:type="dxa"/>
          </w:tblCellMar>
        </w:tblPrEx>
        <w:trPr>
          <w:trHeight w:val="81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40BE7">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7</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BEC1C">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落实岗位6S管理。按规定着装注重个人仪表。保持保安室内周围整洁的卫生。</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5BCCF">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每日完成岗位6S自 查和卫生，有6S记录。查资料</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1ADB8">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1、各岗位落实6S每日管理。3分。检查每次扣0.5分。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2、保安员工形象着装整齐2分。每人次扣0.5分。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AA4C9">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9289E">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23540">
            <w:pPr>
              <w:rPr>
                <w:rFonts w:ascii="宋体" w:hAnsi="宋体" w:cs="宋体"/>
                <w:color w:val="auto"/>
                <w:szCs w:val="21"/>
                <w:highlight w:val="none"/>
              </w:rPr>
            </w:pPr>
          </w:p>
        </w:tc>
      </w:tr>
      <w:tr w14:paraId="6CCEC53B">
        <w:tblPrEx>
          <w:tblCellMar>
            <w:top w:w="0" w:type="dxa"/>
            <w:left w:w="108" w:type="dxa"/>
            <w:bottom w:w="0" w:type="dxa"/>
            <w:right w:w="108" w:type="dxa"/>
          </w:tblCellMar>
        </w:tblPrEx>
        <w:trPr>
          <w:trHeight w:val="135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485E9">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CE601">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配合急诊科做好病人分诊工作 和抢救室陪人管理，门禁等管理。加强重点部位就医管理。</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44DAA">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查现场、结合日常管理。</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59FA2">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1、完成每日抢救室的管理，人员落实。陪人管理、门禁符合要求。3分。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2、落实急诊科室</w:t>
            </w:r>
            <w:r>
              <w:rPr>
                <w:rFonts w:hint="eastAsia" w:ascii="宋体" w:hAnsi="宋体" w:cs="宋体"/>
                <w:color w:val="auto"/>
                <w:kern w:val="0"/>
                <w:szCs w:val="21"/>
                <w:highlight w:val="none"/>
                <w:lang w:eastAsia="zh-CN"/>
              </w:rPr>
              <w:t>其他</w:t>
            </w:r>
            <w:r>
              <w:rPr>
                <w:rFonts w:hint="eastAsia" w:ascii="宋体" w:hAnsi="宋体" w:cs="宋体"/>
                <w:color w:val="auto"/>
                <w:kern w:val="0"/>
                <w:szCs w:val="21"/>
                <w:highlight w:val="none"/>
              </w:rPr>
              <w:t>部门的日常巡逻与秩序与隐患排除。2分。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一处不符扣0.5分。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80888">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E72D7">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C9438">
            <w:pPr>
              <w:rPr>
                <w:rFonts w:ascii="宋体" w:hAnsi="宋体" w:cs="宋体"/>
                <w:color w:val="auto"/>
                <w:szCs w:val="21"/>
                <w:highlight w:val="none"/>
              </w:rPr>
            </w:pPr>
          </w:p>
        </w:tc>
      </w:tr>
      <w:tr w14:paraId="19204E24">
        <w:tblPrEx>
          <w:tblCellMar>
            <w:top w:w="0" w:type="dxa"/>
            <w:left w:w="108" w:type="dxa"/>
            <w:bottom w:w="0" w:type="dxa"/>
            <w:right w:w="108" w:type="dxa"/>
          </w:tblCellMar>
        </w:tblPrEx>
        <w:trPr>
          <w:trHeight w:val="108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B1843">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9</w:t>
            </w:r>
          </w:p>
        </w:tc>
        <w:tc>
          <w:tcPr>
            <w:tcW w:w="21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91C3B">
            <w:pPr>
              <w:widowControl/>
              <w:textAlignment w:val="center"/>
              <w:rPr>
                <w:rFonts w:ascii="宋体" w:hAnsi="宋体" w:cs="宋体"/>
                <w:color w:val="auto"/>
                <w:szCs w:val="21"/>
                <w:highlight w:val="none"/>
              </w:rPr>
            </w:pPr>
            <w:r>
              <w:rPr>
                <w:rStyle w:val="47"/>
                <w:rFonts w:hint="default"/>
                <w:color w:val="auto"/>
                <w:sz w:val="21"/>
                <w:szCs w:val="21"/>
                <w:highlight w:val="none"/>
              </w:rPr>
              <w:t>及时协同急诊工作人员做好抢救工作。纠纷处理工作，维护治安秩序和有效保障医务人员的安全。</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79F11">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查现场、结合日常管理。</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EC5D0">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1、配合急诊科做好重大抢救工作。2 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2、保障急诊科医务人员安全：3分。发生一起扣1分。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DEE7E">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32126">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84D81">
            <w:pPr>
              <w:rPr>
                <w:rFonts w:ascii="宋体" w:hAnsi="宋体" w:cs="宋体"/>
                <w:color w:val="auto"/>
                <w:szCs w:val="21"/>
                <w:highlight w:val="none"/>
              </w:rPr>
            </w:pPr>
          </w:p>
        </w:tc>
      </w:tr>
      <w:tr w14:paraId="1488D186">
        <w:tblPrEx>
          <w:tblCellMar>
            <w:top w:w="0" w:type="dxa"/>
            <w:left w:w="108" w:type="dxa"/>
            <w:bottom w:w="0" w:type="dxa"/>
            <w:right w:w="108" w:type="dxa"/>
          </w:tblCellMar>
        </w:tblPrEx>
        <w:trPr>
          <w:trHeight w:val="162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75CB5">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D6B0C">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配合门诊部做好一诊一室管理。加强重点部位的就医管理与文明秩序，挂号收费、输液室、放射科、检验、ICU探视管理。</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913AD">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查现场、结合日常管理 。</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2823F">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1、配合做好一诊一室管理工作。3分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2、落实门诊重点科室的文明引导秩序管理。3分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3、做好特种科室ICU人员探视工作。2 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每次检查不符合1处扣0.5分。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FF672">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8</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A00A9">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F8977">
            <w:pPr>
              <w:rPr>
                <w:rFonts w:ascii="宋体" w:hAnsi="宋体" w:cs="宋体"/>
                <w:color w:val="auto"/>
                <w:szCs w:val="21"/>
                <w:highlight w:val="none"/>
              </w:rPr>
            </w:pPr>
          </w:p>
        </w:tc>
      </w:tr>
      <w:tr w14:paraId="70DA627F">
        <w:tblPrEx>
          <w:tblCellMar>
            <w:top w:w="0" w:type="dxa"/>
            <w:left w:w="108" w:type="dxa"/>
            <w:bottom w:w="0" w:type="dxa"/>
            <w:right w:w="108" w:type="dxa"/>
          </w:tblCellMar>
        </w:tblPrEx>
        <w:trPr>
          <w:trHeight w:val="108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EE184">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11</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B8DC5">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门诊安保反恐、及时协同门诊工作人员做好投诉，纠纷处理工作， 维护治安秩序和有效保障医务人员的安全。</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6AF23">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查现场、结合日常管理</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B1A50">
            <w:pPr>
              <w:widowControl/>
              <w:numPr>
                <w:ilvl w:val="0"/>
                <w:numId w:val="5"/>
              </w:numPr>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及时处置医疗纠纷，保障医院人员安全。2分。发生一起扣1分。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EEAB4">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2</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4D4A2">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95F58">
            <w:pPr>
              <w:rPr>
                <w:rFonts w:ascii="宋体" w:hAnsi="宋体" w:cs="宋体"/>
                <w:color w:val="auto"/>
                <w:szCs w:val="21"/>
                <w:highlight w:val="none"/>
              </w:rPr>
            </w:pPr>
          </w:p>
        </w:tc>
      </w:tr>
      <w:tr w14:paraId="6EE0B6C2">
        <w:tblPrEx>
          <w:tblCellMar>
            <w:top w:w="0" w:type="dxa"/>
            <w:left w:w="108" w:type="dxa"/>
            <w:bottom w:w="0" w:type="dxa"/>
            <w:right w:w="108" w:type="dxa"/>
          </w:tblCellMar>
        </w:tblPrEx>
        <w:trPr>
          <w:trHeight w:val="81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ACAF1">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13</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F4874">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配合医务、投诉部门做好医疗纠纷预防处置工作，监控信息调查与取证。</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B3784">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查现场、结合日常管理 。</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A3412">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1、及时处置医疗纠纷，保障医院人员安全。2分。发生一起扣1分。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94C00">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83CBA">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5F158">
            <w:pPr>
              <w:rPr>
                <w:rFonts w:ascii="宋体" w:hAnsi="宋体" w:cs="宋体"/>
                <w:color w:val="auto"/>
                <w:szCs w:val="21"/>
                <w:highlight w:val="none"/>
              </w:rPr>
            </w:pPr>
          </w:p>
        </w:tc>
      </w:tr>
      <w:tr w14:paraId="553E9ED4">
        <w:tblPrEx>
          <w:tblCellMar>
            <w:top w:w="0" w:type="dxa"/>
            <w:left w:w="108" w:type="dxa"/>
            <w:bottom w:w="0" w:type="dxa"/>
            <w:right w:w="108" w:type="dxa"/>
          </w:tblCellMar>
        </w:tblPrEx>
        <w:trPr>
          <w:trHeight w:val="472"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C2C82">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14</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BBEF2">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开展日常医务人员安全保障工作和突发应急处置工作。能及时发现控制不法伤医行为。无失职行为，造成医护人员受伤害。配合医务部群伤体等演练和抢救工作。</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FF7D1">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纠纷发生时必须人员到位、控制不法行为。 配合医务部组织的演练和抢救工作。查记录</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C8504">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1、完成日常医务人员安全保障与医疗 纠纷不法行为的制止。2分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2、无安保失职行为。2分</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3、配合医务部开展的群体伤等演练。1 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D740F">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4848E">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C3353">
            <w:pPr>
              <w:rPr>
                <w:rFonts w:ascii="宋体" w:hAnsi="宋体" w:cs="宋体"/>
                <w:color w:val="auto"/>
                <w:szCs w:val="21"/>
                <w:highlight w:val="none"/>
              </w:rPr>
            </w:pPr>
          </w:p>
        </w:tc>
      </w:tr>
      <w:tr w14:paraId="74ADB925">
        <w:tblPrEx>
          <w:tblCellMar>
            <w:top w:w="0" w:type="dxa"/>
            <w:left w:w="108" w:type="dxa"/>
            <w:bottom w:w="0" w:type="dxa"/>
            <w:right w:w="108" w:type="dxa"/>
          </w:tblCellMar>
        </w:tblPrEx>
        <w:trPr>
          <w:trHeight w:val="54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450D2">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15</w:t>
            </w:r>
          </w:p>
        </w:tc>
        <w:tc>
          <w:tcPr>
            <w:tcW w:w="2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B1E01">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配合医院和保卫科做好各级各</w:t>
            </w:r>
            <w:r>
              <w:rPr>
                <w:rFonts w:hint="eastAsia" w:ascii="宋体" w:hAnsi="宋体" w:cs="宋体"/>
                <w:color w:val="auto"/>
                <w:kern w:val="0"/>
                <w:szCs w:val="21"/>
                <w:highlight w:val="none"/>
              </w:rPr>
              <w:br w:type="textWrapping"/>
            </w:r>
            <w:r>
              <w:rPr>
                <w:rFonts w:hint="eastAsia" w:ascii="宋体" w:hAnsi="宋体" w:cs="宋体"/>
                <w:color w:val="auto"/>
                <w:kern w:val="0"/>
                <w:szCs w:val="21"/>
                <w:highlight w:val="none"/>
              </w:rPr>
              <w:t>项检查和保障性任务。</w:t>
            </w:r>
          </w:p>
        </w:tc>
        <w:tc>
          <w:tcPr>
            <w:tcW w:w="1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8031E">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查每项任务完成情况。查记录</w:t>
            </w: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7531E">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rPr>
              <w:t>完成重大专项工作与保障工作5分。优得5分，良4分，合格3分。</w:t>
            </w: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E31CF">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5</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1FE0E">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D25B0">
            <w:pPr>
              <w:rPr>
                <w:rFonts w:ascii="宋体" w:hAnsi="宋体" w:cs="宋体"/>
                <w:color w:val="auto"/>
                <w:szCs w:val="21"/>
                <w:highlight w:val="none"/>
              </w:rPr>
            </w:pPr>
          </w:p>
        </w:tc>
      </w:tr>
      <w:tr w14:paraId="0C871885">
        <w:tblPrEx>
          <w:tblCellMar>
            <w:top w:w="0" w:type="dxa"/>
            <w:left w:w="108" w:type="dxa"/>
            <w:bottom w:w="0" w:type="dxa"/>
            <w:right w:w="108" w:type="dxa"/>
          </w:tblCellMar>
        </w:tblPrEx>
        <w:trPr>
          <w:trHeight w:val="90" w:hRule="atLeast"/>
        </w:trPr>
        <w:tc>
          <w:tcPr>
            <w:tcW w:w="476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F48FF">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得分</w:t>
            </w:r>
          </w:p>
          <w:p w14:paraId="08242042">
            <w:pPr>
              <w:widowControl/>
              <w:jc w:val="left"/>
              <w:textAlignment w:val="center"/>
              <w:rPr>
                <w:rFonts w:ascii="宋体" w:hAnsi="宋体" w:cs="宋体"/>
                <w:color w:val="auto"/>
                <w:szCs w:val="21"/>
                <w:highlight w:val="none"/>
              </w:rPr>
            </w:pP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496DF">
            <w:pPr>
              <w:widowControl/>
              <w:jc w:val="left"/>
              <w:textAlignment w:val="center"/>
              <w:rPr>
                <w:rFonts w:ascii="宋体" w:hAnsi="宋体" w:cs="宋体"/>
                <w:color w:val="auto"/>
                <w:szCs w:val="21"/>
                <w:highlight w:val="none"/>
              </w:rPr>
            </w:pPr>
          </w:p>
        </w:tc>
        <w:tc>
          <w:tcPr>
            <w:tcW w:w="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05678">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rPr>
              <w:t>100</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8DF54">
            <w:pPr>
              <w:rPr>
                <w:rFonts w:ascii="宋体" w:hAnsi="宋体" w:cs="宋体"/>
                <w:color w:val="auto"/>
                <w:szCs w:val="21"/>
                <w:highlight w:val="none"/>
              </w:rPr>
            </w:pPr>
          </w:p>
        </w:tc>
        <w:tc>
          <w:tcPr>
            <w:tcW w:w="6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61545">
            <w:pPr>
              <w:rPr>
                <w:rFonts w:ascii="宋体" w:hAnsi="宋体" w:cs="宋体"/>
                <w:color w:val="auto"/>
                <w:szCs w:val="21"/>
                <w:highlight w:val="none"/>
              </w:rPr>
            </w:pPr>
          </w:p>
        </w:tc>
      </w:tr>
      <w:tr w14:paraId="1887F38C">
        <w:tblPrEx>
          <w:tblCellMar>
            <w:top w:w="0" w:type="dxa"/>
            <w:left w:w="108" w:type="dxa"/>
            <w:bottom w:w="0" w:type="dxa"/>
            <w:right w:w="108" w:type="dxa"/>
          </w:tblCellMar>
        </w:tblPrEx>
        <w:trPr>
          <w:trHeight w:val="918" w:hRule="atLeast"/>
        </w:trPr>
        <w:tc>
          <w:tcPr>
            <w:tcW w:w="279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840D5">
            <w:pPr>
              <w:widowControl/>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考核人签字</w:t>
            </w:r>
          </w:p>
        </w:tc>
        <w:tc>
          <w:tcPr>
            <w:tcW w:w="19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4A20F">
            <w:pPr>
              <w:widowControl/>
              <w:jc w:val="left"/>
              <w:textAlignment w:val="center"/>
              <w:rPr>
                <w:rFonts w:ascii="宋体" w:hAnsi="宋体" w:cs="宋体"/>
                <w:color w:val="auto"/>
                <w:kern w:val="0"/>
                <w:szCs w:val="21"/>
                <w:highlight w:val="none"/>
              </w:rPr>
            </w:pPr>
          </w:p>
        </w:tc>
        <w:tc>
          <w:tcPr>
            <w:tcW w:w="31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8E65E">
            <w:pPr>
              <w:widowControl/>
              <w:jc w:val="left"/>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被考核人签字</w:t>
            </w:r>
          </w:p>
        </w:tc>
        <w:tc>
          <w:tcPr>
            <w:tcW w:w="189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651BE">
            <w:pPr>
              <w:rPr>
                <w:rFonts w:ascii="宋体" w:hAnsi="宋体" w:cs="宋体"/>
                <w:color w:val="auto"/>
                <w:szCs w:val="21"/>
                <w:highlight w:val="none"/>
              </w:rPr>
            </w:pPr>
          </w:p>
        </w:tc>
      </w:tr>
    </w:tbl>
    <w:p w14:paraId="49AE163C">
      <w:pPr>
        <w:widowControl/>
        <w:spacing w:line="360" w:lineRule="auto"/>
        <w:ind w:firstLine="480" w:firstLineChars="200"/>
        <w:outlineLvl w:val="1"/>
        <w:rPr>
          <w:rFonts w:ascii="宋体" w:hAnsi="宋体" w:cs="Arial"/>
          <w:color w:val="auto"/>
          <w:sz w:val="24"/>
          <w:highlight w:val="none"/>
        </w:rPr>
      </w:pPr>
    </w:p>
    <w:p w14:paraId="2B8DE80B">
      <w:pPr>
        <w:widowControl/>
        <w:spacing w:line="360" w:lineRule="auto"/>
        <w:outlineLvl w:val="1"/>
        <w:rPr>
          <w:rFonts w:ascii="宋体" w:hAnsi="宋体" w:cs="Arial"/>
          <w:b/>
          <w:bCs/>
          <w:color w:val="auto"/>
          <w:sz w:val="24"/>
          <w:highlight w:val="none"/>
        </w:rPr>
      </w:pPr>
      <w:r>
        <w:rPr>
          <w:rFonts w:hint="eastAsia" w:ascii="宋体" w:hAnsi="宋体" w:cs="Arial"/>
          <w:b/>
          <w:bCs/>
          <w:color w:val="auto"/>
          <w:sz w:val="24"/>
          <w:highlight w:val="none"/>
        </w:rPr>
        <w:t>6.5绩效管理机制</w:t>
      </w:r>
    </w:p>
    <w:p w14:paraId="34F71970">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（1）制定员工星级、等级或类似的管理考核内容：体现差异化管理的激励措施，每隔一定时期评选出部分工作表现优秀的保安员，且给予一定绩效奖励，设立</w:t>
      </w:r>
      <w:r>
        <w:rPr>
          <w:rFonts w:hint="eastAsia" w:ascii="宋体" w:hAnsi="宋体" w:cs="Arial"/>
          <w:color w:val="auto"/>
          <w:sz w:val="24"/>
          <w:szCs w:val="24"/>
          <w:highlight w:val="none"/>
        </w:rPr>
        <w:t>5000元/月</w:t>
      </w:r>
      <w:r>
        <w:rPr>
          <w:rFonts w:hint="eastAsia" w:ascii="宋体" w:hAnsi="宋体" w:cs="Arial"/>
          <w:color w:val="auto"/>
          <w:sz w:val="24"/>
          <w:highlight w:val="none"/>
        </w:rPr>
        <w:t>奖励池，达到激励队伍工作积极性的目的，奖励费用由服务单位自行承担。</w:t>
      </w:r>
    </w:p>
    <w:p w14:paraId="01B80DF9">
      <w:pPr>
        <w:widowControl/>
        <w:spacing w:line="360" w:lineRule="auto"/>
        <w:ind w:firstLine="480" w:firstLineChars="200"/>
        <w:outlineLvl w:val="1"/>
        <w:rPr>
          <w:color w:val="auto"/>
          <w:highlight w:val="none"/>
        </w:rPr>
      </w:pPr>
      <w:r>
        <w:rPr>
          <w:rFonts w:hint="eastAsia" w:ascii="宋体" w:hAnsi="宋体" w:cs="Arial"/>
          <w:color w:val="auto"/>
          <w:sz w:val="24"/>
          <w:highlight w:val="none"/>
        </w:rPr>
        <w:t>（2）制定员工安全绩效管理考核内容：出台《奖惩实施细则》，奖励发现隐患、排除隐患等重大立功表现和诚实守信、乐于助人、爱岗敬业、</w:t>
      </w:r>
      <w:r>
        <w:rPr>
          <w:rFonts w:hint="eastAsia" w:ascii="宋体" w:hAnsi="宋体" w:cs="Arial"/>
          <w:color w:val="auto"/>
          <w:sz w:val="24"/>
          <w:highlight w:val="none"/>
          <w:lang w:eastAsia="zh-CN"/>
        </w:rPr>
        <w:t>忠于职守</w:t>
      </w:r>
      <w:r>
        <w:rPr>
          <w:rFonts w:hint="eastAsia" w:ascii="宋体" w:hAnsi="宋体" w:cs="Arial"/>
          <w:color w:val="auto"/>
          <w:sz w:val="24"/>
          <w:highlight w:val="none"/>
        </w:rPr>
        <w:t>等正能量事件或履职过程中的优秀典型，给予一定的绩效奖励，明确金额；对工作中出现如履职不力、服务态度恶劣等反面典型，给予绩效处罚，明确金额；奖惩费用由服务单位自行承担。</w:t>
      </w:r>
    </w:p>
    <w:p w14:paraId="1ECD5A3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（3）制定管理绩效考核内容：用于医院对中标单位的管理考核，出现一次管理失职事件，经医院书面函告中标单位，每次扣罚2000-5000元，此项金额每月需支付的服务费中予以扣除。</w:t>
      </w:r>
    </w:p>
    <w:p w14:paraId="70D4E8D2">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以上内容由中标单位造册，经双方共同审核后方可执行，并作为日常管理措施之一。</w:t>
      </w:r>
    </w:p>
    <w:p w14:paraId="0D49C2B8">
      <w:pPr>
        <w:widowControl/>
        <w:spacing w:line="360" w:lineRule="auto"/>
        <w:outlineLvl w:val="1"/>
        <w:rPr>
          <w:rFonts w:ascii="宋体" w:hAnsi="宋体" w:cs="Arial"/>
          <w:color w:val="auto"/>
          <w:sz w:val="24"/>
          <w:highlight w:val="none"/>
        </w:rPr>
      </w:pPr>
      <w:r>
        <w:rPr>
          <w:rFonts w:hint="eastAsia" w:ascii="宋体" w:hAnsi="宋体" w:cs="Arial"/>
          <w:b/>
          <w:bCs/>
          <w:color w:val="auto"/>
          <w:sz w:val="24"/>
          <w:highlight w:val="none"/>
        </w:rPr>
        <w:t>八、其他要求</w:t>
      </w:r>
    </w:p>
    <w:p w14:paraId="5A875023">
      <w:pPr>
        <w:widowControl/>
        <w:spacing w:line="360" w:lineRule="auto"/>
        <w:ind w:firstLine="480" w:firstLineChars="200"/>
        <w:jc w:val="left"/>
        <w:outlineLvl w:val="1"/>
        <w:rPr>
          <w:rFonts w:ascii="宋体" w:hAnsi="宋体" w:cs="Arial"/>
          <w:color w:val="auto"/>
          <w:sz w:val="24"/>
          <w:highlight w:val="none"/>
        </w:rPr>
      </w:pPr>
      <w:r>
        <w:rPr>
          <w:rFonts w:hint="eastAsia" w:ascii="宋体" w:hAnsi="宋体" w:cs="Arial"/>
          <w:color w:val="auto"/>
          <w:sz w:val="24"/>
          <w:highlight w:val="none"/>
        </w:rPr>
        <w:t>（</w:t>
      </w:r>
      <w:r>
        <w:rPr>
          <w:rFonts w:ascii="宋体" w:hAnsi="宋体" w:cs="Arial"/>
          <w:color w:val="auto"/>
          <w:sz w:val="24"/>
          <w:highlight w:val="none"/>
        </w:rPr>
        <w:t>1）</w:t>
      </w:r>
      <w:r>
        <w:rPr>
          <w:rFonts w:hint="eastAsia" w:ascii="宋体" w:hAnsi="宋体" w:cs="Arial"/>
          <w:color w:val="auto"/>
          <w:sz w:val="24"/>
          <w:highlight w:val="none"/>
        </w:rPr>
        <w:t>派出保安加班与医院无关的，不得列入安保工资清单，必须单独发放。为配合规定的消防演练、其他应急演练所调用的安保人员视为完成安保工作所必须的，不得另外计取加班费用等。</w:t>
      </w:r>
    </w:p>
    <w:p w14:paraId="690109A3">
      <w:pPr>
        <w:widowControl/>
        <w:spacing w:line="360" w:lineRule="auto"/>
        <w:ind w:firstLine="480" w:firstLineChars="200"/>
        <w:jc w:val="left"/>
        <w:outlineLvl w:val="1"/>
        <w:rPr>
          <w:rFonts w:ascii="宋体" w:hAnsi="宋体" w:cs="Arial"/>
          <w:color w:val="auto"/>
          <w:sz w:val="24"/>
          <w:highlight w:val="none"/>
        </w:rPr>
      </w:pPr>
      <w:r>
        <w:rPr>
          <w:rFonts w:hint="eastAsia" w:ascii="宋体" w:hAnsi="宋体" w:cs="Arial"/>
          <w:color w:val="auto"/>
          <w:sz w:val="24"/>
          <w:highlight w:val="none"/>
        </w:rPr>
        <w:t>★（</w:t>
      </w:r>
      <w:r>
        <w:rPr>
          <w:rFonts w:ascii="宋体" w:hAnsi="宋体" w:cs="Arial"/>
          <w:color w:val="auto"/>
          <w:sz w:val="24"/>
          <w:highlight w:val="none"/>
        </w:rPr>
        <w:t>2）因医院需求要求保安力量的，按照20元</w:t>
      </w:r>
      <w:r>
        <w:rPr>
          <w:rFonts w:hint="eastAsia" w:ascii="宋体" w:hAnsi="宋体" w:cs="Arial"/>
          <w:color w:val="auto"/>
          <w:sz w:val="24"/>
          <w:highlight w:val="none"/>
        </w:rPr>
        <w:t>每人每小时的安保服务费（包含为处置应急事件而产生的全部费用）。</w:t>
      </w:r>
    </w:p>
    <w:p w14:paraId="00382209">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3）保安管理层人员（班长及以上）由服务单位推荐，医院审核；如人员能力无法满足现场要求，采购人有权要求更换，并于医院书面函告之日起1个月内到位，无法到位每次扣罚50000元；中标单位不得随意调动主要管理层人员，确需调动的，需经医院同意。</w:t>
      </w:r>
    </w:p>
    <w:p w14:paraId="22D7EE10">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（4）中标人根据医院的用人需求安排安保人员，如人员能力无法满足现场要求，采购人有权要求更换，并于医院书面函告之日起1个月内到位， 无法到位按照每月人均综合单价扣罚缺岗人员服务费。</w:t>
      </w:r>
    </w:p>
    <w:p w14:paraId="65DB7F6C">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（5）中标人服务能力未达到采购人要求的，采购人提出整改意见，如经整改仍无法达到的，采购人有权终止合同。 </w:t>
      </w:r>
    </w:p>
    <w:p w14:paraId="4DED776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（6）中标人应对其工作人员的安全承担一切责任。 </w:t>
      </w:r>
    </w:p>
    <w:p w14:paraId="4621CCEE">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（7）中标人应对与其工作人员的劳动关系承担一切责任。 </w:t>
      </w:r>
    </w:p>
    <w:p w14:paraId="7C5E29F3">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（8）中标人的所有工作人员的薪酬由中标人发放，与采购人无关。 </w:t>
      </w:r>
    </w:p>
    <w:p w14:paraId="1CE8582A">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（9）</w:t>
      </w:r>
      <w:r>
        <w:rPr>
          <w:rFonts w:hint="eastAsia" w:ascii="宋体" w:hAnsi="宋体" w:cs="宋体"/>
          <w:color w:val="auto"/>
          <w:kern w:val="0"/>
          <w:sz w:val="24"/>
          <w:highlight w:val="none"/>
        </w:rPr>
        <w:t>服务单位要足额发放高温费、冷饮费、年终奖励等员工福利，</w:t>
      </w:r>
      <w:r>
        <w:rPr>
          <w:rFonts w:hint="eastAsia" w:ascii="宋体" w:hAnsi="宋体" w:cs="Arial"/>
          <w:color w:val="auto"/>
          <w:sz w:val="24"/>
          <w:highlight w:val="none"/>
        </w:rPr>
        <w:t>中标人的各岗位人员要统一服装（含冬夏两季，每季各两套制服，制服款式需经业主确认），服装费由中标人自行承担，并将所需的费用包含在投标总价中</w:t>
      </w:r>
      <w:r>
        <w:rPr>
          <w:rFonts w:hint="eastAsia" w:ascii="宋体" w:hAnsi="宋体" w:cs="宋体"/>
          <w:color w:val="auto"/>
          <w:kern w:val="0"/>
          <w:sz w:val="24"/>
          <w:highlight w:val="none"/>
        </w:rPr>
        <w:t>。</w:t>
      </w:r>
    </w:p>
    <w:p w14:paraId="46516061">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★（10）对在岗的保安员每年提供涉及消防、反恐、交通指挥等相关培训不少于2次，费用均含在投标总价内。</w:t>
      </w:r>
    </w:p>
    <w:p w14:paraId="5AC62748">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（11）中标人的安保员不得向无关人员泄露监控画面并有义务保护病人隐私。必须严守单位机密，不得对外散播、传播本系统内部数据；不得利用系统内任何数据参加任何非法组织和发布任何反动言论。</w:t>
      </w:r>
    </w:p>
    <w:p w14:paraId="5E9C42E0">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（12）如院方其他院区因工作需要，需增加安保人员，中标单位须无条件配合，原则上在 24 小时内到位，增加的人员要求、人员费用与招标文件要求相同。 </w:t>
      </w:r>
    </w:p>
    <w:p w14:paraId="65783CDF">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 xml:space="preserve">（13）中标人必须提供应急支援能力证明和增援计划，确保实现在突发紧急情况下具备 1 小时内到场 10 名安保人员进行处置的能力，2 小时内不少于 20 人。应急增加的人员标准不应低于招标标准。遇到紧急情况，采购人发出应急指令后，中标人如不能实现合同框架内实现人员增援，每次按缺口人数每人罚款 500 元。 </w:t>
      </w:r>
    </w:p>
    <w:p w14:paraId="6AB7040C">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（14）中标人必须按省市有关要求配置安保服务所需的设施、器材，并承担相应费用。要求必须按采购人要求的巡更线路实施治安和防火巡查巡逻。每天的巡更结果必须报招标人备查，此将作为服务考核内容。</w:t>
      </w:r>
    </w:p>
    <w:p w14:paraId="1C15D736">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★（15）警务站特警及交通运管协警需提供相应服装及装备以满足治安、交通管理需求。</w:t>
      </w:r>
    </w:p>
    <w:p w14:paraId="7B6C1F5A">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（16）招标人在文明城市、三甲复评、春节等特殊情况，医院可根据单位实际情况，给予适当额外奖励。</w:t>
      </w:r>
    </w:p>
    <w:p w14:paraId="7AF0753C">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（17）安保人员在上班期间导致人身伤、亡情形，所支付的一切费用由投标人承担。</w:t>
      </w:r>
    </w:p>
    <w:p w14:paraId="4614637F">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w:t>
      </w:r>
      <w:r>
        <w:rPr>
          <w:rFonts w:ascii="宋体" w:hAnsi="宋体" w:cs="Arial"/>
          <w:color w:val="auto"/>
          <w:sz w:val="24"/>
          <w:highlight w:val="none"/>
        </w:rPr>
        <w:t>1</w:t>
      </w:r>
      <w:r>
        <w:rPr>
          <w:rFonts w:hint="eastAsia" w:ascii="宋体" w:hAnsi="宋体" w:cs="Arial"/>
          <w:color w:val="auto"/>
          <w:sz w:val="24"/>
          <w:highlight w:val="none"/>
        </w:rPr>
        <w:t>8）合同期内，因国家社保缴费基数调整，导致的社保缴费增加，由中标人提出书面申请及相关依据后，招标人承担，调整人数及时间以医院书面通知进场人数、时间为准，具体政策参照国家相关文件执行。</w:t>
      </w:r>
    </w:p>
    <w:p w14:paraId="752C9481">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w:t>
      </w:r>
      <w:r>
        <w:rPr>
          <w:rFonts w:ascii="宋体" w:hAnsi="宋体" w:cs="Arial"/>
          <w:color w:val="auto"/>
          <w:sz w:val="24"/>
          <w:highlight w:val="none"/>
        </w:rPr>
        <w:t>1</w:t>
      </w:r>
      <w:r>
        <w:rPr>
          <w:rFonts w:hint="eastAsia" w:ascii="宋体" w:hAnsi="宋体" w:cs="Arial"/>
          <w:color w:val="auto"/>
          <w:sz w:val="24"/>
          <w:highlight w:val="none"/>
        </w:rPr>
        <w:t>9）招标人提供办公场地，中标人需提供项目必要的办公工具（如电脑、打印机、耗材等）。</w:t>
      </w:r>
    </w:p>
    <w:p w14:paraId="4F6222CF">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t>（20）采购人不接受中标人任何因遗漏报价而发生的费用追加，因中标人违反《</w:t>
      </w:r>
      <w:r>
        <w:rPr>
          <w:rFonts w:hint="eastAsia" w:ascii="宋体" w:hAnsi="宋体" w:cs="Arial"/>
          <w:color w:val="auto"/>
          <w:sz w:val="24"/>
          <w:highlight w:val="none"/>
          <w:lang w:eastAsia="zh-CN"/>
        </w:rPr>
        <w:t>民法典</w:t>
      </w:r>
      <w:r>
        <w:rPr>
          <w:rFonts w:hint="eastAsia" w:ascii="宋体" w:hAnsi="宋体" w:cs="Arial"/>
          <w:color w:val="auto"/>
          <w:sz w:val="24"/>
          <w:highlight w:val="none"/>
        </w:rPr>
        <w:t>》等法律法规而造成采购人的连带责任和损失全部由中标人承担。</w:t>
      </w:r>
    </w:p>
    <w:p w14:paraId="28FCD77A">
      <w:pPr>
        <w:widowControl/>
        <w:spacing w:line="360" w:lineRule="auto"/>
        <w:ind w:firstLine="480" w:firstLineChars="200"/>
        <w:outlineLvl w:val="1"/>
        <w:rPr>
          <w:color w:val="auto"/>
          <w:highlight w:val="none"/>
        </w:rPr>
      </w:pPr>
      <w:r>
        <w:rPr>
          <w:rFonts w:hint="eastAsia" w:ascii="宋体" w:hAnsi="宋体" w:cs="Arial"/>
          <w:color w:val="auto"/>
          <w:sz w:val="24"/>
          <w:highlight w:val="none"/>
        </w:rPr>
        <w:t>（21）中标人应具有一定的保安队伍信息化、智能化的管理能力。应具备保安队员智能排班、人员智能考勤打卡、保安人员实时在线监督、巡更记录自动检查统计汇总等功能。</w:t>
      </w:r>
    </w:p>
    <w:p w14:paraId="781A6B29">
      <w:pPr>
        <w:widowControl/>
        <w:spacing w:line="360" w:lineRule="auto"/>
        <w:ind w:firstLine="480" w:firstLineChars="200"/>
        <w:outlineLvl w:val="1"/>
        <w:rPr>
          <w:rFonts w:ascii="宋体" w:hAnsi="宋体" w:cs="Arial"/>
          <w:color w:val="auto"/>
          <w:sz w:val="24"/>
          <w:highlight w:val="none"/>
        </w:rPr>
      </w:pPr>
    </w:p>
    <w:p w14:paraId="71C3D001">
      <w:pPr>
        <w:widowControl/>
        <w:spacing w:line="360" w:lineRule="auto"/>
        <w:ind w:firstLine="480" w:firstLineChars="200"/>
        <w:outlineLvl w:val="1"/>
        <w:rPr>
          <w:rFonts w:ascii="宋体" w:hAnsi="宋体" w:cs="Arial"/>
          <w:color w:val="auto"/>
          <w:sz w:val="24"/>
          <w:highlight w:val="none"/>
        </w:rPr>
      </w:pPr>
      <w:r>
        <w:rPr>
          <w:rFonts w:hint="eastAsia" w:ascii="宋体" w:hAnsi="宋体" w:cs="Arial"/>
          <w:color w:val="auto"/>
          <w:sz w:val="24"/>
          <w:highlight w:val="none"/>
        </w:rPr>
        <w:br w:type="page"/>
      </w:r>
    </w:p>
    <w:p w14:paraId="7F4DCDD7">
      <w:pPr>
        <w:widowControl/>
        <w:spacing w:line="360" w:lineRule="auto"/>
        <w:ind w:firstLine="480" w:firstLineChars="200"/>
        <w:outlineLvl w:val="1"/>
        <w:rPr>
          <w:rFonts w:ascii="宋体" w:hAnsi="宋体" w:cs="Arial"/>
          <w:color w:val="auto"/>
          <w:sz w:val="24"/>
          <w:highlight w:val="none"/>
        </w:rPr>
        <w:sectPr>
          <w:pgSz w:w="11906" w:h="16838"/>
          <w:pgMar w:top="1361" w:right="1247" w:bottom="1361" w:left="1247" w:header="851" w:footer="851" w:gutter="0"/>
          <w:cols w:space="720" w:num="1"/>
          <w:docGrid w:linePitch="312" w:charSpace="0"/>
        </w:sectPr>
      </w:pPr>
    </w:p>
    <w:p w14:paraId="6A025B3D">
      <w:pPr>
        <w:snapToGrid w:val="0"/>
        <w:spacing w:line="360" w:lineRule="auto"/>
        <w:ind w:firstLine="482" w:firstLineChars="200"/>
        <w:outlineLvl w:val="1"/>
        <w:rPr>
          <w:color w:val="auto"/>
          <w:highlight w:val="none"/>
        </w:rPr>
      </w:pPr>
      <w:r>
        <w:rPr>
          <w:rFonts w:hint="eastAsia" w:ascii="宋体" w:hAnsi="宋体"/>
          <w:b/>
          <w:color w:val="auto"/>
          <w:sz w:val="24"/>
          <w:highlight w:val="none"/>
        </w:rPr>
        <w:t>九、商务要求</w:t>
      </w:r>
    </w:p>
    <w:tbl>
      <w:tblPr>
        <w:tblStyle w:val="24"/>
        <w:tblW w:w="9364" w:type="dxa"/>
        <w:tblInd w:w="12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63"/>
        <w:gridCol w:w="8101"/>
      </w:tblGrid>
      <w:tr w14:paraId="517699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263" w:type="dxa"/>
            <w:tcBorders>
              <w:top w:val="single" w:color="auto" w:sz="4" w:space="0"/>
              <w:left w:val="single" w:color="auto" w:sz="4" w:space="0"/>
              <w:bottom w:val="single" w:color="auto" w:sz="4" w:space="0"/>
              <w:right w:val="single" w:color="auto" w:sz="4" w:space="0"/>
            </w:tcBorders>
            <w:vAlign w:val="center"/>
          </w:tcPr>
          <w:p w14:paraId="6F803B2B">
            <w:pPr>
              <w:spacing w:line="480" w:lineRule="exact"/>
              <w:rPr>
                <w:rFonts w:ascii="宋体" w:hAnsi="宋体" w:cs="仿宋_GB2312"/>
                <w:color w:val="auto"/>
                <w:sz w:val="24"/>
                <w:highlight w:val="none"/>
              </w:rPr>
            </w:pPr>
            <w:r>
              <w:rPr>
                <w:rFonts w:hint="eastAsia" w:ascii="宋体" w:hAnsi="宋体" w:cs="仿宋_GB2312"/>
                <w:color w:val="auto"/>
                <w:sz w:val="24"/>
                <w:highlight w:val="none"/>
              </w:rPr>
              <w:t>服务期及地点</w:t>
            </w:r>
          </w:p>
        </w:tc>
        <w:tc>
          <w:tcPr>
            <w:tcW w:w="8101" w:type="dxa"/>
            <w:tcBorders>
              <w:top w:val="single" w:color="auto" w:sz="4" w:space="0"/>
              <w:left w:val="single" w:color="auto" w:sz="4" w:space="0"/>
              <w:bottom w:val="single" w:color="auto" w:sz="4" w:space="0"/>
              <w:right w:val="single" w:color="auto" w:sz="4" w:space="0"/>
            </w:tcBorders>
          </w:tcPr>
          <w:p w14:paraId="7994F331">
            <w:pPr>
              <w:snapToGrid w:val="0"/>
              <w:spacing w:line="360" w:lineRule="auto"/>
              <w:rPr>
                <w:rFonts w:ascii="宋体" w:hAnsi="宋体" w:cs="宋体"/>
                <w:color w:val="auto"/>
                <w:sz w:val="24"/>
                <w:highlight w:val="none"/>
              </w:rPr>
            </w:pPr>
            <w:r>
              <w:rPr>
                <w:rFonts w:hint="eastAsia" w:ascii="宋体" w:hAnsi="宋体" w:cs="仿宋_GB2312"/>
                <w:color w:val="auto"/>
                <w:sz w:val="24"/>
                <w:highlight w:val="none"/>
              </w:rPr>
              <w:t>▲服务期：3年</w:t>
            </w:r>
          </w:p>
          <w:p w14:paraId="380420ED">
            <w:pPr>
              <w:snapToGrid w:val="0"/>
              <w:spacing w:line="360" w:lineRule="auto"/>
              <w:rPr>
                <w:rFonts w:ascii="宋体" w:hAnsi="宋体" w:cs="仿宋_GB2312"/>
                <w:color w:val="auto"/>
                <w:sz w:val="24"/>
                <w:highlight w:val="none"/>
              </w:rPr>
            </w:pPr>
            <w:r>
              <w:rPr>
                <w:rFonts w:hint="eastAsia" w:ascii="宋体" w:hAnsi="宋体" w:cs="仿宋_GB2312"/>
                <w:color w:val="auto"/>
                <w:sz w:val="24"/>
                <w:highlight w:val="none"/>
              </w:rPr>
              <w:t xml:space="preserve">地点：采购人指定地点 </w:t>
            </w:r>
          </w:p>
        </w:tc>
      </w:tr>
      <w:tr w14:paraId="40AF26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6" w:hRule="atLeast"/>
        </w:trPr>
        <w:tc>
          <w:tcPr>
            <w:tcW w:w="1263" w:type="dxa"/>
            <w:tcBorders>
              <w:top w:val="single" w:color="auto" w:sz="4" w:space="0"/>
              <w:left w:val="single" w:color="auto" w:sz="4" w:space="0"/>
              <w:bottom w:val="single" w:color="auto" w:sz="4" w:space="0"/>
              <w:right w:val="single" w:color="auto" w:sz="4" w:space="0"/>
            </w:tcBorders>
          </w:tcPr>
          <w:p w14:paraId="4F5D3D4F">
            <w:pPr>
              <w:rPr>
                <w:rFonts w:ascii="宋体" w:hAnsi="宋体" w:cs="宋体"/>
                <w:color w:val="auto"/>
                <w:sz w:val="24"/>
                <w:highlight w:val="none"/>
              </w:rPr>
            </w:pPr>
            <w:r>
              <w:rPr>
                <w:rFonts w:hint="eastAsia" w:ascii="宋体" w:hAnsi="宋体" w:cs="宋体"/>
                <w:color w:val="auto"/>
                <w:sz w:val="24"/>
                <w:highlight w:val="none"/>
              </w:rPr>
              <w:t>付款方式</w:t>
            </w:r>
          </w:p>
        </w:tc>
        <w:tc>
          <w:tcPr>
            <w:tcW w:w="8101" w:type="dxa"/>
            <w:tcBorders>
              <w:top w:val="single" w:color="auto" w:sz="4" w:space="0"/>
              <w:left w:val="single" w:color="auto" w:sz="4" w:space="0"/>
              <w:bottom w:val="single" w:color="auto" w:sz="4" w:space="0"/>
              <w:right w:val="single" w:color="auto" w:sz="4" w:space="0"/>
            </w:tcBorders>
          </w:tcPr>
          <w:p w14:paraId="396EE678">
            <w:pPr>
              <w:pStyle w:val="12"/>
              <w:tabs>
                <w:tab w:val="left" w:pos="0"/>
                <w:tab w:val="left" w:pos="993"/>
                <w:tab w:val="left" w:pos="1134"/>
              </w:tabs>
              <w:spacing w:line="480" w:lineRule="exact"/>
              <w:ind w:left="0" w:leftChars="0"/>
              <w:rPr>
                <w:rFonts w:hAnsi="宋体" w:cs="宋体"/>
                <w:color w:val="auto"/>
                <w:kern w:val="2"/>
                <w:sz w:val="24"/>
                <w:highlight w:val="none"/>
              </w:rPr>
            </w:pPr>
            <w:r>
              <w:rPr>
                <w:rFonts w:hint="eastAsia" w:hAnsi="宋体" w:cs="宋体"/>
                <w:color w:val="auto"/>
                <w:kern w:val="2"/>
                <w:sz w:val="24"/>
                <w:highlight w:val="none"/>
              </w:rPr>
              <w:t>付款方式一：项目合同生效以及具备实施条件后7个工作日支付当年合同价的20%作为预付款；之后根据管理考核办法扣除考核金后每月按实结算一次，计算公式：</w:t>
            </w:r>
          </w:p>
          <w:p w14:paraId="0DB4FF9A">
            <w:pPr>
              <w:pStyle w:val="12"/>
              <w:tabs>
                <w:tab w:val="left" w:pos="0"/>
                <w:tab w:val="left" w:pos="993"/>
                <w:tab w:val="left" w:pos="1134"/>
              </w:tabs>
              <w:spacing w:line="480" w:lineRule="exact"/>
              <w:ind w:left="0" w:leftChars="0"/>
              <w:rPr>
                <w:rFonts w:hAnsi="宋体" w:cs="宋体"/>
                <w:color w:val="auto"/>
                <w:kern w:val="2"/>
                <w:sz w:val="24"/>
                <w:highlight w:val="none"/>
              </w:rPr>
            </w:pPr>
            <w:r>
              <w:rPr>
                <w:rFonts w:hint="eastAsia" w:hAnsi="宋体" w:cs="宋体"/>
                <w:color w:val="auto"/>
                <w:kern w:val="2"/>
                <w:sz w:val="24"/>
                <w:highlight w:val="none"/>
              </w:rPr>
              <w:t>当月服务费=每月人均综合单价*实际人数-每日人均综合单价*缺勤天数+加班费-考核费用+额外奖励费用</w:t>
            </w:r>
          </w:p>
          <w:p w14:paraId="1798E054">
            <w:pPr>
              <w:pStyle w:val="12"/>
              <w:tabs>
                <w:tab w:val="left" w:pos="0"/>
                <w:tab w:val="left" w:pos="993"/>
                <w:tab w:val="left" w:pos="1134"/>
              </w:tabs>
              <w:spacing w:line="480" w:lineRule="exact"/>
              <w:ind w:left="0" w:leftChars="0"/>
              <w:rPr>
                <w:rFonts w:hAnsi="宋体" w:cs="宋体"/>
                <w:color w:val="auto"/>
                <w:kern w:val="2"/>
                <w:sz w:val="24"/>
                <w:highlight w:val="none"/>
              </w:rPr>
            </w:pPr>
            <w:r>
              <w:rPr>
                <w:rFonts w:hint="eastAsia" w:hAnsi="宋体" w:cs="宋体"/>
                <w:color w:val="auto"/>
                <w:kern w:val="2"/>
                <w:sz w:val="24"/>
                <w:highlight w:val="none"/>
              </w:rPr>
              <w:t>（首月支付可从预付款中抵扣）。</w:t>
            </w:r>
          </w:p>
          <w:p w14:paraId="4E361EA8">
            <w:pPr>
              <w:pStyle w:val="12"/>
              <w:tabs>
                <w:tab w:val="left" w:pos="0"/>
                <w:tab w:val="left" w:pos="993"/>
                <w:tab w:val="left" w:pos="1134"/>
              </w:tabs>
              <w:spacing w:line="480" w:lineRule="exact"/>
              <w:ind w:left="0" w:leftChars="0"/>
              <w:rPr>
                <w:rFonts w:ascii="宋体" w:hAnsi="宋体" w:cs="宋体"/>
                <w:color w:val="auto"/>
                <w:sz w:val="24"/>
                <w:highlight w:val="none"/>
              </w:rPr>
            </w:pPr>
            <w:r>
              <w:rPr>
                <w:rFonts w:hint="eastAsia" w:hAnsi="宋体" w:cs="宋体"/>
                <w:color w:val="auto"/>
                <w:kern w:val="2"/>
                <w:sz w:val="24"/>
                <w:highlight w:val="none"/>
              </w:rPr>
              <w:t>付款方式二：（1）中标供应商提出，不需支付预付款。（由中标供应商签订合同代表手抄并签字，手写文字上加盖供应商公章）（2）每月根据管理考核办法扣除考核金后每月按实结算一次。</w:t>
            </w:r>
          </w:p>
        </w:tc>
      </w:tr>
      <w:tr w14:paraId="5F958B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1263" w:type="dxa"/>
            <w:tcBorders>
              <w:top w:val="single" w:color="auto" w:sz="4" w:space="0"/>
              <w:left w:val="single" w:color="auto" w:sz="4" w:space="0"/>
              <w:bottom w:val="single" w:color="auto" w:sz="4" w:space="0"/>
              <w:right w:val="single" w:color="auto" w:sz="4" w:space="0"/>
            </w:tcBorders>
          </w:tcPr>
          <w:p w14:paraId="31B0B2E3">
            <w:pPr>
              <w:rPr>
                <w:color w:val="auto"/>
                <w:highlight w:val="none"/>
              </w:rPr>
            </w:pPr>
            <w:r>
              <w:rPr>
                <w:rFonts w:hint="eastAsia"/>
                <w:color w:val="auto"/>
                <w:sz w:val="28"/>
                <w:szCs w:val="28"/>
                <w:highlight w:val="none"/>
              </w:rPr>
              <w:t>培训</w:t>
            </w:r>
          </w:p>
        </w:tc>
        <w:tc>
          <w:tcPr>
            <w:tcW w:w="8101" w:type="dxa"/>
            <w:tcBorders>
              <w:top w:val="single" w:color="auto" w:sz="4" w:space="0"/>
              <w:left w:val="single" w:color="auto" w:sz="4" w:space="0"/>
              <w:bottom w:val="single" w:color="auto" w:sz="4" w:space="0"/>
              <w:right w:val="single" w:color="auto" w:sz="4" w:space="0"/>
            </w:tcBorders>
          </w:tcPr>
          <w:p w14:paraId="7EE6696B">
            <w:pPr>
              <w:rPr>
                <w:color w:val="auto"/>
                <w:highlight w:val="none"/>
              </w:rPr>
            </w:pPr>
            <w:r>
              <w:rPr>
                <w:rFonts w:hint="eastAsia"/>
                <w:color w:val="auto"/>
                <w:sz w:val="28"/>
                <w:szCs w:val="28"/>
                <w:highlight w:val="none"/>
              </w:rPr>
              <w:t>每年二次培训</w:t>
            </w:r>
          </w:p>
        </w:tc>
      </w:tr>
    </w:tbl>
    <w:p w14:paraId="2755B9F1">
      <w:pPr>
        <w:spacing w:line="560" w:lineRule="exact"/>
        <w:jc w:val="left"/>
        <w:rPr>
          <w:rFonts w:ascii="宋体" w:hAnsi="宋体" w:cs="宋体"/>
          <w:b/>
          <w:color w:val="auto"/>
          <w:kern w:val="0"/>
          <w:sz w:val="24"/>
          <w:szCs w:val="22"/>
          <w:highlight w:val="none"/>
        </w:rPr>
      </w:pPr>
      <w:r>
        <w:rPr>
          <w:rFonts w:hint="eastAsia" w:ascii="宋体" w:hAnsi="宋体" w:cs="宋体"/>
          <w:b/>
          <w:color w:val="auto"/>
          <w:kern w:val="0"/>
          <w:sz w:val="24"/>
          <w:szCs w:val="22"/>
          <w:highlight w:val="none"/>
        </w:rPr>
        <w:t>注：1、本项目</w:t>
      </w:r>
      <w:r>
        <w:rPr>
          <w:rFonts w:ascii="宋体" w:hAnsi="宋体" w:cs="宋体"/>
          <w:b/>
          <w:color w:val="auto"/>
          <w:kern w:val="0"/>
          <w:sz w:val="24"/>
          <w:szCs w:val="22"/>
          <w:highlight w:val="none"/>
        </w:rPr>
        <w:t>采购标的对应的中小企业划分标准所属行业</w:t>
      </w:r>
      <w:r>
        <w:rPr>
          <w:rFonts w:hint="eastAsia" w:ascii="宋体" w:hAnsi="宋体" w:cs="宋体"/>
          <w:b/>
          <w:color w:val="auto"/>
          <w:kern w:val="0"/>
          <w:sz w:val="24"/>
          <w:szCs w:val="22"/>
          <w:highlight w:val="none"/>
        </w:rPr>
        <w:t>为租赁和商务服务业。</w:t>
      </w:r>
    </w:p>
    <w:p w14:paraId="38A86AB0">
      <w:pPr>
        <w:spacing w:line="560" w:lineRule="exact"/>
        <w:jc w:val="left"/>
        <w:rPr>
          <w:rFonts w:ascii="宋体" w:hAnsi="宋体" w:cs="宋体"/>
          <w:b/>
          <w:color w:val="auto"/>
          <w:kern w:val="0"/>
          <w:sz w:val="24"/>
          <w:highlight w:val="none"/>
        </w:rPr>
      </w:pPr>
      <w:r>
        <w:rPr>
          <w:rFonts w:hint="eastAsia" w:ascii="宋体" w:hAnsi="宋体" w:cs="宋体"/>
          <w:b/>
          <w:color w:val="auto"/>
          <w:kern w:val="0"/>
          <w:sz w:val="24"/>
          <w:highlight w:val="none"/>
        </w:rPr>
        <w:t>2.</w:t>
      </w:r>
      <w:r>
        <w:rPr>
          <w:rFonts w:ascii="宋体" w:hAnsi="宋体" w:cs="宋体"/>
          <w:b/>
          <w:color w:val="auto"/>
          <w:kern w:val="0"/>
          <w:sz w:val="24"/>
          <w:highlight w:val="none"/>
        </w:rPr>
        <w:t>依据《</w:t>
      </w:r>
      <w:r>
        <w:rPr>
          <w:rFonts w:hint="eastAsia" w:ascii="宋体" w:hAnsi="宋体" w:cs="宋体"/>
          <w:b/>
          <w:color w:val="auto"/>
          <w:kern w:val="0"/>
          <w:sz w:val="24"/>
          <w:highlight w:val="none"/>
        </w:rPr>
        <w:t>政府采购促进中小企业发展管理办法</w:t>
      </w:r>
      <w:r>
        <w:rPr>
          <w:rFonts w:ascii="宋体" w:hAnsi="宋体" w:cs="宋体"/>
          <w:b/>
          <w:color w:val="auto"/>
          <w:kern w:val="0"/>
          <w:sz w:val="24"/>
          <w:highlight w:val="none"/>
        </w:rPr>
        <w:t>》</w:t>
      </w:r>
      <w:r>
        <w:rPr>
          <w:rFonts w:hint="eastAsia" w:ascii="宋体" w:hAnsi="宋体" w:cs="宋体"/>
          <w:b/>
          <w:color w:val="auto"/>
          <w:kern w:val="0"/>
          <w:sz w:val="24"/>
          <w:highlight w:val="none"/>
        </w:rPr>
        <w:t>（财库【2020】46号）</w:t>
      </w:r>
      <w:r>
        <w:rPr>
          <w:rFonts w:ascii="宋体" w:hAnsi="宋体" w:cs="宋体"/>
          <w:b/>
          <w:color w:val="auto"/>
          <w:kern w:val="0"/>
          <w:sz w:val="24"/>
          <w:highlight w:val="none"/>
        </w:rPr>
        <w:t xml:space="preserve">规定享受扶持政策获得政府采购合同的，小微企业不得将合同分包给大中型企业，中型企业不得将合同分包给大型企业。 </w:t>
      </w:r>
    </w:p>
    <w:p w14:paraId="5DDA0F80">
      <w:pPr>
        <w:pStyle w:val="2"/>
        <w:rPr>
          <w:color w:val="auto"/>
          <w:highlight w:val="none"/>
        </w:rPr>
      </w:pPr>
    </w:p>
    <w:p w14:paraId="7FC70DD4">
      <w:pPr>
        <w:rPr>
          <w:rFonts w:ascii="黑体" w:hAnsi="宋体" w:eastAsia="黑体"/>
          <w:color w:val="auto"/>
          <w:sz w:val="30"/>
          <w:szCs w:val="30"/>
          <w:highlight w:val="none"/>
        </w:rPr>
      </w:pPr>
      <w:r>
        <w:rPr>
          <w:rFonts w:hint="eastAsia" w:ascii="黑体" w:hAnsi="宋体" w:eastAsia="黑体"/>
          <w:color w:val="auto"/>
          <w:sz w:val="30"/>
          <w:szCs w:val="30"/>
          <w:highlight w:val="none"/>
        </w:rPr>
        <w:br w:type="page"/>
      </w:r>
    </w:p>
    <w:p w14:paraId="33BD3B6A">
      <w:pPr>
        <w:snapToGrid w:val="0"/>
        <w:spacing w:line="360" w:lineRule="auto"/>
        <w:jc w:val="center"/>
        <w:rPr>
          <w:rFonts w:ascii="黑体" w:hAnsi="宋体" w:eastAsia="黑体"/>
          <w:color w:val="auto"/>
          <w:sz w:val="30"/>
          <w:szCs w:val="30"/>
          <w:highlight w:val="none"/>
        </w:rPr>
      </w:pPr>
      <w:r>
        <w:rPr>
          <w:rFonts w:hint="eastAsia" w:ascii="黑体" w:hAnsi="宋体" w:eastAsia="黑体"/>
          <w:color w:val="auto"/>
          <w:sz w:val="30"/>
          <w:szCs w:val="30"/>
          <w:highlight w:val="none"/>
        </w:rPr>
        <w:t>第三章  投标人须知</w:t>
      </w:r>
    </w:p>
    <w:p w14:paraId="5898C487">
      <w:pPr>
        <w:snapToGrid w:val="0"/>
        <w:spacing w:line="360" w:lineRule="auto"/>
        <w:ind w:left="238"/>
        <w:jc w:val="center"/>
        <w:outlineLvl w:val="1"/>
        <w:rPr>
          <w:rFonts w:ascii="宋体" w:hAnsi="宋体"/>
          <w:b/>
          <w:color w:val="auto"/>
          <w:sz w:val="30"/>
          <w:szCs w:val="30"/>
          <w:highlight w:val="none"/>
        </w:rPr>
      </w:pPr>
      <w:r>
        <w:rPr>
          <w:rFonts w:hint="eastAsia" w:ascii="宋体" w:hAnsi="宋体"/>
          <w:b/>
          <w:color w:val="auto"/>
          <w:sz w:val="30"/>
          <w:szCs w:val="30"/>
          <w:highlight w:val="none"/>
        </w:rPr>
        <w:t>前附表</w:t>
      </w:r>
    </w:p>
    <w:tbl>
      <w:tblPr>
        <w:tblStyle w:val="24"/>
        <w:tblW w:w="9956" w:type="dxa"/>
        <w:tblInd w:w="-25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0"/>
        <w:gridCol w:w="9056"/>
      </w:tblGrid>
      <w:tr w14:paraId="1FEB35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900" w:type="dxa"/>
            <w:tcBorders>
              <w:top w:val="single" w:color="auto" w:sz="4" w:space="0"/>
              <w:left w:val="single" w:color="auto" w:sz="4" w:space="0"/>
              <w:bottom w:val="single" w:color="auto" w:sz="4" w:space="0"/>
              <w:right w:val="single" w:color="auto" w:sz="4" w:space="0"/>
            </w:tcBorders>
            <w:vAlign w:val="center"/>
          </w:tcPr>
          <w:p w14:paraId="7E30F399">
            <w:pPr>
              <w:snapToGrid w:val="0"/>
              <w:spacing w:line="360" w:lineRule="auto"/>
              <w:jc w:val="center"/>
              <w:rPr>
                <w:rFonts w:ascii="宋体" w:hAnsi="宋体"/>
                <w:color w:val="auto"/>
                <w:sz w:val="24"/>
                <w:szCs w:val="20"/>
                <w:highlight w:val="none"/>
              </w:rPr>
            </w:pPr>
            <w:r>
              <w:rPr>
                <w:rFonts w:hint="eastAsia" w:ascii="宋体" w:hAnsi="宋体"/>
                <w:color w:val="auto"/>
                <w:sz w:val="24"/>
                <w:highlight w:val="none"/>
              </w:rPr>
              <w:t>序号</w:t>
            </w:r>
          </w:p>
        </w:tc>
        <w:tc>
          <w:tcPr>
            <w:tcW w:w="9056" w:type="dxa"/>
            <w:tcBorders>
              <w:top w:val="single" w:color="auto" w:sz="4" w:space="0"/>
              <w:left w:val="single" w:color="auto" w:sz="4" w:space="0"/>
              <w:bottom w:val="single" w:color="auto" w:sz="4" w:space="0"/>
              <w:right w:val="single" w:color="auto" w:sz="4" w:space="0"/>
            </w:tcBorders>
            <w:vAlign w:val="center"/>
          </w:tcPr>
          <w:p w14:paraId="756D5600">
            <w:pPr>
              <w:snapToGrid w:val="0"/>
              <w:spacing w:line="360" w:lineRule="auto"/>
              <w:jc w:val="center"/>
              <w:rPr>
                <w:rFonts w:ascii="宋体" w:hAnsi="宋体"/>
                <w:color w:val="auto"/>
                <w:sz w:val="24"/>
                <w:szCs w:val="20"/>
                <w:highlight w:val="none"/>
              </w:rPr>
            </w:pPr>
            <w:r>
              <w:rPr>
                <w:rFonts w:hint="eastAsia" w:ascii="宋体" w:hAnsi="宋体"/>
                <w:color w:val="auto"/>
                <w:sz w:val="24"/>
                <w:highlight w:val="none"/>
              </w:rPr>
              <w:t>内容、要求</w:t>
            </w:r>
          </w:p>
        </w:tc>
      </w:tr>
      <w:tr w14:paraId="03755F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900" w:type="dxa"/>
            <w:tcBorders>
              <w:top w:val="single" w:color="auto" w:sz="4" w:space="0"/>
              <w:left w:val="single" w:color="auto" w:sz="4" w:space="0"/>
              <w:bottom w:val="single" w:color="auto" w:sz="4" w:space="0"/>
              <w:right w:val="single" w:color="auto" w:sz="4" w:space="0"/>
            </w:tcBorders>
            <w:vAlign w:val="center"/>
          </w:tcPr>
          <w:p w14:paraId="3FB99510">
            <w:pPr>
              <w:snapToGrid w:val="0"/>
              <w:spacing w:line="360" w:lineRule="auto"/>
              <w:jc w:val="center"/>
              <w:rPr>
                <w:rFonts w:ascii="宋体" w:hAnsi="宋体"/>
                <w:color w:val="auto"/>
                <w:sz w:val="24"/>
                <w:szCs w:val="20"/>
                <w:highlight w:val="none"/>
              </w:rPr>
            </w:pPr>
            <w:r>
              <w:rPr>
                <w:rFonts w:ascii="宋体" w:hAnsi="宋体"/>
                <w:color w:val="auto"/>
                <w:sz w:val="24"/>
                <w:highlight w:val="none"/>
              </w:rPr>
              <w:t>1</w:t>
            </w:r>
          </w:p>
        </w:tc>
        <w:tc>
          <w:tcPr>
            <w:tcW w:w="9056" w:type="dxa"/>
            <w:tcBorders>
              <w:top w:val="single" w:color="auto" w:sz="4" w:space="0"/>
              <w:left w:val="single" w:color="auto" w:sz="4" w:space="0"/>
              <w:bottom w:val="single" w:color="auto" w:sz="4" w:space="0"/>
              <w:right w:val="single" w:color="auto" w:sz="4" w:space="0"/>
            </w:tcBorders>
            <w:vAlign w:val="center"/>
          </w:tcPr>
          <w:p w14:paraId="3EAF8270">
            <w:pPr>
              <w:widowControl/>
              <w:jc w:val="left"/>
              <w:rPr>
                <w:rFonts w:hint="eastAsia" w:ascii="宋体" w:hAnsi="宋体" w:eastAsia="宋体"/>
                <w:color w:val="auto"/>
                <w:sz w:val="24"/>
                <w:highlight w:val="none"/>
                <w:lang w:eastAsia="zh-CN"/>
              </w:rPr>
            </w:pPr>
            <w:r>
              <w:rPr>
                <w:rFonts w:hint="eastAsia" w:ascii="宋体" w:hAnsi="宋体"/>
                <w:color w:val="auto"/>
                <w:sz w:val="24"/>
                <w:highlight w:val="none"/>
              </w:rPr>
              <w:t>项目名称：</w:t>
            </w:r>
            <w:r>
              <w:rPr>
                <w:rFonts w:hint="eastAsia" w:ascii="宋体" w:hAnsi="宋体"/>
                <w:color w:val="auto"/>
                <w:sz w:val="24"/>
                <w:highlight w:val="none"/>
                <w:lang w:eastAsia="zh-CN"/>
              </w:rPr>
              <w:t>湖州市中心医院安防服务招标项目</w:t>
            </w:r>
          </w:p>
        </w:tc>
      </w:tr>
      <w:tr w14:paraId="477A76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900" w:type="dxa"/>
            <w:tcBorders>
              <w:top w:val="single" w:color="auto" w:sz="4" w:space="0"/>
              <w:left w:val="single" w:color="auto" w:sz="4" w:space="0"/>
              <w:bottom w:val="single" w:color="auto" w:sz="4" w:space="0"/>
              <w:right w:val="single" w:color="auto" w:sz="4" w:space="0"/>
            </w:tcBorders>
            <w:vAlign w:val="center"/>
          </w:tcPr>
          <w:p w14:paraId="5DAD4CA3">
            <w:pPr>
              <w:snapToGrid w:val="0"/>
              <w:spacing w:line="360" w:lineRule="auto"/>
              <w:jc w:val="center"/>
              <w:rPr>
                <w:rFonts w:ascii="宋体" w:hAnsi="宋体"/>
                <w:color w:val="auto"/>
                <w:sz w:val="24"/>
                <w:szCs w:val="20"/>
                <w:highlight w:val="none"/>
              </w:rPr>
            </w:pPr>
            <w:r>
              <w:rPr>
                <w:rFonts w:ascii="宋体" w:hAnsi="宋体"/>
                <w:color w:val="auto"/>
                <w:sz w:val="24"/>
                <w:highlight w:val="none"/>
              </w:rPr>
              <w:t>2</w:t>
            </w:r>
          </w:p>
        </w:tc>
        <w:tc>
          <w:tcPr>
            <w:tcW w:w="9056" w:type="dxa"/>
            <w:tcBorders>
              <w:top w:val="single" w:color="auto" w:sz="4" w:space="0"/>
              <w:left w:val="single" w:color="auto" w:sz="4" w:space="0"/>
              <w:bottom w:val="single" w:color="auto" w:sz="4" w:space="0"/>
              <w:right w:val="single" w:color="auto" w:sz="4" w:space="0"/>
            </w:tcBorders>
            <w:vAlign w:val="center"/>
          </w:tcPr>
          <w:p w14:paraId="4588D385">
            <w:pPr>
              <w:widowControl/>
              <w:jc w:val="left"/>
              <w:rPr>
                <w:rFonts w:ascii="宋体" w:hAnsi="宋体"/>
                <w:color w:val="auto"/>
                <w:sz w:val="24"/>
                <w:highlight w:val="none"/>
              </w:rPr>
            </w:pPr>
            <w:r>
              <w:rPr>
                <w:rFonts w:hint="eastAsia" w:ascii="宋体" w:hAnsi="宋体"/>
                <w:color w:val="auto"/>
                <w:sz w:val="24"/>
                <w:highlight w:val="none"/>
              </w:rPr>
              <w:t>采购数量及单位：详见招标文件</w:t>
            </w:r>
          </w:p>
        </w:tc>
      </w:tr>
      <w:tr w14:paraId="7D45EC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900" w:type="dxa"/>
            <w:tcBorders>
              <w:top w:val="single" w:color="auto" w:sz="4" w:space="0"/>
              <w:left w:val="single" w:color="auto" w:sz="4" w:space="0"/>
              <w:bottom w:val="single" w:color="auto" w:sz="4" w:space="0"/>
              <w:right w:val="single" w:color="auto" w:sz="4" w:space="0"/>
            </w:tcBorders>
            <w:vAlign w:val="center"/>
          </w:tcPr>
          <w:p w14:paraId="4E78AC8A">
            <w:pPr>
              <w:snapToGrid w:val="0"/>
              <w:spacing w:line="360" w:lineRule="auto"/>
              <w:jc w:val="center"/>
              <w:rPr>
                <w:rFonts w:ascii="宋体" w:hAnsi="宋体"/>
                <w:color w:val="auto"/>
                <w:sz w:val="24"/>
                <w:highlight w:val="none"/>
              </w:rPr>
            </w:pPr>
            <w:r>
              <w:rPr>
                <w:rFonts w:hint="eastAsia" w:ascii="宋体" w:hAnsi="宋体"/>
                <w:color w:val="auto"/>
                <w:sz w:val="24"/>
                <w:highlight w:val="none"/>
              </w:rPr>
              <w:t>3</w:t>
            </w:r>
          </w:p>
        </w:tc>
        <w:tc>
          <w:tcPr>
            <w:tcW w:w="9056" w:type="dxa"/>
            <w:tcBorders>
              <w:top w:val="single" w:color="auto" w:sz="4" w:space="0"/>
              <w:left w:val="single" w:color="auto" w:sz="4" w:space="0"/>
              <w:bottom w:val="single" w:color="auto" w:sz="4" w:space="0"/>
              <w:right w:val="single" w:color="auto" w:sz="4" w:space="0"/>
            </w:tcBorders>
            <w:vAlign w:val="center"/>
          </w:tcPr>
          <w:p w14:paraId="69509CDA">
            <w:pPr>
              <w:widowControl/>
              <w:jc w:val="left"/>
              <w:rPr>
                <w:rFonts w:ascii="宋体" w:hAnsi="宋体"/>
                <w:color w:val="auto"/>
                <w:sz w:val="24"/>
                <w:highlight w:val="none"/>
              </w:rPr>
            </w:pPr>
            <w:r>
              <w:rPr>
                <w:rFonts w:hint="eastAsia" w:ascii="宋体" w:hAnsi="宋体"/>
                <w:color w:val="auto"/>
                <w:sz w:val="24"/>
                <w:highlight w:val="none"/>
              </w:rPr>
              <w:t>投标报价及费用：</w:t>
            </w:r>
            <w:r>
              <w:rPr>
                <w:rFonts w:ascii="宋体" w:hAnsi="宋体"/>
                <w:color w:val="auto"/>
                <w:sz w:val="24"/>
                <w:highlight w:val="none"/>
              </w:rPr>
              <w:t>1</w:t>
            </w:r>
            <w:r>
              <w:rPr>
                <w:rFonts w:hint="eastAsia" w:ascii="宋体" w:hAnsi="宋体"/>
                <w:color w:val="auto"/>
                <w:sz w:val="24"/>
                <w:highlight w:val="none"/>
              </w:rPr>
              <w:t>.本项目投标应以人民币报价；</w:t>
            </w:r>
            <w:r>
              <w:rPr>
                <w:rFonts w:ascii="宋体" w:hAnsi="宋体"/>
                <w:color w:val="auto"/>
                <w:sz w:val="24"/>
                <w:highlight w:val="none"/>
              </w:rPr>
              <w:t>2</w:t>
            </w:r>
            <w:r>
              <w:rPr>
                <w:rFonts w:hint="eastAsia" w:ascii="宋体" w:hAnsi="宋体"/>
                <w:color w:val="auto"/>
                <w:sz w:val="24"/>
                <w:highlight w:val="none"/>
              </w:rPr>
              <w:t>.不论投标结果如何，投标人均应自行承担所有与投标有关的全部费用。3.本项目招标代理服务费人民币贰万元整</w:t>
            </w:r>
            <w:r>
              <w:rPr>
                <w:rFonts w:hint="eastAsia" w:ascii="宋体" w:hAnsi="宋体"/>
                <w:color w:val="auto"/>
                <w:sz w:val="24"/>
                <w:highlight w:val="none"/>
                <w:lang w:eastAsia="zh-CN"/>
              </w:rPr>
              <w:t>（</w:t>
            </w:r>
            <w:r>
              <w:rPr>
                <w:rFonts w:hint="eastAsia" w:ascii="宋体" w:hAnsi="宋体"/>
                <w:color w:val="auto"/>
                <w:sz w:val="24"/>
                <w:highlight w:val="none"/>
              </w:rPr>
              <w:t>￥20000.00) ，由中标人全额支付。在中标通知书发出后当日内一次性结清。</w:t>
            </w:r>
          </w:p>
        </w:tc>
      </w:tr>
      <w:tr w14:paraId="7918C1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900" w:type="dxa"/>
            <w:tcBorders>
              <w:top w:val="single" w:color="auto" w:sz="4" w:space="0"/>
              <w:left w:val="single" w:color="auto" w:sz="4" w:space="0"/>
              <w:bottom w:val="single" w:color="auto" w:sz="4" w:space="0"/>
              <w:right w:val="single" w:color="auto" w:sz="4" w:space="0"/>
            </w:tcBorders>
            <w:vAlign w:val="center"/>
          </w:tcPr>
          <w:p w14:paraId="325A56D3">
            <w:pPr>
              <w:snapToGrid w:val="0"/>
              <w:spacing w:line="360" w:lineRule="auto"/>
              <w:jc w:val="center"/>
              <w:rPr>
                <w:rFonts w:ascii="宋体" w:hAnsi="宋体"/>
                <w:color w:val="auto"/>
                <w:sz w:val="24"/>
                <w:szCs w:val="20"/>
                <w:highlight w:val="none"/>
              </w:rPr>
            </w:pPr>
            <w:r>
              <w:rPr>
                <w:rFonts w:ascii="宋体" w:hAnsi="宋体"/>
                <w:color w:val="auto"/>
                <w:sz w:val="24"/>
                <w:highlight w:val="none"/>
              </w:rPr>
              <w:t>4</w:t>
            </w:r>
          </w:p>
        </w:tc>
        <w:tc>
          <w:tcPr>
            <w:tcW w:w="9056" w:type="dxa"/>
            <w:tcBorders>
              <w:top w:val="single" w:color="auto" w:sz="4" w:space="0"/>
              <w:left w:val="single" w:color="auto" w:sz="4" w:space="0"/>
              <w:bottom w:val="single" w:color="auto" w:sz="4" w:space="0"/>
              <w:right w:val="single" w:color="auto" w:sz="4" w:space="0"/>
            </w:tcBorders>
            <w:vAlign w:val="center"/>
          </w:tcPr>
          <w:p w14:paraId="1B76FD4D">
            <w:pPr>
              <w:widowControl/>
              <w:jc w:val="left"/>
              <w:rPr>
                <w:rFonts w:ascii="宋体" w:hAnsi="宋体"/>
                <w:color w:val="auto"/>
                <w:sz w:val="24"/>
                <w:highlight w:val="none"/>
              </w:rPr>
            </w:pPr>
            <w:r>
              <w:rPr>
                <w:rFonts w:hint="eastAsia" w:ascii="宋体" w:hAnsi="宋体"/>
                <w:color w:val="auto"/>
                <w:sz w:val="24"/>
                <w:highlight w:val="none"/>
              </w:rPr>
              <w:t>投标保证金：不缴纳</w:t>
            </w:r>
          </w:p>
        </w:tc>
      </w:tr>
      <w:tr w14:paraId="7BD4E5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7" w:hRule="atLeast"/>
        </w:trPr>
        <w:tc>
          <w:tcPr>
            <w:tcW w:w="900" w:type="dxa"/>
            <w:tcBorders>
              <w:top w:val="single" w:color="auto" w:sz="4" w:space="0"/>
              <w:left w:val="single" w:color="auto" w:sz="4" w:space="0"/>
              <w:bottom w:val="single" w:color="auto" w:sz="4" w:space="0"/>
              <w:right w:val="single" w:color="auto" w:sz="4" w:space="0"/>
            </w:tcBorders>
            <w:vAlign w:val="center"/>
          </w:tcPr>
          <w:p w14:paraId="5A33D06E">
            <w:pPr>
              <w:snapToGrid w:val="0"/>
              <w:spacing w:line="360" w:lineRule="auto"/>
              <w:jc w:val="center"/>
              <w:rPr>
                <w:rFonts w:ascii="宋体" w:hAnsi="宋体"/>
                <w:color w:val="auto"/>
                <w:sz w:val="24"/>
                <w:szCs w:val="20"/>
                <w:highlight w:val="none"/>
              </w:rPr>
            </w:pPr>
            <w:r>
              <w:rPr>
                <w:rFonts w:ascii="宋体" w:hAnsi="宋体"/>
                <w:color w:val="auto"/>
                <w:sz w:val="24"/>
                <w:highlight w:val="none"/>
              </w:rPr>
              <w:t>5</w:t>
            </w:r>
          </w:p>
        </w:tc>
        <w:tc>
          <w:tcPr>
            <w:tcW w:w="9056" w:type="dxa"/>
            <w:tcBorders>
              <w:top w:val="single" w:color="auto" w:sz="4" w:space="0"/>
              <w:left w:val="single" w:color="auto" w:sz="4" w:space="0"/>
              <w:bottom w:val="single" w:color="auto" w:sz="4" w:space="0"/>
              <w:right w:val="single" w:color="auto" w:sz="4" w:space="0"/>
            </w:tcBorders>
            <w:vAlign w:val="center"/>
          </w:tcPr>
          <w:p w14:paraId="374ECB4A">
            <w:pPr>
              <w:widowControl/>
              <w:jc w:val="left"/>
              <w:rPr>
                <w:rFonts w:ascii="宋体" w:hAnsi="宋体"/>
                <w:color w:val="auto"/>
                <w:sz w:val="24"/>
                <w:highlight w:val="none"/>
              </w:rPr>
            </w:pPr>
            <w:r>
              <w:rPr>
                <w:rFonts w:hint="eastAsia" w:ascii="宋体" w:hAnsi="宋体"/>
                <w:color w:val="auto"/>
                <w:sz w:val="24"/>
                <w:highlight w:val="none"/>
              </w:rPr>
              <w:t>现场踏勘：不组织</w:t>
            </w:r>
          </w:p>
        </w:tc>
      </w:tr>
      <w:tr w14:paraId="038E09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2" w:hRule="atLeast"/>
        </w:trPr>
        <w:tc>
          <w:tcPr>
            <w:tcW w:w="900" w:type="dxa"/>
            <w:tcBorders>
              <w:top w:val="single" w:color="auto" w:sz="4" w:space="0"/>
              <w:left w:val="single" w:color="auto" w:sz="4" w:space="0"/>
              <w:bottom w:val="single" w:color="auto" w:sz="4" w:space="0"/>
              <w:right w:val="single" w:color="auto" w:sz="4" w:space="0"/>
            </w:tcBorders>
            <w:vAlign w:val="center"/>
          </w:tcPr>
          <w:p w14:paraId="1C2620A2">
            <w:pPr>
              <w:snapToGrid w:val="0"/>
              <w:spacing w:line="360" w:lineRule="auto"/>
              <w:jc w:val="center"/>
              <w:rPr>
                <w:rFonts w:ascii="宋体" w:hAnsi="宋体"/>
                <w:color w:val="auto"/>
                <w:sz w:val="24"/>
                <w:szCs w:val="20"/>
                <w:highlight w:val="none"/>
              </w:rPr>
            </w:pPr>
            <w:r>
              <w:rPr>
                <w:rFonts w:hint="eastAsia" w:ascii="宋体" w:hAnsi="宋体"/>
                <w:color w:val="auto"/>
                <w:sz w:val="24"/>
                <w:szCs w:val="20"/>
                <w:highlight w:val="none"/>
              </w:rPr>
              <w:t>6</w:t>
            </w:r>
          </w:p>
        </w:tc>
        <w:tc>
          <w:tcPr>
            <w:tcW w:w="9056" w:type="dxa"/>
            <w:tcBorders>
              <w:top w:val="single" w:color="auto" w:sz="4" w:space="0"/>
              <w:left w:val="single" w:color="auto" w:sz="4" w:space="0"/>
              <w:bottom w:val="single" w:color="auto" w:sz="4" w:space="0"/>
              <w:right w:val="single" w:color="auto" w:sz="4" w:space="0"/>
            </w:tcBorders>
            <w:vAlign w:val="center"/>
          </w:tcPr>
          <w:p w14:paraId="51AADED3">
            <w:pPr>
              <w:widowControl/>
              <w:jc w:val="left"/>
              <w:rPr>
                <w:rFonts w:ascii="宋体" w:hAnsi="宋体"/>
                <w:color w:val="auto"/>
                <w:sz w:val="24"/>
                <w:highlight w:val="none"/>
              </w:rPr>
            </w:pPr>
            <w:r>
              <w:rPr>
                <w:rFonts w:hint="eastAsia" w:ascii="宋体" w:hAnsi="宋体"/>
                <w:color w:val="auto"/>
                <w:sz w:val="24"/>
                <w:highlight w:val="none"/>
              </w:rPr>
              <w:t>答疑与澄清：供应商认为采购文件使自己的权益受到损害的，可以自收到采购文件之日（发售截止日之后收到采购文件的，以发售截止日为准）或者采购文件公告期限届满之日（公告发布后的第6个工作日）起7个工作日内（逾期将不再受理），以书面形式向采购人和采购代理公司提出质疑。质疑供应商对采购人、采购代理公司的答复不满意或者采购人、采购代理公司未在规定的时间内作出答复的，可以在答复期满后十五个工作日内向同级政府采购监督管理部门投诉。采购人和采购代理机构将于提交投标截止时间15日前进行可能影响投标文件编制的澄清或修改；答疑内容是招标文件的组成部份，将在网上发布补充（答疑、澄清）文件，潜在投标人应自行关注网站公告，招标人不再一一通知。因其他紧急情况影响本项目正常招标活动的，采购人和采购代理机构将于投标截止日期一天前书面通知所有已报名的投标人。</w:t>
            </w:r>
          </w:p>
        </w:tc>
      </w:tr>
      <w:tr w14:paraId="331748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2" w:hRule="atLeast"/>
        </w:trPr>
        <w:tc>
          <w:tcPr>
            <w:tcW w:w="900" w:type="dxa"/>
            <w:tcBorders>
              <w:top w:val="single" w:color="auto" w:sz="4" w:space="0"/>
              <w:left w:val="single" w:color="auto" w:sz="4" w:space="0"/>
              <w:bottom w:val="single" w:color="auto" w:sz="4" w:space="0"/>
              <w:right w:val="single" w:color="auto" w:sz="4" w:space="0"/>
            </w:tcBorders>
            <w:vAlign w:val="center"/>
          </w:tcPr>
          <w:p w14:paraId="1C44B93F">
            <w:pPr>
              <w:snapToGrid w:val="0"/>
              <w:spacing w:line="360" w:lineRule="auto"/>
              <w:jc w:val="center"/>
              <w:rPr>
                <w:rFonts w:ascii="宋体" w:hAnsi="宋体"/>
                <w:color w:val="auto"/>
                <w:sz w:val="24"/>
                <w:highlight w:val="none"/>
              </w:rPr>
            </w:pPr>
            <w:r>
              <w:rPr>
                <w:rFonts w:hint="eastAsia" w:ascii="宋体" w:hAnsi="宋体"/>
                <w:color w:val="auto"/>
                <w:sz w:val="24"/>
                <w:highlight w:val="none"/>
              </w:rPr>
              <w:t>7</w:t>
            </w:r>
          </w:p>
        </w:tc>
        <w:tc>
          <w:tcPr>
            <w:tcW w:w="9056" w:type="dxa"/>
            <w:tcBorders>
              <w:top w:val="single" w:color="auto" w:sz="4" w:space="0"/>
              <w:left w:val="single" w:color="auto" w:sz="4" w:space="0"/>
              <w:bottom w:val="single" w:color="auto" w:sz="4" w:space="0"/>
              <w:right w:val="single" w:color="auto" w:sz="4" w:space="0"/>
            </w:tcBorders>
            <w:vAlign w:val="center"/>
          </w:tcPr>
          <w:p w14:paraId="31702BDE">
            <w:pPr>
              <w:widowControl/>
              <w:jc w:val="left"/>
              <w:rPr>
                <w:rFonts w:ascii="宋体" w:hAnsi="宋体"/>
                <w:color w:val="auto"/>
                <w:sz w:val="24"/>
                <w:highlight w:val="none"/>
              </w:rPr>
            </w:pPr>
            <w:r>
              <w:rPr>
                <w:rFonts w:hint="eastAsia" w:ascii="宋体" w:hAnsi="宋体"/>
                <w:color w:val="auto"/>
                <w:sz w:val="24"/>
                <w:highlight w:val="none"/>
              </w:rPr>
              <w:t>投标文件组成：1、电子投标文件（包括“电子加密投标文件”和“备份投标文件”，在投标文件编制完成后同时生成）</w:t>
            </w:r>
          </w:p>
          <w:p w14:paraId="14CAA359">
            <w:pPr>
              <w:widowControl/>
              <w:jc w:val="left"/>
              <w:rPr>
                <w:rFonts w:ascii="宋体" w:hAnsi="宋体"/>
                <w:color w:val="auto"/>
                <w:sz w:val="24"/>
                <w:highlight w:val="none"/>
              </w:rPr>
            </w:pPr>
            <w:r>
              <w:rPr>
                <w:rFonts w:hint="eastAsia" w:ascii="宋体" w:hAnsi="宋体"/>
                <w:color w:val="auto"/>
                <w:sz w:val="24"/>
                <w:highlight w:val="none"/>
              </w:rPr>
              <w:t>（1）“电子加密投标文件”是指通过“政采云电子交易客户端”完成投标文件编制后生成并加密的数据电文形式的投标文件。</w:t>
            </w:r>
          </w:p>
          <w:p w14:paraId="482DB6E1">
            <w:pPr>
              <w:widowControl/>
              <w:jc w:val="left"/>
              <w:rPr>
                <w:rFonts w:ascii="宋体" w:hAnsi="宋体"/>
                <w:color w:val="auto"/>
                <w:sz w:val="24"/>
                <w:highlight w:val="none"/>
              </w:rPr>
            </w:pPr>
            <w:r>
              <w:rPr>
                <w:rFonts w:hint="eastAsia" w:ascii="宋体" w:hAnsi="宋体"/>
                <w:color w:val="auto"/>
                <w:sz w:val="24"/>
                <w:highlight w:val="none"/>
              </w:rPr>
              <w:t>（2）“备份投标文件”是指与“电子加密投标文件”同时生成的数据电文形式的电子文件（备份标书），其他方式编制的备份投标文件视为无效备份投标文件。仅在出现解密异常情况下使用。</w:t>
            </w:r>
          </w:p>
          <w:p w14:paraId="7A7CC84C">
            <w:pPr>
              <w:widowControl/>
              <w:autoSpaceDE w:val="0"/>
              <w:autoSpaceDN w:val="0"/>
              <w:jc w:val="left"/>
              <w:textAlignment w:val="bottom"/>
              <w:rPr>
                <w:rFonts w:ascii="宋体" w:hAnsi="宋体"/>
                <w:color w:val="auto"/>
                <w:sz w:val="24"/>
                <w:highlight w:val="none"/>
              </w:rPr>
            </w:pPr>
            <w:r>
              <w:rPr>
                <w:rFonts w:hint="eastAsia" w:ascii="宋体" w:hAnsi="宋体"/>
                <w:color w:val="auto"/>
                <w:sz w:val="24"/>
                <w:highlight w:val="none"/>
              </w:rPr>
              <w:t>2、中标后，中标单位需在领取中标通知书时，向招标代理机构提交与投标时电子投标文件一致的纸质版本一式三份（按照招标文件要求签字盖章）。</w:t>
            </w:r>
          </w:p>
        </w:tc>
      </w:tr>
      <w:tr w14:paraId="2B435D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trPr>
        <w:tc>
          <w:tcPr>
            <w:tcW w:w="900" w:type="dxa"/>
            <w:tcBorders>
              <w:top w:val="single" w:color="auto" w:sz="4" w:space="0"/>
              <w:left w:val="single" w:color="auto" w:sz="4" w:space="0"/>
              <w:bottom w:val="single" w:color="auto" w:sz="4" w:space="0"/>
              <w:right w:val="single" w:color="auto" w:sz="4" w:space="0"/>
            </w:tcBorders>
            <w:vAlign w:val="center"/>
          </w:tcPr>
          <w:p w14:paraId="3AEB5EE2">
            <w:pPr>
              <w:snapToGrid w:val="0"/>
              <w:spacing w:line="360" w:lineRule="auto"/>
              <w:jc w:val="center"/>
              <w:rPr>
                <w:rFonts w:ascii="宋体" w:hAnsi="宋体"/>
                <w:color w:val="auto"/>
                <w:sz w:val="24"/>
                <w:highlight w:val="none"/>
              </w:rPr>
            </w:pPr>
            <w:r>
              <w:rPr>
                <w:rFonts w:hint="eastAsia" w:ascii="宋体" w:hAnsi="宋体"/>
                <w:color w:val="auto"/>
                <w:sz w:val="24"/>
                <w:highlight w:val="none"/>
              </w:rPr>
              <w:t>8</w:t>
            </w:r>
          </w:p>
        </w:tc>
        <w:tc>
          <w:tcPr>
            <w:tcW w:w="9056" w:type="dxa"/>
            <w:tcBorders>
              <w:top w:val="single" w:color="auto" w:sz="4" w:space="0"/>
              <w:left w:val="single" w:color="auto" w:sz="4" w:space="0"/>
              <w:bottom w:val="single" w:color="auto" w:sz="4" w:space="0"/>
              <w:right w:val="single" w:color="auto" w:sz="4" w:space="0"/>
            </w:tcBorders>
            <w:vAlign w:val="center"/>
          </w:tcPr>
          <w:p w14:paraId="4C918426">
            <w:pPr>
              <w:widowControl/>
              <w:jc w:val="left"/>
              <w:rPr>
                <w:rFonts w:ascii="宋体" w:hAnsi="宋体"/>
                <w:color w:val="auto"/>
                <w:sz w:val="24"/>
                <w:highlight w:val="none"/>
              </w:rPr>
            </w:pPr>
            <w:r>
              <w:rPr>
                <w:rFonts w:hint="eastAsia" w:ascii="宋体" w:hAnsi="宋体"/>
                <w:color w:val="auto"/>
                <w:sz w:val="24"/>
                <w:highlight w:val="none"/>
              </w:rPr>
              <w:t>投标文件份数：1、“电子加密投标文件”：在线上传递交、一份。2、“备份投标文件”：一份。</w:t>
            </w:r>
            <w:r>
              <w:rPr>
                <w:rFonts w:ascii="宋体" w:hAnsi="宋体"/>
                <w:color w:val="auto"/>
                <w:sz w:val="24"/>
                <w:highlight w:val="none"/>
              </w:rPr>
              <w:t>以介质存储的数据电文形式的备份</w:t>
            </w:r>
            <w:r>
              <w:rPr>
                <w:rFonts w:hint="eastAsia" w:ascii="宋体" w:hAnsi="宋体"/>
                <w:color w:val="auto"/>
                <w:sz w:val="24"/>
                <w:highlight w:val="none"/>
              </w:rPr>
              <w:t>投标</w:t>
            </w:r>
            <w:r>
              <w:rPr>
                <w:rFonts w:ascii="宋体" w:hAnsi="宋体"/>
                <w:color w:val="auto"/>
                <w:sz w:val="24"/>
                <w:highlight w:val="none"/>
              </w:rPr>
              <w:t>文件</w:t>
            </w:r>
            <w:r>
              <w:rPr>
                <w:rFonts w:hint="eastAsia" w:ascii="宋体" w:hAnsi="宋体"/>
                <w:color w:val="auto"/>
                <w:sz w:val="24"/>
                <w:highlight w:val="none"/>
                <w:lang w:eastAsia="zh-CN"/>
              </w:rPr>
              <w:t>（</w:t>
            </w:r>
            <w:r>
              <w:rPr>
                <w:rFonts w:ascii="宋体" w:hAnsi="宋体"/>
                <w:color w:val="auto"/>
                <w:sz w:val="24"/>
                <w:highlight w:val="none"/>
              </w:rPr>
              <w:t>BFBS格式)，按政采云平台项目采购-电子交易操作指南中上传的电子</w:t>
            </w:r>
            <w:r>
              <w:rPr>
                <w:rFonts w:hint="eastAsia" w:ascii="宋体" w:hAnsi="宋体"/>
                <w:color w:val="auto"/>
                <w:sz w:val="24"/>
                <w:highlight w:val="none"/>
              </w:rPr>
              <w:t>投标</w:t>
            </w:r>
            <w:r>
              <w:rPr>
                <w:rFonts w:ascii="宋体" w:hAnsi="宋体"/>
                <w:color w:val="auto"/>
                <w:sz w:val="24"/>
                <w:highlight w:val="none"/>
              </w:rPr>
              <w:t>文件格式，以U盘形式存储提供)。U盘盘面上粘贴标签，标注单位名称，装入一个外包封袋中进行邮寄</w:t>
            </w:r>
            <w:r>
              <w:rPr>
                <w:rFonts w:hint="eastAsia" w:ascii="宋体" w:hAnsi="宋体"/>
                <w:color w:val="auto"/>
                <w:sz w:val="24"/>
                <w:highlight w:val="none"/>
                <w:lang w:eastAsia="zh-CN"/>
              </w:rPr>
              <w:t>。</w:t>
            </w:r>
            <w:r>
              <w:rPr>
                <w:rFonts w:ascii="宋体" w:hAnsi="宋体"/>
                <w:color w:val="auto"/>
                <w:sz w:val="24"/>
                <w:highlight w:val="none"/>
              </w:rPr>
              <w:t>邮寄时，总的外包封袋上可不注明单位名称，但应注明单位的联系人、联系电话及项目名称</w:t>
            </w:r>
            <w:r>
              <w:rPr>
                <w:rFonts w:hint="eastAsia" w:ascii="宋体" w:hAnsi="宋体"/>
                <w:color w:val="auto"/>
                <w:sz w:val="24"/>
                <w:highlight w:val="none"/>
              </w:rPr>
              <w:t>。邮寄地址为：浙江华耀建设咨询有限公司（湖州市静江公寓1单元1101室），联系人：张治中，联系电话：0572-2198738</w:t>
            </w:r>
            <w:r>
              <w:rPr>
                <w:color w:val="auto"/>
                <w:highlight w:val="none"/>
              </w:rPr>
              <w:fldChar w:fldCharType="begin"/>
            </w:r>
            <w:r>
              <w:rPr>
                <w:color w:val="auto"/>
                <w:highlight w:val="none"/>
              </w:rPr>
              <w:instrText xml:space="preserve"> HYPERLINK "mailto:huayaohz@163.com。供应商应于2020年9月" </w:instrText>
            </w:r>
            <w:r>
              <w:rPr>
                <w:color w:val="auto"/>
                <w:highlight w:val="none"/>
              </w:rPr>
              <w:fldChar w:fldCharType="separate"/>
            </w:r>
            <w:r>
              <w:rPr>
                <w:rFonts w:hint="eastAsia" w:ascii="宋体" w:hAnsi="宋体"/>
                <w:color w:val="auto"/>
                <w:sz w:val="24"/>
                <w:highlight w:val="none"/>
              </w:rPr>
              <w:t>。供应商应于2025年</w:t>
            </w:r>
            <w:r>
              <w:rPr>
                <w:rFonts w:hint="eastAsia" w:ascii="宋体" w:hAnsi="宋体"/>
                <w:color w:val="auto"/>
                <w:sz w:val="24"/>
                <w:highlight w:val="none"/>
              </w:rPr>
              <w:fldChar w:fldCharType="end"/>
            </w:r>
            <w:r>
              <w:rPr>
                <w:rFonts w:hint="eastAsia" w:ascii="宋体" w:hAnsi="宋体"/>
                <w:color w:val="auto"/>
                <w:sz w:val="24"/>
                <w:highlight w:val="none"/>
                <w:lang w:val="en-US" w:eastAsia="zh-CN"/>
              </w:rPr>
              <w:t>4</w:t>
            </w:r>
            <w:r>
              <w:rPr>
                <w:rFonts w:hint="eastAsia" w:ascii="宋体" w:hAnsi="宋体"/>
                <w:color w:val="auto"/>
                <w:sz w:val="24"/>
                <w:highlight w:val="none"/>
              </w:rPr>
              <w:t>月</w:t>
            </w:r>
            <w:r>
              <w:rPr>
                <w:rFonts w:hint="eastAsia" w:ascii="宋体" w:hAnsi="宋体"/>
                <w:color w:val="auto"/>
                <w:sz w:val="24"/>
                <w:highlight w:val="none"/>
                <w:lang w:val="en-US" w:eastAsia="zh-CN"/>
              </w:rPr>
              <w:t>23</w:t>
            </w:r>
            <w:r>
              <w:rPr>
                <w:rFonts w:hint="eastAsia" w:ascii="宋体" w:hAnsi="宋体"/>
                <w:color w:val="auto"/>
                <w:sz w:val="24"/>
                <w:highlight w:val="none"/>
              </w:rPr>
              <w:t>日上午11:30时前准时送达，拒绝到付。以收件人实际签收时间为准，逾期送达的将拒绝接收。</w:t>
            </w:r>
          </w:p>
        </w:tc>
      </w:tr>
      <w:tr w14:paraId="30566F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900" w:type="dxa"/>
            <w:tcBorders>
              <w:top w:val="single" w:color="auto" w:sz="4" w:space="0"/>
              <w:left w:val="single" w:color="auto" w:sz="4" w:space="0"/>
              <w:bottom w:val="single" w:color="auto" w:sz="4" w:space="0"/>
              <w:right w:val="single" w:color="auto" w:sz="4" w:space="0"/>
            </w:tcBorders>
            <w:vAlign w:val="center"/>
          </w:tcPr>
          <w:p w14:paraId="43CBDEC7">
            <w:pPr>
              <w:snapToGrid w:val="0"/>
              <w:spacing w:line="360" w:lineRule="auto"/>
              <w:jc w:val="center"/>
              <w:rPr>
                <w:rFonts w:ascii="宋体" w:hAnsi="宋体"/>
                <w:color w:val="auto"/>
                <w:sz w:val="24"/>
                <w:szCs w:val="20"/>
                <w:highlight w:val="none"/>
              </w:rPr>
            </w:pPr>
            <w:r>
              <w:rPr>
                <w:rFonts w:hint="eastAsia" w:ascii="宋体" w:hAnsi="宋体"/>
                <w:color w:val="auto"/>
                <w:sz w:val="24"/>
                <w:szCs w:val="20"/>
                <w:highlight w:val="none"/>
              </w:rPr>
              <w:t>9</w:t>
            </w:r>
          </w:p>
        </w:tc>
        <w:tc>
          <w:tcPr>
            <w:tcW w:w="9056" w:type="dxa"/>
            <w:tcBorders>
              <w:top w:val="single" w:color="auto" w:sz="4" w:space="0"/>
              <w:left w:val="single" w:color="auto" w:sz="4" w:space="0"/>
              <w:bottom w:val="single" w:color="auto" w:sz="4" w:space="0"/>
              <w:right w:val="single" w:color="auto" w:sz="4" w:space="0"/>
            </w:tcBorders>
            <w:vAlign w:val="center"/>
          </w:tcPr>
          <w:p w14:paraId="13A183B7">
            <w:pPr>
              <w:widowControl/>
              <w:jc w:val="left"/>
              <w:rPr>
                <w:rFonts w:ascii="宋体" w:hAnsi="宋体"/>
                <w:color w:val="auto"/>
                <w:sz w:val="24"/>
                <w:highlight w:val="none"/>
              </w:rPr>
            </w:pPr>
            <w:r>
              <w:rPr>
                <w:rFonts w:hint="eastAsia" w:ascii="宋体" w:hAnsi="宋体"/>
                <w:color w:val="auto"/>
                <w:sz w:val="24"/>
                <w:highlight w:val="none"/>
              </w:rPr>
              <w:t>电子加密投标文件的解密和异常情况处理：</w:t>
            </w:r>
          </w:p>
          <w:p w14:paraId="4E9481CA">
            <w:pPr>
              <w:widowControl/>
              <w:jc w:val="left"/>
              <w:rPr>
                <w:rFonts w:ascii="宋体" w:hAnsi="宋体"/>
                <w:color w:val="auto"/>
                <w:sz w:val="24"/>
                <w:highlight w:val="none"/>
              </w:rPr>
            </w:pPr>
            <w:r>
              <w:rPr>
                <w:rFonts w:hint="eastAsia" w:ascii="宋体" w:hAnsi="宋体"/>
                <w:color w:val="auto"/>
                <w:sz w:val="24"/>
                <w:highlight w:val="none"/>
              </w:rPr>
              <w:t>（1）开标后，采购组织机构将向各投标供应商发出“电子加密投标文件”的解密通知，各投标供应商代表应当在接到解密通知后30分钟内自行完成“电子加密投标文件”的在线解密。</w:t>
            </w:r>
          </w:p>
          <w:p w14:paraId="2BC1BD77">
            <w:pPr>
              <w:widowControl/>
              <w:jc w:val="left"/>
              <w:rPr>
                <w:rFonts w:ascii="宋体" w:hAnsi="宋体"/>
                <w:color w:val="auto"/>
                <w:sz w:val="24"/>
                <w:highlight w:val="none"/>
              </w:rPr>
            </w:pPr>
            <w:r>
              <w:rPr>
                <w:rFonts w:hint="eastAsia" w:ascii="宋体" w:hAnsi="宋体"/>
                <w:color w:val="auto"/>
                <w:sz w:val="24"/>
                <w:highlight w:val="none"/>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6F59B826">
            <w:pPr>
              <w:widowControl/>
              <w:jc w:val="left"/>
              <w:rPr>
                <w:rFonts w:ascii="宋体" w:hAnsi="宋体"/>
                <w:color w:val="auto"/>
                <w:sz w:val="24"/>
                <w:highlight w:val="none"/>
              </w:rPr>
            </w:pPr>
            <w:r>
              <w:rPr>
                <w:rFonts w:hint="eastAsia" w:ascii="宋体" w:hAnsi="宋体"/>
                <w:color w:val="auto"/>
                <w:sz w:val="24"/>
                <w:highlight w:val="none"/>
              </w:rPr>
              <w:t>（3）投标截止时间前，投标供应商仅递交了“备份投标文件”而未将电子加密投标文件上传至“政府采购云平台”的，投标无效。</w:t>
            </w:r>
          </w:p>
        </w:tc>
      </w:tr>
      <w:tr w14:paraId="779FEB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900" w:type="dxa"/>
            <w:tcBorders>
              <w:top w:val="single" w:color="auto" w:sz="4" w:space="0"/>
              <w:left w:val="single" w:color="auto" w:sz="4" w:space="0"/>
              <w:bottom w:val="single" w:color="auto" w:sz="4" w:space="0"/>
              <w:right w:val="single" w:color="auto" w:sz="4" w:space="0"/>
            </w:tcBorders>
            <w:vAlign w:val="center"/>
          </w:tcPr>
          <w:p w14:paraId="41253F1A">
            <w:pPr>
              <w:snapToGrid w:val="0"/>
              <w:spacing w:line="360" w:lineRule="auto"/>
              <w:jc w:val="center"/>
              <w:rPr>
                <w:rFonts w:ascii="宋体" w:hAnsi="宋体"/>
                <w:color w:val="auto"/>
                <w:sz w:val="24"/>
                <w:szCs w:val="20"/>
                <w:highlight w:val="none"/>
              </w:rPr>
            </w:pPr>
            <w:r>
              <w:rPr>
                <w:rFonts w:hint="eastAsia" w:ascii="宋体" w:hAnsi="宋体"/>
                <w:color w:val="auto"/>
                <w:sz w:val="24"/>
                <w:highlight w:val="none"/>
              </w:rPr>
              <w:t>10</w:t>
            </w:r>
          </w:p>
        </w:tc>
        <w:tc>
          <w:tcPr>
            <w:tcW w:w="9056" w:type="dxa"/>
            <w:tcBorders>
              <w:top w:val="single" w:color="auto" w:sz="4" w:space="0"/>
              <w:left w:val="single" w:color="auto" w:sz="4" w:space="0"/>
              <w:bottom w:val="single" w:color="auto" w:sz="4" w:space="0"/>
              <w:right w:val="single" w:color="auto" w:sz="4" w:space="0"/>
            </w:tcBorders>
            <w:vAlign w:val="center"/>
          </w:tcPr>
          <w:p w14:paraId="3DD31A33">
            <w:pPr>
              <w:widowControl/>
              <w:jc w:val="left"/>
              <w:rPr>
                <w:rFonts w:ascii="宋体" w:hAnsi="宋体"/>
                <w:color w:val="auto"/>
                <w:sz w:val="24"/>
                <w:highlight w:val="none"/>
              </w:rPr>
            </w:pPr>
            <w:r>
              <w:rPr>
                <w:rFonts w:hint="eastAsia" w:ascii="宋体" w:hAnsi="宋体"/>
                <w:color w:val="auto"/>
                <w:sz w:val="24"/>
                <w:highlight w:val="none"/>
              </w:rPr>
              <w:t>开标时间及地点：2025年</w:t>
            </w:r>
            <w:r>
              <w:rPr>
                <w:rFonts w:hint="eastAsia" w:ascii="宋体" w:hAnsi="宋体"/>
                <w:color w:val="auto"/>
                <w:sz w:val="24"/>
                <w:highlight w:val="none"/>
                <w:lang w:val="en-US" w:eastAsia="zh-CN"/>
              </w:rPr>
              <w:t>4</w:t>
            </w:r>
            <w:r>
              <w:rPr>
                <w:rFonts w:hint="eastAsia" w:ascii="宋体" w:hAnsi="宋体"/>
                <w:color w:val="auto"/>
                <w:sz w:val="24"/>
                <w:highlight w:val="none"/>
              </w:rPr>
              <w:t>月</w:t>
            </w:r>
            <w:r>
              <w:rPr>
                <w:rFonts w:hint="eastAsia" w:ascii="宋体" w:hAnsi="宋体"/>
                <w:color w:val="auto"/>
                <w:sz w:val="24"/>
                <w:highlight w:val="none"/>
                <w:lang w:val="en-US" w:eastAsia="zh-CN"/>
              </w:rPr>
              <w:t>23</w:t>
            </w:r>
            <w:r>
              <w:rPr>
                <w:rFonts w:hint="eastAsia" w:ascii="宋体" w:hAnsi="宋体"/>
                <w:color w:val="auto"/>
                <w:sz w:val="24"/>
                <w:highlight w:val="none"/>
              </w:rPr>
              <w:t>日14：</w:t>
            </w:r>
            <w:r>
              <w:rPr>
                <w:rFonts w:hint="eastAsia" w:ascii="宋体" w:hAnsi="宋体"/>
                <w:color w:val="auto"/>
                <w:sz w:val="24"/>
                <w:highlight w:val="none"/>
                <w:lang w:val="en-US" w:eastAsia="zh-CN"/>
              </w:rPr>
              <w:t>0</w:t>
            </w:r>
            <w:r>
              <w:rPr>
                <w:rFonts w:hint="eastAsia" w:ascii="宋体" w:hAnsi="宋体"/>
                <w:color w:val="auto"/>
                <w:sz w:val="24"/>
                <w:highlight w:val="none"/>
              </w:rPr>
              <w:t>0时</w:t>
            </w:r>
          </w:p>
          <w:p w14:paraId="345E3109">
            <w:pPr>
              <w:widowControl/>
              <w:jc w:val="left"/>
              <w:rPr>
                <w:rFonts w:ascii="宋体" w:hAnsi="宋体"/>
                <w:color w:val="auto"/>
                <w:sz w:val="24"/>
                <w:highlight w:val="none"/>
              </w:rPr>
            </w:pPr>
            <w:r>
              <w:rPr>
                <w:rFonts w:hint="eastAsia" w:ascii="宋体" w:hAnsi="宋体"/>
                <w:color w:val="auto"/>
                <w:sz w:val="24"/>
                <w:highlight w:val="none"/>
              </w:rPr>
              <w:t>浙江省湖州市公共资源交易中心二楼开标室（湖州市仁皇山片区金盖山路</w:t>
            </w:r>
            <w:r>
              <w:rPr>
                <w:rFonts w:ascii="宋体" w:hAnsi="宋体"/>
                <w:color w:val="auto"/>
                <w:sz w:val="24"/>
                <w:highlight w:val="none"/>
              </w:rPr>
              <w:t>66</w:t>
            </w:r>
            <w:r>
              <w:rPr>
                <w:rFonts w:hint="eastAsia" w:ascii="宋体" w:hAnsi="宋体"/>
                <w:color w:val="auto"/>
                <w:sz w:val="24"/>
                <w:highlight w:val="none"/>
              </w:rPr>
              <w:t>号</w:t>
            </w:r>
            <w:r>
              <w:rPr>
                <w:rFonts w:ascii="宋体" w:hAnsi="宋体"/>
                <w:color w:val="auto"/>
                <w:sz w:val="24"/>
                <w:highlight w:val="none"/>
              </w:rPr>
              <w:t>2</w:t>
            </w:r>
            <w:r>
              <w:rPr>
                <w:rFonts w:hint="eastAsia" w:ascii="宋体" w:hAnsi="宋体"/>
                <w:color w:val="auto"/>
                <w:sz w:val="24"/>
                <w:highlight w:val="none"/>
              </w:rPr>
              <w:t>号楼，具体详见二楼大厅公告栏），供应商应在投标截止时间前登入“政府采购云平台（www.zcygov.cn）”在线参与开标，并完成CA锁在线解密投标文件等相关工作。</w:t>
            </w:r>
          </w:p>
        </w:tc>
      </w:tr>
      <w:tr w14:paraId="68EC98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00" w:type="dxa"/>
            <w:tcBorders>
              <w:top w:val="single" w:color="auto" w:sz="4" w:space="0"/>
              <w:left w:val="single" w:color="auto" w:sz="4" w:space="0"/>
              <w:bottom w:val="single" w:color="auto" w:sz="4" w:space="0"/>
              <w:right w:val="single" w:color="auto" w:sz="4" w:space="0"/>
            </w:tcBorders>
            <w:vAlign w:val="center"/>
          </w:tcPr>
          <w:p w14:paraId="62AFAD5C">
            <w:pPr>
              <w:snapToGrid w:val="0"/>
              <w:spacing w:line="360" w:lineRule="auto"/>
              <w:jc w:val="center"/>
              <w:rPr>
                <w:rFonts w:ascii="宋体" w:hAnsi="宋体"/>
                <w:color w:val="auto"/>
                <w:sz w:val="24"/>
                <w:szCs w:val="20"/>
                <w:highlight w:val="none"/>
              </w:rPr>
            </w:pPr>
            <w:r>
              <w:rPr>
                <w:rFonts w:ascii="宋体" w:hAnsi="宋体"/>
                <w:color w:val="auto"/>
                <w:sz w:val="24"/>
                <w:highlight w:val="none"/>
              </w:rPr>
              <w:t>10</w:t>
            </w:r>
          </w:p>
        </w:tc>
        <w:tc>
          <w:tcPr>
            <w:tcW w:w="9056" w:type="dxa"/>
            <w:tcBorders>
              <w:top w:val="single" w:color="auto" w:sz="4" w:space="0"/>
              <w:left w:val="single" w:color="auto" w:sz="4" w:space="0"/>
              <w:bottom w:val="single" w:color="auto" w:sz="4" w:space="0"/>
              <w:right w:val="single" w:color="auto" w:sz="4" w:space="0"/>
            </w:tcBorders>
            <w:vAlign w:val="center"/>
          </w:tcPr>
          <w:p w14:paraId="3ACDD025">
            <w:pPr>
              <w:widowControl/>
              <w:jc w:val="left"/>
              <w:rPr>
                <w:rFonts w:ascii="宋体" w:hAnsi="宋体"/>
                <w:color w:val="auto"/>
                <w:sz w:val="24"/>
                <w:highlight w:val="none"/>
              </w:rPr>
            </w:pPr>
            <w:r>
              <w:rPr>
                <w:rFonts w:hint="eastAsia" w:ascii="宋体" w:hAnsi="宋体"/>
                <w:color w:val="auto"/>
                <w:sz w:val="24"/>
                <w:highlight w:val="none"/>
              </w:rPr>
              <w:t>评标办法及评分标准：详见招标文件</w:t>
            </w:r>
          </w:p>
        </w:tc>
      </w:tr>
      <w:tr w14:paraId="3B9B64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900" w:type="dxa"/>
            <w:tcBorders>
              <w:top w:val="single" w:color="auto" w:sz="4" w:space="0"/>
              <w:left w:val="single" w:color="auto" w:sz="4" w:space="0"/>
              <w:bottom w:val="single" w:color="auto" w:sz="4" w:space="0"/>
              <w:right w:val="single" w:color="auto" w:sz="4" w:space="0"/>
            </w:tcBorders>
            <w:vAlign w:val="center"/>
          </w:tcPr>
          <w:p w14:paraId="40E0578A">
            <w:pPr>
              <w:snapToGrid w:val="0"/>
              <w:spacing w:line="360" w:lineRule="auto"/>
              <w:jc w:val="center"/>
              <w:rPr>
                <w:rFonts w:ascii="宋体" w:hAnsi="宋体"/>
                <w:color w:val="auto"/>
                <w:sz w:val="24"/>
                <w:szCs w:val="20"/>
                <w:highlight w:val="none"/>
              </w:rPr>
            </w:pPr>
            <w:r>
              <w:rPr>
                <w:rFonts w:ascii="宋体" w:hAnsi="宋体"/>
                <w:color w:val="auto"/>
                <w:sz w:val="24"/>
                <w:highlight w:val="none"/>
              </w:rPr>
              <w:t>11</w:t>
            </w:r>
          </w:p>
        </w:tc>
        <w:tc>
          <w:tcPr>
            <w:tcW w:w="9056" w:type="dxa"/>
            <w:tcBorders>
              <w:top w:val="single" w:color="auto" w:sz="4" w:space="0"/>
              <w:left w:val="single" w:color="auto" w:sz="4" w:space="0"/>
              <w:bottom w:val="single" w:color="auto" w:sz="4" w:space="0"/>
              <w:right w:val="single" w:color="auto" w:sz="4" w:space="0"/>
            </w:tcBorders>
            <w:vAlign w:val="center"/>
          </w:tcPr>
          <w:p w14:paraId="5342C434">
            <w:pPr>
              <w:widowControl/>
              <w:jc w:val="left"/>
              <w:rPr>
                <w:rFonts w:ascii="宋体" w:hAnsi="宋体"/>
                <w:color w:val="auto"/>
                <w:sz w:val="24"/>
                <w:highlight w:val="none"/>
              </w:rPr>
            </w:pPr>
            <w:r>
              <w:rPr>
                <w:rFonts w:hint="eastAsia" w:ascii="宋体" w:hAnsi="宋体"/>
                <w:color w:val="auto"/>
                <w:sz w:val="24"/>
                <w:highlight w:val="none"/>
              </w:rPr>
              <w:t>中标公告：中标供应商确定后，中标公告于浙江省政府采购网：</w:t>
            </w:r>
            <w:r>
              <w:rPr>
                <w:rFonts w:hint="eastAsia" w:ascii="宋体" w:hAnsi="宋体"/>
                <w:color w:val="auto"/>
                <w:sz w:val="24"/>
                <w:highlight w:val="none"/>
                <w:lang w:eastAsia="zh-CN"/>
              </w:rPr>
              <w:t>（</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ascii="宋体" w:hAnsi="宋体"/>
                <w:color w:val="auto"/>
                <w:sz w:val="24"/>
                <w:highlight w:val="none"/>
              </w:rPr>
              <w:t>http://www.zjzfcg.gov.cn</w:t>
            </w:r>
            <w:r>
              <w:rPr>
                <w:rFonts w:ascii="宋体" w:hAnsi="宋体"/>
                <w:color w:val="auto"/>
                <w:sz w:val="24"/>
                <w:highlight w:val="none"/>
              </w:rPr>
              <w:fldChar w:fldCharType="end"/>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湖州市公共资源交易信息网http://ggzy.huzhou.gov.cn</w:t>
            </w:r>
            <w:r>
              <w:rPr>
                <w:rFonts w:hint="eastAsia" w:ascii="宋体" w:hAnsi="宋体"/>
                <w:color w:val="auto"/>
                <w:sz w:val="24"/>
                <w:highlight w:val="none"/>
              </w:rPr>
              <w:t>等网站。</w:t>
            </w:r>
          </w:p>
        </w:tc>
      </w:tr>
      <w:tr w14:paraId="1E423E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00" w:type="dxa"/>
            <w:tcBorders>
              <w:top w:val="single" w:color="auto" w:sz="4" w:space="0"/>
              <w:left w:val="single" w:color="auto" w:sz="4" w:space="0"/>
              <w:bottom w:val="single" w:color="auto" w:sz="4" w:space="0"/>
              <w:right w:val="single" w:color="auto" w:sz="4" w:space="0"/>
            </w:tcBorders>
            <w:vAlign w:val="center"/>
          </w:tcPr>
          <w:p w14:paraId="04CB8CC5">
            <w:pPr>
              <w:snapToGrid w:val="0"/>
              <w:spacing w:line="360" w:lineRule="auto"/>
              <w:jc w:val="center"/>
              <w:rPr>
                <w:rFonts w:ascii="宋体" w:hAnsi="宋体"/>
                <w:color w:val="auto"/>
                <w:sz w:val="24"/>
                <w:szCs w:val="20"/>
                <w:highlight w:val="none"/>
              </w:rPr>
            </w:pPr>
            <w:r>
              <w:rPr>
                <w:rFonts w:ascii="宋体" w:hAnsi="宋体"/>
                <w:color w:val="auto"/>
                <w:sz w:val="24"/>
                <w:highlight w:val="none"/>
              </w:rPr>
              <w:t>12</w:t>
            </w:r>
          </w:p>
        </w:tc>
        <w:tc>
          <w:tcPr>
            <w:tcW w:w="9056" w:type="dxa"/>
            <w:tcBorders>
              <w:top w:val="single" w:color="auto" w:sz="4" w:space="0"/>
              <w:left w:val="single" w:color="auto" w:sz="4" w:space="0"/>
              <w:bottom w:val="single" w:color="auto" w:sz="4" w:space="0"/>
              <w:right w:val="single" w:color="auto" w:sz="4" w:space="0"/>
            </w:tcBorders>
            <w:vAlign w:val="center"/>
          </w:tcPr>
          <w:p w14:paraId="5C38D4EA">
            <w:pPr>
              <w:widowControl/>
              <w:jc w:val="left"/>
              <w:rPr>
                <w:rFonts w:ascii="宋体" w:hAnsi="宋体"/>
                <w:color w:val="auto"/>
                <w:sz w:val="24"/>
                <w:highlight w:val="none"/>
              </w:rPr>
            </w:pPr>
            <w:r>
              <w:rPr>
                <w:rFonts w:hint="eastAsia" w:ascii="宋体" w:hAnsi="宋体"/>
                <w:color w:val="auto"/>
                <w:sz w:val="24"/>
                <w:highlight w:val="none"/>
              </w:rPr>
              <w:t>签订合同时间：中标通知书发出后30日内。</w:t>
            </w:r>
          </w:p>
        </w:tc>
      </w:tr>
      <w:tr w14:paraId="06126C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900" w:type="dxa"/>
            <w:tcBorders>
              <w:top w:val="single" w:color="auto" w:sz="4" w:space="0"/>
              <w:left w:val="single" w:color="auto" w:sz="4" w:space="0"/>
              <w:bottom w:val="single" w:color="auto" w:sz="4" w:space="0"/>
              <w:right w:val="single" w:color="auto" w:sz="4" w:space="0"/>
            </w:tcBorders>
            <w:vAlign w:val="center"/>
          </w:tcPr>
          <w:p w14:paraId="1CBC288D">
            <w:pPr>
              <w:snapToGrid w:val="0"/>
              <w:spacing w:line="360" w:lineRule="auto"/>
              <w:jc w:val="center"/>
              <w:rPr>
                <w:rFonts w:ascii="宋体" w:hAnsi="宋体"/>
                <w:color w:val="auto"/>
                <w:sz w:val="24"/>
                <w:szCs w:val="20"/>
                <w:highlight w:val="none"/>
              </w:rPr>
            </w:pPr>
            <w:r>
              <w:rPr>
                <w:rFonts w:ascii="宋体" w:hAnsi="宋体"/>
                <w:color w:val="auto"/>
                <w:sz w:val="24"/>
                <w:highlight w:val="none"/>
              </w:rPr>
              <w:t>13</w:t>
            </w:r>
          </w:p>
        </w:tc>
        <w:tc>
          <w:tcPr>
            <w:tcW w:w="9056" w:type="dxa"/>
            <w:tcBorders>
              <w:top w:val="single" w:color="auto" w:sz="4" w:space="0"/>
              <w:left w:val="single" w:color="auto" w:sz="4" w:space="0"/>
              <w:bottom w:val="single" w:color="auto" w:sz="4" w:space="0"/>
              <w:right w:val="single" w:color="auto" w:sz="4" w:space="0"/>
            </w:tcBorders>
            <w:vAlign w:val="center"/>
          </w:tcPr>
          <w:p w14:paraId="45F33F4C">
            <w:pPr>
              <w:widowControl/>
              <w:jc w:val="left"/>
              <w:rPr>
                <w:rFonts w:ascii="宋体" w:hAnsi="宋体"/>
                <w:color w:val="auto"/>
                <w:sz w:val="24"/>
                <w:highlight w:val="none"/>
              </w:rPr>
            </w:pPr>
            <w:r>
              <w:rPr>
                <w:rFonts w:hint="eastAsia" w:ascii="宋体" w:hAnsi="宋体"/>
                <w:color w:val="auto"/>
                <w:sz w:val="24"/>
                <w:highlight w:val="none"/>
              </w:rPr>
              <w:t>本项目的履约保证金：无</w:t>
            </w:r>
          </w:p>
        </w:tc>
      </w:tr>
      <w:tr w14:paraId="4E5E0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900" w:type="dxa"/>
            <w:tcBorders>
              <w:top w:val="single" w:color="auto" w:sz="4" w:space="0"/>
              <w:left w:val="single" w:color="auto" w:sz="4" w:space="0"/>
              <w:bottom w:val="single" w:color="auto" w:sz="4" w:space="0"/>
              <w:right w:val="single" w:color="auto" w:sz="4" w:space="0"/>
            </w:tcBorders>
            <w:vAlign w:val="center"/>
          </w:tcPr>
          <w:p w14:paraId="23ACC71F">
            <w:pPr>
              <w:snapToGrid w:val="0"/>
              <w:spacing w:line="360" w:lineRule="auto"/>
              <w:jc w:val="center"/>
              <w:rPr>
                <w:rFonts w:ascii="宋体" w:hAnsi="宋体"/>
                <w:color w:val="auto"/>
                <w:sz w:val="24"/>
                <w:szCs w:val="20"/>
                <w:highlight w:val="none"/>
              </w:rPr>
            </w:pPr>
            <w:r>
              <w:rPr>
                <w:rFonts w:ascii="宋体" w:hAnsi="宋体"/>
                <w:color w:val="auto"/>
                <w:sz w:val="24"/>
                <w:highlight w:val="none"/>
              </w:rPr>
              <w:t>14</w:t>
            </w:r>
          </w:p>
        </w:tc>
        <w:tc>
          <w:tcPr>
            <w:tcW w:w="9056" w:type="dxa"/>
            <w:tcBorders>
              <w:top w:val="single" w:color="auto" w:sz="4" w:space="0"/>
              <w:left w:val="single" w:color="auto" w:sz="4" w:space="0"/>
              <w:bottom w:val="single" w:color="auto" w:sz="4" w:space="0"/>
              <w:right w:val="single" w:color="auto" w:sz="4" w:space="0"/>
            </w:tcBorders>
            <w:vAlign w:val="center"/>
          </w:tcPr>
          <w:p w14:paraId="1FC5C61E">
            <w:pPr>
              <w:widowControl/>
              <w:jc w:val="left"/>
              <w:rPr>
                <w:rFonts w:ascii="宋体" w:hAnsi="宋体"/>
                <w:color w:val="auto"/>
                <w:sz w:val="24"/>
                <w:highlight w:val="none"/>
              </w:rPr>
            </w:pPr>
            <w:r>
              <w:rPr>
                <w:rFonts w:hint="eastAsia" w:ascii="宋体" w:hAnsi="宋体"/>
                <w:color w:val="auto"/>
                <w:sz w:val="24"/>
                <w:highlight w:val="none"/>
              </w:rPr>
              <w:t>采购资金来源：财政资金</w:t>
            </w:r>
          </w:p>
        </w:tc>
      </w:tr>
      <w:tr w14:paraId="34E700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900" w:type="dxa"/>
            <w:tcBorders>
              <w:top w:val="single" w:color="auto" w:sz="4" w:space="0"/>
              <w:left w:val="single" w:color="auto" w:sz="4" w:space="0"/>
              <w:bottom w:val="single" w:color="auto" w:sz="4" w:space="0"/>
              <w:right w:val="single" w:color="auto" w:sz="4" w:space="0"/>
            </w:tcBorders>
            <w:vAlign w:val="center"/>
          </w:tcPr>
          <w:p w14:paraId="53BD8043">
            <w:pPr>
              <w:snapToGrid w:val="0"/>
              <w:spacing w:line="360" w:lineRule="auto"/>
              <w:jc w:val="center"/>
              <w:rPr>
                <w:rFonts w:ascii="宋体" w:hAnsi="宋体"/>
                <w:color w:val="auto"/>
                <w:sz w:val="24"/>
                <w:szCs w:val="20"/>
                <w:highlight w:val="none"/>
              </w:rPr>
            </w:pPr>
            <w:r>
              <w:rPr>
                <w:rFonts w:ascii="宋体" w:hAnsi="宋体"/>
                <w:color w:val="auto"/>
                <w:sz w:val="24"/>
                <w:highlight w:val="none"/>
              </w:rPr>
              <w:t>15</w:t>
            </w:r>
          </w:p>
        </w:tc>
        <w:tc>
          <w:tcPr>
            <w:tcW w:w="9056" w:type="dxa"/>
            <w:tcBorders>
              <w:top w:val="single" w:color="auto" w:sz="4" w:space="0"/>
              <w:left w:val="single" w:color="auto" w:sz="4" w:space="0"/>
              <w:bottom w:val="single" w:color="auto" w:sz="4" w:space="0"/>
              <w:right w:val="single" w:color="auto" w:sz="4" w:space="0"/>
            </w:tcBorders>
            <w:vAlign w:val="center"/>
          </w:tcPr>
          <w:p w14:paraId="16F64466">
            <w:pPr>
              <w:widowControl/>
              <w:jc w:val="left"/>
              <w:rPr>
                <w:rFonts w:ascii="宋体" w:hAnsi="宋体"/>
                <w:color w:val="auto"/>
                <w:sz w:val="24"/>
                <w:highlight w:val="none"/>
              </w:rPr>
            </w:pPr>
            <w:r>
              <w:rPr>
                <w:rFonts w:hint="eastAsia" w:ascii="宋体" w:hAnsi="宋体"/>
                <w:color w:val="auto"/>
                <w:sz w:val="24"/>
                <w:highlight w:val="none"/>
              </w:rPr>
              <w:t>付款方式：采购人自行支付</w:t>
            </w:r>
          </w:p>
        </w:tc>
      </w:tr>
      <w:tr w14:paraId="4B597E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7" w:hRule="atLeast"/>
        </w:trPr>
        <w:tc>
          <w:tcPr>
            <w:tcW w:w="900" w:type="dxa"/>
            <w:tcBorders>
              <w:top w:val="single" w:color="auto" w:sz="4" w:space="0"/>
              <w:left w:val="single" w:color="auto" w:sz="4" w:space="0"/>
              <w:bottom w:val="single" w:color="auto" w:sz="4" w:space="0"/>
              <w:right w:val="single" w:color="auto" w:sz="4" w:space="0"/>
            </w:tcBorders>
            <w:vAlign w:val="center"/>
          </w:tcPr>
          <w:p w14:paraId="09B9D046">
            <w:pPr>
              <w:snapToGrid w:val="0"/>
              <w:spacing w:line="360" w:lineRule="auto"/>
              <w:jc w:val="center"/>
              <w:rPr>
                <w:rFonts w:ascii="宋体" w:hAnsi="宋体"/>
                <w:color w:val="auto"/>
                <w:sz w:val="24"/>
                <w:highlight w:val="none"/>
              </w:rPr>
            </w:pPr>
            <w:r>
              <w:rPr>
                <w:rFonts w:ascii="宋体" w:hAnsi="宋体"/>
                <w:color w:val="auto"/>
                <w:sz w:val="24"/>
                <w:highlight w:val="none"/>
              </w:rPr>
              <w:t>16</w:t>
            </w:r>
          </w:p>
        </w:tc>
        <w:tc>
          <w:tcPr>
            <w:tcW w:w="9056" w:type="dxa"/>
            <w:tcBorders>
              <w:top w:val="single" w:color="auto" w:sz="4" w:space="0"/>
              <w:left w:val="single" w:color="auto" w:sz="4" w:space="0"/>
              <w:bottom w:val="single" w:color="auto" w:sz="4" w:space="0"/>
              <w:right w:val="single" w:color="auto" w:sz="4" w:space="0"/>
            </w:tcBorders>
            <w:vAlign w:val="center"/>
          </w:tcPr>
          <w:p w14:paraId="63AE0F75">
            <w:pPr>
              <w:widowControl/>
              <w:jc w:val="left"/>
              <w:rPr>
                <w:rFonts w:ascii="宋体" w:hAnsi="宋体"/>
                <w:color w:val="auto"/>
                <w:sz w:val="24"/>
                <w:highlight w:val="none"/>
              </w:rPr>
            </w:pPr>
            <w:r>
              <w:rPr>
                <w:rFonts w:hint="eastAsia" w:ascii="宋体" w:hAnsi="宋体"/>
                <w:color w:val="auto"/>
                <w:sz w:val="24"/>
                <w:highlight w:val="none"/>
              </w:rPr>
              <w:t>投标文件有效期：120天</w:t>
            </w:r>
          </w:p>
        </w:tc>
      </w:tr>
      <w:tr w14:paraId="1E70A0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900" w:type="dxa"/>
            <w:tcBorders>
              <w:top w:val="single" w:color="auto" w:sz="4" w:space="0"/>
              <w:left w:val="single" w:color="auto" w:sz="4" w:space="0"/>
              <w:bottom w:val="single" w:color="auto" w:sz="4" w:space="0"/>
              <w:right w:val="single" w:color="auto" w:sz="4" w:space="0"/>
            </w:tcBorders>
            <w:vAlign w:val="center"/>
          </w:tcPr>
          <w:p w14:paraId="51A86DCA">
            <w:pPr>
              <w:snapToGrid w:val="0"/>
              <w:spacing w:line="360" w:lineRule="auto"/>
              <w:jc w:val="center"/>
              <w:rPr>
                <w:rFonts w:ascii="宋体" w:hAnsi="宋体"/>
                <w:color w:val="auto"/>
                <w:sz w:val="24"/>
                <w:szCs w:val="20"/>
                <w:highlight w:val="none"/>
              </w:rPr>
            </w:pPr>
            <w:r>
              <w:rPr>
                <w:rFonts w:hint="eastAsia" w:ascii="宋体" w:hAnsi="宋体"/>
                <w:color w:val="auto"/>
                <w:sz w:val="24"/>
                <w:szCs w:val="20"/>
                <w:highlight w:val="none"/>
              </w:rPr>
              <w:t>17</w:t>
            </w:r>
          </w:p>
        </w:tc>
        <w:tc>
          <w:tcPr>
            <w:tcW w:w="9056" w:type="dxa"/>
            <w:tcBorders>
              <w:top w:val="single" w:color="auto" w:sz="4" w:space="0"/>
              <w:left w:val="single" w:color="auto" w:sz="4" w:space="0"/>
              <w:bottom w:val="single" w:color="auto" w:sz="4" w:space="0"/>
              <w:right w:val="single" w:color="auto" w:sz="4" w:space="0"/>
            </w:tcBorders>
            <w:vAlign w:val="center"/>
          </w:tcPr>
          <w:p w14:paraId="66F8FCC3">
            <w:pPr>
              <w:snapToGrid w:val="0"/>
              <w:spacing w:line="360" w:lineRule="auto"/>
              <w:rPr>
                <w:rFonts w:ascii="宋体" w:hAnsi="宋体" w:cs="Arial"/>
                <w:color w:val="auto"/>
                <w:sz w:val="24"/>
                <w:highlight w:val="none"/>
              </w:rPr>
            </w:pPr>
            <w:r>
              <w:rPr>
                <w:rFonts w:hint="eastAsia" w:ascii="宋体" w:hAnsi="宋体"/>
                <w:color w:val="auto"/>
                <w:sz w:val="24"/>
                <w:highlight w:val="none"/>
              </w:rPr>
              <w:t>招标单位：湖州市中心医院</w:t>
            </w:r>
          </w:p>
        </w:tc>
      </w:tr>
      <w:tr w14:paraId="11939C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900" w:type="dxa"/>
            <w:tcBorders>
              <w:top w:val="single" w:color="auto" w:sz="4" w:space="0"/>
              <w:left w:val="single" w:color="auto" w:sz="4" w:space="0"/>
              <w:bottom w:val="single" w:color="auto" w:sz="4" w:space="0"/>
              <w:right w:val="single" w:color="auto" w:sz="4" w:space="0"/>
            </w:tcBorders>
            <w:vAlign w:val="center"/>
          </w:tcPr>
          <w:p w14:paraId="7CAAC390">
            <w:pPr>
              <w:snapToGrid w:val="0"/>
              <w:spacing w:line="360" w:lineRule="auto"/>
              <w:jc w:val="center"/>
              <w:rPr>
                <w:rFonts w:ascii="宋体" w:hAnsi="宋体"/>
                <w:color w:val="auto"/>
                <w:sz w:val="24"/>
                <w:szCs w:val="20"/>
                <w:highlight w:val="none"/>
              </w:rPr>
            </w:pPr>
            <w:r>
              <w:rPr>
                <w:rFonts w:hint="eastAsia" w:ascii="宋体" w:hAnsi="宋体"/>
                <w:color w:val="auto"/>
                <w:sz w:val="24"/>
                <w:szCs w:val="20"/>
                <w:highlight w:val="none"/>
              </w:rPr>
              <w:t>18</w:t>
            </w:r>
          </w:p>
        </w:tc>
        <w:tc>
          <w:tcPr>
            <w:tcW w:w="9056" w:type="dxa"/>
            <w:tcBorders>
              <w:top w:val="single" w:color="auto" w:sz="4" w:space="0"/>
              <w:left w:val="single" w:color="auto" w:sz="4" w:space="0"/>
              <w:bottom w:val="single" w:color="auto" w:sz="4" w:space="0"/>
              <w:right w:val="single" w:color="auto" w:sz="4" w:space="0"/>
            </w:tcBorders>
            <w:vAlign w:val="center"/>
          </w:tcPr>
          <w:p w14:paraId="452BB149">
            <w:pPr>
              <w:widowControl/>
              <w:jc w:val="left"/>
              <w:rPr>
                <w:rFonts w:ascii="宋体" w:hAnsi="宋体"/>
                <w:color w:val="auto"/>
                <w:sz w:val="24"/>
                <w:highlight w:val="none"/>
              </w:rPr>
            </w:pPr>
            <w:r>
              <w:rPr>
                <w:rFonts w:hint="eastAsia" w:ascii="宋体" w:hAnsi="宋体"/>
                <w:color w:val="auto"/>
                <w:sz w:val="24"/>
                <w:highlight w:val="none"/>
              </w:rPr>
              <w:t>解释：本招标文件的解释权属于招标采购单位</w:t>
            </w:r>
          </w:p>
        </w:tc>
      </w:tr>
    </w:tbl>
    <w:p w14:paraId="68F26D79">
      <w:pPr>
        <w:pStyle w:val="13"/>
        <w:snapToGrid w:val="0"/>
        <w:spacing w:beforeLines="0" w:afterLines="0" w:line="360" w:lineRule="auto"/>
        <w:ind w:firstLine="562" w:firstLineChars="200"/>
        <w:rPr>
          <w:rFonts w:hAnsi="宋体"/>
          <w:b/>
          <w:color w:val="auto"/>
          <w:sz w:val="28"/>
          <w:szCs w:val="28"/>
          <w:highlight w:val="none"/>
        </w:rPr>
      </w:pPr>
      <w:r>
        <w:rPr>
          <w:rFonts w:hint="eastAsia" w:hAnsi="宋体"/>
          <w:b/>
          <w:color w:val="auto"/>
          <w:sz w:val="28"/>
          <w:szCs w:val="28"/>
          <w:highlight w:val="none"/>
        </w:rPr>
        <w:t>一   总  则</w:t>
      </w:r>
    </w:p>
    <w:p w14:paraId="0418F041">
      <w:pPr>
        <w:snapToGrid w:val="0"/>
        <w:spacing w:line="360" w:lineRule="auto"/>
        <w:ind w:firstLine="472" w:firstLineChars="196"/>
        <w:jc w:val="left"/>
        <w:outlineLvl w:val="1"/>
        <w:rPr>
          <w:rFonts w:ascii="宋体" w:hAnsi="宋体"/>
          <w:b/>
          <w:color w:val="auto"/>
          <w:sz w:val="24"/>
          <w:szCs w:val="20"/>
          <w:highlight w:val="none"/>
        </w:rPr>
      </w:pPr>
      <w:r>
        <w:rPr>
          <w:rFonts w:hint="eastAsia" w:ascii="宋体" w:hAnsi="宋体"/>
          <w:b/>
          <w:color w:val="auto"/>
          <w:sz w:val="24"/>
          <w:highlight w:val="none"/>
        </w:rPr>
        <w:t>（一）</w:t>
      </w:r>
      <w:r>
        <w:rPr>
          <w:rFonts w:ascii="宋体" w:hAnsi="宋体"/>
          <w:b/>
          <w:color w:val="auto"/>
          <w:sz w:val="24"/>
          <w:highlight w:val="none"/>
        </w:rPr>
        <w:t xml:space="preserve"> 适用范围</w:t>
      </w:r>
    </w:p>
    <w:p w14:paraId="0D8A06DC">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本招标文件适用于</w:t>
      </w:r>
      <w:r>
        <w:rPr>
          <w:rFonts w:hint="eastAsia" w:ascii="宋体" w:hAnsi="宋体"/>
          <w:color w:val="auto"/>
          <w:sz w:val="24"/>
          <w:highlight w:val="none"/>
          <w:lang w:eastAsia="zh-CN"/>
        </w:rPr>
        <w:t>湖州市中心医院安防服务招标项目</w:t>
      </w:r>
      <w:r>
        <w:rPr>
          <w:rFonts w:hint="eastAsia" w:ascii="宋体" w:hAnsi="宋体"/>
          <w:color w:val="auto"/>
          <w:sz w:val="24"/>
          <w:highlight w:val="none"/>
        </w:rPr>
        <w:t>的招标、评标、定标、验收、合同履约、付款等（法律、法规另有规定的，从其规定）。</w:t>
      </w:r>
    </w:p>
    <w:p w14:paraId="326AA58A">
      <w:pPr>
        <w:snapToGrid w:val="0"/>
        <w:spacing w:line="360" w:lineRule="auto"/>
        <w:ind w:firstLine="354" w:firstLineChars="147"/>
        <w:jc w:val="left"/>
        <w:outlineLvl w:val="1"/>
        <w:rPr>
          <w:rFonts w:ascii="宋体" w:hAnsi="宋体"/>
          <w:b/>
          <w:color w:val="auto"/>
          <w:sz w:val="24"/>
          <w:szCs w:val="20"/>
          <w:highlight w:val="none"/>
        </w:rPr>
      </w:pPr>
      <w:r>
        <w:rPr>
          <w:rFonts w:hint="eastAsia" w:ascii="宋体" w:hAnsi="宋体"/>
          <w:b/>
          <w:color w:val="auto"/>
          <w:sz w:val="24"/>
          <w:highlight w:val="none"/>
        </w:rPr>
        <w:t>（二）定义</w:t>
      </w:r>
    </w:p>
    <w:p w14:paraId="787EE6CB">
      <w:pPr>
        <w:snapToGrid w:val="0"/>
        <w:spacing w:line="360" w:lineRule="auto"/>
        <w:ind w:firstLine="480" w:firstLineChars="200"/>
        <w:jc w:val="left"/>
        <w:rPr>
          <w:rFonts w:ascii="宋体" w:hAnsi="宋体"/>
          <w:color w:val="auto"/>
          <w:sz w:val="24"/>
          <w:szCs w:val="20"/>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招标采购单位系指组织本次招标的代理机构和采购单位</w:t>
      </w:r>
      <w:r>
        <w:rPr>
          <w:rFonts w:hint="eastAsia" w:ascii="宋体" w:hAnsi="宋体"/>
          <w:color w:val="auto"/>
          <w:sz w:val="24"/>
          <w:highlight w:val="none"/>
        </w:rPr>
        <w:t>（湖州市中心医院）</w:t>
      </w:r>
      <w:r>
        <w:rPr>
          <w:rFonts w:ascii="宋体" w:hAnsi="宋体"/>
          <w:color w:val="auto"/>
          <w:sz w:val="24"/>
          <w:highlight w:val="none"/>
        </w:rPr>
        <w:t>。</w:t>
      </w:r>
    </w:p>
    <w:p w14:paraId="2E848586">
      <w:pPr>
        <w:snapToGrid w:val="0"/>
        <w:spacing w:line="360" w:lineRule="auto"/>
        <w:ind w:firstLine="480" w:firstLineChars="200"/>
        <w:jc w:val="left"/>
        <w:rPr>
          <w:rFonts w:ascii="宋体" w:hAnsi="宋体"/>
          <w:color w:val="auto"/>
          <w:sz w:val="24"/>
          <w:szCs w:val="20"/>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投标人”系指向招标方提交投标文件的单位或个人。</w:t>
      </w:r>
    </w:p>
    <w:p w14:paraId="701A7612">
      <w:pPr>
        <w:snapToGrid w:val="0"/>
        <w:spacing w:line="360" w:lineRule="auto"/>
        <w:ind w:firstLine="480" w:firstLineChars="200"/>
        <w:jc w:val="left"/>
        <w:rPr>
          <w:rFonts w:ascii="宋体" w:hAnsi="宋体"/>
          <w:color w:val="auto"/>
          <w:sz w:val="24"/>
          <w:szCs w:val="20"/>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“产品”系指供方按招标文件规定，须向采购人提供的一切设备、保险、税金、备品备件、工具、手册</w:t>
      </w:r>
      <w:r>
        <w:rPr>
          <w:rFonts w:hint="eastAsia" w:ascii="宋体" w:hAnsi="宋体"/>
          <w:color w:val="auto"/>
          <w:sz w:val="24"/>
          <w:highlight w:val="none"/>
          <w:lang w:eastAsia="zh-CN"/>
        </w:rPr>
        <w:t>及其他有关</w:t>
      </w:r>
      <w:r>
        <w:rPr>
          <w:rFonts w:ascii="宋体" w:hAnsi="宋体"/>
          <w:color w:val="auto"/>
          <w:sz w:val="24"/>
          <w:highlight w:val="none"/>
        </w:rPr>
        <w:t>技术资料和材料。</w:t>
      </w:r>
    </w:p>
    <w:p w14:paraId="3FBC49FD">
      <w:pPr>
        <w:snapToGrid w:val="0"/>
        <w:spacing w:line="360" w:lineRule="auto"/>
        <w:ind w:firstLine="480" w:firstLineChars="200"/>
        <w:jc w:val="left"/>
        <w:rPr>
          <w:rFonts w:ascii="宋体" w:hAnsi="宋体"/>
          <w:color w:val="auto"/>
          <w:sz w:val="24"/>
          <w:szCs w:val="20"/>
          <w:highlight w:val="none"/>
        </w:rPr>
      </w:pPr>
      <w:r>
        <w:rPr>
          <w:rFonts w:ascii="宋体" w:hAnsi="宋体"/>
          <w:color w:val="auto"/>
          <w:sz w:val="24"/>
          <w:highlight w:val="none"/>
        </w:rPr>
        <w:t>4</w:t>
      </w:r>
      <w:r>
        <w:rPr>
          <w:rFonts w:hint="eastAsia" w:ascii="宋体" w:hAnsi="宋体"/>
          <w:color w:val="auto"/>
          <w:sz w:val="24"/>
          <w:highlight w:val="none"/>
        </w:rPr>
        <w:t>.</w:t>
      </w:r>
      <w:r>
        <w:rPr>
          <w:rFonts w:ascii="宋体" w:hAnsi="宋体"/>
          <w:color w:val="auto"/>
          <w:sz w:val="24"/>
          <w:highlight w:val="none"/>
        </w:rPr>
        <w:t>“服务”系指招标文件规定投标人须承担的安装、调试、技术协助、校准、培训、技术指导以及其他类似的义务。</w:t>
      </w:r>
    </w:p>
    <w:p w14:paraId="4526C906">
      <w:pPr>
        <w:snapToGrid w:val="0"/>
        <w:spacing w:line="360" w:lineRule="auto"/>
        <w:ind w:firstLine="480" w:firstLineChars="200"/>
        <w:jc w:val="left"/>
        <w:rPr>
          <w:rFonts w:ascii="宋体" w:hAnsi="宋体"/>
          <w:color w:val="auto"/>
          <w:sz w:val="24"/>
          <w:szCs w:val="20"/>
          <w:highlight w:val="none"/>
        </w:rPr>
      </w:pPr>
      <w:r>
        <w:rPr>
          <w:rFonts w:ascii="宋体" w:hAnsi="宋体"/>
          <w:color w:val="auto"/>
          <w:sz w:val="24"/>
          <w:highlight w:val="none"/>
        </w:rPr>
        <w:t>5</w:t>
      </w:r>
      <w:r>
        <w:rPr>
          <w:rFonts w:hint="eastAsia" w:ascii="宋体" w:hAnsi="宋体"/>
          <w:color w:val="auto"/>
          <w:sz w:val="24"/>
          <w:highlight w:val="none"/>
        </w:rPr>
        <w:t>.</w:t>
      </w:r>
      <w:r>
        <w:rPr>
          <w:rFonts w:ascii="宋体" w:hAnsi="宋体"/>
          <w:color w:val="auto"/>
          <w:sz w:val="24"/>
          <w:highlight w:val="none"/>
        </w:rPr>
        <w:t>“项目”系指投标人按招标文件规定向采购人提供的产品和服务。</w:t>
      </w:r>
    </w:p>
    <w:p w14:paraId="53A4664F">
      <w:pPr>
        <w:snapToGrid w:val="0"/>
        <w:spacing w:line="360" w:lineRule="auto"/>
        <w:ind w:firstLine="480" w:firstLineChars="200"/>
        <w:jc w:val="left"/>
        <w:rPr>
          <w:rFonts w:ascii="宋体" w:hAnsi="宋体"/>
          <w:color w:val="auto"/>
          <w:sz w:val="24"/>
          <w:szCs w:val="20"/>
          <w:highlight w:val="none"/>
        </w:rPr>
      </w:pPr>
      <w:r>
        <w:rPr>
          <w:rFonts w:ascii="宋体" w:hAnsi="宋体"/>
          <w:color w:val="auto"/>
          <w:sz w:val="24"/>
          <w:highlight w:val="none"/>
        </w:rPr>
        <w:t>6</w:t>
      </w:r>
      <w:r>
        <w:rPr>
          <w:rFonts w:hint="eastAsia" w:ascii="宋体" w:hAnsi="宋体"/>
          <w:color w:val="auto"/>
          <w:sz w:val="24"/>
          <w:highlight w:val="none"/>
        </w:rPr>
        <w:t>.</w:t>
      </w:r>
      <w:r>
        <w:rPr>
          <w:rFonts w:ascii="宋体" w:hAnsi="宋体"/>
          <w:color w:val="auto"/>
          <w:sz w:val="24"/>
          <w:highlight w:val="none"/>
        </w:rPr>
        <w:t>“书面形式”包括信函、传真、电报等。</w:t>
      </w:r>
    </w:p>
    <w:p w14:paraId="7A41F9D9">
      <w:pPr>
        <w:snapToGrid w:val="0"/>
        <w:spacing w:line="360" w:lineRule="auto"/>
        <w:ind w:firstLine="480" w:firstLineChars="200"/>
        <w:jc w:val="left"/>
        <w:rPr>
          <w:rFonts w:ascii="宋体" w:hAnsi="宋体"/>
          <w:color w:val="auto"/>
          <w:sz w:val="24"/>
          <w:szCs w:val="20"/>
          <w:highlight w:val="none"/>
        </w:rPr>
      </w:pPr>
      <w:r>
        <w:rPr>
          <w:rFonts w:ascii="宋体" w:hAnsi="宋体"/>
          <w:color w:val="auto"/>
          <w:sz w:val="24"/>
          <w:highlight w:val="none"/>
        </w:rPr>
        <w:t>7</w:t>
      </w:r>
      <w:r>
        <w:rPr>
          <w:rFonts w:hint="eastAsia" w:ascii="宋体" w:hAnsi="宋体"/>
          <w:color w:val="auto"/>
          <w:sz w:val="24"/>
          <w:highlight w:val="none"/>
        </w:rPr>
        <w:t>.</w:t>
      </w:r>
      <w:r>
        <w:rPr>
          <w:rFonts w:ascii="宋体" w:hAnsi="宋体"/>
          <w:color w:val="auto"/>
          <w:sz w:val="24"/>
          <w:highlight w:val="none"/>
        </w:rPr>
        <w:t>“▲”系指实质性要求条款。</w:t>
      </w:r>
    </w:p>
    <w:p w14:paraId="140E0972">
      <w:pPr>
        <w:snapToGrid w:val="0"/>
        <w:spacing w:line="360" w:lineRule="auto"/>
        <w:ind w:firstLine="472" w:firstLineChars="196"/>
        <w:jc w:val="left"/>
        <w:outlineLvl w:val="1"/>
        <w:rPr>
          <w:rFonts w:ascii="宋体" w:hAnsi="宋体"/>
          <w:b/>
          <w:color w:val="auto"/>
          <w:sz w:val="24"/>
          <w:szCs w:val="20"/>
          <w:highlight w:val="none"/>
        </w:rPr>
      </w:pPr>
      <w:r>
        <w:rPr>
          <w:rFonts w:hint="eastAsia" w:ascii="宋体" w:hAnsi="宋体"/>
          <w:b/>
          <w:color w:val="auto"/>
          <w:sz w:val="24"/>
          <w:highlight w:val="none"/>
        </w:rPr>
        <w:t>（三）招标方式</w:t>
      </w:r>
    </w:p>
    <w:p w14:paraId="29D5B8B9">
      <w:pPr>
        <w:snapToGrid w:val="0"/>
        <w:spacing w:line="360" w:lineRule="auto"/>
        <w:ind w:firstLine="480" w:firstLineChars="200"/>
        <w:jc w:val="left"/>
        <w:rPr>
          <w:rFonts w:ascii="宋体" w:hAnsi="宋体"/>
          <w:color w:val="auto"/>
          <w:sz w:val="24"/>
          <w:szCs w:val="20"/>
          <w:highlight w:val="none"/>
        </w:rPr>
      </w:pPr>
      <w:r>
        <w:rPr>
          <w:rFonts w:ascii="宋体" w:hAnsi="宋体"/>
          <w:color w:val="auto"/>
          <w:sz w:val="24"/>
          <w:highlight w:val="none"/>
        </w:rPr>
        <w:t>本次招标采用公开招标方式进行。</w:t>
      </w:r>
    </w:p>
    <w:p w14:paraId="6A9061A0">
      <w:pPr>
        <w:snapToGrid w:val="0"/>
        <w:spacing w:line="360" w:lineRule="auto"/>
        <w:ind w:firstLine="472" w:firstLineChars="196"/>
        <w:jc w:val="left"/>
        <w:outlineLvl w:val="1"/>
        <w:rPr>
          <w:rFonts w:ascii="宋体" w:hAnsi="宋体"/>
          <w:b/>
          <w:color w:val="auto"/>
          <w:sz w:val="24"/>
          <w:szCs w:val="20"/>
          <w:highlight w:val="none"/>
        </w:rPr>
      </w:pPr>
      <w:r>
        <w:rPr>
          <w:rFonts w:hint="eastAsia" w:ascii="宋体" w:hAnsi="宋体"/>
          <w:b/>
          <w:color w:val="auto"/>
          <w:sz w:val="24"/>
          <w:highlight w:val="none"/>
        </w:rPr>
        <w:t>（四）投标委托</w:t>
      </w:r>
    </w:p>
    <w:p w14:paraId="7D6416B1">
      <w:pPr>
        <w:pStyle w:val="12"/>
        <w:snapToGrid w:val="0"/>
        <w:spacing w:line="360" w:lineRule="auto"/>
        <w:ind w:firstLine="600" w:firstLineChars="250"/>
        <w:jc w:val="left"/>
        <w:rPr>
          <w:rFonts w:hAnsi="宋体"/>
          <w:color w:val="auto"/>
          <w:sz w:val="24"/>
          <w:szCs w:val="24"/>
          <w:highlight w:val="none"/>
        </w:rPr>
      </w:pPr>
      <w:r>
        <w:rPr>
          <w:rFonts w:hAnsi="宋体"/>
          <w:color w:val="auto"/>
          <w:sz w:val="24"/>
          <w:szCs w:val="24"/>
          <w:highlight w:val="none"/>
        </w:rPr>
        <w:t>投标人代表须携带</w:t>
      </w:r>
      <w:r>
        <w:rPr>
          <w:rFonts w:hint="eastAsia" w:hAnsi="宋体"/>
          <w:color w:val="auto"/>
          <w:sz w:val="24"/>
          <w:szCs w:val="24"/>
          <w:highlight w:val="none"/>
        </w:rPr>
        <w:t>有效</w:t>
      </w:r>
      <w:r>
        <w:rPr>
          <w:rFonts w:hAnsi="宋体"/>
          <w:color w:val="auto"/>
          <w:sz w:val="24"/>
          <w:szCs w:val="24"/>
          <w:highlight w:val="none"/>
        </w:rPr>
        <w:t>身份证</w:t>
      </w:r>
      <w:r>
        <w:rPr>
          <w:rFonts w:hint="eastAsia" w:hAnsi="宋体"/>
          <w:color w:val="auto"/>
          <w:sz w:val="24"/>
          <w:szCs w:val="24"/>
          <w:highlight w:val="none"/>
        </w:rPr>
        <w:t>件</w:t>
      </w:r>
      <w:r>
        <w:rPr>
          <w:rFonts w:hAnsi="宋体"/>
          <w:color w:val="auto"/>
          <w:sz w:val="24"/>
          <w:szCs w:val="24"/>
          <w:highlight w:val="none"/>
        </w:rPr>
        <w:t>。如投标人代表不是法定代表人，须有法定代表人出具的授权委托书</w:t>
      </w:r>
      <w:r>
        <w:rPr>
          <w:rFonts w:hint="eastAsia" w:hAnsi="宋体"/>
          <w:color w:val="auto"/>
          <w:sz w:val="24"/>
          <w:szCs w:val="24"/>
          <w:highlight w:val="none"/>
        </w:rPr>
        <w:t>及近1个月的社保证明复印件加盖公章</w:t>
      </w:r>
      <w:r>
        <w:rPr>
          <w:rFonts w:hAnsi="宋体"/>
          <w:color w:val="auto"/>
          <w:sz w:val="24"/>
          <w:szCs w:val="24"/>
          <w:highlight w:val="none"/>
        </w:rPr>
        <w:t>（格式见第四部分）。</w:t>
      </w:r>
    </w:p>
    <w:p w14:paraId="31A4758C">
      <w:pPr>
        <w:snapToGrid w:val="0"/>
        <w:spacing w:line="360" w:lineRule="auto"/>
        <w:ind w:firstLine="472" w:firstLineChars="196"/>
        <w:jc w:val="left"/>
        <w:outlineLvl w:val="1"/>
        <w:rPr>
          <w:rFonts w:ascii="宋体" w:hAnsi="宋体"/>
          <w:b/>
          <w:color w:val="auto"/>
          <w:sz w:val="24"/>
          <w:szCs w:val="20"/>
          <w:highlight w:val="none"/>
        </w:rPr>
      </w:pPr>
      <w:r>
        <w:rPr>
          <w:rFonts w:hint="eastAsia" w:ascii="宋体" w:hAnsi="宋体"/>
          <w:b/>
          <w:color w:val="auto"/>
          <w:sz w:val="24"/>
          <w:highlight w:val="none"/>
        </w:rPr>
        <w:t>（五）投标费用</w:t>
      </w:r>
    </w:p>
    <w:p w14:paraId="2C158996">
      <w:pPr>
        <w:snapToGrid w:val="0"/>
        <w:spacing w:line="360" w:lineRule="auto"/>
        <w:ind w:firstLine="600" w:firstLineChars="250"/>
        <w:jc w:val="left"/>
        <w:rPr>
          <w:rFonts w:ascii="宋体" w:hAnsi="宋体"/>
          <w:color w:val="auto"/>
          <w:sz w:val="24"/>
          <w:highlight w:val="none"/>
        </w:rPr>
      </w:pPr>
      <w:r>
        <w:rPr>
          <w:rFonts w:hint="eastAsia" w:ascii="宋体" w:hAnsi="宋体"/>
          <w:color w:val="auto"/>
          <w:sz w:val="24"/>
          <w:highlight w:val="none"/>
        </w:rPr>
        <w:t>1.不论投标结果如何，投标人均应自行承担所有与投标有关的全部费用（招标文件有相反规定除外）。</w:t>
      </w:r>
    </w:p>
    <w:p w14:paraId="354941E0">
      <w:pPr>
        <w:snapToGrid w:val="0"/>
        <w:spacing w:line="360" w:lineRule="auto"/>
        <w:ind w:firstLine="600" w:firstLineChars="250"/>
        <w:jc w:val="left"/>
        <w:rPr>
          <w:rFonts w:ascii="宋体" w:hAnsi="宋体"/>
          <w:color w:val="auto"/>
          <w:sz w:val="24"/>
          <w:highlight w:val="none"/>
        </w:rPr>
      </w:pPr>
      <w:r>
        <w:rPr>
          <w:rFonts w:hint="eastAsia" w:ascii="宋体" w:hAnsi="宋体"/>
          <w:color w:val="auto"/>
          <w:sz w:val="24"/>
          <w:highlight w:val="none"/>
        </w:rPr>
        <w:t>2.本项目招标代理服务费人民币贰万元整</w:t>
      </w:r>
      <w:r>
        <w:rPr>
          <w:rFonts w:hint="eastAsia" w:ascii="宋体" w:hAnsi="宋体"/>
          <w:color w:val="auto"/>
          <w:sz w:val="24"/>
          <w:highlight w:val="none"/>
          <w:lang w:eastAsia="zh-CN"/>
        </w:rPr>
        <w:t>（</w:t>
      </w:r>
      <w:r>
        <w:rPr>
          <w:rFonts w:hint="eastAsia" w:ascii="宋体" w:hAnsi="宋体"/>
          <w:color w:val="auto"/>
          <w:sz w:val="24"/>
          <w:highlight w:val="none"/>
        </w:rPr>
        <w:t>￥20000.00)，由中标人全额支付。在</w:t>
      </w:r>
      <w:r>
        <w:rPr>
          <w:rFonts w:hint="eastAsia" w:ascii="宋体" w:hAnsi="宋体"/>
          <w:bCs/>
          <w:color w:val="auto"/>
          <w:sz w:val="24"/>
          <w:highlight w:val="none"/>
        </w:rPr>
        <w:t>中标通知书发出后</w:t>
      </w:r>
      <w:r>
        <w:rPr>
          <w:rFonts w:hint="eastAsia" w:ascii="宋体" w:hAnsi="宋体"/>
          <w:color w:val="auto"/>
          <w:sz w:val="24"/>
          <w:highlight w:val="none"/>
        </w:rPr>
        <w:t>当日内一次性结清。</w:t>
      </w:r>
    </w:p>
    <w:p w14:paraId="3DB17577">
      <w:pPr>
        <w:snapToGrid w:val="0"/>
        <w:spacing w:line="360" w:lineRule="auto"/>
        <w:ind w:firstLine="482" w:firstLineChars="200"/>
        <w:jc w:val="left"/>
        <w:rPr>
          <w:rFonts w:ascii="宋体" w:hAnsi="宋体"/>
          <w:b/>
          <w:color w:val="auto"/>
          <w:sz w:val="24"/>
          <w:szCs w:val="20"/>
          <w:highlight w:val="none"/>
        </w:rPr>
      </w:pPr>
      <w:r>
        <w:rPr>
          <w:rFonts w:hint="eastAsia" w:ascii="宋体" w:hAnsi="宋体"/>
          <w:b/>
          <w:color w:val="auto"/>
          <w:sz w:val="24"/>
          <w:highlight w:val="none"/>
        </w:rPr>
        <w:t>（六）联合体投标</w:t>
      </w:r>
    </w:p>
    <w:p w14:paraId="0B81D201">
      <w:pPr>
        <w:snapToGrid w:val="0"/>
        <w:spacing w:line="360" w:lineRule="auto"/>
        <w:ind w:firstLine="720" w:firstLineChars="300"/>
        <w:jc w:val="left"/>
        <w:rPr>
          <w:rFonts w:ascii="宋体" w:hAnsi="宋体" w:cs="Arial"/>
          <w:color w:val="auto"/>
          <w:sz w:val="24"/>
          <w:highlight w:val="none"/>
        </w:rPr>
      </w:pPr>
      <w:r>
        <w:rPr>
          <w:rFonts w:hint="eastAsia" w:ascii="宋体" w:hAnsi="宋体" w:cs="Arial"/>
          <w:color w:val="auto"/>
          <w:sz w:val="24"/>
          <w:highlight w:val="none"/>
        </w:rPr>
        <w:t>1.本项目接受联合体投标。</w:t>
      </w:r>
    </w:p>
    <w:p w14:paraId="19396F6E">
      <w:pPr>
        <w:snapToGrid w:val="0"/>
        <w:spacing w:line="360" w:lineRule="auto"/>
        <w:ind w:firstLine="720" w:firstLineChars="300"/>
        <w:jc w:val="left"/>
        <w:rPr>
          <w:rFonts w:ascii="宋体" w:hAnsi="宋体"/>
          <w:color w:val="auto"/>
          <w:sz w:val="24"/>
          <w:highlight w:val="none"/>
        </w:rPr>
      </w:pPr>
      <w:r>
        <w:rPr>
          <w:rFonts w:hint="eastAsia" w:ascii="宋体" w:hAnsi="宋体"/>
          <w:color w:val="auto"/>
          <w:sz w:val="24"/>
          <w:highlight w:val="none"/>
        </w:rPr>
        <w:t>2.由两个以上的投标人组成一个联合体以一个投标人身份共同投标时，应符合下列要求：</w:t>
      </w:r>
    </w:p>
    <w:p w14:paraId="580A5B1D">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1）投标人的投标文件及中标后签署的合同对联合体各方均具有法律约束力；</w:t>
      </w:r>
    </w:p>
    <w:p w14:paraId="5172840D">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2）联合体各方应签订共同投标协议，明确约定各方拟承担的工作和责任，并将该共同投标协议随投标文件一并提交采购人；</w:t>
      </w:r>
    </w:p>
    <w:p w14:paraId="1DD75E33">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3）联合体中标后，联合体各方应当共同与采购人签订合同，为履行合同向采购人承担连带责任；</w:t>
      </w:r>
    </w:p>
    <w:p w14:paraId="4891F322">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4）联合体的各方应共同推荐一名联合体主办人，由联合体各方各提交一份授权书，证明其主办人资格，该授权书作为投标文件的组成部分一并提交采购人；</w:t>
      </w:r>
    </w:p>
    <w:p w14:paraId="3628E7AE">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5）除非另有规定或说明，本须知中“投标人”一词亦指联合体各方。</w:t>
      </w:r>
    </w:p>
    <w:p w14:paraId="0A2F54CF">
      <w:pPr>
        <w:snapToGrid w:val="0"/>
        <w:spacing w:line="360" w:lineRule="auto"/>
        <w:ind w:firstLine="472" w:firstLineChars="196"/>
        <w:rPr>
          <w:rFonts w:ascii="宋体" w:hAnsi="宋体" w:cs="宋体"/>
          <w:b/>
          <w:color w:val="auto"/>
          <w:kern w:val="0"/>
          <w:sz w:val="24"/>
          <w:highlight w:val="none"/>
        </w:rPr>
      </w:pPr>
      <w:r>
        <w:rPr>
          <w:rFonts w:hint="eastAsia" w:ascii="宋体" w:hAnsi="宋体"/>
          <w:b/>
          <w:color w:val="auto"/>
          <w:sz w:val="24"/>
          <w:highlight w:val="none"/>
        </w:rPr>
        <w:t>（七）</w:t>
      </w:r>
      <w:r>
        <w:rPr>
          <w:rFonts w:hint="eastAsia" w:ascii="宋体" w:hAnsi="宋体" w:cs="宋体"/>
          <w:b/>
          <w:color w:val="auto"/>
          <w:kern w:val="0"/>
          <w:sz w:val="24"/>
          <w:highlight w:val="none"/>
        </w:rPr>
        <w:t>转包与分包</w:t>
      </w:r>
    </w:p>
    <w:p w14:paraId="2D731E99">
      <w:pPr>
        <w:snapToGrid w:val="0"/>
        <w:spacing w:line="360" w:lineRule="auto"/>
        <w:ind w:firstLine="480" w:firstLineChars="200"/>
        <w:rPr>
          <w:rFonts w:ascii="宋体" w:hAns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w:t>
      </w:r>
      <w:r>
        <w:rPr>
          <w:rFonts w:ascii="宋体" w:hAnsi="宋体" w:cs="宋体"/>
          <w:color w:val="auto"/>
          <w:kern w:val="0"/>
          <w:sz w:val="24"/>
          <w:highlight w:val="none"/>
        </w:rPr>
        <w:t>本项目不允许转包。</w:t>
      </w:r>
    </w:p>
    <w:p w14:paraId="4E93E861">
      <w:pPr>
        <w:snapToGrid w:val="0"/>
        <w:spacing w:line="360" w:lineRule="auto"/>
        <w:ind w:firstLine="480" w:firstLineChars="200"/>
        <w:rPr>
          <w:rFonts w:ascii="宋体" w:hAnsi="宋体"/>
          <w:color w:val="auto"/>
          <w:sz w:val="24"/>
          <w:highlight w:val="none"/>
        </w:rPr>
      </w:pPr>
      <w:r>
        <w:rPr>
          <w:rFonts w:ascii="宋体" w:hAnsi="宋体" w:cs="宋体"/>
          <w:color w:val="auto"/>
          <w:kern w:val="0"/>
          <w:sz w:val="24"/>
          <w:highlight w:val="none"/>
        </w:rPr>
        <w:t>2</w:t>
      </w:r>
      <w:r>
        <w:rPr>
          <w:rFonts w:hint="eastAsia" w:ascii="宋体" w:hAnsi="宋体" w:cs="宋体"/>
          <w:color w:val="auto"/>
          <w:kern w:val="0"/>
          <w:sz w:val="24"/>
          <w:highlight w:val="none"/>
        </w:rPr>
        <w:t>.</w:t>
      </w:r>
      <w:r>
        <w:rPr>
          <w:rFonts w:ascii="宋体" w:hAnsi="宋体" w:cs="宋体"/>
          <w:color w:val="auto"/>
          <w:kern w:val="0"/>
          <w:sz w:val="24"/>
          <w:highlight w:val="none"/>
        </w:rPr>
        <w:t xml:space="preserve"> 本项目可以分包</w:t>
      </w:r>
      <w:r>
        <w:rPr>
          <w:rFonts w:hint="eastAsia" w:ascii="宋体" w:hAnsi="宋体" w:cs="宋体"/>
          <w:color w:val="auto"/>
          <w:kern w:val="0"/>
          <w:sz w:val="24"/>
          <w:highlight w:val="none"/>
        </w:rPr>
        <w:t>（允许</w:t>
      </w:r>
      <w:r>
        <w:rPr>
          <w:rFonts w:hint="eastAsia" w:ascii="宋体" w:hAnsi="宋体"/>
          <w:color w:val="auto"/>
          <w:sz w:val="24"/>
          <w:highlight w:val="none"/>
        </w:rPr>
        <w:t>中型企业向小微企业、小微企业向小微企业合理分包）。</w:t>
      </w:r>
    </w:p>
    <w:p w14:paraId="6C8EBFE9">
      <w:pPr>
        <w:snapToGrid w:val="0"/>
        <w:spacing w:line="360" w:lineRule="auto"/>
        <w:ind w:firstLine="472" w:firstLineChars="196"/>
        <w:jc w:val="left"/>
        <w:outlineLvl w:val="1"/>
        <w:rPr>
          <w:rFonts w:ascii="宋体" w:hAnsi="宋体"/>
          <w:b/>
          <w:color w:val="auto"/>
          <w:sz w:val="24"/>
          <w:highlight w:val="none"/>
        </w:rPr>
      </w:pPr>
      <w:r>
        <w:rPr>
          <w:rFonts w:hint="eastAsia" w:ascii="宋体" w:hAnsi="宋体"/>
          <w:b/>
          <w:color w:val="auto"/>
          <w:sz w:val="24"/>
          <w:highlight w:val="none"/>
        </w:rPr>
        <w:t>（八）特别说明：</w:t>
      </w:r>
    </w:p>
    <w:p w14:paraId="37FDE31D">
      <w:pPr>
        <w:widowControl/>
        <w:spacing w:line="360" w:lineRule="auto"/>
        <w:ind w:firstLine="480" w:firstLineChars="200"/>
        <w:jc w:val="left"/>
        <w:rPr>
          <w:rFonts w:ascii="宋体" w:hAnsi="宋体"/>
          <w:color w:val="auto"/>
          <w:sz w:val="24"/>
          <w:highlight w:val="none"/>
        </w:rPr>
      </w:pPr>
      <w:r>
        <w:rPr>
          <w:rFonts w:ascii="宋体" w:hAnsi="宋体"/>
          <w:color w:val="auto"/>
          <w:sz w:val="24"/>
          <w:highlight w:val="none"/>
        </w:rPr>
        <w:t>▲</w:t>
      </w:r>
      <w:r>
        <w:rPr>
          <w:rFonts w:hint="eastAsia" w:ascii="宋体" w:hAnsi="宋体"/>
          <w:color w:val="auto"/>
          <w:sz w:val="24"/>
          <w:highlight w:val="none"/>
        </w:rPr>
        <w:t>1.提供相同品牌产品且通过资格审查、符合性审查的不同投标人参加本项目投标的，按一家投标人计算，评审后得分最高的同品牌投标人获得中标人推荐资格</w:t>
      </w:r>
      <w:r>
        <w:rPr>
          <w:rFonts w:hint="eastAsia" w:ascii="宋体" w:hAnsi="宋体"/>
          <w:color w:val="auto"/>
          <w:sz w:val="24"/>
          <w:highlight w:val="none"/>
          <w:lang w:eastAsia="zh-CN"/>
        </w:rPr>
        <w:t>；</w:t>
      </w:r>
      <w:r>
        <w:rPr>
          <w:rFonts w:hint="eastAsia" w:ascii="宋体" w:hAnsi="宋体"/>
          <w:color w:val="auto"/>
          <w:sz w:val="24"/>
          <w:highlight w:val="none"/>
        </w:rPr>
        <w:t>评审得分相同的，由采购人或者采购人委托评标委员会确定报价最低的投标人获得中标人资格；当报价相同时，采取随机抽取方式确定，其他同品牌投标人不作为中标人。</w:t>
      </w:r>
    </w:p>
    <w:p w14:paraId="0AC526F5">
      <w:pPr>
        <w:pStyle w:val="13"/>
        <w:snapToGrid w:val="0"/>
        <w:spacing w:beforeLines="0" w:afterLines="0" w:line="360" w:lineRule="auto"/>
        <w:ind w:left="2" w:leftChars="1" w:firstLine="480" w:firstLineChars="200"/>
        <w:rPr>
          <w:rFonts w:hAnsi="宋体"/>
          <w:color w:val="auto"/>
          <w:sz w:val="24"/>
          <w:highlight w:val="none"/>
        </w:rPr>
      </w:pPr>
      <w:r>
        <w:rPr>
          <w:rFonts w:hAnsi="宋体"/>
          <w:color w:val="auto"/>
          <w:sz w:val="24"/>
          <w:highlight w:val="none"/>
        </w:rPr>
        <w:t>▲</w:t>
      </w:r>
      <w:r>
        <w:rPr>
          <w:rFonts w:hint="eastAsia" w:hAnsi="宋体"/>
          <w:color w:val="auto"/>
          <w:sz w:val="24"/>
          <w:highlight w:val="none"/>
        </w:rPr>
        <w:t>2.</w:t>
      </w:r>
      <w:r>
        <w:rPr>
          <w:rFonts w:hAnsi="宋体"/>
          <w:color w:val="auto"/>
          <w:sz w:val="24"/>
          <w:highlight w:val="none"/>
        </w:rPr>
        <w:t>投标人投标所使用的资格、信誉、荣誉、业绩与企业认证必须为本法人所拥有。投标人投标所使用的采购项目实施人员必须为本法人员工（或必须为本法人或控股公司正式员工）。</w:t>
      </w:r>
    </w:p>
    <w:p w14:paraId="3A2D93EE">
      <w:pPr>
        <w:pStyle w:val="13"/>
        <w:snapToGrid w:val="0"/>
        <w:spacing w:beforeLines="0" w:afterLines="0" w:line="360" w:lineRule="auto"/>
        <w:ind w:left="2" w:leftChars="1" w:firstLine="480" w:firstLineChars="200"/>
        <w:rPr>
          <w:rFonts w:hAnsi="宋体"/>
          <w:color w:val="auto"/>
          <w:sz w:val="24"/>
          <w:highlight w:val="none"/>
        </w:rPr>
      </w:pPr>
      <w:r>
        <w:rPr>
          <w:rFonts w:hAnsi="宋体"/>
          <w:color w:val="auto"/>
          <w:sz w:val="24"/>
          <w:highlight w:val="none"/>
        </w:rPr>
        <w:t>▲</w:t>
      </w:r>
      <w:r>
        <w:rPr>
          <w:rFonts w:hint="eastAsia" w:hAnsi="宋体"/>
          <w:color w:val="auto"/>
          <w:sz w:val="24"/>
          <w:highlight w:val="none"/>
        </w:rPr>
        <w:t>3.</w:t>
      </w:r>
      <w:r>
        <w:rPr>
          <w:rFonts w:hAnsi="宋体"/>
          <w:color w:val="auto"/>
          <w:sz w:val="24"/>
          <w:highlight w:val="none"/>
        </w:rPr>
        <w:t>投标人应仔细阅读招标文件的所有内容，按照招标文件的要求提交投标文件，并对所提供的全部资料的真实性承担法律责任。</w:t>
      </w:r>
    </w:p>
    <w:p w14:paraId="12187E95">
      <w:pPr>
        <w:pStyle w:val="13"/>
        <w:snapToGrid w:val="0"/>
        <w:spacing w:beforeLines="0" w:afterLines="0" w:line="360" w:lineRule="auto"/>
        <w:ind w:left="2" w:leftChars="1" w:firstLine="480" w:firstLineChars="200"/>
        <w:rPr>
          <w:rFonts w:hAnsi="宋体"/>
          <w:b/>
          <w:color w:val="auto"/>
          <w:sz w:val="24"/>
          <w:highlight w:val="none"/>
        </w:rPr>
      </w:pPr>
      <w:r>
        <w:rPr>
          <w:rFonts w:hAnsi="宋体"/>
          <w:color w:val="auto"/>
          <w:sz w:val="24"/>
          <w:highlight w:val="none"/>
        </w:rPr>
        <w:t>▲</w:t>
      </w:r>
      <w:r>
        <w:rPr>
          <w:rFonts w:hint="eastAsia" w:hAnsi="宋体"/>
          <w:color w:val="auto"/>
          <w:sz w:val="24"/>
          <w:highlight w:val="none"/>
        </w:rPr>
        <w:t>4.</w:t>
      </w:r>
      <w:r>
        <w:rPr>
          <w:rFonts w:hAnsi="宋体"/>
          <w:color w:val="auto"/>
          <w:sz w:val="24"/>
          <w:highlight w:val="none"/>
        </w:rPr>
        <w:t>投标人在投标活动中提供任何虚假材料</w:t>
      </w:r>
      <w:r>
        <w:rPr>
          <w:rFonts w:hint="eastAsia" w:hAnsi="宋体"/>
          <w:color w:val="auto"/>
          <w:sz w:val="24"/>
          <w:highlight w:val="none"/>
          <w:lang w:eastAsia="zh-CN"/>
        </w:rPr>
        <w:t>，</w:t>
      </w:r>
      <w:r>
        <w:rPr>
          <w:rFonts w:hAnsi="宋体"/>
          <w:color w:val="auto"/>
          <w:sz w:val="24"/>
          <w:highlight w:val="none"/>
        </w:rPr>
        <w:t>其投标无效，并报监管部门查处；中标后发现的</w:t>
      </w:r>
      <w:r>
        <w:rPr>
          <w:rFonts w:hint="eastAsia" w:hAnsi="宋体"/>
          <w:color w:val="auto"/>
          <w:sz w:val="24"/>
          <w:highlight w:val="none"/>
          <w:lang w:eastAsia="zh-CN"/>
        </w:rPr>
        <w:t>，</w:t>
      </w:r>
      <w:r>
        <w:rPr>
          <w:rFonts w:hAnsi="宋体"/>
          <w:color w:val="auto"/>
          <w:sz w:val="24"/>
          <w:highlight w:val="none"/>
        </w:rPr>
        <w:t>中标人须依照《中华人民共和国消费者权益保护法》第49条之规定双倍赔偿采购人</w:t>
      </w:r>
      <w:r>
        <w:rPr>
          <w:rFonts w:hint="eastAsia" w:hAnsi="宋体"/>
          <w:color w:val="auto"/>
          <w:sz w:val="24"/>
          <w:highlight w:val="none"/>
        </w:rPr>
        <w:t>，</w:t>
      </w:r>
      <w:r>
        <w:rPr>
          <w:rFonts w:hAnsi="宋体"/>
          <w:color w:val="auto"/>
          <w:sz w:val="24"/>
          <w:highlight w:val="none"/>
        </w:rPr>
        <w:t>且民事赔偿并不免除违法投标人的行政与刑事责任。</w:t>
      </w:r>
    </w:p>
    <w:p w14:paraId="6818740A">
      <w:pPr>
        <w:pStyle w:val="13"/>
        <w:snapToGrid w:val="0"/>
        <w:spacing w:beforeLines="0" w:afterLines="0" w:line="360" w:lineRule="auto"/>
        <w:ind w:firstLine="472" w:firstLineChars="196"/>
        <w:outlineLvl w:val="1"/>
        <w:rPr>
          <w:rFonts w:hAnsi="宋体"/>
          <w:b/>
          <w:bCs/>
          <w:color w:val="auto"/>
          <w:sz w:val="24"/>
          <w:highlight w:val="none"/>
        </w:rPr>
      </w:pPr>
      <w:r>
        <w:rPr>
          <w:rFonts w:hAnsi="宋体"/>
          <w:b/>
          <w:bCs/>
          <w:color w:val="auto"/>
          <w:sz w:val="24"/>
          <w:highlight w:val="none"/>
        </w:rPr>
        <w:t>（九）质疑和投诉</w:t>
      </w:r>
    </w:p>
    <w:p w14:paraId="63D5ED29">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提出质疑的供应商应当是参与所质疑项目采购活动的供应商。潜在供应商已依法获取其可质疑的采购文件的，可以对该文件提出质疑。对采购文件提出质疑的，应当在获取采购文件或者采购文件公告期限届满之日起7个工作日内</w:t>
      </w:r>
      <w:r>
        <w:rPr>
          <w:rFonts w:hint="eastAsia" w:hAnsi="宋体"/>
          <w:color w:val="auto"/>
          <w:sz w:val="24"/>
          <w:highlight w:val="none"/>
          <w:lang w:eastAsia="zh-CN"/>
        </w:rPr>
        <w:t>，</w:t>
      </w:r>
      <w:r>
        <w:rPr>
          <w:rFonts w:hAnsi="宋体"/>
          <w:color w:val="auto"/>
          <w:sz w:val="24"/>
          <w:highlight w:val="none"/>
        </w:rPr>
        <w:t>以书面形式向采购人、采购代理机构提出质疑</w:t>
      </w:r>
      <w:r>
        <w:rPr>
          <w:rFonts w:hint="eastAsia" w:hAnsi="宋体"/>
          <w:color w:val="auto"/>
          <w:sz w:val="24"/>
          <w:highlight w:val="none"/>
        </w:rPr>
        <w:t>，并电话联系代理公司，由代理公司书面回复“已知悉”，否则代理公司有权不予认可该质疑</w:t>
      </w:r>
      <w:r>
        <w:rPr>
          <w:rFonts w:hAnsi="宋体"/>
          <w:color w:val="auto"/>
          <w:sz w:val="24"/>
          <w:highlight w:val="none"/>
        </w:rPr>
        <w:t>。</w:t>
      </w:r>
    </w:p>
    <w:p w14:paraId="643BC736">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供应商在法定质疑期内一次性提出针对同一采购程序环节的质疑。</w:t>
      </w:r>
    </w:p>
    <w:p w14:paraId="173A1A72">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1.供应商认为采购文件、采购过程、中标或者成交结果使自己的权益受到损害的，可以在知道或者应知其权益受到损害之日起7个工作日内，以书面形式向采购人、采购代理机构提出质疑。供应商对招标采购单位的质疑答复不满意或者招标采购单位未在规定时间内作出答复的，可以在答复期满后十五个工作日内向同级采购监管部门提起投诉。</w:t>
      </w:r>
    </w:p>
    <w:p w14:paraId="6BC6E5DC">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2.供应商提出质疑应当提交质疑函和必要的证明材料。质疑函应当包括下列内容：</w:t>
      </w:r>
    </w:p>
    <w:p w14:paraId="3740B93E">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1）供应商的姓名或者名称、地址、邮编、联系人及联系电话；</w:t>
      </w:r>
    </w:p>
    <w:p w14:paraId="2F31D970">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2）质疑项目的名称、编号；</w:t>
      </w:r>
    </w:p>
    <w:p w14:paraId="16745500">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3）具体、明确的质疑事项和与质疑事项相关的请求；</w:t>
      </w:r>
    </w:p>
    <w:p w14:paraId="4FBD29B1">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4）事实依据；</w:t>
      </w:r>
    </w:p>
    <w:p w14:paraId="7E1EFC95">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5）必要的法律依据；</w:t>
      </w:r>
    </w:p>
    <w:p w14:paraId="5DFD1FF1">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6）提出质疑的日期。</w:t>
      </w:r>
    </w:p>
    <w:p w14:paraId="2690DC7F">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3.投诉人提起投诉应当符合下列条件：</w:t>
      </w:r>
    </w:p>
    <w:p w14:paraId="4BA8AF95">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1）提起投诉前已依法进行质疑；</w:t>
      </w:r>
    </w:p>
    <w:p w14:paraId="5C29A8E3">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2）投诉书内容符合本办法的规定；</w:t>
      </w:r>
    </w:p>
    <w:p w14:paraId="497ED4E4">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3）在投诉有效期限内提起投诉；</w:t>
      </w:r>
    </w:p>
    <w:p w14:paraId="4D332FED">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4）同一投诉事项未经财政部门投诉处理；</w:t>
      </w:r>
    </w:p>
    <w:p w14:paraId="1592B246">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5）财政部规定的其他条件。</w:t>
      </w:r>
    </w:p>
    <w:p w14:paraId="0E3833C6">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4.投诉人投诉时</w:t>
      </w:r>
      <w:r>
        <w:rPr>
          <w:rFonts w:hint="eastAsia" w:hAnsi="宋体"/>
          <w:color w:val="auto"/>
          <w:sz w:val="24"/>
          <w:highlight w:val="none"/>
          <w:lang w:eastAsia="zh-CN"/>
        </w:rPr>
        <w:t>，</w:t>
      </w:r>
      <w:r>
        <w:rPr>
          <w:rFonts w:hint="eastAsia" w:hAnsi="宋体"/>
          <w:color w:val="auto"/>
          <w:sz w:val="24"/>
          <w:highlight w:val="none"/>
        </w:rPr>
        <w:t>应当提交投诉书和必要的证明材料，并按照被投诉采购人、采购代理机构和与投诉事项有关的供应商数量提供投诉书的副本。投诉书应当包括下列内容：</w:t>
      </w:r>
    </w:p>
    <w:p w14:paraId="270C1B45">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1）投诉人和被投诉人的姓名或者名称、通讯地址、邮编、联系人及联系电话；</w:t>
      </w:r>
    </w:p>
    <w:p w14:paraId="2E554DC3">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2）质疑和质疑答复情况说明及相关证明材料；</w:t>
      </w:r>
    </w:p>
    <w:p w14:paraId="2EEB5406">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3）具体、明确的投诉事项和与投诉事项相关的投诉请求；</w:t>
      </w:r>
    </w:p>
    <w:p w14:paraId="3F277D13">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4）事实依据；</w:t>
      </w:r>
    </w:p>
    <w:p w14:paraId="0D5B3A92">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5）法律依据；</w:t>
      </w:r>
    </w:p>
    <w:p w14:paraId="25712E22">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6）提起投诉的日期。</w:t>
      </w:r>
    </w:p>
    <w:p w14:paraId="62E565A5">
      <w:pPr>
        <w:pStyle w:val="13"/>
        <w:snapToGrid w:val="0"/>
        <w:spacing w:beforeLines="0" w:afterLines="0" w:line="360" w:lineRule="auto"/>
        <w:ind w:left="2" w:leftChars="1" w:firstLine="480" w:firstLineChars="200"/>
        <w:rPr>
          <w:rFonts w:hAnsi="宋体"/>
          <w:color w:val="auto"/>
          <w:sz w:val="24"/>
          <w:highlight w:val="none"/>
        </w:rPr>
      </w:pPr>
      <w:r>
        <w:rPr>
          <w:rFonts w:hAnsi="宋体"/>
          <w:color w:val="auto"/>
          <w:sz w:val="24"/>
          <w:highlight w:val="none"/>
        </w:rPr>
        <w:t>质疑供应商对采购人、采购代理机构的答复不满意，或者采购人、采购代理机构未在规定时间内作出答复的，可以在答复期满后15个工作日内向本办法第六条规定的财政部门提起投诉。</w:t>
      </w:r>
    </w:p>
    <w:p w14:paraId="738CD665">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供应商可通过邮寄方式寄递政府采购投诉材料，邮寄地址为涉及政府采购项目采购人预算级次相应的财政部门。政府采购投诉材料中须写明邮箱地址、传真号码，财政部门审查受理、处理决定等相关文书可通过电子邮件、传真等形式送达 ，供应商明确表示需要邮寄的除外。</w:t>
      </w:r>
    </w:p>
    <w:p w14:paraId="596601C7">
      <w:pPr>
        <w:pStyle w:val="13"/>
        <w:snapToGrid w:val="0"/>
        <w:spacing w:beforeLines="0" w:afterLines="0" w:line="360" w:lineRule="auto"/>
        <w:ind w:left="2" w:leftChars="1" w:firstLine="480" w:firstLineChars="200"/>
        <w:rPr>
          <w:rFonts w:hAnsi="宋体"/>
          <w:color w:val="auto"/>
          <w:sz w:val="24"/>
          <w:highlight w:val="none"/>
        </w:rPr>
      </w:pPr>
      <w:r>
        <w:rPr>
          <w:rFonts w:hint="eastAsia" w:hAnsi="宋体"/>
          <w:color w:val="auto"/>
          <w:sz w:val="24"/>
          <w:highlight w:val="none"/>
        </w:rPr>
        <w:t>5.质疑函须采用财政部发布的政府采购供应商质疑函范本（参考样式可从</w:t>
      </w:r>
      <w:r>
        <w:rPr>
          <w:rFonts w:hAnsi="宋体"/>
          <w:color w:val="auto"/>
          <w:sz w:val="24"/>
          <w:highlight w:val="none"/>
        </w:rPr>
        <w:t>浙江政府采购网下载专区下载</w:t>
      </w:r>
      <w:r>
        <w:rPr>
          <w:rFonts w:hint="eastAsia" w:hAnsi="宋体"/>
          <w:color w:val="auto"/>
          <w:sz w:val="24"/>
          <w:highlight w:val="none"/>
        </w:rPr>
        <w:t>），否则采购代理机构有权要求质疑供应商改正后重新提出。</w:t>
      </w:r>
    </w:p>
    <w:p w14:paraId="18A0CC01">
      <w:pPr>
        <w:pStyle w:val="13"/>
        <w:snapToGrid w:val="0"/>
        <w:spacing w:beforeLines="0" w:afterLines="0" w:line="360" w:lineRule="auto"/>
        <w:ind w:firstLine="472" w:firstLineChars="196"/>
        <w:outlineLvl w:val="0"/>
        <w:rPr>
          <w:rFonts w:hAnsi="宋体"/>
          <w:b/>
          <w:color w:val="auto"/>
          <w:sz w:val="24"/>
          <w:highlight w:val="none"/>
        </w:rPr>
      </w:pPr>
      <w:r>
        <w:rPr>
          <w:rFonts w:hAnsi="宋体"/>
          <w:b/>
          <w:color w:val="auto"/>
          <w:sz w:val="24"/>
          <w:highlight w:val="none"/>
        </w:rPr>
        <w:t>二  招标文件</w:t>
      </w:r>
    </w:p>
    <w:p w14:paraId="63C75D66">
      <w:pPr>
        <w:snapToGrid w:val="0"/>
        <w:spacing w:line="360" w:lineRule="auto"/>
        <w:ind w:firstLine="472" w:firstLineChars="196"/>
        <w:jc w:val="left"/>
        <w:rPr>
          <w:rFonts w:ascii="宋体" w:hAnsi="宋体"/>
          <w:b/>
          <w:color w:val="auto"/>
          <w:sz w:val="24"/>
          <w:highlight w:val="none"/>
        </w:rPr>
      </w:pPr>
      <w:r>
        <w:rPr>
          <w:rFonts w:hint="eastAsia" w:ascii="宋体" w:hAnsi="宋体"/>
          <w:b/>
          <w:color w:val="auto"/>
          <w:sz w:val="24"/>
          <w:highlight w:val="none"/>
        </w:rPr>
        <w:t>（一）招标文件的构成。本招标文件由以下部分组成：</w:t>
      </w:r>
    </w:p>
    <w:p w14:paraId="03998340">
      <w:pPr>
        <w:snapToGrid w:val="0"/>
        <w:spacing w:line="360" w:lineRule="auto"/>
        <w:ind w:firstLine="480" w:firstLineChars="200"/>
        <w:jc w:val="left"/>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招标公告</w:t>
      </w:r>
    </w:p>
    <w:p w14:paraId="655EDB76">
      <w:pPr>
        <w:snapToGrid w:val="0"/>
        <w:spacing w:line="360" w:lineRule="auto"/>
        <w:ind w:firstLine="480" w:firstLineChars="200"/>
        <w:jc w:val="left"/>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招标需求</w:t>
      </w:r>
    </w:p>
    <w:p w14:paraId="543CB34A">
      <w:pPr>
        <w:snapToGrid w:val="0"/>
        <w:spacing w:line="360" w:lineRule="auto"/>
        <w:ind w:firstLine="480" w:firstLineChars="200"/>
        <w:jc w:val="left"/>
        <w:rPr>
          <w:rFonts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投标人须知</w:t>
      </w:r>
    </w:p>
    <w:p w14:paraId="02F5BAB3">
      <w:pPr>
        <w:snapToGrid w:val="0"/>
        <w:spacing w:line="360" w:lineRule="auto"/>
        <w:ind w:firstLine="480" w:firstLineChars="200"/>
        <w:jc w:val="left"/>
        <w:rPr>
          <w:rFonts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w:t>
      </w:r>
      <w:r>
        <w:rPr>
          <w:rFonts w:ascii="宋体" w:hAnsi="宋体"/>
          <w:color w:val="auto"/>
          <w:sz w:val="24"/>
          <w:highlight w:val="none"/>
        </w:rPr>
        <w:t>评标办法及标准</w:t>
      </w:r>
    </w:p>
    <w:p w14:paraId="60264D61">
      <w:pPr>
        <w:snapToGrid w:val="0"/>
        <w:spacing w:line="360" w:lineRule="auto"/>
        <w:ind w:firstLine="480" w:firstLineChars="200"/>
        <w:jc w:val="left"/>
        <w:rPr>
          <w:rFonts w:ascii="宋体" w:hAnsi="宋体"/>
          <w:color w:val="auto"/>
          <w:sz w:val="24"/>
          <w:highlight w:val="none"/>
        </w:rPr>
      </w:pPr>
      <w:r>
        <w:rPr>
          <w:rFonts w:ascii="宋体" w:hAnsi="宋体"/>
          <w:color w:val="auto"/>
          <w:sz w:val="24"/>
          <w:highlight w:val="none"/>
        </w:rPr>
        <w:t>5</w:t>
      </w:r>
      <w:r>
        <w:rPr>
          <w:rFonts w:hint="eastAsia" w:ascii="宋体" w:hAnsi="宋体"/>
          <w:color w:val="auto"/>
          <w:sz w:val="24"/>
          <w:highlight w:val="none"/>
        </w:rPr>
        <w:t>.</w:t>
      </w:r>
      <w:r>
        <w:rPr>
          <w:rFonts w:ascii="宋体" w:hAnsi="宋体"/>
          <w:color w:val="auto"/>
          <w:sz w:val="24"/>
          <w:highlight w:val="none"/>
        </w:rPr>
        <w:t>合同主要条款</w:t>
      </w:r>
    </w:p>
    <w:p w14:paraId="3DC41CF1">
      <w:pPr>
        <w:snapToGrid w:val="0"/>
        <w:spacing w:line="360" w:lineRule="auto"/>
        <w:ind w:firstLine="480" w:firstLineChars="200"/>
        <w:jc w:val="left"/>
        <w:rPr>
          <w:rFonts w:ascii="宋体" w:hAnsi="宋体"/>
          <w:color w:val="auto"/>
          <w:sz w:val="24"/>
          <w:highlight w:val="none"/>
        </w:rPr>
      </w:pPr>
      <w:r>
        <w:rPr>
          <w:rFonts w:ascii="宋体" w:hAnsi="宋体"/>
          <w:color w:val="auto"/>
          <w:sz w:val="24"/>
          <w:highlight w:val="none"/>
        </w:rPr>
        <w:t>6</w:t>
      </w:r>
      <w:r>
        <w:rPr>
          <w:rFonts w:hint="eastAsia" w:ascii="宋体" w:hAnsi="宋体"/>
          <w:color w:val="auto"/>
          <w:sz w:val="24"/>
          <w:highlight w:val="none"/>
        </w:rPr>
        <w:t>.</w:t>
      </w:r>
      <w:r>
        <w:rPr>
          <w:rFonts w:ascii="宋体" w:hAnsi="宋体"/>
          <w:color w:val="auto"/>
          <w:sz w:val="24"/>
          <w:highlight w:val="none"/>
        </w:rPr>
        <w:t>投标文件格式</w:t>
      </w:r>
    </w:p>
    <w:p w14:paraId="3DC65A50">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7.本项目</w:t>
      </w:r>
      <w:r>
        <w:rPr>
          <w:rFonts w:ascii="宋体" w:hAnsi="宋体"/>
          <w:color w:val="auto"/>
          <w:sz w:val="24"/>
          <w:highlight w:val="none"/>
        </w:rPr>
        <w:t>招标文件</w:t>
      </w:r>
      <w:r>
        <w:rPr>
          <w:rFonts w:hint="eastAsia" w:ascii="宋体" w:hAnsi="宋体"/>
          <w:color w:val="auto"/>
          <w:sz w:val="24"/>
          <w:highlight w:val="none"/>
        </w:rPr>
        <w:t>的</w:t>
      </w:r>
      <w:r>
        <w:rPr>
          <w:rFonts w:ascii="宋体" w:hAnsi="宋体"/>
          <w:color w:val="auto"/>
          <w:sz w:val="24"/>
          <w:highlight w:val="none"/>
        </w:rPr>
        <w:t>澄清、答复、修改、补充的内容</w:t>
      </w:r>
    </w:p>
    <w:p w14:paraId="541C7B1B">
      <w:pPr>
        <w:snapToGrid w:val="0"/>
        <w:spacing w:line="360" w:lineRule="auto"/>
        <w:ind w:firstLine="472" w:firstLineChars="196"/>
        <w:jc w:val="left"/>
        <w:rPr>
          <w:rFonts w:ascii="宋体" w:hAnsi="宋体"/>
          <w:b/>
          <w:color w:val="auto"/>
          <w:sz w:val="24"/>
          <w:highlight w:val="none"/>
        </w:rPr>
      </w:pPr>
      <w:r>
        <w:rPr>
          <w:rFonts w:hint="eastAsia" w:ascii="宋体" w:hAnsi="宋体"/>
          <w:b/>
          <w:color w:val="auto"/>
          <w:sz w:val="24"/>
          <w:highlight w:val="none"/>
        </w:rPr>
        <w:t>（二）投标人的风险</w:t>
      </w:r>
    </w:p>
    <w:p w14:paraId="46973611">
      <w:pPr>
        <w:pStyle w:val="21"/>
        <w:spacing w:line="360" w:lineRule="auto"/>
        <w:ind w:left="0" w:leftChars="0" w:firstLine="480" w:firstLineChars="200"/>
        <w:rPr>
          <w:rFonts w:ascii="宋体"/>
          <w:color w:val="auto"/>
          <w:sz w:val="24"/>
          <w:szCs w:val="24"/>
          <w:highlight w:val="none"/>
        </w:rPr>
      </w:pPr>
      <w:r>
        <w:rPr>
          <w:rFonts w:hint="eastAsia" w:ascii="宋体"/>
          <w:color w:val="auto"/>
          <w:sz w:val="24"/>
          <w:szCs w:val="24"/>
          <w:highlight w:val="none"/>
        </w:rPr>
        <w:t>投标人没有按照招标文件要求提供全部资料，或者投标人没有对招标文件在各方面作出实质性响应是投标人的风险，并可能导致其投标被拒绝。</w:t>
      </w:r>
    </w:p>
    <w:p w14:paraId="6E484236">
      <w:pPr>
        <w:snapToGrid w:val="0"/>
        <w:spacing w:line="360" w:lineRule="auto"/>
        <w:ind w:firstLine="472" w:firstLineChars="196"/>
        <w:jc w:val="left"/>
        <w:rPr>
          <w:rFonts w:hint="eastAsia" w:ascii="宋体" w:hAnsi="宋体"/>
          <w:b/>
          <w:color w:val="auto"/>
          <w:sz w:val="24"/>
          <w:highlight w:val="none"/>
        </w:rPr>
      </w:pPr>
      <w:r>
        <w:rPr>
          <w:rFonts w:hint="eastAsia" w:ascii="宋体" w:hAnsi="宋体"/>
          <w:b/>
          <w:color w:val="auto"/>
          <w:sz w:val="24"/>
          <w:highlight w:val="none"/>
        </w:rPr>
        <w:t>（三）招标文件的澄清与修改</w:t>
      </w:r>
    </w:p>
    <w:p w14:paraId="019CC91C">
      <w:pPr>
        <w:pStyle w:val="13"/>
        <w:snapToGrid w:val="0"/>
        <w:spacing w:beforeLines="0" w:afterLines="0" w:line="360" w:lineRule="auto"/>
        <w:ind w:firstLine="480" w:firstLineChars="200"/>
        <w:rPr>
          <w:rFonts w:ascii="仿宋" w:hAnsi="仿宋" w:eastAsia="仿宋"/>
          <w:sz w:val="24"/>
        </w:rPr>
      </w:pPr>
      <w:r>
        <w:rPr>
          <w:rFonts w:hAnsi="宋体"/>
          <w:sz w:val="24"/>
        </w:rPr>
        <w:t>1</w:t>
      </w:r>
      <w:r>
        <w:rPr>
          <w:rFonts w:hint="eastAsia" w:hAnsi="宋体"/>
          <w:sz w:val="24"/>
        </w:rPr>
        <w:t>.投标人应认真阅读本招标文件，发现其中有误或有不合理要求的，投标人应当在获取招标文件或者招标文件公告期限届满之日起七个工作日内</w:t>
      </w:r>
      <w:r>
        <w:rPr>
          <w:rFonts w:hint="eastAsia" w:hAnsi="宋体" w:cs="仿宋"/>
          <w:sz w:val="24"/>
        </w:rPr>
        <w:t>（公告期限届满后获取采购文件的，以公告期限届满之日为准）</w:t>
      </w:r>
      <w:r>
        <w:rPr>
          <w:rFonts w:hint="eastAsia" w:hAnsi="宋体"/>
          <w:sz w:val="24"/>
        </w:rPr>
        <w:t>提出，否则逾期视为默认。采购人对已发出的招标文件进行必要澄清、答复、修改或补充的，应当在招标文件要求提交投标文件截止时间十五日前，在财政部门指定的政府采购信息发布媒体上发布更正公告，并以书面形式通知所有招标文件收受人；不足十五日的，采购人或者采购代理机构应当顺延提交投标文件的截止时间。</w:t>
      </w:r>
    </w:p>
    <w:p w14:paraId="0552E162">
      <w:pPr>
        <w:pStyle w:val="13"/>
        <w:snapToGrid w:val="0"/>
        <w:spacing w:beforeLines="0" w:afterLines="0" w:line="360" w:lineRule="auto"/>
        <w:ind w:firstLine="480" w:firstLineChars="200"/>
        <w:rPr>
          <w:rFonts w:hAnsi="宋体"/>
          <w:sz w:val="24"/>
        </w:rPr>
      </w:pPr>
      <w:r>
        <w:rPr>
          <w:rFonts w:hAnsi="宋体"/>
          <w:sz w:val="24"/>
        </w:rPr>
        <w:t>2</w:t>
      </w:r>
      <w:r>
        <w:rPr>
          <w:rFonts w:hint="eastAsia" w:hAnsi="宋体"/>
          <w:sz w:val="24"/>
        </w:rPr>
        <w:t>.采购人、采购代理机构必须在网上公布答复投标人要求澄清的问题，并将不包含问题来源的答复在网上公布。</w:t>
      </w:r>
      <w:r>
        <w:rPr>
          <w:rFonts w:hAnsi="宋体"/>
          <w:sz w:val="24"/>
        </w:rPr>
        <w:t>除书面答复以外的其他澄清方式及澄清内容均无效。</w:t>
      </w:r>
    </w:p>
    <w:p w14:paraId="72DBB52B">
      <w:pPr>
        <w:pStyle w:val="13"/>
        <w:snapToGrid w:val="0"/>
        <w:spacing w:beforeLines="0" w:afterLines="0" w:line="360" w:lineRule="auto"/>
        <w:ind w:firstLine="480" w:firstLineChars="200"/>
        <w:rPr>
          <w:rFonts w:hAnsi="宋体"/>
          <w:sz w:val="24"/>
        </w:rPr>
      </w:pPr>
      <w:r>
        <w:rPr>
          <w:rFonts w:hint="eastAsia" w:hAnsi="宋体"/>
          <w:sz w:val="24"/>
        </w:rPr>
        <w:t>3.</w:t>
      </w:r>
      <w:r>
        <w:rPr>
          <w:rFonts w:hAnsi="宋体"/>
          <w:sz w:val="24"/>
        </w:rPr>
        <w:t>招标文件澄清、答复、修改、补充的内容为招标文件的组成部分。当招标文件与招标文件的答复、澄清、修改、补充通知就同一内容的表述不一致时，以最后发出的书面文件为准。</w:t>
      </w:r>
    </w:p>
    <w:p w14:paraId="63202C1E">
      <w:pPr>
        <w:pStyle w:val="13"/>
        <w:snapToGrid w:val="0"/>
        <w:spacing w:beforeLines="0" w:afterLines="0" w:line="360" w:lineRule="auto"/>
        <w:ind w:firstLine="480" w:firstLineChars="200"/>
        <w:rPr>
          <w:rFonts w:hAnsi="宋体"/>
          <w:sz w:val="24"/>
        </w:rPr>
      </w:pPr>
      <w:r>
        <w:rPr>
          <w:rFonts w:hint="eastAsia" w:hAnsi="宋体"/>
          <w:sz w:val="24"/>
        </w:rPr>
        <w:t>4.</w:t>
      </w:r>
      <w:r>
        <w:rPr>
          <w:rFonts w:hAnsi="宋体"/>
          <w:sz w:val="24"/>
        </w:rPr>
        <w:t>招标文件的澄清、答复、修改或补充都应该通过本代理机构以法定形式发布，采购人非通过本机构，不得擅自澄清、答复、修改或补充招标文件。</w:t>
      </w:r>
    </w:p>
    <w:p w14:paraId="122E356C">
      <w:pPr>
        <w:pStyle w:val="13"/>
        <w:snapToGrid w:val="0"/>
        <w:spacing w:beforeLines="0" w:afterLines="0" w:line="360" w:lineRule="auto"/>
        <w:ind w:firstLine="472" w:firstLineChars="196"/>
        <w:outlineLvl w:val="1"/>
        <w:rPr>
          <w:rFonts w:hAnsi="宋体"/>
          <w:b/>
          <w:color w:val="auto"/>
          <w:sz w:val="24"/>
          <w:highlight w:val="none"/>
        </w:rPr>
      </w:pPr>
      <w:r>
        <w:rPr>
          <w:rFonts w:hAnsi="宋体"/>
          <w:b/>
          <w:color w:val="auto"/>
          <w:sz w:val="24"/>
          <w:highlight w:val="none"/>
        </w:rPr>
        <w:t>三、投标文件的编制</w:t>
      </w:r>
    </w:p>
    <w:p w14:paraId="2075FC09">
      <w:pPr>
        <w:snapToGrid w:val="0"/>
        <w:spacing w:line="360" w:lineRule="auto"/>
        <w:ind w:firstLine="472" w:firstLineChars="196"/>
        <w:jc w:val="left"/>
        <w:outlineLvl w:val="0"/>
        <w:rPr>
          <w:rFonts w:ascii="宋体" w:hAnsi="宋体"/>
          <w:b/>
          <w:color w:val="auto"/>
          <w:sz w:val="24"/>
          <w:highlight w:val="none"/>
        </w:rPr>
      </w:pPr>
      <w:r>
        <w:rPr>
          <w:rFonts w:hint="eastAsia" w:ascii="宋体" w:hAnsi="宋体"/>
          <w:b/>
          <w:color w:val="auto"/>
          <w:sz w:val="24"/>
          <w:highlight w:val="none"/>
        </w:rPr>
        <w:t>（一）投标文件的组成</w:t>
      </w:r>
    </w:p>
    <w:p w14:paraId="3864B9C6">
      <w:pPr>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投标文件由</w:t>
      </w:r>
      <w:r>
        <w:rPr>
          <w:rFonts w:hint="eastAsia" w:ascii="宋体" w:hAnsi="宋体" w:cs="宋体"/>
          <w:color w:val="auto"/>
          <w:sz w:val="24"/>
          <w:highlight w:val="none"/>
        </w:rPr>
        <w:t>《</w:t>
      </w:r>
      <w:r>
        <w:rPr>
          <w:rFonts w:hint="eastAsia" w:ascii="宋体" w:hAnsi="宋体"/>
          <w:color w:val="auto"/>
          <w:sz w:val="24"/>
          <w:highlight w:val="none"/>
        </w:rPr>
        <w:t>资格文件</w:t>
      </w:r>
      <w:r>
        <w:rPr>
          <w:rFonts w:hint="eastAsia" w:ascii="宋体" w:hAnsi="宋体" w:cs="宋体"/>
          <w:color w:val="auto"/>
          <w:sz w:val="24"/>
          <w:highlight w:val="none"/>
        </w:rPr>
        <w:t>》</w:t>
      </w:r>
      <w:r>
        <w:rPr>
          <w:rFonts w:hint="eastAsia" w:ascii="宋体" w:hAnsi="宋体"/>
          <w:color w:val="auto"/>
          <w:sz w:val="24"/>
          <w:highlight w:val="none"/>
        </w:rPr>
        <w:t>、</w:t>
      </w:r>
      <w:r>
        <w:rPr>
          <w:rFonts w:hint="eastAsia" w:ascii="宋体" w:hAnsi="宋体" w:cs="宋体"/>
          <w:color w:val="auto"/>
          <w:sz w:val="24"/>
          <w:highlight w:val="none"/>
        </w:rPr>
        <w:t>《</w:t>
      </w:r>
      <w:r>
        <w:rPr>
          <w:rFonts w:hint="eastAsia" w:ascii="宋体" w:hAnsi="宋体"/>
          <w:color w:val="auto"/>
          <w:sz w:val="24"/>
          <w:highlight w:val="none"/>
        </w:rPr>
        <w:t>技术/资信/商务文件</w:t>
      </w:r>
      <w:r>
        <w:rPr>
          <w:rFonts w:hint="eastAsia" w:ascii="宋体" w:hAnsi="宋体" w:cs="宋体"/>
          <w:color w:val="auto"/>
          <w:sz w:val="24"/>
          <w:highlight w:val="none"/>
        </w:rPr>
        <w:t>》</w:t>
      </w:r>
      <w:r>
        <w:rPr>
          <w:rFonts w:hint="eastAsia" w:ascii="宋体" w:hAnsi="宋体"/>
          <w:color w:val="auto"/>
          <w:sz w:val="24"/>
          <w:highlight w:val="none"/>
        </w:rPr>
        <w:t>、</w:t>
      </w:r>
      <w:r>
        <w:rPr>
          <w:rFonts w:hint="eastAsia" w:ascii="宋体" w:hAnsi="宋体" w:cs="宋体"/>
          <w:color w:val="auto"/>
          <w:sz w:val="24"/>
          <w:highlight w:val="none"/>
        </w:rPr>
        <w:t>《</w:t>
      </w:r>
      <w:r>
        <w:rPr>
          <w:rFonts w:hint="eastAsia" w:ascii="宋体" w:hAnsi="宋体"/>
          <w:color w:val="auto"/>
          <w:sz w:val="24"/>
          <w:highlight w:val="none"/>
        </w:rPr>
        <w:t>投标报价</w:t>
      </w:r>
      <w:r>
        <w:rPr>
          <w:rFonts w:hint="eastAsia" w:ascii="宋体" w:hAnsi="宋体" w:cs="宋体"/>
          <w:color w:val="auto"/>
          <w:sz w:val="24"/>
          <w:highlight w:val="none"/>
        </w:rPr>
        <w:t>》</w:t>
      </w:r>
      <w:r>
        <w:rPr>
          <w:rFonts w:hint="eastAsia" w:ascii="宋体" w:hAnsi="宋体"/>
          <w:color w:val="auto"/>
          <w:sz w:val="24"/>
          <w:highlight w:val="none"/>
        </w:rPr>
        <w:t>文件三部分组成。（电子投标文件中所盖公章均采用CA签章）。</w:t>
      </w:r>
    </w:p>
    <w:p w14:paraId="6F0625F1">
      <w:pPr>
        <w:snapToGrid w:val="0"/>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1.资格文件</w:t>
      </w:r>
      <w:r>
        <w:rPr>
          <w:rFonts w:hint="eastAsia" w:ascii="宋体" w:hAnsi="宋体" w:cs="宋体"/>
          <w:b/>
          <w:bCs/>
          <w:color w:val="auto"/>
          <w:sz w:val="24"/>
          <w:highlight w:val="none"/>
          <w:lang w:eastAsia="zh-CN"/>
        </w:rPr>
        <w:t>（</w:t>
      </w:r>
      <w:r>
        <w:rPr>
          <w:rFonts w:hint="eastAsia" w:ascii="宋体" w:hAnsi="宋体"/>
          <w:b/>
          <w:color w:val="auto"/>
          <w:sz w:val="24"/>
          <w:highlight w:val="none"/>
        </w:rPr>
        <w:t>如</w:t>
      </w:r>
      <w:r>
        <w:rPr>
          <w:rFonts w:ascii="宋体" w:hAnsi="宋体"/>
          <w:b/>
          <w:color w:val="auto"/>
          <w:sz w:val="24"/>
          <w:highlight w:val="none"/>
        </w:rPr>
        <w:t>组成联合体</w:t>
      </w:r>
      <w:r>
        <w:rPr>
          <w:rFonts w:hint="eastAsia" w:ascii="宋体" w:hAnsi="宋体"/>
          <w:b/>
          <w:color w:val="auto"/>
          <w:sz w:val="24"/>
          <w:highlight w:val="none"/>
        </w:rPr>
        <w:t>投标</w:t>
      </w:r>
      <w:r>
        <w:rPr>
          <w:rFonts w:ascii="宋体" w:hAnsi="宋体"/>
          <w:b/>
          <w:color w:val="auto"/>
          <w:sz w:val="24"/>
          <w:highlight w:val="none"/>
        </w:rPr>
        <w:t>的，</w:t>
      </w:r>
      <w:r>
        <w:rPr>
          <w:rFonts w:hint="eastAsia" w:ascii="宋体" w:hAnsi="宋体"/>
          <w:b/>
          <w:color w:val="auto"/>
          <w:sz w:val="24"/>
          <w:highlight w:val="none"/>
        </w:rPr>
        <w:t>需提供</w:t>
      </w:r>
      <w:r>
        <w:rPr>
          <w:rFonts w:ascii="宋体" w:hAnsi="宋体"/>
          <w:b/>
          <w:color w:val="auto"/>
          <w:sz w:val="24"/>
          <w:highlight w:val="none"/>
        </w:rPr>
        <w:t>联合体各方</w:t>
      </w:r>
      <w:r>
        <w:rPr>
          <w:rFonts w:hint="eastAsia" w:ascii="宋体" w:hAnsi="宋体"/>
          <w:b/>
          <w:color w:val="auto"/>
          <w:sz w:val="24"/>
          <w:highlight w:val="none"/>
        </w:rPr>
        <w:t>资料)</w:t>
      </w:r>
    </w:p>
    <w:p w14:paraId="22A494CB">
      <w:pPr>
        <w:spacing w:line="360" w:lineRule="auto"/>
        <w:ind w:firstLine="470" w:firstLineChars="196"/>
        <w:jc w:val="left"/>
        <w:rPr>
          <w:rFonts w:ascii="宋体" w:hAnsi="宋体"/>
          <w:color w:val="auto"/>
          <w:sz w:val="24"/>
          <w:highlight w:val="none"/>
        </w:rPr>
      </w:pPr>
      <w:r>
        <w:rPr>
          <w:rFonts w:hint="eastAsia" w:ascii="宋体" w:hAnsi="宋体"/>
          <w:color w:val="auto"/>
          <w:sz w:val="24"/>
          <w:highlight w:val="none"/>
        </w:rPr>
        <w:t>（1）投标声明书</w:t>
      </w:r>
      <w:r>
        <w:rPr>
          <w:rFonts w:hint="eastAsia" w:ascii="宋体" w:hAnsi="宋体"/>
          <w:color w:val="auto"/>
          <w:sz w:val="24"/>
          <w:highlight w:val="none"/>
          <w:lang w:eastAsia="zh-CN"/>
        </w:rPr>
        <w:t>（</w:t>
      </w:r>
      <w:r>
        <w:rPr>
          <w:rFonts w:ascii="宋体" w:hAnsi="宋体"/>
          <w:color w:val="auto"/>
          <w:sz w:val="24"/>
          <w:highlight w:val="none"/>
        </w:rPr>
        <w:t>格式见附件)；</w:t>
      </w:r>
    </w:p>
    <w:p w14:paraId="2893AD18">
      <w:pPr>
        <w:spacing w:line="360" w:lineRule="auto"/>
        <w:ind w:firstLine="470" w:firstLineChars="196"/>
        <w:jc w:val="left"/>
        <w:rPr>
          <w:rFonts w:ascii="宋体" w:hAnsi="宋体"/>
          <w:color w:val="auto"/>
          <w:sz w:val="24"/>
          <w:highlight w:val="none"/>
        </w:rPr>
      </w:pPr>
      <w:r>
        <w:rPr>
          <w:rFonts w:hint="eastAsia" w:ascii="宋体" w:hAnsi="宋体"/>
          <w:color w:val="auto"/>
          <w:sz w:val="24"/>
          <w:highlight w:val="none"/>
        </w:rPr>
        <w:t>（2）投标人基本情况介绍；</w:t>
      </w:r>
    </w:p>
    <w:p w14:paraId="52C270BE">
      <w:pPr>
        <w:spacing w:line="360" w:lineRule="auto"/>
        <w:ind w:firstLine="470" w:firstLineChars="196"/>
        <w:jc w:val="left"/>
        <w:rPr>
          <w:color w:val="auto"/>
          <w:sz w:val="24"/>
          <w:highlight w:val="none"/>
        </w:rPr>
      </w:pPr>
      <w:r>
        <w:rPr>
          <w:rFonts w:hint="eastAsia" w:ascii="宋体" w:hAnsi="宋体"/>
          <w:color w:val="auto"/>
          <w:sz w:val="24"/>
          <w:highlight w:val="none"/>
        </w:rPr>
        <w:t>（3）</w:t>
      </w:r>
      <w:r>
        <w:rPr>
          <w:rFonts w:ascii="宋体" w:hAnsi="宋体"/>
          <w:color w:val="auto"/>
          <w:sz w:val="24"/>
          <w:highlight w:val="none"/>
        </w:rPr>
        <w:t>法定代表人授权委托书</w:t>
      </w:r>
      <w:r>
        <w:rPr>
          <w:rFonts w:hint="eastAsia" w:ascii="宋体" w:hAnsi="宋体"/>
          <w:color w:val="auto"/>
          <w:sz w:val="24"/>
          <w:highlight w:val="none"/>
          <w:lang w:eastAsia="zh-CN"/>
        </w:rPr>
        <w:t>（</w:t>
      </w:r>
      <w:r>
        <w:rPr>
          <w:rFonts w:ascii="宋体" w:hAnsi="宋体"/>
          <w:color w:val="auto"/>
          <w:sz w:val="24"/>
          <w:highlight w:val="none"/>
        </w:rPr>
        <w:t>格式见附件)及授权代理人社保证明复印件（社保机构出具的由本单位或分公司为其缴纳的</w:t>
      </w:r>
      <w:r>
        <w:rPr>
          <w:rFonts w:hint="eastAsia" w:ascii="宋体" w:hAnsi="宋体" w:cs="宋体"/>
          <w:color w:val="auto"/>
          <w:kern w:val="0"/>
          <w:sz w:val="24"/>
          <w:highlight w:val="none"/>
        </w:rPr>
        <w:t>最近一个月</w:t>
      </w:r>
      <w:r>
        <w:rPr>
          <w:rFonts w:ascii="宋体" w:hAnsi="宋体"/>
          <w:color w:val="auto"/>
          <w:sz w:val="24"/>
          <w:highlight w:val="none"/>
        </w:rPr>
        <w:t>的社保证明）</w:t>
      </w:r>
      <w:r>
        <w:rPr>
          <w:rFonts w:hint="eastAsia" w:ascii="宋体" w:hAnsi="宋体"/>
          <w:color w:val="auto"/>
          <w:sz w:val="24"/>
          <w:highlight w:val="none"/>
        </w:rPr>
        <w:t>（如</w:t>
      </w:r>
      <w:r>
        <w:rPr>
          <w:rFonts w:ascii="Calibri" w:hAnsi="Calibri"/>
          <w:snapToGrid w:val="0"/>
          <w:color w:val="auto"/>
          <w:sz w:val="24"/>
          <w:highlight w:val="none"/>
        </w:rPr>
        <w:t>组成联合体</w:t>
      </w:r>
      <w:r>
        <w:rPr>
          <w:rFonts w:hint="eastAsia"/>
          <w:snapToGrid w:val="0"/>
          <w:color w:val="auto"/>
          <w:sz w:val="24"/>
          <w:highlight w:val="none"/>
        </w:rPr>
        <w:t>投标</w:t>
      </w:r>
      <w:r>
        <w:rPr>
          <w:rFonts w:ascii="Calibri" w:hAnsi="Calibri"/>
          <w:snapToGrid w:val="0"/>
          <w:color w:val="auto"/>
          <w:sz w:val="24"/>
          <w:highlight w:val="none"/>
        </w:rPr>
        <w:t>的，</w:t>
      </w:r>
      <w:r>
        <w:rPr>
          <w:rFonts w:hint="eastAsia" w:ascii="宋体" w:hAnsi="宋体"/>
          <w:color w:val="auto"/>
          <w:sz w:val="24"/>
          <w:highlight w:val="none"/>
        </w:rPr>
        <w:t>联合体各方各提交一份联合体主办人授权书）；</w:t>
      </w:r>
    </w:p>
    <w:p w14:paraId="244A4F16">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（4）近三个月依法缴纳税收和社保费的证明【税费凭证，或者依法缴纳税费或依法免缴税费的证明】（</w:t>
      </w:r>
      <w:r>
        <w:rPr>
          <w:rFonts w:hint="eastAsia" w:ascii="宋体" w:hAnsi="宋体"/>
          <w:bCs/>
          <w:color w:val="auto"/>
          <w:sz w:val="24"/>
          <w:highlight w:val="none"/>
        </w:rPr>
        <w:t>复印件各一份</w:t>
      </w:r>
      <w:r>
        <w:rPr>
          <w:rFonts w:hint="eastAsia" w:ascii="宋体" w:hAnsi="宋体"/>
          <w:color w:val="auto"/>
          <w:sz w:val="24"/>
          <w:highlight w:val="none"/>
        </w:rPr>
        <w:t>）；</w:t>
      </w:r>
    </w:p>
    <w:p w14:paraId="29DA9079">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（5）有效的营业执照副本（复印件一份）；</w:t>
      </w:r>
    </w:p>
    <w:p w14:paraId="68FF269B">
      <w:pPr>
        <w:widowControl/>
        <w:spacing w:line="360" w:lineRule="auto"/>
        <w:ind w:right="60" w:firstLine="480" w:firstLineChars="200"/>
        <w:rPr>
          <w:rFonts w:ascii="宋体" w:hAnsi="宋体" w:cs="宋体"/>
          <w:color w:val="auto"/>
          <w:sz w:val="24"/>
          <w:highlight w:val="none"/>
        </w:rPr>
      </w:pPr>
      <w:r>
        <w:rPr>
          <w:rFonts w:hint="eastAsia" w:ascii="宋体" w:hAnsi="宋体" w:cs="宋体"/>
          <w:color w:val="auto"/>
          <w:sz w:val="24"/>
          <w:highlight w:val="none"/>
        </w:rPr>
        <w:t>（6）近二年度（2022,2023年）企业的财务报表或银行资信证明（复印件一份）；</w:t>
      </w:r>
    </w:p>
    <w:p w14:paraId="149294C5">
      <w:pPr>
        <w:spacing w:line="360" w:lineRule="auto"/>
        <w:ind w:firstLine="470" w:firstLineChars="196"/>
        <w:rPr>
          <w:rFonts w:ascii="宋体" w:hAnsi="宋体"/>
          <w:color w:val="auto"/>
          <w:sz w:val="24"/>
          <w:highlight w:val="none"/>
        </w:rPr>
      </w:pPr>
      <w:r>
        <w:rPr>
          <w:rFonts w:hint="eastAsia" w:ascii="宋体" w:hAnsi="宋体" w:cs="Arial"/>
          <w:color w:val="auto"/>
          <w:kern w:val="0"/>
          <w:sz w:val="24"/>
          <w:highlight w:val="none"/>
        </w:rPr>
        <w:t>（7）</w:t>
      </w:r>
      <w:r>
        <w:rPr>
          <w:rFonts w:hint="eastAsia" w:ascii="宋体" w:hAnsi="宋体"/>
          <w:color w:val="auto"/>
          <w:sz w:val="24"/>
          <w:highlight w:val="none"/>
        </w:rPr>
        <w:t>提供自招标公告发布之日起至投标截止日内任意时间的“信用中国”网站（www.creditchina.gov.cn）、中国政府采购网（www.ccgp.gov.cn）投标人信用查询网页截图（以开标当日采购人或由采购代理机构核实的查询结果为准）；</w:t>
      </w:r>
    </w:p>
    <w:p w14:paraId="2D3FB6AC">
      <w:pPr>
        <w:widowControl/>
        <w:spacing w:line="360" w:lineRule="auto"/>
        <w:ind w:right="60" w:firstLine="480" w:firstLineChars="200"/>
        <w:rPr>
          <w:rFonts w:ascii="宋体" w:hAnsi="宋体"/>
          <w:color w:val="auto"/>
          <w:sz w:val="24"/>
          <w:highlight w:val="none"/>
        </w:rPr>
      </w:pPr>
      <w:r>
        <w:rPr>
          <w:rFonts w:hint="eastAsia" w:ascii="宋体" w:hAnsi="宋体"/>
          <w:color w:val="auto"/>
          <w:sz w:val="24"/>
          <w:highlight w:val="none"/>
        </w:rPr>
        <w:t>（8）《中小企业声明函》（格式见附件），残疾人福利性单位需提供《残疾人福利性单位声明函》，监狱企业需提供省级以上监狱管理局、戒毒管理局（含新疆生产建设兵团）出具的属于监狱企业的证明文件；</w:t>
      </w:r>
    </w:p>
    <w:p w14:paraId="0DB42482">
      <w:pPr>
        <w:spacing w:line="360" w:lineRule="auto"/>
        <w:ind w:firstLine="470" w:firstLineChars="196"/>
        <w:jc w:val="left"/>
        <w:rPr>
          <w:rFonts w:ascii="宋体" w:hAnsi="宋体"/>
          <w:color w:val="auto"/>
          <w:sz w:val="24"/>
          <w:highlight w:val="none"/>
        </w:rPr>
      </w:pPr>
      <w:r>
        <w:rPr>
          <w:rFonts w:hint="eastAsia" w:ascii="宋体" w:hAnsi="宋体"/>
          <w:color w:val="auto"/>
          <w:sz w:val="24"/>
          <w:highlight w:val="none"/>
        </w:rPr>
        <w:t>（9）联合体各方共同招标协议或分包意向协议（如有，格式自拟）；</w:t>
      </w:r>
    </w:p>
    <w:p w14:paraId="3ABEE603">
      <w:pPr>
        <w:spacing w:line="360" w:lineRule="auto"/>
        <w:ind w:firstLine="470" w:firstLineChars="196"/>
        <w:jc w:val="left"/>
        <w:rPr>
          <w:rFonts w:ascii="宋体" w:hAnsi="宋体"/>
          <w:color w:val="auto"/>
          <w:sz w:val="24"/>
          <w:highlight w:val="none"/>
        </w:rPr>
      </w:pPr>
      <w:r>
        <w:rPr>
          <w:rFonts w:hint="eastAsia" w:ascii="宋体" w:hAnsi="宋体"/>
          <w:color w:val="auto"/>
          <w:sz w:val="24"/>
          <w:highlight w:val="none"/>
        </w:rPr>
        <w:t>（10）公安部门颁发的有效的《保安服务许可证》复印件。</w:t>
      </w:r>
    </w:p>
    <w:p w14:paraId="1A3562A0">
      <w:pPr>
        <w:spacing w:line="360" w:lineRule="auto"/>
        <w:ind w:firstLine="472" w:firstLineChars="196"/>
        <w:jc w:val="left"/>
        <w:rPr>
          <w:rFonts w:ascii="宋体" w:hAnsi="宋体"/>
          <w:b/>
          <w:bCs/>
          <w:color w:val="auto"/>
          <w:sz w:val="24"/>
          <w:highlight w:val="none"/>
        </w:rPr>
      </w:pPr>
      <w:r>
        <w:rPr>
          <w:rFonts w:hint="eastAsia" w:ascii="宋体" w:hAnsi="宋体"/>
          <w:b/>
          <w:color w:val="auto"/>
          <w:sz w:val="24"/>
          <w:highlight w:val="none"/>
        </w:rPr>
        <w:t>2.</w:t>
      </w:r>
      <w:r>
        <w:rPr>
          <w:rFonts w:ascii="宋体" w:hAnsi="宋体"/>
          <w:b/>
          <w:bCs/>
          <w:color w:val="auto"/>
          <w:sz w:val="24"/>
          <w:highlight w:val="none"/>
        </w:rPr>
        <w:t xml:space="preserve"> 技术文件</w:t>
      </w:r>
    </w:p>
    <w:p w14:paraId="33FFCF86">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1）</w:t>
      </w:r>
      <w:r>
        <w:rPr>
          <w:rFonts w:ascii="新宋体" w:hAnsi="新宋体" w:eastAsia="新宋体" w:cs="新宋体"/>
          <w:color w:val="auto"/>
          <w:sz w:val="24"/>
          <w:highlight w:val="none"/>
        </w:rPr>
        <w:t>技术方案</w:t>
      </w:r>
      <w:r>
        <w:rPr>
          <w:rFonts w:hint="eastAsia" w:ascii="宋体" w:hAnsi="宋体"/>
          <w:color w:val="auto"/>
          <w:sz w:val="24"/>
          <w:highlight w:val="none"/>
        </w:rPr>
        <w:t>：</w:t>
      </w:r>
    </w:p>
    <w:p w14:paraId="4454FBF0">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（2）</w:t>
      </w:r>
      <w:r>
        <w:rPr>
          <w:rFonts w:hint="eastAsia" w:hAnsi="宋体" w:cs="宋体"/>
          <w:color w:val="auto"/>
          <w:sz w:val="24"/>
          <w:highlight w:val="none"/>
        </w:rPr>
        <w:t>质量保证与质量控制措施</w:t>
      </w:r>
      <w:r>
        <w:rPr>
          <w:rFonts w:hint="eastAsia" w:hAnsi="宋体" w:cs="宋体"/>
          <w:color w:val="auto"/>
          <w:sz w:val="24"/>
          <w:highlight w:val="none"/>
          <w:lang w:eastAsia="zh-CN"/>
        </w:rPr>
        <w:t>：</w:t>
      </w:r>
    </w:p>
    <w:p w14:paraId="0CF2A348">
      <w:pPr>
        <w:snapToGrid w:val="0"/>
        <w:spacing w:line="360" w:lineRule="auto"/>
        <w:ind w:firstLine="480" w:firstLineChars="200"/>
        <w:jc w:val="left"/>
        <w:rPr>
          <w:rFonts w:hAnsi="宋体" w:cs="宋体"/>
          <w:color w:val="auto"/>
          <w:sz w:val="24"/>
          <w:highlight w:val="none"/>
        </w:rPr>
      </w:pPr>
      <w:r>
        <w:rPr>
          <w:rFonts w:hint="eastAsia" w:ascii="宋体" w:hAnsi="宋体"/>
          <w:color w:val="auto"/>
          <w:sz w:val="24"/>
          <w:highlight w:val="none"/>
        </w:rPr>
        <w:t>（3</w:t>
      </w:r>
      <w:r>
        <w:rPr>
          <w:rFonts w:ascii="宋体" w:hAnsi="宋体"/>
          <w:color w:val="auto"/>
          <w:sz w:val="24"/>
          <w:highlight w:val="none"/>
        </w:rPr>
        <w:t>）</w:t>
      </w:r>
      <w:r>
        <w:rPr>
          <w:rFonts w:hint="eastAsia" w:hAnsi="宋体" w:cs="宋体"/>
          <w:color w:val="auto"/>
          <w:sz w:val="24"/>
          <w:highlight w:val="none"/>
        </w:rPr>
        <w:t>应急处理预案；</w:t>
      </w:r>
    </w:p>
    <w:p w14:paraId="12B34A30">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olor w:val="auto"/>
          <w:sz w:val="24"/>
          <w:highlight w:val="none"/>
        </w:rPr>
        <w:t>（4</w:t>
      </w:r>
      <w:r>
        <w:rPr>
          <w:rFonts w:ascii="宋体" w:hAnsi="宋体"/>
          <w:color w:val="auto"/>
          <w:sz w:val="24"/>
          <w:highlight w:val="none"/>
        </w:rPr>
        <w:t>）</w:t>
      </w:r>
      <w:r>
        <w:rPr>
          <w:rFonts w:hint="eastAsia" w:hAnsi="宋体" w:cs="宋体"/>
          <w:color w:val="auto"/>
          <w:sz w:val="24"/>
          <w:highlight w:val="none"/>
        </w:rPr>
        <w:t>管理制度</w:t>
      </w:r>
    </w:p>
    <w:p w14:paraId="49D79E37">
      <w:pPr>
        <w:numPr>
          <w:ilvl w:val="255"/>
          <w:numId w:val="0"/>
        </w:numPr>
        <w:snapToGrid w:val="0"/>
        <w:spacing w:line="360" w:lineRule="auto"/>
        <w:ind w:firstLine="480" w:firstLineChars="200"/>
        <w:jc w:val="left"/>
        <w:rPr>
          <w:rFonts w:ascii="宋体" w:hAnsi="宋体" w:cs="宋体"/>
          <w:color w:val="auto"/>
          <w:sz w:val="24"/>
          <w:highlight w:val="none"/>
        </w:rPr>
      </w:pPr>
      <w:r>
        <w:rPr>
          <w:rFonts w:hint="eastAsia" w:ascii="宋体" w:hAnsi="宋体"/>
          <w:color w:val="auto"/>
          <w:sz w:val="24"/>
          <w:highlight w:val="none"/>
        </w:rPr>
        <w:t>（5）</w:t>
      </w:r>
      <w:r>
        <w:rPr>
          <w:rFonts w:ascii="宋体" w:hAnsi="宋体"/>
          <w:color w:val="auto"/>
          <w:sz w:val="24"/>
          <w:highlight w:val="none"/>
        </w:rPr>
        <w:t>项目实施人员一览表</w:t>
      </w:r>
    </w:p>
    <w:p w14:paraId="1E99D5EF">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（6</w:t>
      </w:r>
      <w:r>
        <w:rPr>
          <w:rFonts w:ascii="宋体" w:hAnsi="宋体"/>
          <w:color w:val="auto"/>
          <w:sz w:val="24"/>
          <w:highlight w:val="none"/>
        </w:rPr>
        <w:t>）</w:t>
      </w:r>
      <w:r>
        <w:rPr>
          <w:rFonts w:hint="eastAsia" w:ascii="宋体"/>
          <w:color w:val="auto"/>
          <w:sz w:val="24"/>
          <w:highlight w:val="none"/>
        </w:rPr>
        <w:t>本项目有效的改进措施和合理化建议</w:t>
      </w:r>
    </w:p>
    <w:p w14:paraId="78A03AFD">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（7</w:t>
      </w:r>
      <w:r>
        <w:rPr>
          <w:rFonts w:ascii="宋体" w:hAnsi="宋体"/>
          <w:color w:val="auto"/>
          <w:sz w:val="24"/>
          <w:highlight w:val="none"/>
        </w:rPr>
        <w:t>）投标人对本项目的合理化建议和改进措施</w:t>
      </w:r>
      <w:r>
        <w:rPr>
          <w:rFonts w:hint="eastAsia" w:ascii="宋体" w:hAnsi="宋体"/>
          <w:color w:val="auto"/>
          <w:sz w:val="24"/>
          <w:highlight w:val="none"/>
        </w:rPr>
        <w:t>；</w:t>
      </w:r>
    </w:p>
    <w:p w14:paraId="1101D5D5">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（8</w:t>
      </w:r>
      <w:r>
        <w:rPr>
          <w:rFonts w:ascii="宋体" w:hAnsi="宋体"/>
          <w:color w:val="auto"/>
          <w:sz w:val="24"/>
          <w:highlight w:val="none"/>
        </w:rPr>
        <w:t>）投标人需要说明的其他文件和说明（格式略）</w:t>
      </w:r>
      <w:r>
        <w:rPr>
          <w:rFonts w:hint="eastAsia" w:ascii="宋体" w:hAnsi="宋体"/>
          <w:color w:val="auto"/>
          <w:sz w:val="24"/>
          <w:highlight w:val="none"/>
        </w:rPr>
        <w:t>；</w:t>
      </w:r>
    </w:p>
    <w:p w14:paraId="5064E3F9">
      <w:pPr>
        <w:spacing w:line="360" w:lineRule="auto"/>
        <w:ind w:firstLine="472" w:firstLineChars="196"/>
        <w:jc w:val="left"/>
        <w:rPr>
          <w:rFonts w:ascii="宋体" w:hAnsi="宋体"/>
          <w:b/>
          <w:color w:val="auto"/>
          <w:sz w:val="24"/>
          <w:highlight w:val="none"/>
        </w:rPr>
      </w:pPr>
      <w:r>
        <w:rPr>
          <w:rFonts w:ascii="宋体" w:hAnsi="宋体"/>
          <w:b/>
          <w:color w:val="auto"/>
          <w:sz w:val="24"/>
          <w:highlight w:val="none"/>
        </w:rPr>
        <w:t>资信文件：</w:t>
      </w:r>
    </w:p>
    <w:p w14:paraId="7A91C956">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（9</w:t>
      </w:r>
      <w:r>
        <w:rPr>
          <w:rFonts w:ascii="宋体" w:hAnsi="宋体"/>
          <w:color w:val="auto"/>
          <w:sz w:val="24"/>
          <w:highlight w:val="none"/>
        </w:rPr>
        <w:t>）</w:t>
      </w:r>
      <w:r>
        <w:rPr>
          <w:rFonts w:hint="eastAsia" w:ascii="宋体" w:hAnsi="宋体"/>
          <w:color w:val="auto"/>
          <w:sz w:val="24"/>
          <w:highlight w:val="none"/>
        </w:rPr>
        <w:t>类似案例成功的业绩（投标人同类项目实施情况一览表、合同复印件）；</w:t>
      </w:r>
    </w:p>
    <w:p w14:paraId="1AA3CFAB">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（10</w:t>
      </w:r>
      <w:r>
        <w:rPr>
          <w:rFonts w:ascii="宋体" w:hAnsi="宋体"/>
          <w:color w:val="auto"/>
          <w:sz w:val="24"/>
          <w:highlight w:val="none"/>
        </w:rPr>
        <w:t>）</w:t>
      </w:r>
      <w:r>
        <w:rPr>
          <w:rFonts w:hint="eastAsia" w:hAnsi="宋体" w:cs="宋体"/>
          <w:color w:val="auto"/>
          <w:sz w:val="24"/>
          <w:highlight w:val="none"/>
        </w:rPr>
        <w:t>政策分证明材料；</w:t>
      </w:r>
    </w:p>
    <w:p w14:paraId="3DBCFCCE">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（11</w:t>
      </w:r>
      <w:r>
        <w:rPr>
          <w:rFonts w:ascii="宋体" w:hAnsi="宋体"/>
          <w:color w:val="auto"/>
          <w:sz w:val="24"/>
          <w:highlight w:val="none"/>
        </w:rPr>
        <w:t>）权威认证证书；</w:t>
      </w:r>
    </w:p>
    <w:p w14:paraId="2A74BAB4">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（12</w:t>
      </w:r>
      <w:r>
        <w:rPr>
          <w:rFonts w:ascii="宋体" w:hAnsi="宋体"/>
          <w:color w:val="auto"/>
          <w:sz w:val="24"/>
          <w:highlight w:val="none"/>
        </w:rPr>
        <w:t>）</w:t>
      </w:r>
      <w:r>
        <w:rPr>
          <w:rFonts w:hint="eastAsia" w:hAnsi="宋体" w:cs="宋体"/>
          <w:color w:val="auto"/>
          <w:sz w:val="24"/>
          <w:highlight w:val="none"/>
        </w:rPr>
        <w:t>企业及人员荣誉等；</w:t>
      </w:r>
    </w:p>
    <w:p w14:paraId="2DF78102">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（13）其他特殊资质证书</w:t>
      </w:r>
      <w:r>
        <w:rPr>
          <w:rFonts w:ascii="宋体" w:hAnsi="宋体"/>
          <w:color w:val="auto"/>
          <w:sz w:val="24"/>
          <w:highlight w:val="none"/>
        </w:rPr>
        <w:t>（如</w:t>
      </w:r>
      <w:r>
        <w:rPr>
          <w:rFonts w:hint="eastAsia" w:ascii="宋体" w:hAnsi="宋体"/>
          <w:color w:val="auto"/>
          <w:sz w:val="24"/>
          <w:highlight w:val="none"/>
        </w:rPr>
        <w:t>本地化服务能力等）；</w:t>
      </w:r>
    </w:p>
    <w:p w14:paraId="0CE409E2">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（14）投标人认为可以证明其能力或业绩的其他材料；</w:t>
      </w:r>
    </w:p>
    <w:p w14:paraId="348CC52C">
      <w:pPr>
        <w:spacing w:line="360" w:lineRule="auto"/>
        <w:ind w:firstLine="472" w:firstLineChars="196"/>
        <w:jc w:val="left"/>
        <w:rPr>
          <w:rFonts w:ascii="宋体" w:hAnsi="宋体"/>
          <w:b/>
          <w:color w:val="auto"/>
          <w:sz w:val="24"/>
          <w:highlight w:val="none"/>
        </w:rPr>
      </w:pPr>
      <w:r>
        <w:rPr>
          <w:rFonts w:ascii="宋体" w:hAnsi="宋体"/>
          <w:b/>
          <w:color w:val="auto"/>
          <w:sz w:val="24"/>
          <w:highlight w:val="none"/>
        </w:rPr>
        <w:t>商务文件</w:t>
      </w:r>
    </w:p>
    <w:p w14:paraId="0EC1EDF1">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（15）商务响应表（格式见附件）；</w:t>
      </w:r>
    </w:p>
    <w:p w14:paraId="483E4E94">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（16）</w:t>
      </w:r>
      <w:r>
        <w:rPr>
          <w:rFonts w:ascii="宋体" w:hAnsi="宋体"/>
          <w:color w:val="auto"/>
          <w:sz w:val="24"/>
          <w:highlight w:val="none"/>
        </w:rPr>
        <w:t>售后服务的内容和措施；</w:t>
      </w:r>
    </w:p>
    <w:p w14:paraId="2E16DED4">
      <w:pPr>
        <w:snapToGrid w:val="0"/>
        <w:spacing w:line="360" w:lineRule="auto"/>
        <w:ind w:firstLine="480" w:firstLineChars="200"/>
        <w:jc w:val="left"/>
        <w:rPr>
          <w:color w:val="auto"/>
          <w:highlight w:val="none"/>
        </w:rPr>
      </w:pPr>
      <w:r>
        <w:rPr>
          <w:rFonts w:hint="eastAsia" w:ascii="宋体" w:hAnsi="宋体"/>
          <w:color w:val="auto"/>
          <w:sz w:val="24"/>
          <w:highlight w:val="none"/>
        </w:rPr>
        <w:t>（17）培训方案；</w:t>
      </w:r>
    </w:p>
    <w:p w14:paraId="76C6445A">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（18</w:t>
      </w:r>
      <w:r>
        <w:rPr>
          <w:rFonts w:ascii="宋体" w:hAnsi="宋体"/>
          <w:color w:val="auto"/>
          <w:sz w:val="24"/>
          <w:highlight w:val="none"/>
        </w:rPr>
        <w:t>）</w:t>
      </w:r>
      <w:r>
        <w:rPr>
          <w:rFonts w:hint="eastAsia" w:hAnsi="宋体" w:cs="宋体"/>
          <w:color w:val="auto"/>
          <w:sz w:val="24"/>
          <w:highlight w:val="none"/>
        </w:rPr>
        <w:t>服务网点；</w:t>
      </w:r>
    </w:p>
    <w:p w14:paraId="7E7E7EB4">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（19</w:t>
      </w:r>
      <w:r>
        <w:rPr>
          <w:rFonts w:ascii="宋体" w:hAnsi="宋体"/>
          <w:color w:val="auto"/>
          <w:sz w:val="24"/>
          <w:highlight w:val="none"/>
        </w:rPr>
        <w:t>）</w:t>
      </w:r>
      <w:r>
        <w:rPr>
          <w:rFonts w:hint="eastAsia" w:ascii="宋体" w:hAnsi="宋体"/>
          <w:color w:val="auto"/>
          <w:sz w:val="24"/>
          <w:highlight w:val="none"/>
        </w:rPr>
        <w:t>信用承诺书；</w:t>
      </w:r>
    </w:p>
    <w:p w14:paraId="23EA77D4">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（20</w:t>
      </w:r>
      <w:r>
        <w:rPr>
          <w:rFonts w:ascii="宋体" w:hAnsi="宋体"/>
          <w:color w:val="auto"/>
          <w:sz w:val="24"/>
          <w:highlight w:val="none"/>
        </w:rPr>
        <w:t>）</w:t>
      </w:r>
      <w:r>
        <w:rPr>
          <w:rFonts w:hint="eastAsia" w:ascii="宋体" w:hAnsi="宋体"/>
          <w:color w:val="auto"/>
          <w:sz w:val="24"/>
          <w:highlight w:val="none"/>
        </w:rPr>
        <w:t>技术、商务、资信及其他分自评表。</w:t>
      </w:r>
    </w:p>
    <w:p w14:paraId="7E9230F1">
      <w:pPr>
        <w:spacing w:line="360" w:lineRule="auto"/>
        <w:ind w:firstLine="472" w:firstLineChars="196"/>
        <w:jc w:val="left"/>
        <w:rPr>
          <w:rFonts w:ascii="宋体" w:hAnsi="宋体"/>
          <w:b/>
          <w:color w:val="auto"/>
          <w:sz w:val="24"/>
          <w:highlight w:val="none"/>
        </w:rPr>
      </w:pPr>
      <w:r>
        <w:rPr>
          <w:rFonts w:hint="eastAsia" w:ascii="宋体" w:hAnsi="宋体"/>
          <w:b/>
          <w:color w:val="auto"/>
          <w:sz w:val="24"/>
          <w:highlight w:val="none"/>
        </w:rPr>
        <w:t>3.</w:t>
      </w:r>
      <w:r>
        <w:rPr>
          <w:rFonts w:ascii="宋体" w:hAnsi="宋体"/>
          <w:b/>
          <w:color w:val="auto"/>
          <w:sz w:val="24"/>
          <w:highlight w:val="none"/>
        </w:rPr>
        <w:t>报价文件：</w:t>
      </w:r>
    </w:p>
    <w:p w14:paraId="462CF48C">
      <w:pPr>
        <w:spacing w:line="360" w:lineRule="auto"/>
        <w:ind w:firstLine="470" w:firstLineChars="196"/>
        <w:jc w:val="left"/>
        <w:rPr>
          <w:rFonts w:ascii="宋体" w:hAnsi="宋体"/>
          <w:color w:val="auto"/>
          <w:sz w:val="24"/>
          <w:highlight w:val="none"/>
        </w:rPr>
      </w:pPr>
      <w:r>
        <w:rPr>
          <w:rFonts w:hint="eastAsia" w:ascii="宋体" w:hAnsi="宋体"/>
          <w:color w:val="auto"/>
          <w:sz w:val="24"/>
          <w:highlight w:val="none"/>
        </w:rPr>
        <w:t xml:space="preserve">（1）投标函（格式见附件）； </w:t>
      </w:r>
    </w:p>
    <w:p w14:paraId="7082DF40">
      <w:pPr>
        <w:spacing w:line="360" w:lineRule="auto"/>
        <w:ind w:firstLine="470" w:firstLineChars="196"/>
        <w:jc w:val="left"/>
        <w:rPr>
          <w:rFonts w:ascii="宋体" w:hAnsi="宋体" w:cs="仿宋"/>
          <w:color w:val="auto"/>
          <w:sz w:val="24"/>
          <w:highlight w:val="none"/>
        </w:rPr>
      </w:pPr>
      <w:r>
        <w:rPr>
          <w:rFonts w:hint="eastAsia" w:ascii="宋体" w:hAnsi="宋体"/>
          <w:color w:val="auto"/>
          <w:sz w:val="24"/>
          <w:highlight w:val="none"/>
        </w:rPr>
        <w:t>（2</w:t>
      </w:r>
      <w:r>
        <w:rPr>
          <w:rFonts w:ascii="宋体" w:hAnsi="宋体"/>
          <w:color w:val="auto"/>
          <w:sz w:val="24"/>
          <w:highlight w:val="none"/>
        </w:rPr>
        <w:t>）报价明细表；</w:t>
      </w:r>
    </w:p>
    <w:p w14:paraId="1AC91D52">
      <w:pPr>
        <w:spacing w:line="360" w:lineRule="auto"/>
        <w:ind w:firstLine="470" w:firstLineChars="196"/>
        <w:jc w:val="left"/>
        <w:rPr>
          <w:rFonts w:ascii="宋体" w:hAnsi="宋体"/>
          <w:color w:val="auto"/>
          <w:sz w:val="24"/>
          <w:highlight w:val="none"/>
        </w:rPr>
      </w:pPr>
      <w:r>
        <w:rPr>
          <w:rFonts w:hint="eastAsia" w:ascii="宋体" w:hAnsi="宋体"/>
          <w:color w:val="auto"/>
          <w:sz w:val="24"/>
          <w:highlight w:val="none"/>
        </w:rPr>
        <w:t>（6</w:t>
      </w:r>
      <w:r>
        <w:rPr>
          <w:rFonts w:ascii="宋体" w:hAnsi="宋体"/>
          <w:color w:val="auto"/>
          <w:sz w:val="24"/>
          <w:highlight w:val="none"/>
        </w:rPr>
        <w:t>）投标人</w:t>
      </w:r>
      <w:r>
        <w:rPr>
          <w:rFonts w:hint="eastAsia" w:ascii="宋体" w:hAnsi="宋体"/>
          <w:color w:val="auto"/>
          <w:sz w:val="24"/>
          <w:highlight w:val="none"/>
        </w:rPr>
        <w:t>针对报价</w:t>
      </w:r>
      <w:r>
        <w:rPr>
          <w:rFonts w:ascii="宋体" w:hAnsi="宋体"/>
          <w:color w:val="auto"/>
          <w:sz w:val="24"/>
          <w:highlight w:val="none"/>
        </w:rPr>
        <w:t>需要说明的其他文件和说明（格式</w:t>
      </w:r>
      <w:r>
        <w:rPr>
          <w:rFonts w:hint="eastAsia" w:ascii="宋体" w:hAnsi="宋体"/>
          <w:color w:val="auto"/>
          <w:sz w:val="24"/>
          <w:highlight w:val="none"/>
        </w:rPr>
        <w:t>自拟</w:t>
      </w:r>
      <w:r>
        <w:rPr>
          <w:rFonts w:ascii="宋体" w:hAnsi="宋体"/>
          <w:color w:val="auto"/>
          <w:sz w:val="24"/>
          <w:highlight w:val="none"/>
        </w:rPr>
        <w:t>）</w:t>
      </w:r>
      <w:r>
        <w:rPr>
          <w:rFonts w:hint="eastAsia" w:ascii="宋体" w:hAnsi="宋体"/>
          <w:color w:val="auto"/>
          <w:sz w:val="24"/>
          <w:highlight w:val="none"/>
        </w:rPr>
        <w:t>；</w:t>
      </w:r>
    </w:p>
    <w:p w14:paraId="1F6C8DAF">
      <w:pPr>
        <w:spacing w:line="360" w:lineRule="auto"/>
        <w:ind w:firstLine="470" w:firstLineChars="196"/>
        <w:jc w:val="left"/>
        <w:rPr>
          <w:rFonts w:ascii="宋体" w:hAnsi="宋体"/>
          <w:color w:val="auto"/>
          <w:sz w:val="24"/>
          <w:highlight w:val="none"/>
        </w:rPr>
      </w:pPr>
      <w:r>
        <w:rPr>
          <w:rFonts w:hint="eastAsia" w:ascii="宋体" w:hAnsi="宋体"/>
          <w:color w:val="auto"/>
          <w:sz w:val="24"/>
          <w:highlight w:val="none"/>
        </w:rPr>
        <w:t>（7）招标代理费承诺函；</w:t>
      </w:r>
    </w:p>
    <w:p w14:paraId="1AE02E3A">
      <w:pPr>
        <w:spacing w:line="360" w:lineRule="auto"/>
        <w:ind w:firstLine="470" w:firstLineChars="196"/>
        <w:jc w:val="left"/>
        <w:rPr>
          <w:rFonts w:ascii="宋体" w:hAnsi="宋体"/>
          <w:color w:val="auto"/>
          <w:sz w:val="24"/>
          <w:highlight w:val="none"/>
        </w:rPr>
      </w:pPr>
      <w:r>
        <w:rPr>
          <w:rFonts w:hint="eastAsia" w:ascii="宋体" w:hAnsi="宋体"/>
          <w:color w:val="auto"/>
          <w:sz w:val="24"/>
          <w:highlight w:val="none"/>
        </w:rPr>
        <w:t>（8）</w:t>
      </w:r>
      <w:r>
        <w:rPr>
          <w:rFonts w:ascii="宋体" w:hAnsi="宋体"/>
          <w:color w:val="auto"/>
          <w:sz w:val="24"/>
          <w:highlight w:val="none"/>
        </w:rPr>
        <w:t>开标一览表（格式见附件）</w:t>
      </w:r>
      <w:r>
        <w:rPr>
          <w:rFonts w:hint="eastAsia" w:ascii="宋体" w:hAnsi="宋体"/>
          <w:color w:val="auto"/>
          <w:sz w:val="24"/>
          <w:highlight w:val="none"/>
        </w:rPr>
        <w:t>。</w:t>
      </w:r>
    </w:p>
    <w:p w14:paraId="461472C2">
      <w:pPr>
        <w:pStyle w:val="22"/>
        <w:widowControl w:val="0"/>
        <w:spacing w:before="0" w:afterLines="0" w:line="360" w:lineRule="auto"/>
        <w:ind w:firstLine="482" w:firstLineChars="200"/>
        <w:rPr>
          <w:b/>
          <w:bCs/>
          <w:color w:val="auto"/>
          <w:sz w:val="24"/>
          <w:szCs w:val="24"/>
          <w:highlight w:val="none"/>
        </w:rPr>
      </w:pPr>
      <w:r>
        <w:rPr>
          <w:b/>
          <w:color w:val="auto"/>
          <w:sz w:val="24"/>
          <w:szCs w:val="24"/>
          <w:highlight w:val="none"/>
        </w:rPr>
        <w:t>▲</w:t>
      </w:r>
      <w:r>
        <w:rPr>
          <w:b/>
          <w:bCs/>
          <w:color w:val="auto"/>
          <w:sz w:val="24"/>
          <w:szCs w:val="24"/>
          <w:highlight w:val="none"/>
        </w:rPr>
        <w:t>注：法定代表人授权委托书、投标声明书、投标函、开标一览表必须由法定代表人签名并加盖单位公章。</w:t>
      </w:r>
    </w:p>
    <w:p w14:paraId="6BFD6F6C">
      <w:pPr>
        <w:snapToGrid w:val="0"/>
        <w:spacing w:line="360" w:lineRule="auto"/>
        <w:ind w:firstLine="472" w:firstLineChars="196"/>
        <w:jc w:val="left"/>
        <w:outlineLvl w:val="0"/>
        <w:rPr>
          <w:rFonts w:ascii="宋体" w:hAnsi="宋体"/>
          <w:b/>
          <w:color w:val="auto"/>
          <w:sz w:val="24"/>
          <w:highlight w:val="none"/>
        </w:rPr>
      </w:pPr>
      <w:r>
        <w:rPr>
          <w:rFonts w:hint="eastAsia" w:ascii="宋体" w:hAnsi="宋体"/>
          <w:b/>
          <w:color w:val="auto"/>
          <w:sz w:val="24"/>
          <w:highlight w:val="none"/>
        </w:rPr>
        <w:t>（二）投标文件的语言及计量</w:t>
      </w:r>
    </w:p>
    <w:p w14:paraId="0BAB147A">
      <w:pPr>
        <w:snapToGrid w:val="0"/>
        <w:spacing w:line="360" w:lineRule="auto"/>
        <w:ind w:firstLine="480" w:firstLineChars="200"/>
        <w:jc w:val="left"/>
        <w:rPr>
          <w:rFonts w:ascii="宋体" w:hAnsi="宋体"/>
          <w:color w:val="auto"/>
          <w:sz w:val="24"/>
          <w:szCs w:val="20"/>
          <w:highlight w:val="none"/>
        </w:rPr>
      </w:pPr>
      <w:r>
        <w:rPr>
          <w:rFonts w:hint="eastAsia" w:ascii="宋体" w:hAnsi="宋体"/>
          <w:color w:val="auto"/>
          <w:sz w:val="24"/>
          <w:highlight w:val="none"/>
        </w:rPr>
        <w:t>▲</w:t>
      </w:r>
      <w:r>
        <w:rPr>
          <w:rFonts w:ascii="宋体" w:hAnsi="宋体"/>
          <w:color w:val="auto"/>
          <w:sz w:val="24"/>
          <w:highlight w:val="none"/>
        </w:rPr>
        <w:t>1投标文件以及投标方与招标方就有关投标事宜的所有来往函电，均应以中文汉语书写。除签名、盖章、专用名称等特殊情形外，以中文汉语以外的文字表述的投标文件视同未提供。</w:t>
      </w:r>
    </w:p>
    <w:p w14:paraId="1A98A3E2">
      <w:pPr>
        <w:snapToGrid w:val="0"/>
        <w:spacing w:line="360" w:lineRule="auto"/>
        <w:ind w:firstLine="480" w:firstLineChars="200"/>
        <w:jc w:val="left"/>
        <w:rPr>
          <w:rFonts w:ascii="宋体" w:hAnsi="宋体"/>
          <w:color w:val="auto"/>
          <w:sz w:val="24"/>
          <w:szCs w:val="20"/>
          <w:highlight w:val="none"/>
        </w:rPr>
      </w:pPr>
      <w:r>
        <w:rPr>
          <w:rFonts w:hint="eastAsia" w:ascii="宋体" w:hAnsi="宋体"/>
          <w:color w:val="auto"/>
          <w:sz w:val="24"/>
          <w:highlight w:val="none"/>
        </w:rPr>
        <w:t>▲</w:t>
      </w:r>
      <w:r>
        <w:rPr>
          <w:rFonts w:ascii="宋体" w:hAnsi="宋体"/>
          <w:color w:val="auto"/>
          <w:sz w:val="24"/>
          <w:highlight w:val="none"/>
        </w:rPr>
        <w:t>2投标计量单位，招标文件已有明确规定的，使用招标文件规定的计量单位；招标文件没有规定的，应采用中华人民共和国法定计量单位（货币单位：人民币元），否则视同未响应。</w:t>
      </w:r>
    </w:p>
    <w:p w14:paraId="0453ADB8">
      <w:pPr>
        <w:snapToGrid w:val="0"/>
        <w:spacing w:line="360" w:lineRule="auto"/>
        <w:ind w:firstLine="472" w:firstLineChars="196"/>
        <w:jc w:val="left"/>
        <w:outlineLvl w:val="0"/>
        <w:rPr>
          <w:rFonts w:ascii="宋体" w:hAnsi="宋体"/>
          <w:b/>
          <w:color w:val="auto"/>
          <w:kern w:val="0"/>
          <w:sz w:val="24"/>
          <w:highlight w:val="none"/>
        </w:rPr>
      </w:pPr>
      <w:r>
        <w:rPr>
          <w:rFonts w:hint="eastAsia" w:ascii="宋体" w:hAnsi="宋体"/>
          <w:b/>
          <w:color w:val="auto"/>
          <w:kern w:val="0"/>
          <w:sz w:val="24"/>
          <w:highlight w:val="none"/>
        </w:rPr>
        <w:t>（三）投标报价</w:t>
      </w:r>
    </w:p>
    <w:p w14:paraId="38017627">
      <w:pPr>
        <w:snapToGrid w:val="0"/>
        <w:spacing w:line="360" w:lineRule="auto"/>
        <w:ind w:firstLine="411" w:firstLineChars="196"/>
        <w:jc w:val="left"/>
        <w:outlineLvl w:val="0"/>
        <w:rPr>
          <w:rFonts w:ascii="宋体" w:hAnsi="宋体" w:cs="宋体"/>
          <w:color w:val="auto"/>
          <w:sz w:val="24"/>
          <w:highlight w:val="none"/>
        </w:rPr>
      </w:pPr>
      <w:r>
        <w:rPr>
          <w:rFonts w:hAnsi="宋体"/>
          <w:color w:val="auto"/>
          <w:highlight w:val="none"/>
        </w:rPr>
        <w:t>▲</w:t>
      </w:r>
      <w:r>
        <w:rPr>
          <w:rFonts w:ascii="宋体" w:hAnsi="宋体"/>
          <w:color w:val="auto"/>
          <w:sz w:val="24"/>
          <w:highlight w:val="none"/>
        </w:rPr>
        <w:t>1</w:t>
      </w:r>
      <w:r>
        <w:rPr>
          <w:rFonts w:hint="eastAsia" w:ascii="宋体" w:hAnsi="宋体"/>
          <w:color w:val="auto"/>
          <w:sz w:val="24"/>
          <w:highlight w:val="none"/>
        </w:rPr>
        <w:t>.</w:t>
      </w:r>
      <w:r>
        <w:rPr>
          <w:rFonts w:hint="eastAsia" w:ascii="宋体" w:hAnsi="宋体" w:cs="宋体"/>
          <w:color w:val="auto"/>
          <w:sz w:val="24"/>
          <w:highlight w:val="none"/>
        </w:rPr>
        <w:t>投标报价应按招标文件中相关附表格式填写。投标报价为本招标项目全部工作内容的报价。</w:t>
      </w:r>
    </w:p>
    <w:p w14:paraId="2F33BFE8">
      <w:pPr>
        <w:snapToGrid w:val="0"/>
        <w:spacing w:line="360" w:lineRule="auto"/>
        <w:ind w:firstLine="411" w:firstLineChars="196"/>
        <w:jc w:val="left"/>
        <w:outlineLvl w:val="0"/>
        <w:rPr>
          <w:rFonts w:ascii="宋体" w:hAnsi="宋体" w:cs="宋体"/>
          <w:color w:val="auto"/>
          <w:sz w:val="24"/>
          <w:highlight w:val="none"/>
        </w:rPr>
      </w:pPr>
      <w:r>
        <w:rPr>
          <w:rFonts w:hAnsi="宋体"/>
          <w:color w:val="auto"/>
          <w:highlight w:val="none"/>
        </w:rPr>
        <w:t>▲</w:t>
      </w:r>
      <w:r>
        <w:rPr>
          <w:rFonts w:hint="eastAsia" w:ascii="宋体" w:hAnsi="宋体" w:cs="宋体"/>
          <w:color w:val="auto"/>
          <w:sz w:val="24"/>
          <w:highlight w:val="none"/>
        </w:rPr>
        <w:t>2.投标报价是履行合同的最终价格，完成项目的各种费用及必要的保险费用和各项税金等所有费用的总和，其市场风险由投标人承担。</w:t>
      </w:r>
    </w:p>
    <w:p w14:paraId="52AD8590">
      <w:pPr>
        <w:tabs>
          <w:tab w:val="left" w:pos="525"/>
        </w:tabs>
        <w:snapToGrid w:val="0"/>
        <w:spacing w:line="360" w:lineRule="auto"/>
        <w:ind w:firstLine="480" w:firstLineChars="200"/>
        <w:jc w:val="left"/>
        <w:rPr>
          <w:rFonts w:ascii="宋体" w:hAnsi="宋体"/>
          <w:color w:val="auto"/>
          <w:sz w:val="24"/>
          <w:szCs w:val="20"/>
          <w:highlight w:val="none"/>
        </w:rPr>
      </w:pPr>
      <w:r>
        <w:rPr>
          <w:rFonts w:hint="eastAsia" w:ascii="宋体" w:hAnsi="宋体"/>
          <w:color w:val="auto"/>
          <w:sz w:val="24"/>
          <w:highlight w:val="none"/>
        </w:rPr>
        <w:t>▲</w:t>
      </w: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投标文件只允许有一个报价，有选择的</w:t>
      </w:r>
      <w:r>
        <w:rPr>
          <w:rFonts w:hint="eastAsia" w:ascii="宋体" w:hAnsi="宋体"/>
          <w:color w:val="auto"/>
          <w:sz w:val="24"/>
          <w:highlight w:val="none"/>
        </w:rPr>
        <w:t>或有条件的</w:t>
      </w:r>
      <w:r>
        <w:rPr>
          <w:rFonts w:ascii="宋体" w:hAnsi="宋体"/>
          <w:color w:val="auto"/>
          <w:sz w:val="24"/>
          <w:highlight w:val="none"/>
        </w:rPr>
        <w:t>报价将不予接受。</w:t>
      </w:r>
    </w:p>
    <w:p w14:paraId="6B805420">
      <w:pPr>
        <w:pStyle w:val="7"/>
        <w:numPr>
          <w:ilvl w:val="255"/>
          <w:numId w:val="0"/>
        </w:numPr>
        <w:tabs>
          <w:tab w:val="left" w:pos="720"/>
          <w:tab w:val="clear" w:pos="360"/>
        </w:tabs>
        <w:snapToGrid w:val="0"/>
        <w:spacing w:line="360" w:lineRule="auto"/>
        <w:ind w:left="412" w:leftChars="196" w:firstLine="0" w:firstLineChars="0"/>
        <w:rPr>
          <w:rFonts w:ascii="宋体" w:hAnsi="宋体"/>
          <w:b/>
          <w:color w:val="auto"/>
          <w:highlight w:val="none"/>
        </w:rPr>
      </w:pPr>
      <w:r>
        <w:rPr>
          <w:rFonts w:hint="eastAsia" w:ascii="宋体" w:hAnsi="宋体"/>
          <w:b/>
          <w:color w:val="auto"/>
          <w:highlight w:val="none"/>
        </w:rPr>
        <w:t>（四）投标文件的有效期</w:t>
      </w:r>
    </w:p>
    <w:p w14:paraId="1423B236">
      <w:pPr>
        <w:pStyle w:val="7"/>
        <w:numPr>
          <w:ilvl w:val="255"/>
          <w:numId w:val="0"/>
        </w:numPr>
        <w:tabs>
          <w:tab w:val="left" w:pos="720"/>
          <w:tab w:val="clear" w:pos="360"/>
        </w:tabs>
        <w:snapToGrid w:val="0"/>
        <w:spacing w:line="360" w:lineRule="auto"/>
        <w:ind w:left="420" w:leftChars="200" w:firstLine="0" w:firstLineChars="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1.自投标截止日起120天投标</w:t>
      </w:r>
      <w:r>
        <w:rPr>
          <w:rFonts w:hint="eastAsia" w:ascii="宋体" w:hAnsi="宋体" w:cs="宋体"/>
          <w:color w:val="auto"/>
          <w:sz w:val="24"/>
          <w:highlight w:val="none"/>
        </w:rPr>
        <w:t>文件</w:t>
      </w:r>
      <w:r>
        <w:rPr>
          <w:rFonts w:ascii="宋体" w:hAnsi="宋体" w:cs="宋体"/>
          <w:color w:val="auto"/>
          <w:sz w:val="24"/>
          <w:highlight w:val="none"/>
        </w:rPr>
        <w:t>应保持有效。有效期</w:t>
      </w:r>
      <w:r>
        <w:rPr>
          <w:rFonts w:hint="eastAsia" w:ascii="宋体" w:hAnsi="宋体" w:cs="宋体"/>
          <w:color w:val="auto"/>
          <w:sz w:val="24"/>
          <w:highlight w:val="none"/>
        </w:rPr>
        <w:t>不足</w:t>
      </w:r>
      <w:r>
        <w:rPr>
          <w:rFonts w:ascii="宋体" w:hAnsi="宋体" w:cs="宋体"/>
          <w:color w:val="auto"/>
          <w:sz w:val="24"/>
          <w:highlight w:val="none"/>
        </w:rPr>
        <w:t>的投标</w:t>
      </w:r>
      <w:r>
        <w:rPr>
          <w:rFonts w:hint="eastAsia" w:ascii="宋体" w:hAnsi="宋体" w:cs="宋体"/>
          <w:color w:val="auto"/>
          <w:sz w:val="24"/>
          <w:highlight w:val="none"/>
        </w:rPr>
        <w:t>文件</w:t>
      </w:r>
      <w:r>
        <w:rPr>
          <w:rFonts w:ascii="宋体" w:hAnsi="宋体" w:cs="宋体"/>
          <w:color w:val="auto"/>
          <w:sz w:val="24"/>
          <w:highlight w:val="none"/>
        </w:rPr>
        <w:t>将被拒绝。</w:t>
      </w:r>
    </w:p>
    <w:p w14:paraId="7B0125FF">
      <w:pPr>
        <w:pStyle w:val="7"/>
        <w:numPr>
          <w:ilvl w:val="255"/>
          <w:numId w:val="0"/>
        </w:numPr>
        <w:tabs>
          <w:tab w:val="left" w:pos="720"/>
          <w:tab w:val="clear" w:pos="360"/>
        </w:tabs>
        <w:snapToGrid w:val="0"/>
        <w:spacing w:line="360" w:lineRule="auto"/>
        <w:ind w:left="0" w:firstLine="480" w:firstLineChars="200"/>
        <w:rPr>
          <w:rFonts w:ascii="宋体" w:hAnsi="宋体" w:cs="宋体"/>
          <w:color w:val="auto"/>
          <w:sz w:val="24"/>
          <w:highlight w:val="none"/>
        </w:rPr>
      </w:pPr>
      <w:r>
        <w:rPr>
          <w:rFonts w:ascii="宋体" w:hAnsi="宋体" w:cs="宋体"/>
          <w:color w:val="auto"/>
          <w:sz w:val="24"/>
          <w:highlight w:val="none"/>
        </w:rPr>
        <w:t>2.在特殊情况下，招标人可与投标人协商延长投标书的有效期，这种要求和答复均以书面形式进行。</w:t>
      </w:r>
    </w:p>
    <w:p w14:paraId="3E9C8908">
      <w:pPr>
        <w:snapToGrid w:val="0"/>
        <w:spacing w:line="360" w:lineRule="auto"/>
        <w:ind w:firstLine="480" w:firstLineChars="200"/>
        <w:jc w:val="left"/>
        <w:outlineLvl w:val="0"/>
        <w:rPr>
          <w:rFonts w:ascii="宋体" w:hAnsi="宋体" w:cs="宋体"/>
          <w:b w:val="0"/>
          <w:color w:val="auto"/>
          <w:sz w:val="24"/>
          <w:szCs w:val="24"/>
          <w:highlight w:val="none"/>
        </w:rPr>
      </w:pPr>
      <w:r>
        <w:rPr>
          <w:rFonts w:ascii="宋体" w:hAnsi="宋体" w:cs="宋体"/>
          <w:color w:val="auto"/>
          <w:sz w:val="24"/>
          <w:highlight w:val="none"/>
        </w:rPr>
        <w:t>3.投标人可拒绝接受延期要求。同意延长有效期的投标人不能修改投标文件。</w:t>
      </w:r>
    </w:p>
    <w:p w14:paraId="72BAC01B">
      <w:pPr>
        <w:snapToGrid w:val="0"/>
        <w:spacing w:line="360" w:lineRule="auto"/>
        <w:ind w:firstLine="480" w:firstLineChars="200"/>
        <w:jc w:val="left"/>
        <w:outlineLvl w:val="0"/>
        <w:rPr>
          <w:rFonts w:ascii="宋体" w:hAnsi="宋体" w:cs="宋体"/>
          <w:b w:val="0"/>
          <w:color w:val="auto"/>
          <w:sz w:val="24"/>
          <w:highlight w:val="none"/>
        </w:rPr>
      </w:pPr>
      <w:r>
        <w:rPr>
          <w:rFonts w:ascii="宋体" w:hAnsi="宋体" w:cs="宋体"/>
          <w:color w:val="auto"/>
          <w:sz w:val="24"/>
          <w:highlight w:val="none"/>
        </w:rPr>
        <w:t>4.中标人的投标文件自开标之日起至合同履行完毕止均应保持有效。</w:t>
      </w:r>
    </w:p>
    <w:p w14:paraId="488D8907">
      <w:pPr>
        <w:snapToGrid w:val="0"/>
        <w:spacing w:line="360" w:lineRule="auto"/>
        <w:ind w:firstLine="482" w:firstLineChars="200"/>
        <w:jc w:val="left"/>
        <w:outlineLvl w:val="0"/>
        <w:rPr>
          <w:rFonts w:ascii="宋体" w:hAnsi="宋体"/>
          <w:b/>
          <w:color w:val="auto"/>
          <w:sz w:val="24"/>
          <w:highlight w:val="none"/>
        </w:rPr>
      </w:pPr>
      <w:r>
        <w:rPr>
          <w:rFonts w:hint="eastAsia" w:ascii="宋体" w:hAnsi="宋体"/>
          <w:b/>
          <w:color w:val="auto"/>
          <w:sz w:val="24"/>
          <w:highlight w:val="none"/>
        </w:rPr>
        <w:t>（五）投标文件的签署和份数</w:t>
      </w:r>
    </w:p>
    <w:p w14:paraId="1D516857">
      <w:pPr>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本项目通过“政府采购云平台（www.zcygov.cn）”实行在线投标响应（电子投标）。供应商应通过“政采云电子交易客户端”，并按照本招标文件和“政府采购云平台”的要求编制并加密投标文件。</w:t>
      </w:r>
    </w:p>
    <w:p w14:paraId="3A056FE3">
      <w:pPr>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1.投标供应商应当按照本章节 “投标文件组成”规定的内容及顺序在“政采云电子交易客户端”编制投标文件。其中《资格文件》和《技术/资信/商务文件》中不得出现本项目投标报价，如因投标人原因提前泄露投标报价，是投标人的责任。</w:t>
      </w:r>
    </w:p>
    <w:p w14:paraId="44071857">
      <w:pPr>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2.本文件《第六章  投标文件格式》中有提供格式的，投标供应商须参照格式进行编制（格式中要求提供相关证明材料的还需后附相关证明材料），并按格式要求在指定位置根据要求进行签章，否则视为未提供；本文件《第六章  投标文件格式》未提供格式的，请各投标单位自行拟定格式，并加盖单位公章并由法定代表人或其授权代表签署（签字或盖章），否则视为未提供。</w:t>
      </w:r>
    </w:p>
    <w:p w14:paraId="049C2C67">
      <w:pPr>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3.投标文件内容不完整、编排混乱导致投标文件被误读、漏读或者查找不到相关内容的，是投标供应商的责任。</w:t>
      </w:r>
    </w:p>
    <w:p w14:paraId="2597265B">
      <w:pPr>
        <w:tabs>
          <w:tab w:val="left" w:pos="8460"/>
        </w:tabs>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4.投标文件因字迹潦草或表达不清所引起的后果由投标供应商负责。</w:t>
      </w:r>
      <w:r>
        <w:rPr>
          <w:rFonts w:ascii="宋体" w:hAnsi="宋体"/>
          <w:color w:val="auto"/>
          <w:sz w:val="24"/>
          <w:highlight w:val="none"/>
        </w:rPr>
        <w:tab/>
      </w:r>
    </w:p>
    <w:p w14:paraId="31AB820F">
      <w:pPr>
        <w:tabs>
          <w:tab w:val="left" w:pos="8460"/>
        </w:tabs>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5.投标供应商没有按照本章节 “投标文件组成”要求提供全部资料，或者没有仔细阅读招标文件，或者没有对招标文件在各方面的要求作出实质性响应是投标供应商的风险，由此造成的一切后果由投标供应商自行承担。</w:t>
      </w:r>
    </w:p>
    <w:p w14:paraId="6EEE392A">
      <w:pPr>
        <w:tabs>
          <w:tab w:val="left" w:pos="8460"/>
        </w:tabs>
        <w:snapToGrid w:val="0"/>
        <w:spacing w:line="360" w:lineRule="auto"/>
        <w:ind w:firstLine="482" w:firstLineChars="200"/>
        <w:jc w:val="left"/>
        <w:outlineLvl w:val="0"/>
        <w:rPr>
          <w:rFonts w:ascii="宋体" w:hAnsi="宋体"/>
          <w:b/>
          <w:color w:val="auto"/>
          <w:sz w:val="24"/>
          <w:highlight w:val="none"/>
        </w:rPr>
      </w:pPr>
      <w:r>
        <w:rPr>
          <w:rFonts w:hint="eastAsia" w:ascii="宋体" w:hAnsi="宋体"/>
          <w:b/>
          <w:color w:val="auto"/>
          <w:sz w:val="24"/>
          <w:highlight w:val="none"/>
        </w:rPr>
        <w:t>（六）投标文件的签署</w:t>
      </w:r>
    </w:p>
    <w:p w14:paraId="2AD63804">
      <w:pPr>
        <w:tabs>
          <w:tab w:val="left" w:pos="8460"/>
        </w:tabs>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《投标文件》应由投标供应商法定代表人或其授权代表签字（或盖章），并加盖投标供应商公章。</w:t>
      </w:r>
    </w:p>
    <w:p w14:paraId="0AF96C29">
      <w:pPr>
        <w:tabs>
          <w:tab w:val="left" w:pos="8460"/>
        </w:tabs>
        <w:snapToGrid w:val="0"/>
        <w:spacing w:line="360" w:lineRule="auto"/>
        <w:ind w:firstLine="482" w:firstLineChars="200"/>
        <w:jc w:val="left"/>
        <w:outlineLvl w:val="0"/>
        <w:rPr>
          <w:rFonts w:ascii="宋体" w:hAnsi="宋体"/>
          <w:b/>
          <w:color w:val="auto"/>
          <w:sz w:val="24"/>
          <w:highlight w:val="none"/>
        </w:rPr>
      </w:pPr>
      <w:r>
        <w:rPr>
          <w:rFonts w:hint="eastAsia" w:ascii="宋体" w:hAnsi="宋体"/>
          <w:b/>
          <w:color w:val="auto"/>
          <w:sz w:val="24"/>
          <w:highlight w:val="none"/>
        </w:rPr>
        <w:t>（七）投标文件的形式</w:t>
      </w:r>
    </w:p>
    <w:p w14:paraId="32D43FC8">
      <w:pPr>
        <w:tabs>
          <w:tab w:val="left" w:pos="8460"/>
        </w:tabs>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1.投标文件的形式：见《前附表》；</w:t>
      </w:r>
    </w:p>
    <w:p w14:paraId="2426B82B">
      <w:pPr>
        <w:tabs>
          <w:tab w:val="left" w:pos="8460"/>
        </w:tabs>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2.“电子加密投标文件”：“电子加密投标文件”是指通过“政采云电子交易客户端”完成投标文件编制后生成并加密的数据电文形式的投标文件。</w:t>
      </w:r>
    </w:p>
    <w:p w14:paraId="6510BE38">
      <w:pPr>
        <w:tabs>
          <w:tab w:val="left" w:pos="8460"/>
        </w:tabs>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3.“备份投标文件”：“备份投标文件”是指与“电子加密投标文件”同时生成的数据电文形式的电子文件（备份标书），其他方式编制的“备份投标文件”视为无效的“备份投标文件”。</w:t>
      </w:r>
    </w:p>
    <w:p w14:paraId="682C3EA3">
      <w:pPr>
        <w:snapToGrid w:val="0"/>
        <w:spacing w:line="360" w:lineRule="auto"/>
        <w:ind w:firstLine="482" w:firstLineChars="200"/>
        <w:jc w:val="left"/>
        <w:outlineLvl w:val="0"/>
        <w:rPr>
          <w:rFonts w:ascii="宋体" w:hAnsi="宋体"/>
          <w:b/>
          <w:color w:val="auto"/>
          <w:sz w:val="24"/>
          <w:highlight w:val="none"/>
        </w:rPr>
      </w:pPr>
      <w:r>
        <w:rPr>
          <w:rFonts w:hint="eastAsia" w:ascii="宋体" w:hAnsi="宋体"/>
          <w:b/>
          <w:color w:val="auto"/>
          <w:sz w:val="24"/>
          <w:highlight w:val="none"/>
        </w:rPr>
        <w:t>（八）投标文件的份数：见《前附表》。</w:t>
      </w:r>
    </w:p>
    <w:p w14:paraId="08194430">
      <w:pPr>
        <w:snapToGrid w:val="0"/>
        <w:spacing w:line="360" w:lineRule="auto"/>
        <w:ind w:firstLine="482" w:firstLineChars="200"/>
        <w:jc w:val="left"/>
        <w:outlineLvl w:val="0"/>
        <w:rPr>
          <w:rFonts w:ascii="宋体" w:hAnsi="宋体"/>
          <w:b/>
          <w:color w:val="auto"/>
          <w:sz w:val="24"/>
          <w:highlight w:val="none"/>
        </w:rPr>
      </w:pPr>
      <w:r>
        <w:rPr>
          <w:rFonts w:hint="eastAsia" w:ascii="宋体" w:hAnsi="宋体"/>
          <w:b/>
          <w:color w:val="auto"/>
          <w:sz w:val="24"/>
          <w:highlight w:val="none"/>
        </w:rPr>
        <w:t>（九）投标文件的上传和递交：见《前附表》。</w:t>
      </w:r>
    </w:p>
    <w:p w14:paraId="151EE21A">
      <w:pPr>
        <w:snapToGrid w:val="0"/>
        <w:spacing w:line="360" w:lineRule="auto"/>
        <w:ind w:firstLine="482" w:firstLineChars="200"/>
        <w:jc w:val="left"/>
        <w:outlineLvl w:val="0"/>
        <w:rPr>
          <w:rFonts w:ascii="宋体" w:hAnsi="宋体"/>
          <w:b/>
          <w:color w:val="auto"/>
          <w:sz w:val="24"/>
          <w:highlight w:val="none"/>
        </w:rPr>
      </w:pPr>
      <w:r>
        <w:rPr>
          <w:rFonts w:hint="eastAsia" w:ascii="宋体" w:hAnsi="宋体"/>
          <w:b/>
          <w:color w:val="auto"/>
          <w:sz w:val="24"/>
          <w:highlight w:val="none"/>
        </w:rPr>
        <w:t>（十）“电子加密投标文件”解密和异常情况处理：见《前附表》。</w:t>
      </w:r>
    </w:p>
    <w:p w14:paraId="451AE82F">
      <w:pPr>
        <w:snapToGrid w:val="0"/>
        <w:spacing w:line="360" w:lineRule="auto"/>
        <w:ind w:firstLine="482" w:firstLineChars="200"/>
        <w:jc w:val="left"/>
        <w:outlineLvl w:val="0"/>
        <w:rPr>
          <w:rFonts w:ascii="宋体" w:hAnsi="宋体"/>
          <w:b/>
          <w:color w:val="auto"/>
          <w:sz w:val="24"/>
          <w:highlight w:val="none"/>
        </w:rPr>
      </w:pPr>
      <w:r>
        <w:rPr>
          <w:rFonts w:hint="eastAsia" w:ascii="宋体" w:hAnsi="宋体"/>
          <w:b/>
          <w:color w:val="auto"/>
          <w:sz w:val="24"/>
          <w:highlight w:val="none"/>
        </w:rPr>
        <w:t>（十一）投标文件的补充、修改或撤回</w:t>
      </w:r>
    </w:p>
    <w:p w14:paraId="34F47E38">
      <w:pPr>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77CB286A">
      <w:pPr>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2.投标截止时间后，投标供应商不得撤回、修改投标文件。</w:t>
      </w:r>
    </w:p>
    <w:p w14:paraId="36A33AC1">
      <w:pPr>
        <w:snapToGrid w:val="0"/>
        <w:spacing w:line="360" w:lineRule="auto"/>
        <w:ind w:firstLine="482" w:firstLineChars="200"/>
        <w:jc w:val="left"/>
        <w:outlineLvl w:val="0"/>
        <w:rPr>
          <w:rFonts w:ascii="宋体" w:hAnsi="宋体"/>
          <w:b/>
          <w:color w:val="auto"/>
          <w:sz w:val="24"/>
          <w:highlight w:val="none"/>
        </w:rPr>
      </w:pPr>
      <w:r>
        <w:rPr>
          <w:rFonts w:hint="eastAsia" w:ascii="宋体" w:hAnsi="宋体"/>
          <w:b/>
          <w:color w:val="auto"/>
          <w:sz w:val="24"/>
          <w:highlight w:val="none"/>
        </w:rPr>
        <w:t>（十二）投标文件的备选方案</w:t>
      </w:r>
    </w:p>
    <w:p w14:paraId="77F02120">
      <w:pPr>
        <w:snapToGrid w:val="0"/>
        <w:spacing w:line="360" w:lineRule="auto"/>
        <w:ind w:firstLine="480" w:firstLineChars="200"/>
        <w:jc w:val="left"/>
        <w:outlineLvl w:val="0"/>
        <w:rPr>
          <w:rFonts w:ascii="宋体" w:hAnsi="宋体"/>
          <w:color w:val="auto"/>
          <w:sz w:val="24"/>
          <w:highlight w:val="none"/>
        </w:rPr>
      </w:pPr>
      <w:r>
        <w:rPr>
          <w:rFonts w:hint="eastAsia" w:ascii="宋体" w:hAnsi="宋体"/>
          <w:color w:val="auto"/>
          <w:sz w:val="24"/>
          <w:highlight w:val="none"/>
        </w:rPr>
        <w:t>投标供应商不得递交任何的投标备选（替代）方案，否则其投标文件将作无效标处理。与“电子加密投标文件”同时生成的“备份投标文件”不是投标备选（替代）方案。</w:t>
      </w:r>
    </w:p>
    <w:p w14:paraId="1F1BF9FC">
      <w:pPr>
        <w:snapToGrid w:val="0"/>
        <w:spacing w:beforeLines="50" w:line="360" w:lineRule="auto"/>
        <w:ind w:firstLine="472" w:firstLineChars="196"/>
        <w:outlineLvl w:val="2"/>
        <w:rPr>
          <w:rFonts w:ascii="宋体" w:hAnsi="宋体"/>
          <w:b/>
          <w:color w:val="auto"/>
          <w:sz w:val="24"/>
          <w:highlight w:val="none"/>
        </w:rPr>
      </w:pPr>
      <w:r>
        <w:rPr>
          <w:rFonts w:hint="eastAsia" w:ascii="宋体" w:hAnsi="宋体"/>
          <w:b/>
          <w:color w:val="auto"/>
          <w:sz w:val="24"/>
          <w:highlight w:val="none"/>
        </w:rPr>
        <w:t>（十三）投标无效的情形</w:t>
      </w:r>
    </w:p>
    <w:p w14:paraId="77D8721B">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实质上没有响应招标文件要求的投标将被视为无效投标。投标人不得通过修正或</w:t>
      </w:r>
      <w:r>
        <w:rPr>
          <w:rFonts w:hint="eastAsia" w:ascii="宋体" w:hAnsi="宋体"/>
          <w:bCs/>
          <w:color w:val="auto"/>
          <w:sz w:val="24"/>
          <w:highlight w:val="none"/>
          <w:lang w:eastAsia="zh-CN"/>
        </w:rPr>
        <w:t>撤销</w:t>
      </w:r>
      <w:r>
        <w:rPr>
          <w:rFonts w:hint="eastAsia" w:ascii="宋体" w:hAnsi="宋体"/>
          <w:bCs/>
          <w:color w:val="auto"/>
          <w:sz w:val="24"/>
          <w:highlight w:val="none"/>
        </w:rPr>
        <w:t>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3BF52179">
      <w:pPr>
        <w:snapToGrid w:val="0"/>
        <w:spacing w:line="360" w:lineRule="auto"/>
        <w:ind w:firstLine="472" w:firstLineChars="196"/>
        <w:rPr>
          <w:rFonts w:ascii="宋体" w:hAnsi="宋体"/>
          <w:b/>
          <w:bCs/>
          <w:color w:val="auto"/>
          <w:sz w:val="24"/>
          <w:highlight w:val="none"/>
        </w:rPr>
      </w:pPr>
      <w:r>
        <w:rPr>
          <w:rFonts w:ascii="宋体" w:hAnsi="宋体"/>
          <w:b/>
          <w:bCs/>
          <w:color w:val="auto"/>
          <w:sz w:val="24"/>
          <w:highlight w:val="none"/>
        </w:rPr>
        <w:t>1</w:t>
      </w:r>
      <w:r>
        <w:rPr>
          <w:rFonts w:hint="eastAsia" w:ascii="宋体" w:hAnsi="宋体"/>
          <w:b/>
          <w:bCs/>
          <w:color w:val="auto"/>
          <w:sz w:val="24"/>
          <w:highlight w:val="none"/>
        </w:rPr>
        <w:t>.</w:t>
      </w:r>
      <w:r>
        <w:rPr>
          <w:rFonts w:ascii="宋体" w:hAnsi="宋体"/>
          <w:b/>
          <w:bCs/>
          <w:color w:val="auto"/>
          <w:sz w:val="24"/>
          <w:highlight w:val="none"/>
        </w:rPr>
        <w:t>在符合性审查和商务评审时，如发现下列情形之一的，投标文件将被视为无效：</w:t>
      </w:r>
    </w:p>
    <w:p w14:paraId="1CDE165A">
      <w:pPr>
        <w:snapToGrid w:val="0"/>
        <w:spacing w:line="360" w:lineRule="auto"/>
        <w:ind w:firstLine="470" w:firstLineChars="196"/>
        <w:rPr>
          <w:rFonts w:ascii="宋体" w:hAnsi="宋体"/>
          <w:bCs/>
          <w:color w:val="auto"/>
          <w:sz w:val="24"/>
          <w:highlight w:val="none"/>
        </w:rPr>
      </w:pPr>
      <w:r>
        <w:rPr>
          <w:rFonts w:hint="eastAsia" w:ascii="宋体" w:hAnsi="宋体"/>
          <w:bCs/>
          <w:color w:val="auto"/>
          <w:sz w:val="24"/>
          <w:highlight w:val="none"/>
        </w:rPr>
        <w:t>（1</w:t>
      </w:r>
      <w:r>
        <w:rPr>
          <w:rFonts w:ascii="宋体" w:hAnsi="宋体"/>
          <w:bCs/>
          <w:color w:val="auto"/>
          <w:sz w:val="24"/>
          <w:highlight w:val="none"/>
        </w:rPr>
        <w:t>）</w:t>
      </w:r>
      <w:r>
        <w:rPr>
          <w:rFonts w:hint="eastAsia" w:ascii="宋体" w:hAnsi="宋体"/>
          <w:bCs/>
          <w:color w:val="auto"/>
          <w:sz w:val="24"/>
          <w:highlight w:val="none"/>
        </w:rPr>
        <w:t>资质条件不符合招标文件要求的；</w:t>
      </w:r>
    </w:p>
    <w:p w14:paraId="6F4788BC">
      <w:pPr>
        <w:snapToGrid w:val="0"/>
        <w:spacing w:line="360" w:lineRule="auto"/>
        <w:ind w:firstLine="470" w:firstLineChars="196"/>
        <w:rPr>
          <w:rFonts w:ascii="宋体" w:hAnsi="宋体"/>
          <w:bCs/>
          <w:color w:val="auto"/>
          <w:sz w:val="24"/>
          <w:highlight w:val="none"/>
        </w:rPr>
      </w:pPr>
      <w:r>
        <w:rPr>
          <w:rFonts w:hint="eastAsia" w:ascii="宋体" w:hAnsi="宋体"/>
          <w:bCs/>
          <w:color w:val="auto"/>
          <w:sz w:val="24"/>
          <w:highlight w:val="none"/>
        </w:rPr>
        <w:t>（2</w:t>
      </w:r>
      <w:r>
        <w:rPr>
          <w:rFonts w:ascii="宋体" w:hAnsi="宋体"/>
          <w:bCs/>
          <w:color w:val="auto"/>
          <w:sz w:val="24"/>
          <w:highlight w:val="none"/>
        </w:rPr>
        <w:t>）投标文件无法定代表人签字</w:t>
      </w:r>
      <w:r>
        <w:rPr>
          <w:rFonts w:hint="eastAsia" w:ascii="宋体" w:hAnsi="宋体"/>
          <w:bCs/>
          <w:color w:val="auto"/>
          <w:sz w:val="24"/>
          <w:highlight w:val="none"/>
          <w:lang w:eastAsia="zh-CN"/>
        </w:rPr>
        <w:t>，</w:t>
      </w:r>
      <w:r>
        <w:rPr>
          <w:rFonts w:ascii="宋体" w:hAnsi="宋体"/>
          <w:bCs/>
          <w:color w:val="auto"/>
          <w:sz w:val="24"/>
          <w:highlight w:val="none"/>
        </w:rPr>
        <w:t>或未</w:t>
      </w:r>
      <w:r>
        <w:rPr>
          <w:rFonts w:hint="eastAsia" w:ascii="宋体" w:hAnsi="宋体"/>
          <w:bCs/>
          <w:color w:val="auto"/>
          <w:sz w:val="24"/>
          <w:highlight w:val="none"/>
        </w:rPr>
        <w:t>提供法定代表人授权委托书、投标声明书或者填写项目不齐全的；</w:t>
      </w:r>
    </w:p>
    <w:p w14:paraId="24D78F5D">
      <w:pPr>
        <w:snapToGrid w:val="0"/>
        <w:spacing w:line="360" w:lineRule="auto"/>
        <w:ind w:firstLine="470" w:firstLineChars="196"/>
        <w:rPr>
          <w:rFonts w:ascii="宋体" w:hAnsi="宋体"/>
          <w:bCs/>
          <w:color w:val="auto"/>
          <w:sz w:val="24"/>
          <w:highlight w:val="none"/>
        </w:rPr>
      </w:pPr>
      <w:r>
        <w:rPr>
          <w:rFonts w:hint="eastAsia" w:ascii="宋体" w:hAnsi="宋体"/>
          <w:bCs/>
          <w:color w:val="auto"/>
          <w:sz w:val="24"/>
          <w:highlight w:val="none"/>
        </w:rPr>
        <w:t>（3</w:t>
      </w:r>
      <w:r>
        <w:rPr>
          <w:rFonts w:ascii="宋体" w:hAnsi="宋体"/>
          <w:bCs/>
          <w:color w:val="auto"/>
          <w:sz w:val="24"/>
          <w:highlight w:val="none"/>
        </w:rPr>
        <w:t>）</w:t>
      </w:r>
      <w:r>
        <w:rPr>
          <w:rFonts w:hint="eastAsia" w:ascii="宋体" w:hAnsi="宋体"/>
          <w:bCs/>
          <w:color w:val="auto"/>
          <w:sz w:val="24"/>
          <w:highlight w:val="none"/>
        </w:rPr>
        <w:t>投标代表人未能出具身份证明或与法定代表人授权委托人身份不符的；</w:t>
      </w:r>
    </w:p>
    <w:p w14:paraId="0158F4ED">
      <w:pPr>
        <w:snapToGrid w:val="0"/>
        <w:spacing w:line="360" w:lineRule="auto"/>
        <w:ind w:firstLine="470" w:firstLineChars="196"/>
        <w:rPr>
          <w:rFonts w:hAnsi="宋体"/>
          <w:bCs/>
          <w:color w:val="auto"/>
          <w:sz w:val="24"/>
          <w:highlight w:val="none"/>
        </w:rPr>
      </w:pPr>
      <w:r>
        <w:rPr>
          <w:rFonts w:hAnsi="宋体"/>
          <w:bCs/>
          <w:color w:val="auto"/>
          <w:sz w:val="24"/>
          <w:highlight w:val="none"/>
        </w:rPr>
        <w:t>（</w:t>
      </w:r>
      <w:r>
        <w:rPr>
          <w:rFonts w:hint="eastAsia" w:hAnsi="宋体"/>
          <w:bCs/>
          <w:color w:val="auto"/>
          <w:sz w:val="24"/>
          <w:highlight w:val="none"/>
        </w:rPr>
        <w:t>4</w:t>
      </w:r>
      <w:r>
        <w:rPr>
          <w:rFonts w:hAnsi="宋体"/>
          <w:bCs/>
          <w:color w:val="auto"/>
          <w:sz w:val="24"/>
          <w:highlight w:val="none"/>
        </w:rPr>
        <w:t>）投标文件格式不规范、项目不齐全或者内容虚假的；</w:t>
      </w:r>
    </w:p>
    <w:p w14:paraId="3B31A217">
      <w:pPr>
        <w:snapToGrid w:val="0"/>
        <w:spacing w:line="360" w:lineRule="auto"/>
        <w:ind w:firstLine="470" w:firstLineChars="196"/>
        <w:rPr>
          <w:rFonts w:hAnsi="宋体"/>
          <w:bCs/>
          <w:color w:val="auto"/>
          <w:sz w:val="24"/>
          <w:highlight w:val="none"/>
        </w:rPr>
      </w:pPr>
      <w:r>
        <w:rPr>
          <w:rFonts w:hAnsi="宋体"/>
          <w:bCs/>
          <w:color w:val="auto"/>
          <w:sz w:val="24"/>
          <w:highlight w:val="none"/>
        </w:rPr>
        <w:t>（</w:t>
      </w:r>
      <w:r>
        <w:rPr>
          <w:rFonts w:hint="eastAsia" w:hAnsi="宋体"/>
          <w:bCs/>
          <w:color w:val="auto"/>
          <w:sz w:val="24"/>
          <w:highlight w:val="none"/>
        </w:rPr>
        <w:t>5</w:t>
      </w:r>
      <w:r>
        <w:rPr>
          <w:rFonts w:hAnsi="宋体"/>
          <w:bCs/>
          <w:color w:val="auto"/>
          <w:sz w:val="24"/>
          <w:highlight w:val="none"/>
        </w:rPr>
        <w:t>）投标文件的实质性内容未使用中文表述、意思表述不明确、前后矛盾或者使用计量单位不符合招标文件要求的（经评标委员会认定</w:t>
      </w:r>
      <w:r>
        <w:rPr>
          <w:rFonts w:hint="eastAsia" w:hAnsi="宋体"/>
          <w:bCs/>
          <w:color w:val="auto"/>
          <w:sz w:val="24"/>
          <w:highlight w:val="none"/>
        </w:rPr>
        <w:t>并</w:t>
      </w:r>
      <w:r>
        <w:rPr>
          <w:rFonts w:hAnsi="宋体"/>
          <w:bCs/>
          <w:color w:val="auto"/>
          <w:sz w:val="24"/>
          <w:highlight w:val="none"/>
        </w:rPr>
        <w:t>允许其当场更正的笔误除外）</w:t>
      </w:r>
      <w:r>
        <w:rPr>
          <w:rFonts w:hint="eastAsia" w:hAnsi="宋体"/>
          <w:bCs/>
          <w:color w:val="auto"/>
          <w:sz w:val="24"/>
          <w:highlight w:val="none"/>
        </w:rPr>
        <w:t>；</w:t>
      </w:r>
    </w:p>
    <w:p w14:paraId="17B8F263">
      <w:pPr>
        <w:snapToGrid w:val="0"/>
        <w:spacing w:line="360" w:lineRule="auto"/>
        <w:ind w:firstLine="470" w:firstLineChars="196"/>
        <w:rPr>
          <w:rFonts w:hAnsi="宋体"/>
          <w:bCs/>
          <w:color w:val="auto"/>
          <w:sz w:val="24"/>
          <w:highlight w:val="none"/>
        </w:rPr>
      </w:pPr>
      <w:r>
        <w:rPr>
          <w:rFonts w:hAnsi="宋体"/>
          <w:bCs/>
          <w:color w:val="auto"/>
          <w:sz w:val="24"/>
          <w:highlight w:val="none"/>
        </w:rPr>
        <w:t>（</w:t>
      </w:r>
      <w:r>
        <w:rPr>
          <w:rFonts w:hint="eastAsia" w:hAnsi="宋体"/>
          <w:bCs/>
          <w:color w:val="auto"/>
          <w:sz w:val="24"/>
          <w:highlight w:val="none"/>
        </w:rPr>
        <w:t>6</w:t>
      </w:r>
      <w:r>
        <w:rPr>
          <w:rFonts w:hAnsi="宋体"/>
          <w:bCs/>
          <w:color w:val="auto"/>
          <w:sz w:val="24"/>
          <w:highlight w:val="none"/>
        </w:rPr>
        <w:t>）投标有效期、服务期等商务条款不能满足招标文件要求的；</w:t>
      </w:r>
    </w:p>
    <w:p w14:paraId="5186628F">
      <w:pPr>
        <w:snapToGrid w:val="0"/>
        <w:spacing w:line="360" w:lineRule="auto"/>
        <w:ind w:firstLine="470" w:firstLineChars="196"/>
        <w:rPr>
          <w:color w:val="auto"/>
          <w:sz w:val="24"/>
          <w:highlight w:val="none"/>
        </w:rPr>
      </w:pPr>
      <w:r>
        <w:rPr>
          <w:rFonts w:hAnsi="宋体"/>
          <w:bCs/>
          <w:color w:val="auto"/>
          <w:sz w:val="24"/>
          <w:highlight w:val="none"/>
        </w:rPr>
        <w:t>（</w:t>
      </w:r>
      <w:r>
        <w:rPr>
          <w:rFonts w:hint="eastAsia" w:hAnsi="宋体"/>
          <w:bCs/>
          <w:color w:val="auto"/>
          <w:sz w:val="24"/>
          <w:highlight w:val="none"/>
        </w:rPr>
        <w:t>7</w:t>
      </w:r>
      <w:r>
        <w:rPr>
          <w:rFonts w:hAnsi="宋体"/>
          <w:bCs/>
          <w:color w:val="auto"/>
          <w:sz w:val="24"/>
          <w:highlight w:val="none"/>
        </w:rPr>
        <w:t>）</w:t>
      </w:r>
      <w:r>
        <w:rPr>
          <w:rFonts w:hint="eastAsia" w:hAnsi="宋体"/>
          <w:bCs/>
          <w:color w:val="auto"/>
          <w:sz w:val="24"/>
          <w:highlight w:val="none"/>
        </w:rPr>
        <w:t>未实质性</w:t>
      </w:r>
      <w:r>
        <w:rPr>
          <w:rFonts w:hAnsi="宋体"/>
          <w:bCs/>
          <w:color w:val="auto"/>
          <w:sz w:val="24"/>
          <w:highlight w:val="none"/>
        </w:rPr>
        <w:t>响应招标文件要求或者投标文件有招标方不能接受</w:t>
      </w:r>
      <w:r>
        <w:rPr>
          <w:color w:val="auto"/>
          <w:sz w:val="24"/>
          <w:highlight w:val="none"/>
        </w:rPr>
        <w:t>的附加条件的；</w:t>
      </w:r>
    </w:p>
    <w:p w14:paraId="22F8F6E4">
      <w:pPr>
        <w:snapToGrid w:val="0"/>
        <w:spacing w:line="360" w:lineRule="auto"/>
        <w:ind w:firstLine="470" w:firstLineChars="196"/>
        <w:rPr>
          <w:rFonts w:hAnsi="宋体"/>
          <w:bCs/>
          <w:color w:val="auto"/>
          <w:sz w:val="24"/>
          <w:highlight w:val="none"/>
        </w:rPr>
      </w:pPr>
      <w:r>
        <w:rPr>
          <w:rFonts w:hint="eastAsia"/>
          <w:color w:val="auto"/>
          <w:sz w:val="24"/>
          <w:highlight w:val="none"/>
        </w:rPr>
        <w:t>（8）</w:t>
      </w:r>
      <w:r>
        <w:rPr>
          <w:rFonts w:hint="eastAsia" w:hAnsi="宋体"/>
          <w:bCs/>
          <w:color w:val="auto"/>
          <w:sz w:val="24"/>
          <w:highlight w:val="none"/>
        </w:rPr>
        <w:t>供应商提供的《中小企业声明函》未采用本采购文件的模板或提供的《中小企业声明函》未填写完整的或未如实填写《中小企业声明函》的。</w:t>
      </w:r>
    </w:p>
    <w:p w14:paraId="1292F022">
      <w:pPr>
        <w:snapToGrid w:val="0"/>
        <w:spacing w:line="360" w:lineRule="auto"/>
        <w:ind w:firstLine="470" w:firstLineChars="196"/>
        <w:rPr>
          <w:rFonts w:hAnsi="宋体" w:cs="宋体"/>
          <w:color w:val="auto"/>
          <w:sz w:val="24"/>
          <w:highlight w:val="none"/>
        </w:rPr>
      </w:pPr>
      <w:r>
        <w:rPr>
          <w:rFonts w:hint="eastAsia" w:hAnsi="宋体"/>
          <w:bCs/>
          <w:color w:val="auto"/>
          <w:sz w:val="24"/>
          <w:highlight w:val="none"/>
        </w:rPr>
        <w:t>（9）</w:t>
      </w:r>
      <w:r>
        <w:rPr>
          <w:rFonts w:hAnsi="宋体" w:cs="宋体"/>
          <w:color w:val="auto"/>
          <w:sz w:val="24"/>
          <w:highlight w:val="none"/>
        </w:rPr>
        <w:t>供应商在《中小企业声明函》中所填企业规模不是中型、小型或微型企业的。</w:t>
      </w:r>
    </w:p>
    <w:p w14:paraId="0BB0A20A">
      <w:pPr>
        <w:snapToGrid w:val="0"/>
        <w:spacing w:line="360" w:lineRule="auto"/>
        <w:ind w:firstLine="472" w:firstLineChars="196"/>
        <w:rPr>
          <w:rFonts w:hAnsi="宋体"/>
          <w:b/>
          <w:bCs/>
          <w:color w:val="auto"/>
          <w:sz w:val="24"/>
          <w:highlight w:val="none"/>
        </w:rPr>
      </w:pPr>
      <w:r>
        <w:rPr>
          <w:rFonts w:hAnsi="宋体"/>
          <w:b/>
          <w:bCs/>
          <w:color w:val="auto"/>
          <w:sz w:val="24"/>
          <w:highlight w:val="none"/>
        </w:rPr>
        <w:t>2</w:t>
      </w:r>
      <w:r>
        <w:rPr>
          <w:rFonts w:hint="eastAsia" w:hAnsi="宋体"/>
          <w:b/>
          <w:bCs/>
          <w:color w:val="auto"/>
          <w:sz w:val="24"/>
          <w:highlight w:val="none"/>
        </w:rPr>
        <w:t>.</w:t>
      </w:r>
      <w:r>
        <w:rPr>
          <w:rFonts w:hAnsi="宋体"/>
          <w:b/>
          <w:bCs/>
          <w:color w:val="auto"/>
          <w:sz w:val="24"/>
          <w:highlight w:val="none"/>
        </w:rPr>
        <w:t>在技术评审时，如发现下列情形之一的，投标文件将被视为无效：</w:t>
      </w:r>
    </w:p>
    <w:p w14:paraId="35C7AB5F">
      <w:pPr>
        <w:snapToGrid w:val="0"/>
        <w:spacing w:line="360" w:lineRule="auto"/>
        <w:ind w:firstLine="472" w:firstLineChars="196"/>
        <w:rPr>
          <w:rFonts w:hAnsi="宋体"/>
          <w:color w:val="auto"/>
          <w:sz w:val="24"/>
          <w:highlight w:val="none"/>
        </w:rPr>
      </w:pPr>
      <w:r>
        <w:rPr>
          <w:rFonts w:hAnsi="宋体"/>
          <w:b/>
          <w:color w:val="auto"/>
          <w:sz w:val="24"/>
          <w:highlight w:val="none"/>
        </w:rPr>
        <w:t>（</w:t>
      </w:r>
      <w:r>
        <w:rPr>
          <w:rFonts w:hAnsi="宋体"/>
          <w:color w:val="auto"/>
          <w:sz w:val="24"/>
          <w:highlight w:val="none"/>
        </w:rPr>
        <w:t>1）未提供或未如实提供投标项目的技术参数，或者投标文件标明的响应或偏离与事实不符或虚假投标的；</w:t>
      </w:r>
    </w:p>
    <w:p w14:paraId="4072DE33">
      <w:pPr>
        <w:snapToGrid w:val="0"/>
        <w:spacing w:line="360" w:lineRule="auto"/>
        <w:ind w:firstLine="470" w:firstLineChars="196"/>
        <w:rPr>
          <w:color w:val="auto"/>
          <w:sz w:val="24"/>
          <w:highlight w:val="none"/>
        </w:rPr>
      </w:pPr>
      <w:r>
        <w:rPr>
          <w:color w:val="auto"/>
          <w:sz w:val="24"/>
          <w:highlight w:val="none"/>
        </w:rPr>
        <w:t>（2）明显不符合招标文件</w:t>
      </w:r>
      <w:r>
        <w:rPr>
          <w:rFonts w:hint="eastAsia"/>
          <w:color w:val="auto"/>
          <w:sz w:val="24"/>
          <w:highlight w:val="none"/>
        </w:rPr>
        <w:t>要求</w:t>
      </w:r>
      <w:r>
        <w:rPr>
          <w:color w:val="auto"/>
          <w:sz w:val="24"/>
          <w:highlight w:val="none"/>
        </w:rPr>
        <w:t>的规格型号、质量标准，或者</w:t>
      </w:r>
      <w:r>
        <w:rPr>
          <w:rFonts w:hint="eastAsia"/>
          <w:color w:val="auto"/>
          <w:sz w:val="24"/>
          <w:highlight w:val="none"/>
        </w:rPr>
        <w:t>与</w:t>
      </w:r>
      <w:r>
        <w:rPr>
          <w:color w:val="auto"/>
          <w:sz w:val="24"/>
          <w:highlight w:val="none"/>
        </w:rPr>
        <w:t>招标文件中标“▲”的技术指标、主要功能项目发生实质性偏离的；</w:t>
      </w:r>
    </w:p>
    <w:p w14:paraId="29B856AE">
      <w:pPr>
        <w:snapToGrid w:val="0"/>
        <w:spacing w:line="360" w:lineRule="auto"/>
        <w:ind w:firstLine="470" w:firstLineChars="196"/>
        <w:rPr>
          <w:color w:val="auto"/>
          <w:sz w:val="24"/>
          <w:highlight w:val="none"/>
        </w:rPr>
      </w:pPr>
      <w:r>
        <w:rPr>
          <w:color w:val="auto"/>
          <w:sz w:val="24"/>
          <w:highlight w:val="none"/>
        </w:rPr>
        <w:t>（3）投标技术方案不明确，存在一个或一个以上备选（替代）投标方案的；</w:t>
      </w:r>
    </w:p>
    <w:p w14:paraId="4CC0492E">
      <w:pPr>
        <w:snapToGrid w:val="0"/>
        <w:spacing w:line="360" w:lineRule="auto"/>
        <w:ind w:firstLine="470" w:firstLineChars="196"/>
        <w:rPr>
          <w:color w:val="auto"/>
          <w:sz w:val="24"/>
          <w:highlight w:val="none"/>
        </w:rPr>
      </w:pPr>
      <w:r>
        <w:rPr>
          <w:color w:val="auto"/>
          <w:sz w:val="24"/>
          <w:highlight w:val="none"/>
        </w:rPr>
        <w:t>（4）</w:t>
      </w:r>
      <w:r>
        <w:rPr>
          <w:rFonts w:hint="eastAsia"/>
          <w:color w:val="auto"/>
          <w:sz w:val="24"/>
          <w:highlight w:val="none"/>
        </w:rPr>
        <w:t>与其他参加本次投标供应商的投标文件（技术文件）的文字表述内容相同连续20行以上或者差错相同2处以上的；</w:t>
      </w:r>
    </w:p>
    <w:p w14:paraId="18D5C790">
      <w:pPr>
        <w:snapToGrid w:val="0"/>
        <w:spacing w:line="360" w:lineRule="auto"/>
        <w:ind w:firstLine="472" w:firstLineChars="196"/>
        <w:rPr>
          <w:rFonts w:hAnsi="宋体"/>
          <w:b/>
          <w:bCs/>
          <w:color w:val="auto"/>
          <w:sz w:val="24"/>
          <w:highlight w:val="none"/>
        </w:rPr>
      </w:pPr>
      <w:r>
        <w:rPr>
          <w:rFonts w:hAnsi="宋体"/>
          <w:b/>
          <w:bCs/>
          <w:color w:val="auto"/>
          <w:sz w:val="24"/>
          <w:highlight w:val="none"/>
        </w:rPr>
        <w:t>3</w:t>
      </w:r>
      <w:r>
        <w:rPr>
          <w:rFonts w:hint="eastAsia" w:hAnsi="宋体"/>
          <w:b/>
          <w:bCs/>
          <w:color w:val="auto"/>
          <w:sz w:val="24"/>
          <w:highlight w:val="none"/>
        </w:rPr>
        <w:t>.</w:t>
      </w:r>
      <w:r>
        <w:rPr>
          <w:rFonts w:hAnsi="宋体"/>
          <w:b/>
          <w:bCs/>
          <w:color w:val="auto"/>
          <w:sz w:val="24"/>
          <w:highlight w:val="none"/>
        </w:rPr>
        <w:t>在报价评审时，如发现下列情形之一的，投标文件将被视为无效：</w:t>
      </w:r>
    </w:p>
    <w:p w14:paraId="078D5297">
      <w:pPr>
        <w:snapToGrid w:val="0"/>
        <w:spacing w:line="360" w:lineRule="auto"/>
        <w:ind w:firstLine="472" w:firstLineChars="196"/>
        <w:rPr>
          <w:rFonts w:hAnsi="宋体"/>
          <w:color w:val="auto"/>
          <w:sz w:val="24"/>
          <w:highlight w:val="none"/>
        </w:rPr>
      </w:pPr>
      <w:r>
        <w:rPr>
          <w:rFonts w:hAnsi="宋体"/>
          <w:b/>
          <w:color w:val="auto"/>
          <w:sz w:val="24"/>
          <w:highlight w:val="none"/>
        </w:rPr>
        <w:t>（</w:t>
      </w:r>
      <w:r>
        <w:rPr>
          <w:rFonts w:hAnsi="宋体"/>
          <w:color w:val="auto"/>
          <w:sz w:val="24"/>
          <w:highlight w:val="none"/>
        </w:rPr>
        <w:t>1）未采用人民币报价或者未按照招标文件标明的币种报价的；</w:t>
      </w:r>
    </w:p>
    <w:p w14:paraId="0C9E1BC8">
      <w:pPr>
        <w:snapToGrid w:val="0"/>
        <w:spacing w:line="360" w:lineRule="auto"/>
        <w:ind w:firstLine="472" w:firstLineChars="196"/>
        <w:rPr>
          <w:rFonts w:hAnsi="宋体"/>
          <w:color w:val="auto"/>
          <w:sz w:val="24"/>
          <w:highlight w:val="none"/>
        </w:rPr>
      </w:pPr>
      <w:r>
        <w:rPr>
          <w:rFonts w:hAnsi="宋体"/>
          <w:b/>
          <w:color w:val="auto"/>
          <w:sz w:val="24"/>
          <w:highlight w:val="none"/>
        </w:rPr>
        <w:t>（</w:t>
      </w:r>
      <w:r>
        <w:rPr>
          <w:rFonts w:hAnsi="宋体"/>
          <w:color w:val="auto"/>
          <w:sz w:val="24"/>
          <w:highlight w:val="none"/>
        </w:rPr>
        <w:t>2）报价超出最高限价的</w:t>
      </w:r>
      <w:r>
        <w:rPr>
          <w:rFonts w:hint="eastAsia" w:hAnsi="宋体"/>
          <w:color w:val="auto"/>
          <w:sz w:val="24"/>
          <w:highlight w:val="none"/>
        </w:rPr>
        <w:t>；</w:t>
      </w:r>
    </w:p>
    <w:p w14:paraId="0DFA8871">
      <w:pPr>
        <w:snapToGrid w:val="0"/>
        <w:spacing w:line="360" w:lineRule="auto"/>
        <w:ind w:firstLine="470" w:firstLineChars="196"/>
        <w:rPr>
          <w:rFonts w:hAnsi="宋体"/>
          <w:color w:val="auto"/>
          <w:sz w:val="24"/>
          <w:highlight w:val="none"/>
        </w:rPr>
      </w:pPr>
      <w:r>
        <w:rPr>
          <w:rFonts w:hint="eastAsia" w:hAnsi="宋体"/>
          <w:color w:val="auto"/>
          <w:sz w:val="24"/>
          <w:highlight w:val="none"/>
        </w:rPr>
        <w:t>（3）投标报价具有选择性，或者开标价格与投标文件承诺的优惠（折扣）价格不一致的；</w:t>
      </w:r>
    </w:p>
    <w:p w14:paraId="5B8E5843">
      <w:pPr>
        <w:snapToGrid w:val="0"/>
        <w:spacing w:line="360" w:lineRule="auto"/>
        <w:ind w:firstLine="472" w:firstLineChars="196"/>
        <w:rPr>
          <w:rFonts w:hint="eastAsia" w:hAnsi="宋体"/>
          <w:b/>
          <w:color w:val="auto"/>
          <w:sz w:val="24"/>
          <w:highlight w:val="none"/>
        </w:rPr>
      </w:pPr>
      <w:r>
        <w:rPr>
          <w:rFonts w:hAnsi="宋体"/>
          <w:b/>
          <w:color w:val="auto"/>
          <w:sz w:val="24"/>
          <w:highlight w:val="none"/>
        </w:rPr>
        <w:t>4</w:t>
      </w:r>
      <w:r>
        <w:rPr>
          <w:rFonts w:hint="eastAsia" w:hAnsi="宋体"/>
          <w:b/>
          <w:color w:val="auto"/>
          <w:sz w:val="24"/>
          <w:highlight w:val="none"/>
        </w:rPr>
        <w:t>.</w:t>
      </w:r>
      <w:r>
        <w:rPr>
          <w:rFonts w:hAnsi="宋体"/>
          <w:b/>
          <w:color w:val="auto"/>
          <w:sz w:val="24"/>
          <w:highlight w:val="none"/>
        </w:rPr>
        <w:t>被拒绝的投标文件为无效</w:t>
      </w:r>
      <w:r>
        <w:rPr>
          <w:rFonts w:hint="eastAsia" w:hAnsi="宋体"/>
          <w:b/>
          <w:color w:val="auto"/>
          <w:sz w:val="24"/>
          <w:highlight w:val="none"/>
          <w:lang w:eastAsia="zh-CN"/>
        </w:rPr>
        <w:t>，</w:t>
      </w:r>
      <w:r>
        <w:rPr>
          <w:rFonts w:hint="eastAsia" w:hAnsi="宋体"/>
          <w:b/>
          <w:color w:val="auto"/>
          <w:sz w:val="24"/>
          <w:highlight w:val="none"/>
        </w:rPr>
        <w:t>仅提供备份投标文件的无效。</w:t>
      </w:r>
    </w:p>
    <w:p w14:paraId="69F9C2D1">
      <w:pPr>
        <w:snapToGrid w:val="0"/>
        <w:spacing w:line="360" w:lineRule="auto"/>
        <w:ind w:firstLine="472" w:firstLineChars="196"/>
        <w:rPr>
          <w:rFonts w:ascii="宋体" w:hAnsi="宋体"/>
          <w:b/>
          <w:bCs/>
          <w:sz w:val="24"/>
        </w:rPr>
      </w:pPr>
      <w:r>
        <w:rPr>
          <w:rFonts w:hint="eastAsia" w:ascii="宋体" w:hAnsi="宋体"/>
          <w:b/>
          <w:bCs/>
          <w:sz w:val="24"/>
          <w:lang w:val="en-US" w:eastAsia="zh-CN"/>
        </w:rPr>
        <w:t>5</w:t>
      </w:r>
      <w:r>
        <w:rPr>
          <w:rFonts w:hint="eastAsia" w:ascii="宋体" w:hAnsi="宋体"/>
          <w:b/>
          <w:bCs/>
          <w:sz w:val="24"/>
        </w:rPr>
        <w:t>.投标人存在下列情形之一且无法合理解释的，其投标（响应）文件无效：</w:t>
      </w:r>
    </w:p>
    <w:p w14:paraId="18AACED8">
      <w:pPr>
        <w:snapToGrid w:val="0"/>
        <w:spacing w:line="360" w:lineRule="auto"/>
        <w:ind w:firstLine="470" w:firstLineChars="196"/>
        <w:rPr>
          <w:rFonts w:hint="eastAsia"/>
          <w:sz w:val="24"/>
        </w:rPr>
      </w:pPr>
      <w:r>
        <w:rPr>
          <w:rFonts w:hint="eastAsia"/>
          <w:sz w:val="24"/>
        </w:rPr>
        <w:t>（</w:t>
      </w:r>
      <w:r>
        <w:rPr>
          <w:sz w:val="24"/>
        </w:rPr>
        <w:t>1</w:t>
      </w:r>
      <w:r>
        <w:rPr>
          <w:rFonts w:hint="eastAsia"/>
          <w:sz w:val="24"/>
        </w:rPr>
        <w:t>）不同供应商的电子投标（响应）文件上传计算机的网卡</w:t>
      </w:r>
      <w:r>
        <w:rPr>
          <w:sz w:val="24"/>
        </w:rPr>
        <w:t>MAC</w:t>
      </w:r>
      <w:r>
        <w:rPr>
          <w:rFonts w:hint="eastAsia"/>
          <w:sz w:val="24"/>
        </w:rPr>
        <w:t>地址或硬盘序列号等硬件信息相同的；</w:t>
      </w:r>
    </w:p>
    <w:p w14:paraId="5C8DA13B">
      <w:pPr>
        <w:snapToGrid w:val="0"/>
        <w:spacing w:line="360" w:lineRule="auto"/>
        <w:ind w:firstLine="470" w:firstLineChars="196"/>
        <w:rPr>
          <w:sz w:val="24"/>
        </w:rPr>
      </w:pPr>
      <w:r>
        <w:rPr>
          <w:rFonts w:hint="eastAsia"/>
          <w:sz w:val="24"/>
        </w:rPr>
        <w:t>（</w:t>
      </w:r>
      <w:r>
        <w:rPr>
          <w:sz w:val="24"/>
        </w:rPr>
        <w:t>2</w:t>
      </w:r>
      <w:r>
        <w:rPr>
          <w:rFonts w:hint="eastAsia"/>
          <w:sz w:val="24"/>
        </w:rPr>
        <w:t>）上传的电子投标（响应）文件若出现使用本项目其他投标（响应）供应商的数字证书加密的，或者加盖本项目其他投标（响应）供应商的电子印章的；</w:t>
      </w:r>
    </w:p>
    <w:p w14:paraId="5C3393ED">
      <w:pPr>
        <w:snapToGrid w:val="0"/>
        <w:spacing w:line="360" w:lineRule="auto"/>
        <w:ind w:firstLine="470" w:firstLineChars="196"/>
        <w:rPr>
          <w:sz w:val="24"/>
        </w:rPr>
      </w:pPr>
      <w:r>
        <w:rPr>
          <w:rFonts w:hint="eastAsia"/>
          <w:sz w:val="24"/>
        </w:rPr>
        <w:t>（</w:t>
      </w:r>
      <w:r>
        <w:rPr>
          <w:sz w:val="24"/>
        </w:rPr>
        <w:t>3</w:t>
      </w:r>
      <w:r>
        <w:rPr>
          <w:rFonts w:hint="eastAsia"/>
          <w:sz w:val="24"/>
        </w:rPr>
        <w:t>）不同供应商的投标（响应）文件的内容存在</w:t>
      </w:r>
      <w:r>
        <w:rPr>
          <w:sz w:val="24"/>
        </w:rPr>
        <w:t>3</w:t>
      </w:r>
      <w:r>
        <w:rPr>
          <w:rFonts w:hint="eastAsia"/>
          <w:sz w:val="24"/>
        </w:rPr>
        <w:t>处（含）以上错误一致的；</w:t>
      </w:r>
    </w:p>
    <w:p w14:paraId="0D0120E5">
      <w:pPr>
        <w:snapToGrid w:val="0"/>
        <w:spacing w:line="360" w:lineRule="auto"/>
        <w:ind w:firstLine="470" w:firstLineChars="196"/>
        <w:rPr>
          <w:sz w:val="24"/>
        </w:rPr>
      </w:pPr>
      <w:r>
        <w:rPr>
          <w:rFonts w:hint="eastAsia"/>
          <w:sz w:val="24"/>
        </w:rPr>
        <w:t>（</w:t>
      </w:r>
      <w:r>
        <w:rPr>
          <w:sz w:val="24"/>
        </w:rPr>
        <w:t>4</w:t>
      </w:r>
      <w:r>
        <w:rPr>
          <w:rFonts w:hint="eastAsia"/>
          <w:sz w:val="24"/>
        </w:rPr>
        <w:t>）不同供应商联系人为同一人或不同联系人的联系电话一致的。</w:t>
      </w:r>
    </w:p>
    <w:p w14:paraId="2C463627">
      <w:pPr>
        <w:snapToGrid w:val="0"/>
        <w:spacing w:line="360" w:lineRule="auto"/>
        <w:ind w:firstLine="472" w:firstLineChars="196"/>
        <w:rPr>
          <w:rFonts w:ascii="宋体" w:hAnsi="宋体"/>
          <w:b/>
          <w:bCs/>
          <w:sz w:val="24"/>
        </w:rPr>
      </w:pPr>
      <w:r>
        <w:rPr>
          <w:rFonts w:hint="eastAsia" w:ascii="宋体" w:hAnsi="宋体"/>
          <w:b/>
          <w:bCs/>
          <w:sz w:val="24"/>
          <w:lang w:val="en-US" w:eastAsia="zh-CN"/>
        </w:rPr>
        <w:t>6</w:t>
      </w:r>
      <w:r>
        <w:rPr>
          <w:rFonts w:hint="eastAsia" w:ascii="宋体" w:hAnsi="宋体"/>
          <w:b/>
          <w:bCs/>
          <w:sz w:val="24"/>
        </w:rPr>
        <w:t>.投标人有下列情形之一的，属于恶意串通，其投标无效：</w:t>
      </w:r>
    </w:p>
    <w:p w14:paraId="430250A5">
      <w:pPr>
        <w:snapToGrid w:val="0"/>
        <w:spacing w:line="360" w:lineRule="auto"/>
        <w:ind w:firstLine="470" w:firstLineChars="196"/>
        <w:rPr>
          <w:sz w:val="24"/>
        </w:rPr>
      </w:pPr>
      <w:r>
        <w:rPr>
          <w:rFonts w:hint="eastAsia"/>
          <w:sz w:val="24"/>
        </w:rPr>
        <w:t>（1）投标人直接或者间接从采购人或者采购代理机构处获得其他投标人的相关情况并修改其投标（响应）文件；</w:t>
      </w:r>
    </w:p>
    <w:p w14:paraId="6AFE6087">
      <w:pPr>
        <w:snapToGrid w:val="0"/>
        <w:spacing w:line="360" w:lineRule="auto"/>
        <w:ind w:firstLine="470" w:firstLineChars="196"/>
        <w:rPr>
          <w:sz w:val="24"/>
        </w:rPr>
      </w:pPr>
      <w:r>
        <w:rPr>
          <w:rFonts w:hint="eastAsia"/>
          <w:sz w:val="24"/>
        </w:rPr>
        <w:t>（2）投标人按照采购人或者采购代理机构的授意撤换、修改投标（响应）文件；</w:t>
      </w:r>
    </w:p>
    <w:p w14:paraId="78A2BF58">
      <w:pPr>
        <w:snapToGrid w:val="0"/>
        <w:spacing w:line="360" w:lineRule="auto"/>
        <w:ind w:firstLine="470" w:firstLineChars="196"/>
        <w:rPr>
          <w:sz w:val="24"/>
        </w:rPr>
      </w:pPr>
      <w:r>
        <w:rPr>
          <w:rFonts w:hint="eastAsia"/>
          <w:sz w:val="24"/>
        </w:rPr>
        <w:t>（3）投标人之间协商报价、技术方案等投标（响应）文件的实质性内容；</w:t>
      </w:r>
    </w:p>
    <w:p w14:paraId="27378E16">
      <w:pPr>
        <w:snapToGrid w:val="0"/>
        <w:spacing w:line="360" w:lineRule="auto"/>
        <w:ind w:firstLine="470" w:firstLineChars="196"/>
        <w:rPr>
          <w:sz w:val="24"/>
        </w:rPr>
      </w:pPr>
      <w:r>
        <w:rPr>
          <w:rFonts w:hint="eastAsia"/>
          <w:sz w:val="24"/>
        </w:rPr>
        <w:t>（4）属于同一集团、协会、商会等组织成员的投标人按照该组织要求协同参加政府采购活动；</w:t>
      </w:r>
    </w:p>
    <w:p w14:paraId="4E335772">
      <w:pPr>
        <w:snapToGrid w:val="0"/>
        <w:spacing w:line="360" w:lineRule="auto"/>
        <w:ind w:firstLine="470" w:firstLineChars="196"/>
        <w:rPr>
          <w:sz w:val="24"/>
        </w:rPr>
      </w:pPr>
      <w:r>
        <w:rPr>
          <w:rFonts w:hint="eastAsia"/>
          <w:sz w:val="24"/>
        </w:rPr>
        <w:t>（5）投标人之间事先约定由某一特定投标人中标、成交；</w:t>
      </w:r>
    </w:p>
    <w:p w14:paraId="2BDEA2E0">
      <w:pPr>
        <w:snapToGrid w:val="0"/>
        <w:spacing w:line="360" w:lineRule="auto"/>
        <w:ind w:firstLine="470" w:firstLineChars="196"/>
        <w:rPr>
          <w:sz w:val="24"/>
        </w:rPr>
      </w:pPr>
      <w:r>
        <w:rPr>
          <w:rFonts w:hint="eastAsia"/>
          <w:sz w:val="24"/>
        </w:rPr>
        <w:t>（6）投标人之间商定部分投标人放弃参加政府采购活动或者放弃中标、成交；</w:t>
      </w:r>
    </w:p>
    <w:p w14:paraId="5F6E830E">
      <w:pPr>
        <w:snapToGrid w:val="0"/>
        <w:spacing w:line="360" w:lineRule="auto"/>
        <w:ind w:firstLine="470" w:firstLineChars="196"/>
        <w:rPr>
          <w:sz w:val="24"/>
        </w:rPr>
      </w:pPr>
      <w:r>
        <w:rPr>
          <w:rFonts w:hint="eastAsia"/>
          <w:sz w:val="24"/>
        </w:rPr>
        <w:t>（7）投标人与采购人或者采购代理机构之间、投标人相互之间，为谋求特定投标人中标、成交或者排斥其他投标人的其他串通行为。</w:t>
      </w:r>
    </w:p>
    <w:p w14:paraId="21522577">
      <w:pPr>
        <w:pStyle w:val="2"/>
        <w:rPr>
          <w:rFonts w:hint="eastAsia"/>
          <w:lang w:eastAsia="zh-CN"/>
        </w:rPr>
      </w:pPr>
    </w:p>
    <w:p w14:paraId="3F462F85">
      <w:pPr>
        <w:snapToGrid w:val="0"/>
        <w:spacing w:line="360" w:lineRule="auto"/>
        <w:ind w:firstLine="472" w:firstLineChars="196"/>
        <w:rPr>
          <w:rFonts w:hAnsi="宋体"/>
          <w:b/>
          <w:color w:val="auto"/>
          <w:sz w:val="24"/>
          <w:highlight w:val="none"/>
        </w:rPr>
      </w:pPr>
      <w:r>
        <w:rPr>
          <w:rFonts w:hint="eastAsia" w:hAnsi="宋体"/>
          <w:b/>
          <w:color w:val="auto"/>
          <w:sz w:val="24"/>
          <w:highlight w:val="none"/>
        </w:rPr>
        <w:t>四、开标</w:t>
      </w:r>
    </w:p>
    <w:p w14:paraId="472CAE7D">
      <w:pPr>
        <w:snapToGrid w:val="0"/>
        <w:spacing w:line="360" w:lineRule="auto"/>
        <w:ind w:firstLine="472" w:firstLineChars="196"/>
        <w:rPr>
          <w:rFonts w:hAnsi="宋体"/>
          <w:b/>
          <w:color w:val="auto"/>
          <w:sz w:val="24"/>
          <w:highlight w:val="none"/>
        </w:rPr>
      </w:pPr>
      <w:r>
        <w:rPr>
          <w:rFonts w:hAnsi="宋体"/>
          <w:b/>
          <w:color w:val="auto"/>
          <w:sz w:val="24"/>
          <w:highlight w:val="none"/>
        </w:rPr>
        <w:t>（一）开标准备</w:t>
      </w:r>
    </w:p>
    <w:p w14:paraId="12A5DD37">
      <w:pPr>
        <w:snapToGrid w:val="0"/>
        <w:spacing w:line="360" w:lineRule="auto"/>
        <w:ind w:firstLine="470" w:firstLineChars="196"/>
        <w:rPr>
          <w:rFonts w:hAnsi="宋体"/>
          <w:color w:val="auto"/>
          <w:sz w:val="24"/>
          <w:highlight w:val="none"/>
        </w:rPr>
      </w:pPr>
      <w:r>
        <w:rPr>
          <w:rFonts w:hint="eastAsia" w:hAnsi="宋体"/>
          <w:color w:val="auto"/>
          <w:sz w:val="24"/>
          <w:highlight w:val="none"/>
        </w:rPr>
        <w:t>1.组织机构将按照招标文件规定的时间通过“政府采购云平台”组织开标、开启投标文件，所有供应商均应当准时在线参加。</w:t>
      </w:r>
    </w:p>
    <w:p w14:paraId="5E3E4324">
      <w:pPr>
        <w:snapToGrid w:val="0"/>
        <w:spacing w:line="360" w:lineRule="auto"/>
        <w:ind w:firstLine="470" w:firstLineChars="196"/>
        <w:rPr>
          <w:rFonts w:hAnsi="宋体"/>
          <w:color w:val="auto"/>
          <w:sz w:val="24"/>
          <w:highlight w:val="none"/>
        </w:rPr>
      </w:pPr>
      <w:r>
        <w:rPr>
          <w:rFonts w:hint="eastAsia" w:hAnsi="宋体"/>
          <w:color w:val="auto"/>
          <w:sz w:val="24"/>
          <w:highlight w:val="none"/>
        </w:rPr>
        <w:t>2.按照“不见面、少接触”的原则，本项目原则上采取“不见面”形式进行开评标活动</w:t>
      </w:r>
      <w:r>
        <w:rPr>
          <w:rFonts w:hint="eastAsia" w:hAnsi="宋体"/>
          <w:color w:val="auto"/>
          <w:sz w:val="24"/>
          <w:highlight w:val="none"/>
          <w:lang w:eastAsia="zh-CN"/>
        </w:rPr>
        <w:t>，</w:t>
      </w:r>
      <w:r>
        <w:rPr>
          <w:rFonts w:hint="eastAsia" w:hAnsi="宋体"/>
          <w:color w:val="auto"/>
          <w:sz w:val="24"/>
          <w:highlight w:val="none"/>
        </w:rPr>
        <w:t>法定代表人或其授权代表无须到场，在线响应即可（通过指定的电子邮箱、传真等），但也允许供应商派授权代表出席开标会议。</w:t>
      </w:r>
    </w:p>
    <w:p w14:paraId="0CFBF1B4">
      <w:pPr>
        <w:snapToGrid w:val="0"/>
        <w:spacing w:line="360" w:lineRule="auto"/>
        <w:ind w:firstLine="472" w:firstLineChars="196"/>
        <w:rPr>
          <w:rFonts w:hAnsi="宋体"/>
          <w:b/>
          <w:color w:val="auto"/>
          <w:sz w:val="24"/>
          <w:highlight w:val="none"/>
        </w:rPr>
      </w:pPr>
      <w:r>
        <w:rPr>
          <w:rFonts w:hAnsi="宋体"/>
          <w:b/>
          <w:color w:val="auto"/>
          <w:sz w:val="24"/>
          <w:highlight w:val="none"/>
        </w:rPr>
        <w:t>（二） 开标程序：</w:t>
      </w:r>
    </w:p>
    <w:p w14:paraId="29161EC6">
      <w:pPr>
        <w:snapToGrid w:val="0"/>
        <w:spacing w:line="360" w:lineRule="auto"/>
        <w:ind w:firstLine="470" w:firstLineChars="196"/>
        <w:rPr>
          <w:rFonts w:hAnsi="宋体"/>
          <w:color w:val="auto"/>
          <w:sz w:val="24"/>
          <w:highlight w:val="none"/>
        </w:rPr>
      </w:pPr>
      <w:r>
        <w:rPr>
          <w:rFonts w:hint="eastAsia" w:hAnsi="宋体"/>
          <w:color w:val="auto"/>
          <w:sz w:val="24"/>
          <w:highlight w:val="none"/>
        </w:rPr>
        <w:t>1.开标的准备工作由采购组织机构负责落实；</w:t>
      </w:r>
    </w:p>
    <w:p w14:paraId="38EBBFC7">
      <w:pPr>
        <w:snapToGrid w:val="0"/>
        <w:spacing w:line="360" w:lineRule="auto"/>
        <w:ind w:firstLine="470" w:firstLineChars="196"/>
        <w:rPr>
          <w:rFonts w:hAnsi="宋体"/>
          <w:color w:val="auto"/>
          <w:sz w:val="24"/>
          <w:highlight w:val="none"/>
        </w:rPr>
      </w:pPr>
      <w:r>
        <w:rPr>
          <w:rFonts w:hint="eastAsia" w:hAnsi="宋体"/>
          <w:color w:val="auto"/>
          <w:sz w:val="24"/>
          <w:highlight w:val="none"/>
        </w:rPr>
        <w:t>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74F0661E">
      <w:pPr>
        <w:snapToGrid w:val="0"/>
        <w:spacing w:line="360" w:lineRule="auto"/>
        <w:ind w:firstLine="472" w:firstLineChars="196"/>
        <w:rPr>
          <w:rFonts w:hAnsi="宋体"/>
          <w:b/>
          <w:color w:val="auto"/>
          <w:sz w:val="24"/>
          <w:highlight w:val="none"/>
        </w:rPr>
      </w:pPr>
      <w:r>
        <w:rPr>
          <w:rFonts w:hint="eastAsia" w:hAnsi="宋体"/>
          <w:b/>
          <w:color w:val="auto"/>
          <w:sz w:val="24"/>
          <w:highlight w:val="none"/>
        </w:rPr>
        <w:t>（三）开标流程</w:t>
      </w:r>
    </w:p>
    <w:p w14:paraId="336B5879">
      <w:pPr>
        <w:snapToGrid w:val="0"/>
        <w:spacing w:line="360" w:lineRule="auto"/>
        <w:ind w:firstLine="470" w:firstLineChars="196"/>
        <w:rPr>
          <w:rFonts w:hAnsi="宋体"/>
          <w:color w:val="auto"/>
          <w:sz w:val="24"/>
          <w:highlight w:val="none"/>
        </w:rPr>
      </w:pPr>
      <w:r>
        <w:rPr>
          <w:rFonts w:hint="eastAsia" w:hAnsi="宋体"/>
          <w:color w:val="auto"/>
          <w:sz w:val="24"/>
          <w:highlight w:val="none"/>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71611274">
      <w:pPr>
        <w:snapToGrid w:val="0"/>
        <w:spacing w:line="360" w:lineRule="auto"/>
        <w:ind w:firstLine="470" w:firstLineChars="196"/>
        <w:rPr>
          <w:rFonts w:hAnsi="宋体"/>
          <w:color w:val="auto"/>
          <w:sz w:val="24"/>
          <w:highlight w:val="none"/>
        </w:rPr>
      </w:pPr>
      <w:r>
        <w:rPr>
          <w:rFonts w:hint="eastAsia" w:hAnsi="宋体"/>
          <w:color w:val="auto"/>
          <w:sz w:val="24"/>
          <w:highlight w:val="none"/>
        </w:rPr>
        <w:t>2.投标文件解密结束；</w:t>
      </w:r>
    </w:p>
    <w:p w14:paraId="4802D4BF">
      <w:pPr>
        <w:snapToGrid w:val="0"/>
        <w:spacing w:line="360" w:lineRule="auto"/>
        <w:ind w:firstLine="470" w:firstLineChars="196"/>
        <w:rPr>
          <w:rFonts w:hAnsi="宋体"/>
          <w:color w:val="auto"/>
          <w:sz w:val="24"/>
          <w:highlight w:val="none"/>
        </w:rPr>
      </w:pPr>
      <w:r>
        <w:rPr>
          <w:rFonts w:hint="eastAsia" w:hAnsi="宋体"/>
          <w:color w:val="auto"/>
          <w:sz w:val="24"/>
          <w:highlight w:val="none"/>
        </w:rPr>
        <w:t>3.开启投标文件，进入资格审查；</w:t>
      </w:r>
    </w:p>
    <w:p w14:paraId="5E4369D0">
      <w:pPr>
        <w:snapToGrid w:val="0"/>
        <w:spacing w:line="360" w:lineRule="auto"/>
        <w:ind w:firstLine="470" w:firstLineChars="196"/>
        <w:rPr>
          <w:rFonts w:hAnsi="宋体"/>
          <w:color w:val="auto"/>
          <w:sz w:val="24"/>
          <w:highlight w:val="none"/>
        </w:rPr>
      </w:pPr>
      <w:r>
        <w:rPr>
          <w:rFonts w:hint="eastAsia" w:hAnsi="宋体"/>
          <w:color w:val="auto"/>
          <w:sz w:val="24"/>
          <w:highlight w:val="none"/>
        </w:rPr>
        <w:t>4.开启资格审查通过的投标供应商的商务技术文件进入符合性审查、商务技术评审；</w:t>
      </w:r>
    </w:p>
    <w:p w14:paraId="405343F6">
      <w:pPr>
        <w:snapToGrid w:val="0"/>
        <w:spacing w:line="360" w:lineRule="auto"/>
        <w:ind w:firstLine="470" w:firstLineChars="196"/>
        <w:rPr>
          <w:rFonts w:hAnsi="宋体"/>
          <w:color w:val="auto"/>
          <w:sz w:val="24"/>
          <w:highlight w:val="none"/>
        </w:rPr>
      </w:pPr>
      <w:r>
        <w:rPr>
          <w:rFonts w:hint="eastAsia" w:hAnsi="宋体"/>
          <w:color w:val="auto"/>
          <w:sz w:val="24"/>
          <w:highlight w:val="none"/>
        </w:rPr>
        <w:t>1）符合性审查、商务技术评审结束后，公布符合性审查、商务技术评审无效供应商名称及理由；公布经商务技术评审后有效投标供应商的名单，同时公布其商务技术部分得分情况。</w:t>
      </w:r>
    </w:p>
    <w:p w14:paraId="22A0CAEA">
      <w:pPr>
        <w:snapToGrid w:val="0"/>
        <w:spacing w:line="360" w:lineRule="auto"/>
        <w:ind w:firstLine="470" w:firstLineChars="196"/>
        <w:rPr>
          <w:rFonts w:hAnsi="宋体"/>
          <w:color w:val="auto"/>
          <w:sz w:val="24"/>
          <w:highlight w:val="none"/>
        </w:rPr>
      </w:pPr>
      <w:r>
        <w:rPr>
          <w:rFonts w:hint="eastAsia" w:hAnsi="宋体"/>
          <w:color w:val="auto"/>
          <w:sz w:val="24"/>
          <w:highlight w:val="none"/>
        </w:rPr>
        <w:t>2）开启符合性审查、商务技术评审有效投标供应商的《报价文件》，公布开标一览表有关内容，同时当场制作开标记录表，唱标结束后，由评标委员会对报价的合理性、准确性等进行审查核实。</w:t>
      </w:r>
    </w:p>
    <w:p w14:paraId="10342E62">
      <w:pPr>
        <w:snapToGrid w:val="0"/>
        <w:spacing w:line="360" w:lineRule="auto"/>
        <w:ind w:firstLine="470" w:firstLineChars="196"/>
        <w:rPr>
          <w:rFonts w:hAnsi="宋体"/>
          <w:color w:val="auto"/>
          <w:sz w:val="24"/>
          <w:highlight w:val="none"/>
        </w:rPr>
      </w:pPr>
      <w:r>
        <w:rPr>
          <w:rFonts w:hint="eastAsia" w:hAnsi="宋体"/>
          <w:color w:val="auto"/>
          <w:sz w:val="24"/>
          <w:highlight w:val="none"/>
        </w:rPr>
        <w:t>3）公布报价部分得分情况；</w:t>
      </w:r>
    </w:p>
    <w:p w14:paraId="2F631283">
      <w:pPr>
        <w:snapToGrid w:val="0"/>
        <w:spacing w:line="360" w:lineRule="auto"/>
        <w:ind w:firstLine="470" w:firstLineChars="196"/>
        <w:rPr>
          <w:rFonts w:hAnsi="宋体"/>
          <w:color w:val="auto"/>
          <w:sz w:val="24"/>
          <w:highlight w:val="none"/>
        </w:rPr>
      </w:pPr>
      <w:r>
        <w:rPr>
          <w:rFonts w:hint="eastAsia" w:hAnsi="宋体"/>
          <w:color w:val="auto"/>
          <w:sz w:val="24"/>
          <w:highlight w:val="none"/>
        </w:rPr>
        <w:t>4）评审结束后，公布中标（成交）候选供应商名单等。</w:t>
      </w:r>
    </w:p>
    <w:p w14:paraId="2ECB9DC6">
      <w:pPr>
        <w:snapToGrid w:val="0"/>
        <w:spacing w:line="360" w:lineRule="auto"/>
        <w:ind w:firstLine="470" w:firstLineChars="196"/>
        <w:rPr>
          <w:rFonts w:hAnsi="宋体"/>
          <w:color w:val="auto"/>
          <w:sz w:val="24"/>
          <w:highlight w:val="none"/>
        </w:rPr>
      </w:pPr>
      <w:r>
        <w:rPr>
          <w:rFonts w:hint="eastAsia" w:hAnsi="宋体"/>
          <w:color w:val="auto"/>
          <w:sz w:val="24"/>
          <w:highlight w:val="none"/>
        </w:rPr>
        <w:t>5）开标结束。</w:t>
      </w:r>
    </w:p>
    <w:p w14:paraId="0CC621A8">
      <w:pPr>
        <w:snapToGrid w:val="0"/>
        <w:spacing w:line="360" w:lineRule="auto"/>
        <w:ind w:firstLine="470" w:firstLineChars="196"/>
        <w:rPr>
          <w:rFonts w:hAnsi="宋体"/>
          <w:color w:val="auto"/>
          <w:sz w:val="24"/>
          <w:highlight w:val="none"/>
        </w:rPr>
      </w:pPr>
      <w:r>
        <w:rPr>
          <w:rFonts w:hint="eastAsia" w:hAnsi="宋体"/>
          <w:color w:val="auto"/>
          <w:sz w:val="24"/>
          <w:highlight w:val="none"/>
        </w:rPr>
        <w:t>特别说明：如遇“政府采购云平台”电子化开标或评审程序调整的，按调整后程序执行。</w:t>
      </w:r>
      <w:bookmarkStart w:id="0" w:name="_Toc24550037"/>
      <w:bookmarkStart w:id="1" w:name="_Toc33194393"/>
    </w:p>
    <w:p w14:paraId="74ACBD96">
      <w:pPr>
        <w:snapToGrid w:val="0"/>
        <w:spacing w:line="360" w:lineRule="auto"/>
        <w:ind w:firstLine="472" w:firstLineChars="196"/>
        <w:rPr>
          <w:rFonts w:hAnsi="宋体"/>
          <w:b/>
          <w:color w:val="auto"/>
          <w:sz w:val="24"/>
          <w:highlight w:val="none"/>
        </w:rPr>
      </w:pPr>
      <w:r>
        <w:rPr>
          <w:rFonts w:hint="eastAsia" w:hAnsi="宋体"/>
          <w:b/>
          <w:color w:val="auto"/>
          <w:sz w:val="24"/>
          <w:highlight w:val="none"/>
        </w:rPr>
        <w:t>（四）投标供应商资格审查</w:t>
      </w:r>
      <w:bookmarkEnd w:id="0"/>
      <w:bookmarkEnd w:id="1"/>
    </w:p>
    <w:p w14:paraId="07C4C6AB">
      <w:pPr>
        <w:snapToGrid w:val="0"/>
        <w:spacing w:line="360" w:lineRule="auto"/>
        <w:ind w:firstLine="470" w:firstLineChars="196"/>
        <w:rPr>
          <w:rFonts w:hAnsi="宋体"/>
          <w:color w:val="auto"/>
          <w:sz w:val="24"/>
          <w:highlight w:val="none"/>
        </w:rPr>
      </w:pPr>
      <w:r>
        <w:rPr>
          <w:rFonts w:hint="eastAsia" w:hAnsi="宋体"/>
          <w:color w:val="auto"/>
          <w:sz w:val="24"/>
          <w:highlight w:val="none"/>
        </w:rPr>
        <w:t>1.开标后，采购人或采购代理机构首先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14:paraId="60B66266">
      <w:pPr>
        <w:pStyle w:val="13"/>
        <w:snapToGrid w:val="0"/>
        <w:spacing w:beforeLines="0" w:afterLines="0" w:line="360" w:lineRule="auto"/>
        <w:ind w:firstLine="480" w:firstLineChars="200"/>
        <w:rPr>
          <w:rFonts w:hAnsi="宋体"/>
          <w:color w:val="auto"/>
          <w:sz w:val="24"/>
          <w:highlight w:val="none"/>
        </w:rPr>
      </w:pPr>
      <w:r>
        <w:rPr>
          <w:rFonts w:hint="eastAsia" w:hAnsi="宋体"/>
          <w:color w:val="auto"/>
          <w:sz w:val="24"/>
          <w:highlight w:val="none"/>
        </w:rPr>
        <w:t>2.投标供应商提交的资格证明材料无法证明其符合招标文件规定的“投标供应商资格要求”的，采购人或采购代理机构将对其作资格审查不通过处理（无效投标），并不再将其投标提交评标委员会进行后续评审。</w:t>
      </w:r>
    </w:p>
    <w:p w14:paraId="441B03DD">
      <w:pPr>
        <w:pStyle w:val="13"/>
        <w:snapToGrid w:val="0"/>
        <w:spacing w:beforeLines="0" w:afterLines="0" w:line="360" w:lineRule="auto"/>
        <w:ind w:firstLine="480" w:firstLineChars="200"/>
        <w:rPr>
          <w:rFonts w:hAnsi="宋体"/>
          <w:bCs/>
          <w:color w:val="auto"/>
          <w:sz w:val="24"/>
          <w:highlight w:val="none"/>
        </w:rPr>
      </w:pPr>
      <w:r>
        <w:rPr>
          <w:rFonts w:hint="eastAsia" w:hAnsi="宋体"/>
          <w:color w:val="auto"/>
          <w:sz w:val="24"/>
          <w:highlight w:val="none"/>
        </w:rPr>
        <w:t>3.单位负责人为同一人或者存在直接控股、管理关系的不同供应商参加同一合同项下的政府采购活动的，相关投标供应商均作资格无效处理。</w:t>
      </w:r>
    </w:p>
    <w:p w14:paraId="547A0A40">
      <w:pPr>
        <w:pStyle w:val="13"/>
        <w:snapToGrid w:val="0"/>
        <w:spacing w:beforeLines="0" w:afterLines="0" w:line="360" w:lineRule="auto"/>
        <w:ind w:left="802" w:leftChars="267" w:hanging="241" w:hangingChars="100"/>
        <w:outlineLvl w:val="1"/>
        <w:rPr>
          <w:rFonts w:hAnsi="宋体"/>
          <w:b/>
          <w:color w:val="auto"/>
          <w:sz w:val="24"/>
          <w:highlight w:val="none"/>
        </w:rPr>
      </w:pPr>
      <w:r>
        <w:rPr>
          <w:rFonts w:hint="eastAsia" w:hAnsi="宋体"/>
          <w:b/>
          <w:color w:val="auto"/>
          <w:sz w:val="24"/>
          <w:highlight w:val="none"/>
        </w:rPr>
        <w:t>五、评标</w:t>
      </w:r>
    </w:p>
    <w:p w14:paraId="366FF07C">
      <w:pPr>
        <w:pStyle w:val="13"/>
        <w:snapToGrid w:val="0"/>
        <w:spacing w:beforeLines="0" w:afterLines="0" w:line="360" w:lineRule="auto"/>
        <w:ind w:left="720" w:leftChars="228" w:hanging="241" w:hangingChars="100"/>
        <w:rPr>
          <w:rFonts w:hAnsi="宋体"/>
          <w:b/>
          <w:color w:val="auto"/>
          <w:sz w:val="24"/>
          <w:highlight w:val="none"/>
        </w:rPr>
      </w:pPr>
      <w:r>
        <w:rPr>
          <w:rFonts w:hAnsi="宋体"/>
          <w:b/>
          <w:color w:val="auto"/>
          <w:sz w:val="24"/>
          <w:highlight w:val="none"/>
        </w:rPr>
        <w:t>（一）组建评标委员会</w:t>
      </w:r>
    </w:p>
    <w:p w14:paraId="1C10EB05">
      <w:pPr>
        <w:pStyle w:val="13"/>
        <w:snapToGrid w:val="0"/>
        <w:spacing w:beforeLines="0" w:afterLines="0" w:line="360" w:lineRule="auto"/>
        <w:ind w:firstLine="480" w:firstLineChars="200"/>
        <w:rPr>
          <w:rFonts w:hAnsi="宋体"/>
          <w:color w:val="auto"/>
          <w:sz w:val="24"/>
          <w:highlight w:val="none"/>
        </w:rPr>
      </w:pPr>
      <w:r>
        <w:rPr>
          <w:rFonts w:hAnsi="宋体"/>
          <w:color w:val="auto"/>
          <w:sz w:val="24"/>
          <w:highlight w:val="none"/>
        </w:rPr>
        <w:t>本项目评标委员会由政府</w:t>
      </w:r>
      <w:r>
        <w:rPr>
          <w:rFonts w:hint="eastAsia" w:hAnsi="宋体"/>
          <w:color w:val="auto"/>
          <w:sz w:val="24"/>
          <w:highlight w:val="none"/>
        </w:rPr>
        <w:t>采购评审专家</w:t>
      </w:r>
      <w:r>
        <w:rPr>
          <w:rFonts w:hint="eastAsia" w:hAnsi="宋体"/>
          <w:color w:val="auto"/>
          <w:sz w:val="24"/>
          <w:highlight w:val="none"/>
          <w:u w:val="single"/>
        </w:rPr>
        <w:t>5</w:t>
      </w:r>
      <w:r>
        <w:rPr>
          <w:rFonts w:hint="eastAsia" w:hAnsi="宋体"/>
          <w:color w:val="auto"/>
          <w:sz w:val="24"/>
          <w:highlight w:val="none"/>
        </w:rPr>
        <w:t>人，采购人</w:t>
      </w:r>
      <w:r>
        <w:rPr>
          <w:rFonts w:hint="eastAsia" w:hAnsi="宋体"/>
          <w:color w:val="auto"/>
          <w:sz w:val="24"/>
          <w:highlight w:val="none"/>
          <w:u w:val="single"/>
        </w:rPr>
        <w:t>2</w:t>
      </w:r>
      <w:r>
        <w:rPr>
          <w:rFonts w:hint="eastAsia" w:hAnsi="宋体"/>
          <w:color w:val="auto"/>
          <w:sz w:val="24"/>
          <w:highlight w:val="none"/>
        </w:rPr>
        <w:t>人组成。</w:t>
      </w:r>
    </w:p>
    <w:p w14:paraId="7BC4C222">
      <w:pPr>
        <w:pStyle w:val="13"/>
        <w:snapToGrid w:val="0"/>
        <w:spacing w:beforeLines="0" w:afterLines="0" w:line="360" w:lineRule="auto"/>
        <w:ind w:firstLine="482" w:firstLineChars="200"/>
        <w:rPr>
          <w:rFonts w:hAnsi="宋体"/>
          <w:b/>
          <w:color w:val="auto"/>
          <w:sz w:val="24"/>
          <w:highlight w:val="none"/>
        </w:rPr>
      </w:pPr>
      <w:r>
        <w:rPr>
          <w:rFonts w:hAnsi="宋体"/>
          <w:b/>
          <w:color w:val="auto"/>
          <w:sz w:val="24"/>
          <w:highlight w:val="none"/>
        </w:rPr>
        <w:t>（二）评标的方式</w:t>
      </w:r>
    </w:p>
    <w:p w14:paraId="55069260">
      <w:pPr>
        <w:pStyle w:val="13"/>
        <w:snapToGrid w:val="0"/>
        <w:spacing w:beforeLines="0" w:afterLines="0" w:line="360" w:lineRule="auto"/>
        <w:ind w:left="719" w:leftChars="228" w:hanging="240" w:hangingChars="100"/>
        <w:rPr>
          <w:rFonts w:hAnsi="宋体"/>
          <w:color w:val="auto"/>
          <w:sz w:val="24"/>
          <w:highlight w:val="none"/>
        </w:rPr>
      </w:pPr>
      <w:r>
        <w:rPr>
          <w:rFonts w:hAnsi="宋体"/>
          <w:color w:val="auto"/>
          <w:sz w:val="24"/>
          <w:highlight w:val="none"/>
        </w:rPr>
        <w:t>本项目采用不公开方式评标，评标的依据为招标文件和投标文件。</w:t>
      </w:r>
    </w:p>
    <w:p w14:paraId="4524B0C7">
      <w:pPr>
        <w:pStyle w:val="13"/>
        <w:snapToGrid w:val="0"/>
        <w:spacing w:beforeLines="0" w:afterLines="0" w:line="360" w:lineRule="auto"/>
        <w:ind w:left="720" w:leftChars="228" w:hanging="241" w:hangingChars="100"/>
        <w:rPr>
          <w:rFonts w:hAnsi="宋体"/>
          <w:b/>
          <w:bCs/>
          <w:color w:val="auto"/>
          <w:sz w:val="24"/>
          <w:highlight w:val="none"/>
        </w:rPr>
      </w:pPr>
      <w:r>
        <w:rPr>
          <w:rFonts w:hAnsi="宋体"/>
          <w:b/>
          <w:color w:val="auto"/>
          <w:sz w:val="24"/>
          <w:highlight w:val="none"/>
        </w:rPr>
        <w:t>（三）</w:t>
      </w:r>
      <w:r>
        <w:rPr>
          <w:rFonts w:hAnsi="宋体"/>
          <w:b/>
          <w:bCs/>
          <w:color w:val="auto"/>
          <w:sz w:val="24"/>
          <w:highlight w:val="none"/>
        </w:rPr>
        <w:t>评标程序</w:t>
      </w:r>
    </w:p>
    <w:p w14:paraId="48A76AB5">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1.对所有通过资格审查的投标供应商的投标文件进行初步审查，审查、评价投标文件是否符合招标文件的商务、技术、服务等实质性要求。</w:t>
      </w:r>
    </w:p>
    <w:p w14:paraId="3737D979">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2.评标委员会应当按照招标文件中规定的评审方法和标准，对符合性审查合格的投标文件进行商务和技术评估，综合比较与评价。评标时，评标委员会各成员将独立对每个投标人的投标文件进行评价，并汇总每个投标人的得分。</w:t>
      </w:r>
    </w:p>
    <w:p w14:paraId="3E871387">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3.对采购组织机构工作人员汇总的评审结果进行确认。如发现分值汇总计算错误、分项评分超出评分标准范围、客观评分不一致以及存在畸高、畸低（其总评分偏离平均分30%以上的）情形的，评审小组组长（评标委员会主任委员）应提醒相关评审人员当场改正或书面说明理由，拒不改正又不作书面说明的，由现场监督员如实记载后存入项目档案资料。</w:t>
      </w:r>
    </w:p>
    <w:p w14:paraId="054C5CF2">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（四）澄清问题的形式</w:t>
      </w:r>
    </w:p>
    <w:p w14:paraId="529FBB16">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14:paraId="26145F6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6EE6A26A">
      <w:pPr>
        <w:snapToGrid w:val="0"/>
        <w:spacing w:line="360" w:lineRule="auto"/>
        <w:ind w:firstLine="482" w:firstLineChars="200"/>
        <w:rPr>
          <w:rFonts w:ascii="宋体" w:hAnsi="宋体"/>
          <w:b/>
          <w:color w:val="auto"/>
          <w:sz w:val="24"/>
          <w:highlight w:val="none"/>
        </w:rPr>
      </w:pPr>
      <w:r>
        <w:rPr>
          <w:rFonts w:ascii="宋体" w:hAnsi="宋体"/>
          <w:b/>
          <w:color w:val="auto"/>
          <w:sz w:val="24"/>
          <w:highlight w:val="none"/>
        </w:rPr>
        <w:t>（五）错误修正</w:t>
      </w:r>
    </w:p>
    <w:p w14:paraId="44578BA1">
      <w:pPr>
        <w:pStyle w:val="13"/>
        <w:snapToGrid w:val="0"/>
        <w:spacing w:beforeLines="0" w:afterLines="0" w:line="360" w:lineRule="auto"/>
        <w:ind w:firstLine="470" w:firstLineChars="196"/>
        <w:rPr>
          <w:rFonts w:hAnsi="宋体"/>
          <w:color w:val="auto"/>
          <w:sz w:val="24"/>
          <w:highlight w:val="none"/>
        </w:rPr>
      </w:pPr>
      <w:r>
        <w:rPr>
          <w:rFonts w:hAnsi="宋体"/>
          <w:color w:val="auto"/>
          <w:sz w:val="24"/>
          <w:highlight w:val="none"/>
        </w:rPr>
        <w:t>投标文件如果出现计算或表达上的错误，修正错误的原则如下：</w:t>
      </w:r>
    </w:p>
    <w:p w14:paraId="1D846187">
      <w:pPr>
        <w:pStyle w:val="13"/>
        <w:snapToGrid w:val="0"/>
        <w:spacing w:beforeLines="0" w:afterLines="0" w:line="360" w:lineRule="auto"/>
        <w:ind w:firstLine="470" w:firstLineChars="196"/>
        <w:rPr>
          <w:rFonts w:hAnsi="宋体"/>
          <w:color w:val="auto"/>
          <w:sz w:val="24"/>
          <w:highlight w:val="none"/>
        </w:rPr>
      </w:pPr>
      <w:r>
        <w:rPr>
          <w:rFonts w:hAnsi="宋体"/>
          <w:color w:val="auto"/>
          <w:sz w:val="24"/>
          <w:highlight w:val="none"/>
        </w:rPr>
        <w:t>1</w:t>
      </w:r>
      <w:r>
        <w:rPr>
          <w:rFonts w:hint="eastAsia" w:hAnsi="宋体"/>
          <w:color w:val="auto"/>
          <w:sz w:val="24"/>
          <w:highlight w:val="none"/>
        </w:rPr>
        <w:t>.开标一览表总价与投标报价明细表汇总数不一致的，以开标一览表为准；</w:t>
      </w:r>
    </w:p>
    <w:p w14:paraId="12D74B88">
      <w:pPr>
        <w:pStyle w:val="13"/>
        <w:snapToGrid w:val="0"/>
        <w:spacing w:beforeLines="0" w:afterLines="0" w:line="360" w:lineRule="auto"/>
        <w:ind w:firstLine="470" w:firstLineChars="196"/>
        <w:rPr>
          <w:rFonts w:hAnsi="宋体"/>
          <w:color w:val="auto"/>
          <w:sz w:val="24"/>
          <w:highlight w:val="none"/>
        </w:rPr>
      </w:pPr>
      <w:r>
        <w:rPr>
          <w:rFonts w:hAnsi="宋体"/>
          <w:color w:val="auto"/>
          <w:sz w:val="24"/>
          <w:highlight w:val="none"/>
        </w:rPr>
        <w:t>2</w:t>
      </w:r>
      <w:r>
        <w:rPr>
          <w:rFonts w:hint="eastAsia" w:hAnsi="宋体"/>
          <w:color w:val="auto"/>
          <w:sz w:val="24"/>
          <w:highlight w:val="none"/>
        </w:rPr>
        <w:t>.</w:t>
      </w:r>
      <w:r>
        <w:rPr>
          <w:rFonts w:hAnsi="宋体"/>
          <w:color w:val="auto"/>
          <w:sz w:val="24"/>
          <w:highlight w:val="none"/>
        </w:rPr>
        <w:t>投标文件的大写金额和小写金额不一致的，以大写金额为准；</w:t>
      </w:r>
    </w:p>
    <w:p w14:paraId="749B2995">
      <w:pPr>
        <w:pStyle w:val="13"/>
        <w:snapToGrid w:val="0"/>
        <w:spacing w:beforeLines="0" w:afterLines="0" w:line="360" w:lineRule="auto"/>
        <w:ind w:firstLine="470" w:firstLineChars="196"/>
        <w:rPr>
          <w:rFonts w:hAnsi="宋体"/>
          <w:color w:val="auto"/>
          <w:sz w:val="24"/>
          <w:highlight w:val="none"/>
        </w:rPr>
      </w:pPr>
      <w:r>
        <w:rPr>
          <w:rFonts w:hAnsi="宋体"/>
          <w:color w:val="auto"/>
          <w:sz w:val="24"/>
          <w:highlight w:val="none"/>
        </w:rPr>
        <w:t>3</w:t>
      </w:r>
      <w:r>
        <w:rPr>
          <w:rFonts w:hint="eastAsia" w:hAnsi="宋体"/>
          <w:color w:val="auto"/>
          <w:sz w:val="24"/>
          <w:highlight w:val="none"/>
        </w:rPr>
        <w:t>.</w:t>
      </w:r>
      <w:r>
        <w:rPr>
          <w:rFonts w:hAnsi="宋体"/>
          <w:color w:val="auto"/>
          <w:sz w:val="24"/>
          <w:highlight w:val="none"/>
        </w:rPr>
        <w:t>总价金额与按单价汇总金额不一致的，以单价金额计算结果为准；</w:t>
      </w:r>
    </w:p>
    <w:p w14:paraId="5D95D87A">
      <w:pPr>
        <w:pStyle w:val="13"/>
        <w:snapToGrid w:val="0"/>
        <w:spacing w:beforeLines="0" w:afterLines="0" w:line="360" w:lineRule="auto"/>
        <w:ind w:firstLine="470" w:firstLineChars="196"/>
        <w:rPr>
          <w:rFonts w:hAnsi="宋体"/>
          <w:color w:val="auto"/>
          <w:sz w:val="24"/>
          <w:highlight w:val="none"/>
        </w:rPr>
      </w:pPr>
      <w:r>
        <w:rPr>
          <w:rFonts w:hAnsi="宋体"/>
          <w:color w:val="auto"/>
          <w:sz w:val="24"/>
          <w:highlight w:val="none"/>
        </w:rPr>
        <w:t>4</w:t>
      </w:r>
      <w:r>
        <w:rPr>
          <w:rFonts w:hint="eastAsia" w:hAnsi="宋体"/>
          <w:color w:val="auto"/>
          <w:sz w:val="24"/>
          <w:highlight w:val="none"/>
        </w:rPr>
        <w:t>.</w:t>
      </w:r>
      <w:r>
        <w:rPr>
          <w:rFonts w:hAnsi="宋体"/>
          <w:color w:val="auto"/>
          <w:sz w:val="24"/>
          <w:highlight w:val="none"/>
        </w:rPr>
        <w:t>对不同文字文本投标文件的解释发生异议的，以中文文本为准。</w:t>
      </w:r>
    </w:p>
    <w:p w14:paraId="1B05361D">
      <w:pPr>
        <w:pStyle w:val="13"/>
        <w:snapToGrid w:val="0"/>
        <w:spacing w:beforeLines="0" w:afterLines="0" w:line="360" w:lineRule="auto"/>
        <w:ind w:firstLine="482" w:firstLineChars="200"/>
        <w:rPr>
          <w:rFonts w:hAnsi="宋体"/>
          <w:b/>
          <w:bCs/>
          <w:color w:val="auto"/>
          <w:sz w:val="24"/>
          <w:highlight w:val="none"/>
        </w:rPr>
      </w:pPr>
      <w:r>
        <w:rPr>
          <w:rFonts w:hAnsi="宋体"/>
          <w:b/>
          <w:bCs/>
          <w:color w:val="auto"/>
          <w:sz w:val="24"/>
          <w:highlight w:val="none"/>
        </w:rPr>
        <w:t>按上述修正错误的原则及方法调整或修正投标文件的投标报价，投标人同意</w:t>
      </w:r>
      <w:r>
        <w:rPr>
          <w:rFonts w:hint="eastAsia" w:hAnsi="宋体"/>
          <w:b/>
          <w:bCs/>
          <w:color w:val="auto"/>
          <w:sz w:val="24"/>
          <w:highlight w:val="none"/>
        </w:rPr>
        <w:t>并签字确认</w:t>
      </w:r>
      <w:r>
        <w:rPr>
          <w:rFonts w:hAnsi="宋体"/>
          <w:b/>
          <w:bCs/>
          <w:color w:val="auto"/>
          <w:sz w:val="24"/>
          <w:highlight w:val="none"/>
        </w:rPr>
        <w:t>后，调整后的投标报价对投标人具有约束作用。如果投标人不接受修正后的报价，则其投标将</w:t>
      </w:r>
      <w:r>
        <w:rPr>
          <w:rFonts w:hint="eastAsia" w:hAnsi="宋体"/>
          <w:b/>
          <w:bCs/>
          <w:color w:val="auto"/>
          <w:sz w:val="24"/>
          <w:highlight w:val="none"/>
        </w:rPr>
        <w:t>作为无效投标处理</w:t>
      </w:r>
      <w:r>
        <w:rPr>
          <w:rFonts w:hAnsi="宋体"/>
          <w:b/>
          <w:bCs/>
          <w:color w:val="auto"/>
          <w:sz w:val="24"/>
          <w:highlight w:val="none"/>
        </w:rPr>
        <w:t>。</w:t>
      </w:r>
    </w:p>
    <w:p w14:paraId="28EB13F0">
      <w:pPr>
        <w:pStyle w:val="13"/>
        <w:tabs>
          <w:tab w:val="left" w:pos="630"/>
        </w:tabs>
        <w:snapToGrid w:val="0"/>
        <w:spacing w:beforeLines="0" w:afterLines="0" w:line="360" w:lineRule="auto"/>
        <w:ind w:firstLine="472" w:firstLineChars="196"/>
        <w:rPr>
          <w:rFonts w:hAnsi="宋体"/>
          <w:b/>
          <w:color w:val="auto"/>
          <w:sz w:val="24"/>
          <w:highlight w:val="none"/>
        </w:rPr>
      </w:pPr>
      <w:r>
        <w:rPr>
          <w:rFonts w:hAnsi="宋体"/>
          <w:b/>
          <w:color w:val="auto"/>
          <w:sz w:val="24"/>
          <w:highlight w:val="none"/>
        </w:rPr>
        <w:t>（六）评标原则和评标办法</w:t>
      </w:r>
    </w:p>
    <w:p w14:paraId="5EB22951">
      <w:pPr>
        <w:pStyle w:val="13"/>
        <w:snapToGrid w:val="0"/>
        <w:spacing w:beforeLines="0" w:afterLines="0" w:line="360" w:lineRule="auto"/>
        <w:ind w:firstLine="470" w:firstLineChars="196"/>
        <w:rPr>
          <w:rFonts w:hAnsi="宋体"/>
          <w:color w:val="auto"/>
          <w:sz w:val="24"/>
          <w:highlight w:val="none"/>
        </w:rPr>
      </w:pPr>
      <w:r>
        <w:rPr>
          <w:rFonts w:hAnsi="宋体"/>
          <w:color w:val="auto"/>
          <w:sz w:val="24"/>
          <w:highlight w:val="none"/>
        </w:rPr>
        <w:t>1</w:t>
      </w:r>
      <w:r>
        <w:rPr>
          <w:rFonts w:hint="eastAsia" w:hAnsi="宋体"/>
          <w:color w:val="auto"/>
          <w:sz w:val="24"/>
          <w:highlight w:val="none"/>
        </w:rPr>
        <w:t>.</w:t>
      </w:r>
      <w:r>
        <w:rPr>
          <w:rFonts w:hAnsi="宋体"/>
          <w:color w:val="auto"/>
          <w:sz w:val="24"/>
          <w:highlight w:val="none"/>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5ABED639">
      <w:pPr>
        <w:pStyle w:val="13"/>
        <w:snapToGrid w:val="0"/>
        <w:spacing w:beforeLines="0" w:afterLines="0" w:line="360" w:lineRule="auto"/>
        <w:ind w:firstLine="470" w:firstLineChars="196"/>
        <w:rPr>
          <w:rFonts w:hAnsi="宋体"/>
          <w:color w:val="auto"/>
          <w:sz w:val="24"/>
          <w:highlight w:val="none"/>
        </w:rPr>
      </w:pPr>
      <w:r>
        <w:rPr>
          <w:rFonts w:hAnsi="宋体"/>
          <w:color w:val="auto"/>
          <w:sz w:val="24"/>
          <w:highlight w:val="none"/>
        </w:rPr>
        <w:t>2</w:t>
      </w:r>
      <w:r>
        <w:rPr>
          <w:rFonts w:hint="eastAsia" w:hAnsi="宋体"/>
          <w:color w:val="auto"/>
          <w:sz w:val="24"/>
          <w:highlight w:val="none"/>
        </w:rPr>
        <w:t>.</w:t>
      </w:r>
      <w:r>
        <w:rPr>
          <w:rFonts w:hAnsi="宋体"/>
          <w:color w:val="auto"/>
          <w:sz w:val="24"/>
          <w:highlight w:val="none"/>
        </w:rPr>
        <w:t>评标办法。本项目评标办法是本项目采取综合评分法，具体评标内容及评分标准等详见《第四章：评标办法及评分标准》。</w:t>
      </w:r>
    </w:p>
    <w:p w14:paraId="0D7C0308">
      <w:pPr>
        <w:pStyle w:val="13"/>
        <w:snapToGrid w:val="0"/>
        <w:spacing w:beforeLines="0" w:afterLines="0" w:line="360" w:lineRule="auto"/>
        <w:ind w:firstLine="482" w:firstLineChars="200"/>
        <w:rPr>
          <w:rFonts w:hAnsi="宋体"/>
          <w:b/>
          <w:color w:val="auto"/>
          <w:sz w:val="24"/>
          <w:highlight w:val="none"/>
        </w:rPr>
      </w:pPr>
      <w:r>
        <w:rPr>
          <w:rFonts w:hint="eastAsia" w:hAnsi="宋体"/>
          <w:b/>
          <w:color w:val="auto"/>
          <w:sz w:val="24"/>
          <w:highlight w:val="none"/>
        </w:rPr>
        <w:t>（七）废标</w:t>
      </w:r>
    </w:p>
    <w:p w14:paraId="6EFA0399">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在采购中，出现下列情形之一的，应予废标：</w:t>
      </w:r>
    </w:p>
    <w:p w14:paraId="5006248A">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1.符合专业条件的供应商或者对招标文件作实质响应的供应商不足3家的；</w:t>
      </w:r>
    </w:p>
    <w:p w14:paraId="63D676E1">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2.出现影响采购公正的违法、违规行为的；</w:t>
      </w:r>
    </w:p>
    <w:p w14:paraId="2D252F16">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3.报价均超过预算，不能支付的；</w:t>
      </w:r>
    </w:p>
    <w:p w14:paraId="7FBFD9D3">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4.因重大变故，采购任务取消的。</w:t>
      </w:r>
    </w:p>
    <w:p w14:paraId="71F90A05">
      <w:pPr>
        <w:pStyle w:val="13"/>
        <w:snapToGrid w:val="0"/>
        <w:spacing w:beforeLines="0" w:afterLines="0" w:line="360" w:lineRule="auto"/>
        <w:ind w:firstLine="482" w:firstLineChars="200"/>
        <w:rPr>
          <w:rFonts w:hAnsi="宋体"/>
          <w:b/>
          <w:color w:val="auto"/>
          <w:sz w:val="24"/>
          <w:highlight w:val="none"/>
        </w:rPr>
      </w:pPr>
      <w:r>
        <w:rPr>
          <w:rFonts w:hint="eastAsia" w:hAnsi="宋体"/>
          <w:b/>
          <w:color w:val="auto"/>
          <w:sz w:val="24"/>
          <w:highlight w:val="none"/>
        </w:rPr>
        <w:t>（八）可中止电子交易活动的情形</w:t>
      </w:r>
    </w:p>
    <w:p w14:paraId="4B61291C">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采购过程中出现以下情形，导致电子交易平台无法正常运行，或者无法保证电子交易的公平、公正和安全时，采购组织机构可中止电子交易活动：</w:t>
      </w:r>
    </w:p>
    <w:p w14:paraId="6525D49A">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1、电子交易平台发生故障而无法登录访问的；</w:t>
      </w:r>
    </w:p>
    <w:p w14:paraId="293A4792">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2、电子交易平台应用或数据库出现错误，不能进行正常操作的；</w:t>
      </w:r>
    </w:p>
    <w:p w14:paraId="1CCEEABA">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3、电子交易平台发现严重安全漏洞，有潜在泄密危险的；</w:t>
      </w:r>
    </w:p>
    <w:p w14:paraId="488DC7EE">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4、病毒发作导致不能进行正常操作的；</w:t>
      </w:r>
    </w:p>
    <w:p w14:paraId="61556377">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5、其他无法保证电子交易的公平、公正和安全的情况。</w:t>
      </w:r>
    </w:p>
    <w:p w14:paraId="651C16A4">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出现前款规定情形，不影响采购公平、公正性的，采购组织机构可以待上述情形消除后继续组织电子交易活动；影响或可能影响采购公平、公正性的，应当重新采购。</w:t>
      </w:r>
    </w:p>
    <w:p w14:paraId="150380AB">
      <w:pPr>
        <w:pStyle w:val="13"/>
        <w:snapToGrid w:val="0"/>
        <w:spacing w:beforeLines="0" w:afterLines="0" w:line="360" w:lineRule="auto"/>
        <w:ind w:firstLine="472" w:firstLineChars="196"/>
        <w:outlineLvl w:val="1"/>
        <w:rPr>
          <w:rFonts w:hAnsi="宋体"/>
          <w:b/>
          <w:color w:val="auto"/>
          <w:sz w:val="24"/>
          <w:highlight w:val="none"/>
        </w:rPr>
      </w:pPr>
      <w:r>
        <w:rPr>
          <w:rFonts w:hint="eastAsia" w:hAnsi="宋体"/>
          <w:b/>
          <w:color w:val="auto"/>
          <w:sz w:val="24"/>
          <w:highlight w:val="none"/>
        </w:rPr>
        <w:t>六、定标</w:t>
      </w:r>
    </w:p>
    <w:p w14:paraId="433FE7C3">
      <w:pPr>
        <w:pStyle w:val="13"/>
        <w:snapToGrid w:val="0"/>
        <w:spacing w:beforeLines="0" w:afterLines="0" w:line="360" w:lineRule="auto"/>
        <w:ind w:firstLine="472" w:firstLineChars="196"/>
        <w:rPr>
          <w:rFonts w:hAnsi="宋体"/>
          <w:b/>
          <w:bCs/>
          <w:color w:val="auto"/>
          <w:sz w:val="24"/>
          <w:highlight w:val="none"/>
        </w:rPr>
      </w:pPr>
      <w:r>
        <w:rPr>
          <w:rFonts w:hint="eastAsia" w:hAnsi="宋体"/>
          <w:b/>
          <w:bCs/>
          <w:color w:val="auto"/>
          <w:sz w:val="24"/>
          <w:highlight w:val="none"/>
        </w:rPr>
        <w:t>（一）确定中标人。</w:t>
      </w:r>
      <w:r>
        <w:rPr>
          <w:rFonts w:hint="eastAsia" w:hAnsi="宋体"/>
          <w:b/>
          <w:color w:val="auto"/>
          <w:sz w:val="24"/>
          <w:highlight w:val="none"/>
        </w:rPr>
        <w:t>本项目由采购人授权评标委员会确定中标人。</w:t>
      </w:r>
    </w:p>
    <w:p w14:paraId="415C5CFD">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1.采购人在收到评标报告后五个工作日内，依法确认中标供应商。</w:t>
      </w:r>
    </w:p>
    <w:p w14:paraId="6E5C0F4F">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2.中标供应商确定后，中标结果在财政部门指定的政府采购信息发布媒体上公告。</w:t>
      </w:r>
    </w:p>
    <w:p w14:paraId="7356018C">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3.在发布公告的同时，招标采购单位向中标供应商发出中标通知书，中标通知书对采购人和中标供应商具有同等法律效力。</w:t>
      </w:r>
    </w:p>
    <w:p w14:paraId="3064B30E">
      <w:pPr>
        <w:pStyle w:val="13"/>
        <w:snapToGrid w:val="0"/>
        <w:spacing w:beforeLines="0" w:afterLines="0" w:line="360" w:lineRule="auto"/>
        <w:ind w:firstLine="472" w:firstLineChars="196"/>
        <w:rPr>
          <w:rFonts w:hAnsi="宋体"/>
          <w:b/>
          <w:color w:val="auto"/>
          <w:sz w:val="24"/>
          <w:highlight w:val="none"/>
        </w:rPr>
      </w:pPr>
      <w:r>
        <w:rPr>
          <w:rFonts w:hint="eastAsia" w:hAnsi="宋体"/>
          <w:b/>
          <w:color w:val="auto"/>
          <w:sz w:val="24"/>
          <w:highlight w:val="none"/>
        </w:rPr>
        <w:t>4根据浙江省财政厅《</w:t>
      </w:r>
      <w:r>
        <w:rPr>
          <w:rFonts w:hAnsi="宋体"/>
          <w:b/>
          <w:color w:val="auto"/>
          <w:sz w:val="24"/>
          <w:highlight w:val="none"/>
        </w:rPr>
        <w:t>关于印发浙江省政府采购供应商注册及诚信管理暂行办法的通知</w:t>
      </w:r>
      <w:r>
        <w:rPr>
          <w:rFonts w:hint="eastAsia" w:hAnsi="宋体"/>
          <w:b/>
          <w:color w:val="auto"/>
          <w:sz w:val="24"/>
          <w:highlight w:val="none"/>
        </w:rPr>
        <w:t>》[</w:t>
      </w:r>
      <w:r>
        <w:rPr>
          <w:rFonts w:hAnsi="宋体"/>
          <w:b/>
          <w:color w:val="auto"/>
          <w:sz w:val="24"/>
          <w:highlight w:val="none"/>
        </w:rPr>
        <w:t>浙财采监字〔2009〕28号</w:t>
      </w:r>
      <w:r>
        <w:rPr>
          <w:rFonts w:hint="eastAsia" w:hAnsi="宋体"/>
          <w:b/>
          <w:color w:val="auto"/>
          <w:sz w:val="24"/>
          <w:highlight w:val="none"/>
        </w:rPr>
        <w:t>]精神，中标供应商在领取中标通知书前，必须在《浙江政府采购网》上完成供应商的注册工作，经初审、终审及公示后方可正式领取中标通知书。</w:t>
      </w:r>
    </w:p>
    <w:p w14:paraId="49C1FA92">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5.中标通知书发出后，采购人改变中标结果，或者中标供应商放弃中标，应当承担相应的法律责任。</w:t>
      </w:r>
    </w:p>
    <w:p w14:paraId="6AAD342F">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6.替补说明：根据《中华人民共和国政府采购法实施条例》第四十九项规定，中标或者成交供应商拒绝（包含放弃成交结果的）与采购人签订合同的，采购人可以按照评审报告推荐的中标或者成交候选人名单排序，确定下一候选人为中标或者成交供应商，也可以重新开展政府采购活动。</w:t>
      </w:r>
    </w:p>
    <w:p w14:paraId="165E86F8">
      <w:pPr>
        <w:pStyle w:val="13"/>
        <w:snapToGrid w:val="0"/>
        <w:spacing w:beforeLines="0" w:afterLines="0" w:line="360" w:lineRule="auto"/>
        <w:ind w:firstLine="472" w:firstLineChars="196"/>
        <w:rPr>
          <w:rFonts w:hAnsi="宋体"/>
          <w:b/>
          <w:color w:val="auto"/>
          <w:sz w:val="24"/>
          <w:highlight w:val="none"/>
        </w:rPr>
      </w:pPr>
      <w:r>
        <w:rPr>
          <w:rFonts w:hint="eastAsia" w:hAnsi="宋体"/>
          <w:b/>
          <w:color w:val="auto"/>
          <w:sz w:val="24"/>
          <w:highlight w:val="none"/>
        </w:rPr>
        <w:t>（二）中标通知书</w:t>
      </w:r>
    </w:p>
    <w:p w14:paraId="5B3C55CA">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1.确定中标供应商后，招标采购单位将以书面形式发出中标通知书，通知中标的投标人其投标被接受。</w:t>
      </w:r>
    </w:p>
    <w:p w14:paraId="41116393">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2.中标通知书为双方签订合同的依据。</w:t>
      </w:r>
    </w:p>
    <w:p w14:paraId="0ED95F1B">
      <w:pPr>
        <w:pStyle w:val="13"/>
        <w:snapToGrid w:val="0"/>
        <w:spacing w:beforeLines="0" w:afterLines="0" w:line="360" w:lineRule="auto"/>
        <w:ind w:firstLine="470" w:firstLineChars="196"/>
        <w:rPr>
          <w:rFonts w:hAnsi="宋体"/>
          <w:color w:val="auto"/>
          <w:sz w:val="24"/>
          <w:highlight w:val="none"/>
        </w:rPr>
      </w:pPr>
      <w:r>
        <w:rPr>
          <w:rFonts w:hint="eastAsia" w:hAnsi="宋体"/>
          <w:color w:val="auto"/>
          <w:sz w:val="24"/>
          <w:highlight w:val="none"/>
        </w:rPr>
        <w:t>3.中标供应商应根据中标通知书中规定的时间内，由法定代表人或其授权代理人与采购人签订合同。</w:t>
      </w:r>
    </w:p>
    <w:p w14:paraId="7B71AF5D">
      <w:pPr>
        <w:pStyle w:val="13"/>
        <w:snapToGrid w:val="0"/>
        <w:spacing w:beforeLines="0" w:afterLines="0" w:line="360" w:lineRule="auto"/>
        <w:ind w:firstLine="472" w:firstLineChars="196"/>
        <w:outlineLvl w:val="1"/>
        <w:rPr>
          <w:rFonts w:hAnsi="宋体"/>
          <w:b/>
          <w:color w:val="auto"/>
          <w:sz w:val="24"/>
          <w:highlight w:val="none"/>
        </w:rPr>
      </w:pPr>
      <w:r>
        <w:rPr>
          <w:rFonts w:hint="eastAsia" w:hAnsi="宋体"/>
          <w:b/>
          <w:color w:val="auto"/>
          <w:sz w:val="24"/>
          <w:highlight w:val="none"/>
        </w:rPr>
        <w:t>七、合同授予</w:t>
      </w:r>
    </w:p>
    <w:p w14:paraId="7BD1BA5A">
      <w:pPr>
        <w:snapToGrid w:val="0"/>
        <w:spacing w:line="360" w:lineRule="auto"/>
        <w:ind w:firstLine="472" w:firstLineChars="196"/>
        <w:rPr>
          <w:rFonts w:ascii="宋体" w:hAnsi="宋体"/>
          <w:b/>
          <w:bCs/>
          <w:color w:val="auto"/>
          <w:sz w:val="24"/>
          <w:highlight w:val="none"/>
        </w:rPr>
      </w:pPr>
      <w:r>
        <w:rPr>
          <w:rFonts w:hint="eastAsia" w:ascii="宋体" w:hAnsi="宋体"/>
          <w:b/>
          <w:bCs/>
          <w:color w:val="auto"/>
          <w:sz w:val="24"/>
          <w:highlight w:val="none"/>
        </w:rPr>
        <w:t>（一）签订合同</w:t>
      </w:r>
    </w:p>
    <w:p w14:paraId="6B7AA86A">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.采购人与</w:t>
      </w:r>
      <w:r>
        <w:rPr>
          <w:rFonts w:ascii="宋体" w:hAnsi="宋体"/>
          <w:color w:val="auto"/>
          <w:sz w:val="24"/>
          <w:highlight w:val="none"/>
        </w:rPr>
        <w:t>中标人应</w:t>
      </w:r>
      <w:r>
        <w:rPr>
          <w:rFonts w:hint="eastAsia" w:ascii="宋体" w:hAnsi="宋体"/>
          <w:color w:val="auto"/>
          <w:sz w:val="24"/>
          <w:highlight w:val="none"/>
        </w:rPr>
        <w:t>当在《</w:t>
      </w:r>
      <w:r>
        <w:rPr>
          <w:rFonts w:ascii="宋体" w:hAnsi="宋体"/>
          <w:color w:val="auto"/>
          <w:sz w:val="24"/>
          <w:highlight w:val="none"/>
        </w:rPr>
        <w:t>中标通知书</w:t>
      </w:r>
      <w:r>
        <w:rPr>
          <w:rFonts w:hint="eastAsia" w:ascii="宋体" w:hAnsi="宋体"/>
          <w:color w:val="auto"/>
          <w:sz w:val="24"/>
          <w:highlight w:val="none"/>
        </w:rPr>
        <w:t>》发出之日起30日内签订政府采购合同。同时，采购代理机构对合同内容进行审查，如发现与采购结果和投标承诺内容不一致的，应予以纠正。</w:t>
      </w:r>
    </w:p>
    <w:p w14:paraId="0F899845">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中标人拖延、拒签合同的</w:t>
      </w:r>
      <w:r>
        <w:rPr>
          <w:rFonts w:hint="eastAsia" w:ascii="宋体" w:hAnsi="宋体"/>
          <w:color w:val="auto"/>
          <w:sz w:val="24"/>
          <w:highlight w:val="none"/>
          <w:lang w:eastAsia="zh-CN"/>
        </w:rPr>
        <w:t>，</w:t>
      </w:r>
      <w:r>
        <w:rPr>
          <w:rFonts w:ascii="宋体" w:hAnsi="宋体"/>
          <w:color w:val="auto"/>
          <w:sz w:val="24"/>
          <w:highlight w:val="none"/>
        </w:rPr>
        <w:t>将被取消中标资格。</w:t>
      </w:r>
    </w:p>
    <w:p w14:paraId="4BC8CD5C">
      <w:pPr>
        <w:pStyle w:val="13"/>
        <w:snapToGrid w:val="0"/>
        <w:spacing w:beforeLines="0" w:afterLines="0" w:line="360" w:lineRule="auto"/>
        <w:ind w:firstLine="472" w:firstLineChars="196"/>
        <w:rPr>
          <w:rFonts w:hAnsi="宋体"/>
          <w:b/>
          <w:color w:val="auto"/>
          <w:sz w:val="24"/>
          <w:highlight w:val="none"/>
        </w:rPr>
      </w:pPr>
      <w:r>
        <w:rPr>
          <w:rFonts w:hAnsi="宋体"/>
          <w:b/>
          <w:color w:val="auto"/>
          <w:sz w:val="24"/>
          <w:highlight w:val="none"/>
        </w:rPr>
        <w:t>（二）履约保证金</w:t>
      </w:r>
    </w:p>
    <w:p w14:paraId="11AE951E">
      <w:pPr>
        <w:pStyle w:val="13"/>
        <w:snapToGrid w:val="0"/>
        <w:spacing w:beforeLines="0" w:afterLines="0" w:line="360" w:lineRule="auto"/>
        <w:ind w:firstLine="470" w:firstLineChars="196"/>
        <w:outlineLvl w:val="1"/>
        <w:rPr>
          <w:rFonts w:hAnsi="宋体"/>
          <w:color w:val="auto"/>
          <w:sz w:val="24"/>
          <w:highlight w:val="none"/>
        </w:rPr>
      </w:pPr>
      <w:r>
        <w:rPr>
          <w:rFonts w:hint="eastAsia" w:hAnsi="宋体"/>
          <w:color w:val="auto"/>
          <w:sz w:val="24"/>
          <w:highlight w:val="none"/>
        </w:rPr>
        <w:t>无</w:t>
      </w:r>
    </w:p>
    <w:p w14:paraId="28DD0052">
      <w:pPr>
        <w:pStyle w:val="13"/>
        <w:snapToGrid w:val="0"/>
        <w:spacing w:beforeLines="0" w:afterLines="0" w:line="360" w:lineRule="auto"/>
        <w:ind w:firstLine="472" w:firstLineChars="196"/>
        <w:outlineLvl w:val="1"/>
        <w:rPr>
          <w:rFonts w:hAnsi="宋体"/>
          <w:b/>
          <w:color w:val="auto"/>
          <w:sz w:val="24"/>
          <w:highlight w:val="none"/>
        </w:rPr>
      </w:pPr>
      <w:r>
        <w:rPr>
          <w:rFonts w:hint="eastAsia" w:hAnsi="宋体"/>
          <w:b/>
          <w:color w:val="auto"/>
          <w:sz w:val="24"/>
          <w:highlight w:val="none"/>
          <w:lang w:eastAsia="zh-CN"/>
        </w:rPr>
        <w:t>（</w:t>
      </w:r>
      <w:r>
        <w:rPr>
          <w:rFonts w:hint="eastAsia" w:hAnsi="宋体"/>
          <w:b/>
          <w:color w:val="auto"/>
          <w:sz w:val="24"/>
          <w:highlight w:val="none"/>
        </w:rPr>
        <w:t>三)其他</w:t>
      </w:r>
    </w:p>
    <w:p w14:paraId="13A59D1E">
      <w:pPr>
        <w:snapToGrid w:val="0"/>
        <w:spacing w:line="360" w:lineRule="auto"/>
        <w:ind w:firstLine="470" w:firstLineChars="196"/>
        <w:jc w:val="left"/>
        <w:rPr>
          <w:rFonts w:ascii="宋体" w:hAnsi="宋体"/>
          <w:color w:val="auto"/>
          <w:sz w:val="24"/>
          <w:highlight w:val="none"/>
        </w:rPr>
      </w:pPr>
      <w:r>
        <w:rPr>
          <w:rFonts w:hint="eastAsia" w:ascii="宋体" w:hAnsi="宋体"/>
          <w:color w:val="auto"/>
          <w:sz w:val="24"/>
          <w:highlight w:val="none"/>
        </w:rPr>
        <w:t>供应商有下列情形之一的，自愿接受取消投标资格；如已中标的，自动放弃中标资格，并承担全部法律责任；给采购人造成损失的，依法承担赔偿责任：</w:t>
      </w:r>
    </w:p>
    <w:p w14:paraId="4FD8AB7E">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（1）供应商在投标有效期内撤回投标文件的；</w:t>
      </w:r>
    </w:p>
    <w:p w14:paraId="64A77710">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（2）供应商在投标过程中弄虚作假，提供虚假材料的；</w:t>
      </w:r>
    </w:p>
    <w:p w14:paraId="7CFE8E06">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（3）中标供应商无正当理由不与采购人签订合同的；</w:t>
      </w:r>
    </w:p>
    <w:p w14:paraId="7F1BDCAE">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（4）将中标项目转让给他人或者在投标文件中未说明且未经招标采购人同意，将中标项目分包给他人的；</w:t>
      </w:r>
    </w:p>
    <w:p w14:paraId="3268F3D9">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（5）拒绝履行合同义务的；</w:t>
      </w:r>
    </w:p>
    <w:p w14:paraId="49C5D46B">
      <w:pPr>
        <w:snapToGrid w:val="0"/>
        <w:spacing w:line="360" w:lineRule="auto"/>
        <w:ind w:firstLine="470" w:firstLineChars="196"/>
        <w:rPr>
          <w:rFonts w:ascii="宋体" w:hAnsi="宋体"/>
          <w:color w:val="auto"/>
          <w:sz w:val="24"/>
          <w:highlight w:val="none"/>
        </w:rPr>
      </w:pPr>
      <w:r>
        <w:rPr>
          <w:rFonts w:hint="eastAsia" w:ascii="宋体" w:hAnsi="宋体"/>
          <w:color w:val="auto"/>
          <w:sz w:val="24"/>
          <w:highlight w:val="none"/>
        </w:rPr>
        <w:t>（6）其他严重扰乱招投标程序的。</w:t>
      </w:r>
    </w:p>
    <w:p w14:paraId="27C4EA9E">
      <w:pPr>
        <w:pStyle w:val="2"/>
        <w:rPr>
          <w:color w:val="auto"/>
          <w:highlight w:val="none"/>
        </w:rPr>
      </w:pPr>
    </w:p>
    <w:p w14:paraId="5CE14743">
      <w:pPr>
        <w:rPr>
          <w:rFonts w:ascii="黑体" w:hAnsi="宋体" w:eastAsia="黑体"/>
          <w:color w:val="auto"/>
          <w:sz w:val="30"/>
          <w:szCs w:val="30"/>
          <w:highlight w:val="none"/>
        </w:rPr>
      </w:pPr>
      <w:r>
        <w:rPr>
          <w:rFonts w:hint="eastAsia" w:ascii="黑体" w:hAnsi="宋体" w:eastAsia="黑体"/>
          <w:color w:val="auto"/>
          <w:sz w:val="30"/>
          <w:szCs w:val="30"/>
          <w:highlight w:val="none"/>
        </w:rPr>
        <w:br w:type="page"/>
      </w:r>
    </w:p>
    <w:p w14:paraId="062B9644">
      <w:pPr>
        <w:pStyle w:val="13"/>
        <w:snapToGrid w:val="0"/>
        <w:spacing w:beforeLines="0" w:afterLines="0" w:line="360" w:lineRule="auto"/>
        <w:jc w:val="center"/>
        <w:rPr>
          <w:rFonts w:ascii="黑体" w:hAnsi="宋体" w:eastAsia="黑体"/>
          <w:color w:val="auto"/>
          <w:sz w:val="30"/>
          <w:szCs w:val="30"/>
          <w:highlight w:val="none"/>
        </w:rPr>
      </w:pPr>
      <w:r>
        <w:rPr>
          <w:rFonts w:hint="eastAsia" w:ascii="黑体" w:hAnsi="宋体" w:eastAsia="黑体"/>
          <w:color w:val="auto"/>
          <w:sz w:val="30"/>
          <w:szCs w:val="30"/>
          <w:highlight w:val="none"/>
        </w:rPr>
        <w:t>第四章  评标办法及评分标准</w:t>
      </w:r>
    </w:p>
    <w:p w14:paraId="69FEAFD2">
      <w:pPr>
        <w:spacing w:line="360" w:lineRule="auto"/>
        <w:ind w:firstLine="420"/>
        <w:rPr>
          <w:rFonts w:ascii="宋体" w:hAnsi="宋体"/>
          <w:color w:val="auto"/>
          <w:sz w:val="24"/>
          <w:highlight w:val="none"/>
        </w:rPr>
      </w:pPr>
      <w:r>
        <w:rPr>
          <w:rFonts w:hint="eastAsia" w:ascii="宋体" w:hAnsi="宋体"/>
          <w:color w:val="auto"/>
          <w:sz w:val="24"/>
          <w:highlight w:val="none"/>
        </w:rPr>
        <w:t>为公正、公平、科学地选择中标人，根据《中华人民共和国政府采购法》等有关法律法规的规定和《</w:t>
      </w:r>
      <w:r>
        <w:rPr>
          <w:rFonts w:hint="eastAsia"/>
          <w:color w:val="auto"/>
          <w:sz w:val="24"/>
          <w:highlight w:val="none"/>
          <w:lang w:eastAsia="zh-CN"/>
        </w:rPr>
        <w:t>湖州市中心医院安防服务招标项目</w:t>
      </w:r>
      <w:r>
        <w:rPr>
          <w:rFonts w:hint="eastAsia" w:ascii="宋体" w:hAnsi="宋体"/>
          <w:color w:val="auto"/>
          <w:sz w:val="24"/>
          <w:highlight w:val="none"/>
        </w:rPr>
        <w:t>》</w:t>
      </w:r>
      <w:r>
        <w:rPr>
          <w:rFonts w:hint="eastAsia"/>
          <w:color w:val="auto"/>
          <w:sz w:val="24"/>
          <w:highlight w:val="none"/>
        </w:rPr>
        <w:t>采购文件</w:t>
      </w:r>
      <w:r>
        <w:rPr>
          <w:rFonts w:hint="eastAsia" w:ascii="宋体" w:hAnsi="宋体"/>
          <w:color w:val="auto"/>
          <w:sz w:val="24"/>
          <w:highlight w:val="none"/>
        </w:rPr>
        <w:t>规定，并结合本项目的实际，制定本办法。</w:t>
      </w:r>
    </w:p>
    <w:p w14:paraId="3B94A750">
      <w:pPr>
        <w:spacing w:line="360" w:lineRule="auto"/>
        <w:ind w:firstLine="420"/>
        <w:rPr>
          <w:rFonts w:ascii="宋体" w:hAnsi="宋体"/>
          <w:bCs/>
          <w:color w:val="auto"/>
          <w:sz w:val="24"/>
          <w:szCs w:val="48"/>
          <w:highlight w:val="none"/>
        </w:rPr>
      </w:pPr>
      <w:r>
        <w:rPr>
          <w:rFonts w:hint="eastAsia" w:ascii="宋体" w:hAnsi="宋体"/>
          <w:color w:val="auto"/>
          <w:sz w:val="24"/>
          <w:highlight w:val="none"/>
        </w:rPr>
        <w:t>本办法适用于</w:t>
      </w:r>
      <w:r>
        <w:rPr>
          <w:rFonts w:hint="eastAsia"/>
          <w:b/>
          <w:color w:val="auto"/>
          <w:sz w:val="24"/>
          <w:highlight w:val="none"/>
          <w:lang w:eastAsia="zh-CN"/>
        </w:rPr>
        <w:t>湖州市中心医院安防服务招标项目</w:t>
      </w:r>
      <w:r>
        <w:rPr>
          <w:rFonts w:hint="eastAsia" w:ascii="宋体" w:hAnsi="宋体"/>
          <w:bCs/>
          <w:color w:val="auto"/>
          <w:sz w:val="24"/>
          <w:szCs w:val="48"/>
          <w:highlight w:val="none"/>
        </w:rPr>
        <w:t>的评标。</w:t>
      </w:r>
    </w:p>
    <w:p w14:paraId="573EAF5C">
      <w:pPr>
        <w:spacing w:line="360" w:lineRule="auto"/>
        <w:ind w:firstLine="551" w:firstLineChars="196"/>
        <w:rPr>
          <w:rFonts w:ascii="宋体" w:hAnsi="宋体"/>
          <w:b/>
          <w:color w:val="auto"/>
          <w:sz w:val="28"/>
          <w:szCs w:val="28"/>
          <w:highlight w:val="none"/>
        </w:rPr>
      </w:pPr>
      <w:r>
        <w:rPr>
          <w:rFonts w:hint="eastAsia" w:ascii="宋体" w:hAnsi="宋体"/>
          <w:b/>
          <w:color w:val="auto"/>
          <w:sz w:val="28"/>
          <w:szCs w:val="28"/>
          <w:highlight w:val="none"/>
        </w:rPr>
        <w:t>一、总则</w:t>
      </w:r>
    </w:p>
    <w:p w14:paraId="35311D15">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本次评标采用综合评分法，</w:t>
      </w:r>
      <w:r>
        <w:rPr>
          <w:rFonts w:hint="eastAsia" w:ascii="宋体" w:hAnsi="宋体"/>
          <w:b/>
          <w:color w:val="auto"/>
          <w:sz w:val="24"/>
          <w:highlight w:val="none"/>
        </w:rPr>
        <w:t>总分为100分，包含：价格分（10分）、技术、商务、资信及其他分（90分）</w:t>
      </w:r>
      <w:r>
        <w:rPr>
          <w:rFonts w:hint="eastAsia" w:ascii="宋体" w:hAnsi="宋体"/>
          <w:color w:val="auto"/>
          <w:sz w:val="24"/>
          <w:highlight w:val="none"/>
        </w:rPr>
        <w:t>。合格投标人的评标得分为各项目汇总得分，按评标得分由高到低顺序排列，得分相同的，按投标报价由低到高顺序排列；得分且投标报价相同的，按技术得分由高到低顺序排列。本项目由采购人授权评标委员会直接确定排名第一的投标人为中标人。</w:t>
      </w:r>
      <w:r>
        <w:rPr>
          <w:rFonts w:hint="eastAsia" w:ascii="宋体" w:hAnsi="宋体"/>
          <w:bCs/>
          <w:color w:val="auto"/>
          <w:sz w:val="24"/>
          <w:highlight w:val="none"/>
        </w:rPr>
        <w:t>评分过程中采用四舍五入法，并保留小数2位。</w:t>
      </w:r>
    </w:p>
    <w:p w14:paraId="2F503343">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投标人评标</w:t>
      </w:r>
      <w:r>
        <w:rPr>
          <w:rFonts w:hint="eastAsia" w:ascii="宋体" w:hAnsi="宋体"/>
          <w:bCs/>
          <w:color w:val="auto"/>
          <w:sz w:val="24"/>
          <w:highlight w:val="none"/>
        </w:rPr>
        <w:t>综合得分=价格分+</w:t>
      </w:r>
      <w:r>
        <w:rPr>
          <w:rFonts w:hint="eastAsia" w:ascii="宋体" w:hAnsi="宋体"/>
          <w:bCs/>
          <w:color w:val="auto"/>
          <w:sz w:val="24"/>
          <w:highlight w:val="none"/>
          <w:lang w:eastAsia="zh-CN"/>
        </w:rPr>
        <w:t>（</w:t>
      </w:r>
      <w:r>
        <w:rPr>
          <w:rFonts w:hint="eastAsia" w:ascii="宋体" w:hAnsi="宋体"/>
          <w:bCs/>
          <w:color w:val="auto"/>
          <w:sz w:val="24"/>
          <w:highlight w:val="none"/>
        </w:rPr>
        <w:t>技术分+商务、资信及其他分)</w:t>
      </w:r>
    </w:p>
    <w:p w14:paraId="784B523E">
      <w:pPr>
        <w:spacing w:line="360" w:lineRule="auto"/>
        <w:ind w:firstLine="562" w:firstLineChars="200"/>
        <w:rPr>
          <w:rFonts w:ascii="宋体" w:hAnsi="宋体"/>
          <w:b/>
          <w:color w:val="auto"/>
          <w:sz w:val="28"/>
          <w:szCs w:val="28"/>
          <w:highlight w:val="none"/>
        </w:rPr>
      </w:pPr>
      <w:r>
        <w:rPr>
          <w:rFonts w:hint="eastAsia" w:ascii="宋体" w:hAnsi="宋体"/>
          <w:b/>
          <w:color w:val="auto"/>
          <w:sz w:val="28"/>
          <w:szCs w:val="28"/>
          <w:highlight w:val="none"/>
        </w:rPr>
        <w:t>二、评标内容及标准</w:t>
      </w:r>
    </w:p>
    <w:p w14:paraId="1B1D9ADB">
      <w:pPr>
        <w:pStyle w:val="12"/>
        <w:spacing w:line="360" w:lineRule="auto"/>
        <w:ind w:firstLine="482" w:firstLineChars="200"/>
        <w:rPr>
          <w:rFonts w:hAnsi="宋体"/>
          <w:b/>
          <w:bCs/>
          <w:color w:val="auto"/>
          <w:sz w:val="24"/>
          <w:highlight w:val="none"/>
        </w:rPr>
      </w:pPr>
      <w:r>
        <w:rPr>
          <w:rFonts w:hint="eastAsia" w:hAnsi="宋体"/>
          <w:b/>
          <w:color w:val="auto"/>
          <w:sz w:val="24"/>
          <w:highlight w:val="none"/>
        </w:rPr>
        <w:t>（一）</w:t>
      </w:r>
      <w:r>
        <w:rPr>
          <w:rFonts w:hint="eastAsia" w:hAnsi="宋体"/>
          <w:b/>
          <w:bCs/>
          <w:color w:val="auto"/>
          <w:sz w:val="24"/>
          <w:highlight w:val="none"/>
        </w:rPr>
        <w:t>价格分（10分）</w:t>
      </w:r>
    </w:p>
    <w:p w14:paraId="0A1B2535">
      <w:pPr>
        <w:pStyle w:val="12"/>
        <w:spacing w:line="360" w:lineRule="auto"/>
        <w:ind w:firstLine="480" w:firstLineChars="200"/>
        <w:rPr>
          <w:rFonts w:hAnsi="宋体"/>
          <w:bCs/>
          <w:color w:val="auto"/>
          <w:sz w:val="24"/>
          <w:szCs w:val="24"/>
          <w:highlight w:val="none"/>
        </w:rPr>
      </w:pPr>
      <w:r>
        <w:rPr>
          <w:rFonts w:hint="eastAsia" w:hAnsi="宋体"/>
          <w:bCs/>
          <w:color w:val="auto"/>
          <w:sz w:val="24"/>
          <w:highlight w:val="none"/>
        </w:rPr>
        <w:t>价格分</w:t>
      </w:r>
      <w:r>
        <w:rPr>
          <w:rFonts w:hint="eastAsia" w:hAnsi="宋体"/>
          <w:bCs/>
          <w:color w:val="auto"/>
          <w:sz w:val="24"/>
          <w:szCs w:val="24"/>
          <w:highlight w:val="none"/>
        </w:rPr>
        <w:t>采用低价优先法计算，即满足招标文件要求且投标价格最低的投标报价为评标基准价，其他投标人的价格分按照下列公式计算：</w:t>
      </w:r>
    </w:p>
    <w:p w14:paraId="1CE4A3EC">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价格分=（评标基准价/投标报价）×10%×100</w:t>
      </w:r>
    </w:p>
    <w:p w14:paraId="62C4A3C8">
      <w:pPr>
        <w:spacing w:line="360" w:lineRule="auto"/>
        <w:ind w:left="9094" w:leftChars="200" w:hanging="8674" w:hangingChars="3600"/>
        <w:jc w:val="left"/>
        <w:rPr>
          <w:rFonts w:ascii="Arial Unicode MS" w:hAnsi="Arial Unicode MS"/>
          <w:color w:val="auto"/>
          <w:sz w:val="26"/>
          <w:szCs w:val="26"/>
          <w:highlight w:val="none"/>
        </w:rPr>
      </w:pPr>
      <w:r>
        <w:rPr>
          <w:rFonts w:hint="eastAsia" w:ascii="宋体" w:hAnsi="宋体"/>
          <w:b/>
          <w:bCs/>
          <w:color w:val="auto"/>
          <w:sz w:val="24"/>
          <w:highlight w:val="none"/>
        </w:rPr>
        <w:t>（二）</w:t>
      </w:r>
      <w:r>
        <w:rPr>
          <w:rFonts w:hint="eastAsia" w:ascii="宋体" w:hAnsi="宋体"/>
          <w:b/>
          <w:color w:val="auto"/>
          <w:sz w:val="24"/>
          <w:highlight w:val="none"/>
        </w:rPr>
        <w:t>技术分、商务、资信及其他分（90分）</w:t>
      </w:r>
    </w:p>
    <w:tbl>
      <w:tblPr>
        <w:tblStyle w:val="24"/>
        <w:tblW w:w="10207"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7"/>
        <w:gridCol w:w="142"/>
        <w:gridCol w:w="7938"/>
        <w:gridCol w:w="850"/>
      </w:tblGrid>
      <w:tr w14:paraId="2E3F2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trPr>
        <w:tc>
          <w:tcPr>
            <w:tcW w:w="1277" w:type="dxa"/>
            <w:vAlign w:val="center"/>
          </w:tcPr>
          <w:p w14:paraId="350A09D0">
            <w:pPr>
              <w:pStyle w:val="12"/>
              <w:spacing w:beforeLines="50" w:afterLines="50" w:line="360" w:lineRule="auto"/>
              <w:ind w:left="0" w:leftChars="0"/>
              <w:rPr>
                <w:rFonts w:hAnsi="宋体"/>
                <w:color w:val="auto"/>
                <w:sz w:val="24"/>
                <w:szCs w:val="21"/>
                <w:highlight w:val="none"/>
              </w:rPr>
            </w:pPr>
            <w:r>
              <w:rPr>
                <w:rFonts w:hint="eastAsia" w:hAnsi="宋体"/>
                <w:color w:val="auto"/>
                <w:sz w:val="24"/>
                <w:szCs w:val="21"/>
                <w:highlight w:val="none"/>
              </w:rPr>
              <w:t>评定项目</w:t>
            </w:r>
          </w:p>
        </w:tc>
        <w:tc>
          <w:tcPr>
            <w:tcW w:w="8080" w:type="dxa"/>
            <w:gridSpan w:val="2"/>
            <w:vAlign w:val="center"/>
          </w:tcPr>
          <w:p w14:paraId="58AAA54B">
            <w:pPr>
              <w:pStyle w:val="12"/>
              <w:spacing w:beforeLines="50" w:afterLines="50" w:line="360" w:lineRule="auto"/>
              <w:ind w:firstLine="480" w:firstLineChars="200"/>
              <w:rPr>
                <w:rFonts w:hAnsi="宋体"/>
                <w:color w:val="auto"/>
                <w:sz w:val="24"/>
                <w:szCs w:val="21"/>
                <w:highlight w:val="none"/>
              </w:rPr>
            </w:pPr>
            <w:r>
              <w:rPr>
                <w:rFonts w:hint="eastAsia" w:hAnsi="宋体"/>
                <w:color w:val="auto"/>
                <w:sz w:val="24"/>
                <w:szCs w:val="21"/>
                <w:highlight w:val="none"/>
              </w:rPr>
              <w:t>评定内容</w:t>
            </w:r>
          </w:p>
        </w:tc>
        <w:tc>
          <w:tcPr>
            <w:tcW w:w="850" w:type="dxa"/>
            <w:vAlign w:val="center"/>
          </w:tcPr>
          <w:p w14:paraId="7CDD54B6">
            <w:pPr>
              <w:pStyle w:val="12"/>
              <w:spacing w:beforeLines="50" w:afterLines="50" w:line="360" w:lineRule="auto"/>
              <w:ind w:left="0" w:leftChars="0"/>
              <w:rPr>
                <w:rFonts w:hAnsi="宋体"/>
                <w:color w:val="auto"/>
                <w:sz w:val="24"/>
                <w:szCs w:val="21"/>
                <w:highlight w:val="none"/>
              </w:rPr>
            </w:pPr>
            <w:r>
              <w:rPr>
                <w:rFonts w:hint="eastAsia" w:hAnsi="宋体"/>
                <w:color w:val="auto"/>
                <w:sz w:val="24"/>
                <w:szCs w:val="21"/>
                <w:highlight w:val="none"/>
              </w:rPr>
              <w:t>分值范围</w:t>
            </w:r>
          </w:p>
        </w:tc>
      </w:tr>
      <w:tr w14:paraId="546CD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9357" w:type="dxa"/>
            <w:gridSpan w:val="3"/>
            <w:vAlign w:val="center"/>
          </w:tcPr>
          <w:p w14:paraId="5C0C306E">
            <w:pPr>
              <w:pStyle w:val="12"/>
              <w:spacing w:beforeLines="50" w:afterLines="50" w:line="360" w:lineRule="auto"/>
              <w:ind w:firstLine="480" w:firstLineChars="200"/>
              <w:rPr>
                <w:rFonts w:hAnsi="宋体"/>
                <w:color w:val="auto"/>
                <w:sz w:val="24"/>
                <w:szCs w:val="21"/>
                <w:highlight w:val="none"/>
              </w:rPr>
            </w:pPr>
            <w:r>
              <w:rPr>
                <w:rFonts w:hint="eastAsia" w:hAnsi="宋体"/>
                <w:color w:val="auto"/>
                <w:sz w:val="24"/>
                <w:szCs w:val="21"/>
                <w:highlight w:val="none"/>
              </w:rPr>
              <w:t>技术部分</w:t>
            </w:r>
          </w:p>
        </w:tc>
        <w:tc>
          <w:tcPr>
            <w:tcW w:w="850" w:type="dxa"/>
            <w:vAlign w:val="center"/>
          </w:tcPr>
          <w:p w14:paraId="4F72AD57">
            <w:pPr>
              <w:pStyle w:val="12"/>
              <w:spacing w:beforeLines="50" w:afterLines="50" w:line="360" w:lineRule="auto"/>
              <w:ind w:left="0" w:leftChars="0"/>
              <w:rPr>
                <w:rFonts w:hAnsi="宋体"/>
                <w:color w:val="auto"/>
                <w:sz w:val="24"/>
                <w:szCs w:val="21"/>
                <w:highlight w:val="none"/>
              </w:rPr>
            </w:pPr>
            <w:r>
              <w:rPr>
                <w:rFonts w:hint="eastAsia" w:hAnsi="宋体"/>
                <w:color w:val="auto"/>
                <w:sz w:val="24"/>
                <w:szCs w:val="21"/>
                <w:highlight w:val="none"/>
              </w:rPr>
              <w:t>62分</w:t>
            </w:r>
          </w:p>
        </w:tc>
      </w:tr>
      <w:tr w14:paraId="19BC0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1419" w:type="dxa"/>
            <w:gridSpan w:val="2"/>
            <w:vAlign w:val="center"/>
          </w:tcPr>
          <w:p w14:paraId="66622D4C">
            <w:pPr>
              <w:pStyle w:val="12"/>
              <w:spacing w:beforeLines="50" w:afterLines="50" w:line="360" w:lineRule="auto"/>
              <w:ind w:left="0" w:leftChars="0"/>
              <w:jc w:val="left"/>
              <w:rPr>
                <w:rFonts w:ascii="新宋体" w:hAnsi="新宋体" w:eastAsia="新宋体" w:cs="新宋体"/>
                <w:color w:val="auto"/>
                <w:sz w:val="24"/>
                <w:highlight w:val="none"/>
              </w:rPr>
            </w:pPr>
            <w:r>
              <w:rPr>
                <w:rFonts w:ascii="新宋体" w:hAnsi="新宋体" w:eastAsia="新宋体" w:cs="新宋体"/>
                <w:color w:val="auto"/>
                <w:sz w:val="24"/>
                <w:highlight w:val="none"/>
              </w:rPr>
              <w:t>技术方案</w:t>
            </w:r>
          </w:p>
        </w:tc>
        <w:tc>
          <w:tcPr>
            <w:tcW w:w="7938" w:type="dxa"/>
            <w:vAlign w:val="center"/>
          </w:tcPr>
          <w:p w14:paraId="7E9868BE">
            <w:pPr>
              <w:pStyle w:val="12"/>
              <w:spacing w:after="0" w:line="400" w:lineRule="exact"/>
              <w:ind w:left="0" w:leftChars="0"/>
              <w:jc w:val="left"/>
              <w:rPr>
                <w:rFonts w:hAnsi="宋体"/>
                <w:bCs/>
                <w:color w:val="auto"/>
                <w:sz w:val="24"/>
                <w:szCs w:val="24"/>
                <w:highlight w:val="none"/>
              </w:rPr>
            </w:pPr>
            <w:r>
              <w:rPr>
                <w:rFonts w:hint="eastAsia" w:hAnsi="宋体"/>
                <w:bCs/>
                <w:color w:val="auto"/>
                <w:sz w:val="24"/>
                <w:szCs w:val="24"/>
                <w:highlight w:val="none"/>
              </w:rPr>
              <w:t>1.</w:t>
            </w:r>
            <w:r>
              <w:rPr>
                <w:rFonts w:hint="eastAsia" w:ascii="宋体" w:hAnsi="宋体"/>
                <w:color w:val="auto"/>
                <w:kern w:val="2"/>
                <w:sz w:val="24"/>
                <w:szCs w:val="24"/>
                <w:highlight w:val="none"/>
              </w:rPr>
              <w:t>投标人</w:t>
            </w:r>
            <w:r>
              <w:rPr>
                <w:rFonts w:hint="eastAsia" w:ascii="宋体" w:hAnsi="宋体"/>
                <w:color w:val="auto"/>
                <w:sz w:val="24"/>
                <w:highlight w:val="none"/>
              </w:rPr>
              <w:t>针对本项目的服务范围涉及区域制定的总体服务方案</w:t>
            </w:r>
            <w:r>
              <w:rPr>
                <w:rFonts w:hint="eastAsia" w:hAnsi="宋体"/>
                <w:bCs/>
                <w:color w:val="auto"/>
                <w:sz w:val="24"/>
                <w:szCs w:val="24"/>
                <w:highlight w:val="none"/>
              </w:rPr>
              <w:t>。方案详尽、合理、可靠、科学，</w:t>
            </w:r>
            <w:r>
              <w:rPr>
                <w:rFonts w:hAnsi="宋体"/>
                <w:bCs/>
                <w:color w:val="auto"/>
                <w:sz w:val="24"/>
                <w:szCs w:val="24"/>
                <w:highlight w:val="none"/>
              </w:rPr>
              <w:t>有针对性解释说明</w:t>
            </w:r>
            <w:r>
              <w:rPr>
                <w:rFonts w:hint="eastAsia" w:hAnsi="宋体"/>
                <w:bCs/>
                <w:color w:val="auto"/>
                <w:sz w:val="24"/>
                <w:szCs w:val="24"/>
                <w:highlight w:val="none"/>
              </w:rPr>
              <w:t>的得6</w:t>
            </w:r>
            <w:r>
              <w:rPr>
                <w:rFonts w:hAnsi="宋体"/>
                <w:bCs/>
                <w:color w:val="auto"/>
                <w:sz w:val="24"/>
                <w:szCs w:val="24"/>
                <w:highlight w:val="none"/>
              </w:rPr>
              <w:t>分</w:t>
            </w:r>
            <w:r>
              <w:rPr>
                <w:rFonts w:hint="eastAsia" w:hAnsi="宋体"/>
                <w:bCs/>
                <w:color w:val="auto"/>
                <w:sz w:val="24"/>
                <w:szCs w:val="24"/>
                <w:highlight w:val="none"/>
              </w:rPr>
              <w:t>；方案</w:t>
            </w:r>
            <w:r>
              <w:rPr>
                <w:rFonts w:hAnsi="宋体"/>
                <w:bCs/>
                <w:color w:val="auto"/>
                <w:sz w:val="24"/>
                <w:szCs w:val="24"/>
                <w:highlight w:val="none"/>
              </w:rPr>
              <w:t>基本全面，有针对性解释说明</w:t>
            </w:r>
            <w:r>
              <w:rPr>
                <w:rFonts w:hint="eastAsia" w:hAnsi="宋体"/>
                <w:bCs/>
                <w:color w:val="auto"/>
                <w:sz w:val="24"/>
                <w:szCs w:val="24"/>
                <w:highlight w:val="none"/>
              </w:rPr>
              <w:t>的得5</w:t>
            </w:r>
            <w:r>
              <w:rPr>
                <w:rFonts w:hAnsi="宋体"/>
                <w:bCs/>
                <w:color w:val="auto"/>
                <w:sz w:val="24"/>
                <w:szCs w:val="24"/>
                <w:highlight w:val="none"/>
              </w:rPr>
              <w:t>分</w:t>
            </w:r>
            <w:r>
              <w:rPr>
                <w:rFonts w:hint="eastAsia" w:hAnsi="宋体"/>
                <w:bCs/>
                <w:color w:val="auto"/>
                <w:sz w:val="24"/>
                <w:szCs w:val="24"/>
                <w:highlight w:val="none"/>
              </w:rPr>
              <w:t>；方案</w:t>
            </w:r>
            <w:r>
              <w:rPr>
                <w:rFonts w:hAnsi="宋体"/>
                <w:bCs/>
                <w:color w:val="auto"/>
                <w:sz w:val="24"/>
                <w:szCs w:val="24"/>
                <w:highlight w:val="none"/>
              </w:rPr>
              <w:t>不够全面，有针对性有解释说明</w:t>
            </w:r>
            <w:r>
              <w:rPr>
                <w:rFonts w:hint="eastAsia" w:hAnsi="宋体"/>
                <w:bCs/>
                <w:color w:val="auto"/>
                <w:sz w:val="24"/>
                <w:szCs w:val="24"/>
                <w:highlight w:val="none"/>
              </w:rPr>
              <w:t>的得4</w:t>
            </w:r>
            <w:r>
              <w:rPr>
                <w:rFonts w:hAnsi="宋体"/>
                <w:bCs/>
                <w:color w:val="auto"/>
                <w:sz w:val="24"/>
                <w:szCs w:val="24"/>
                <w:highlight w:val="none"/>
              </w:rPr>
              <w:t>分</w:t>
            </w:r>
            <w:r>
              <w:rPr>
                <w:rFonts w:hint="eastAsia" w:hAnsi="宋体"/>
                <w:bCs/>
                <w:color w:val="auto"/>
                <w:sz w:val="24"/>
                <w:szCs w:val="24"/>
                <w:highlight w:val="none"/>
              </w:rPr>
              <w:t>；方案</w:t>
            </w:r>
            <w:r>
              <w:rPr>
                <w:rFonts w:hAnsi="宋体"/>
                <w:bCs/>
                <w:color w:val="auto"/>
                <w:sz w:val="24"/>
                <w:szCs w:val="24"/>
                <w:highlight w:val="none"/>
              </w:rPr>
              <w:t>不全面，有解释说明</w:t>
            </w:r>
            <w:r>
              <w:rPr>
                <w:rFonts w:hint="eastAsia" w:hAnsi="宋体"/>
                <w:bCs/>
                <w:color w:val="auto"/>
                <w:sz w:val="24"/>
                <w:szCs w:val="24"/>
                <w:highlight w:val="none"/>
              </w:rPr>
              <w:t>的得3</w:t>
            </w:r>
            <w:r>
              <w:rPr>
                <w:rFonts w:hAnsi="宋体"/>
                <w:bCs/>
                <w:color w:val="auto"/>
                <w:sz w:val="24"/>
                <w:szCs w:val="24"/>
                <w:highlight w:val="none"/>
              </w:rPr>
              <w:t>分</w:t>
            </w:r>
            <w:r>
              <w:rPr>
                <w:rFonts w:hint="eastAsia" w:hAnsi="宋体"/>
                <w:bCs/>
                <w:color w:val="auto"/>
                <w:sz w:val="24"/>
                <w:szCs w:val="24"/>
                <w:highlight w:val="none"/>
              </w:rPr>
              <w:t>；方案</w:t>
            </w:r>
            <w:r>
              <w:rPr>
                <w:rFonts w:hAnsi="宋体"/>
                <w:bCs/>
                <w:color w:val="auto"/>
                <w:sz w:val="24"/>
                <w:szCs w:val="24"/>
                <w:highlight w:val="none"/>
              </w:rPr>
              <w:t>不全面，没有解释说明</w:t>
            </w:r>
            <w:r>
              <w:rPr>
                <w:rFonts w:hint="eastAsia" w:hAnsi="宋体"/>
                <w:bCs/>
                <w:color w:val="auto"/>
                <w:sz w:val="24"/>
                <w:szCs w:val="24"/>
                <w:highlight w:val="none"/>
              </w:rPr>
              <w:t>的得1</w:t>
            </w:r>
            <w:r>
              <w:rPr>
                <w:rFonts w:hAnsi="宋体"/>
                <w:bCs/>
                <w:color w:val="auto"/>
                <w:sz w:val="24"/>
                <w:szCs w:val="24"/>
                <w:highlight w:val="none"/>
              </w:rPr>
              <w:t>分</w:t>
            </w:r>
            <w:r>
              <w:rPr>
                <w:rFonts w:hint="eastAsia" w:hAnsi="宋体"/>
                <w:bCs/>
                <w:color w:val="auto"/>
                <w:sz w:val="24"/>
                <w:szCs w:val="24"/>
                <w:highlight w:val="none"/>
              </w:rPr>
              <w:t>；</w:t>
            </w:r>
            <w:r>
              <w:rPr>
                <w:rFonts w:hAnsi="宋体"/>
                <w:bCs/>
                <w:color w:val="auto"/>
                <w:sz w:val="24"/>
                <w:szCs w:val="24"/>
                <w:highlight w:val="none"/>
              </w:rPr>
              <w:t>未提供不得分。</w:t>
            </w:r>
          </w:p>
          <w:p w14:paraId="2D1503D4">
            <w:pPr>
              <w:pStyle w:val="12"/>
              <w:spacing w:after="0" w:line="400" w:lineRule="exact"/>
              <w:ind w:left="0" w:leftChars="0"/>
              <w:jc w:val="left"/>
              <w:rPr>
                <w:rFonts w:hAnsi="宋体"/>
                <w:bCs/>
                <w:color w:val="auto"/>
                <w:sz w:val="24"/>
                <w:szCs w:val="24"/>
                <w:highlight w:val="none"/>
              </w:rPr>
            </w:pPr>
            <w:r>
              <w:rPr>
                <w:rFonts w:hint="eastAsia" w:hAnsi="宋体"/>
                <w:bCs/>
                <w:color w:val="auto"/>
                <w:sz w:val="24"/>
                <w:szCs w:val="24"/>
                <w:highlight w:val="none"/>
              </w:rPr>
              <w:t>2.</w:t>
            </w:r>
            <w:r>
              <w:rPr>
                <w:rFonts w:hint="eastAsia" w:ascii="宋体" w:hAnsi="宋体"/>
                <w:color w:val="auto"/>
                <w:kern w:val="2"/>
                <w:sz w:val="24"/>
                <w:szCs w:val="24"/>
                <w:highlight w:val="none"/>
              </w:rPr>
              <w:t>投标人</w:t>
            </w:r>
            <w:r>
              <w:rPr>
                <w:rFonts w:hint="eastAsia" w:ascii="宋体" w:hAnsi="宋体"/>
                <w:color w:val="auto"/>
                <w:sz w:val="24"/>
                <w:highlight w:val="none"/>
              </w:rPr>
              <w:t>在服务过程中各种情况的应对方案</w:t>
            </w:r>
            <w:r>
              <w:rPr>
                <w:rFonts w:hint="eastAsia" w:hAnsi="宋体"/>
                <w:bCs/>
                <w:color w:val="auto"/>
                <w:sz w:val="24"/>
                <w:szCs w:val="24"/>
                <w:highlight w:val="none"/>
              </w:rPr>
              <w:t>。方案详尽、合理、可靠、科学，有针对性解释说明的得6分；方案基本全面，有针对性解释说明的得5分；方案不够全面，有针对性有解释说明的得4分；方案不全面，有解释说明的得3分；方案不全面，没有解释说明的得1分；未提供不得分。</w:t>
            </w:r>
          </w:p>
          <w:p w14:paraId="5C2555F1">
            <w:pPr>
              <w:pStyle w:val="12"/>
              <w:spacing w:after="0" w:line="400" w:lineRule="exact"/>
              <w:ind w:left="0" w:leftChars="0"/>
              <w:jc w:val="left"/>
              <w:rPr>
                <w:rFonts w:hAnsi="宋体"/>
                <w:bCs/>
                <w:color w:val="auto"/>
                <w:sz w:val="24"/>
                <w:szCs w:val="24"/>
                <w:highlight w:val="none"/>
              </w:rPr>
            </w:pPr>
            <w:r>
              <w:rPr>
                <w:rFonts w:hint="eastAsia" w:hAnsi="宋体"/>
                <w:bCs/>
                <w:color w:val="auto"/>
                <w:sz w:val="24"/>
                <w:szCs w:val="24"/>
                <w:highlight w:val="none"/>
              </w:rPr>
              <w:t>3.</w:t>
            </w:r>
            <w:r>
              <w:rPr>
                <w:rFonts w:hint="eastAsia" w:ascii="宋体" w:hAnsi="宋体"/>
                <w:color w:val="auto"/>
                <w:kern w:val="2"/>
                <w:sz w:val="24"/>
                <w:szCs w:val="24"/>
                <w:highlight w:val="none"/>
              </w:rPr>
              <w:t>投标人制定的医院接待各类检查、参观学习的配合工作方案</w:t>
            </w:r>
            <w:r>
              <w:rPr>
                <w:rFonts w:hint="eastAsia" w:hAnsi="宋体"/>
                <w:bCs/>
                <w:color w:val="auto"/>
                <w:sz w:val="24"/>
                <w:szCs w:val="24"/>
                <w:highlight w:val="none"/>
              </w:rPr>
              <w:t>。方案全面、科学、合理，有针对性解释说明的得6分；方案基本全面，有针对性解释说明的得5分；方案不够全面，有针对性有解释说明的得4分；方案不全面，有解释说明的得3分；方案不全面，没有解释说明的得1分；未提供不得分。</w:t>
            </w:r>
          </w:p>
          <w:p w14:paraId="0E8F75B7">
            <w:pPr>
              <w:pStyle w:val="12"/>
              <w:spacing w:after="0" w:line="400" w:lineRule="exact"/>
              <w:ind w:left="0" w:leftChars="0"/>
              <w:jc w:val="left"/>
              <w:rPr>
                <w:rFonts w:hAnsi="宋体"/>
                <w:bCs/>
                <w:color w:val="auto"/>
                <w:sz w:val="24"/>
                <w:szCs w:val="24"/>
                <w:highlight w:val="none"/>
              </w:rPr>
            </w:pPr>
            <w:r>
              <w:rPr>
                <w:rFonts w:hint="eastAsia" w:hAnsi="宋体"/>
                <w:bCs/>
                <w:color w:val="auto"/>
                <w:sz w:val="24"/>
                <w:szCs w:val="24"/>
                <w:highlight w:val="none"/>
              </w:rPr>
              <w:t>4.</w:t>
            </w:r>
            <w:r>
              <w:rPr>
                <w:rFonts w:hint="eastAsia" w:ascii="宋体" w:hAnsi="宋体"/>
                <w:color w:val="auto"/>
                <w:kern w:val="2"/>
                <w:sz w:val="24"/>
                <w:szCs w:val="24"/>
                <w:highlight w:val="none"/>
              </w:rPr>
              <w:t>投标人针对中标后工作的衔接、人员及装备的进场、与医院各项医务工作及医院业务流程相适应的服务运作流程等指定的方案</w:t>
            </w:r>
            <w:r>
              <w:rPr>
                <w:rFonts w:hint="eastAsia" w:hAnsi="宋体"/>
                <w:bCs/>
                <w:color w:val="auto"/>
                <w:sz w:val="24"/>
                <w:szCs w:val="24"/>
                <w:highlight w:val="none"/>
              </w:rPr>
              <w:t>具体可行、科学、可靠、合理，有针对性解释说明的得6分；方案基本全面，有针对性解释说明的得5分；方案不够全面，有针对性有解释说明的得4分；方案不全面，有解释说明的得3分；方案不全面，没有解释说明的得1分；未提供不得分。</w:t>
            </w:r>
          </w:p>
          <w:p w14:paraId="09727B45">
            <w:pPr>
              <w:spacing w:line="400" w:lineRule="exact"/>
              <w:jc w:val="left"/>
              <w:rPr>
                <w:rFonts w:ascii="Calibri" w:hAnsi="宋体" w:cs="宋体"/>
                <w:color w:val="auto"/>
                <w:kern w:val="0"/>
                <w:sz w:val="24"/>
                <w:highlight w:val="none"/>
              </w:rPr>
            </w:pPr>
            <w:r>
              <w:rPr>
                <w:rFonts w:hint="eastAsia" w:hAnsi="宋体"/>
                <w:bCs/>
                <w:color w:val="auto"/>
                <w:sz w:val="24"/>
                <w:highlight w:val="none"/>
              </w:rPr>
              <w:t>5.</w:t>
            </w:r>
            <w:r>
              <w:rPr>
                <w:rFonts w:hint="eastAsia" w:ascii="宋体" w:hAnsi="宋体"/>
                <w:color w:val="auto"/>
                <w:sz w:val="24"/>
                <w:highlight w:val="none"/>
              </w:rPr>
              <w:t>投标人的应急服务支撑能力，在特殊需要时迅速派出足够数量的增援人员，从而制定的具体方案</w:t>
            </w:r>
            <w:r>
              <w:rPr>
                <w:rFonts w:hint="eastAsia" w:hAnsi="宋体"/>
                <w:bCs/>
                <w:color w:val="auto"/>
                <w:sz w:val="24"/>
                <w:highlight w:val="none"/>
              </w:rPr>
              <w:t>，方案具体可行、科学、严密、合理，有针对性解释说明的得6分；方案基本全面，有针对性解释说明的得5分；方案不够全面，有针对性有解释说明的得4分；方案不全面，有解释说明的得3分；方案不全面，没有解释说明的得1分；未提供不得分。</w:t>
            </w:r>
          </w:p>
        </w:tc>
        <w:tc>
          <w:tcPr>
            <w:tcW w:w="850" w:type="dxa"/>
            <w:vAlign w:val="center"/>
          </w:tcPr>
          <w:p w14:paraId="4AB8F3B3">
            <w:pPr>
              <w:pStyle w:val="6"/>
              <w:rPr>
                <w:rFonts w:ascii="宋体" w:hAnsi="宋体" w:cs="宋体" w:eastAsiaTheme="minorEastAsia"/>
                <w:b w:val="0"/>
                <w:color w:val="auto"/>
                <w:kern w:val="2"/>
                <w:sz w:val="24"/>
                <w:szCs w:val="20"/>
                <w:highlight w:val="none"/>
              </w:rPr>
            </w:pPr>
            <w:r>
              <w:rPr>
                <w:rFonts w:hint="eastAsia" w:ascii="宋体" w:hAnsi="宋体" w:cs="宋体" w:eastAsiaTheme="minorEastAsia"/>
                <w:b w:val="0"/>
                <w:color w:val="auto"/>
                <w:kern w:val="2"/>
                <w:sz w:val="24"/>
                <w:szCs w:val="20"/>
                <w:highlight w:val="none"/>
              </w:rPr>
              <w:t>30分</w:t>
            </w:r>
          </w:p>
        </w:tc>
      </w:tr>
      <w:tr w14:paraId="212EF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1419" w:type="dxa"/>
            <w:gridSpan w:val="2"/>
            <w:vAlign w:val="center"/>
          </w:tcPr>
          <w:p w14:paraId="1AFAABFD">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质量保证与质量控制措施</w:t>
            </w:r>
          </w:p>
        </w:tc>
        <w:tc>
          <w:tcPr>
            <w:tcW w:w="7938" w:type="dxa"/>
            <w:shd w:val="clear" w:color="auto" w:fill="auto"/>
          </w:tcPr>
          <w:p w14:paraId="4D5AF46C">
            <w:pPr>
              <w:pStyle w:val="12"/>
              <w:spacing w:after="0" w:line="400" w:lineRule="exact"/>
              <w:ind w:left="0" w:leftChars="0"/>
              <w:jc w:val="left"/>
              <w:rPr>
                <w:rFonts w:hAnsi="宋体"/>
                <w:bCs/>
                <w:color w:val="auto"/>
                <w:sz w:val="24"/>
                <w:szCs w:val="24"/>
                <w:highlight w:val="none"/>
              </w:rPr>
            </w:pPr>
            <w:r>
              <w:rPr>
                <w:rFonts w:hint="eastAsia" w:hAnsi="宋体"/>
                <w:bCs/>
                <w:color w:val="auto"/>
                <w:sz w:val="24"/>
                <w:szCs w:val="24"/>
                <w:highlight w:val="none"/>
              </w:rPr>
              <w:t>投标人具有安全周到、切实可行的确保服务的组织措施（包括但不限于班子和人员等)及确保服务质量的措施详尽、合理、可靠、科学，有针对性解释说明的得6分；措施基本全面，有针对性解释说明的得5分；措施不够全面，有针对性有解释说明的得4分；措施不全面，有解释说明的得3分；措施不全面，没有解释说明的得1分；未提供不得分。</w:t>
            </w:r>
          </w:p>
        </w:tc>
        <w:tc>
          <w:tcPr>
            <w:tcW w:w="850" w:type="dxa"/>
            <w:vAlign w:val="center"/>
          </w:tcPr>
          <w:p w14:paraId="79E9A010">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6分</w:t>
            </w:r>
          </w:p>
        </w:tc>
      </w:tr>
      <w:tr w14:paraId="3104F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1419" w:type="dxa"/>
            <w:gridSpan w:val="2"/>
            <w:vAlign w:val="center"/>
          </w:tcPr>
          <w:p w14:paraId="1C925DB4">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应急处理预案</w:t>
            </w:r>
          </w:p>
        </w:tc>
        <w:tc>
          <w:tcPr>
            <w:tcW w:w="7938" w:type="dxa"/>
            <w:vAlign w:val="center"/>
          </w:tcPr>
          <w:p w14:paraId="09B86C63">
            <w:pPr>
              <w:pStyle w:val="12"/>
              <w:spacing w:beforeLines="50" w:afterLines="50" w:line="360" w:lineRule="auto"/>
              <w:ind w:left="0" w:leftChars="0"/>
              <w:jc w:val="left"/>
              <w:rPr>
                <w:rFonts w:hAnsi="宋体" w:cs="宋体"/>
                <w:color w:val="auto"/>
                <w:sz w:val="24"/>
                <w:szCs w:val="24"/>
                <w:highlight w:val="none"/>
              </w:rPr>
            </w:pPr>
            <w:r>
              <w:rPr>
                <w:rFonts w:hint="eastAsia" w:hAnsi="宋体"/>
                <w:bCs/>
                <w:color w:val="auto"/>
                <w:sz w:val="24"/>
                <w:szCs w:val="24"/>
                <w:highlight w:val="none"/>
              </w:rPr>
              <w:t>针对本项目的应急预案、突发情况包括但不限于暴雪、台风、暴雨等灾害性天气、地震、群体性事件、暴恐事件、火灾等突发事件，</w:t>
            </w:r>
            <w:r>
              <w:rPr>
                <w:rFonts w:hint="eastAsia" w:ascii="宋体" w:hAnsi="宋体"/>
                <w:color w:val="auto"/>
                <w:kern w:val="2"/>
                <w:sz w:val="24"/>
                <w:szCs w:val="24"/>
                <w:highlight w:val="none"/>
              </w:rPr>
              <w:t>防盗、防火的安全防范巡查措施</w:t>
            </w:r>
            <w:r>
              <w:rPr>
                <w:rFonts w:hint="eastAsia" w:hAnsi="宋体"/>
                <w:bCs/>
                <w:color w:val="auto"/>
                <w:sz w:val="24"/>
                <w:szCs w:val="24"/>
                <w:highlight w:val="none"/>
              </w:rPr>
              <w:t>，</w:t>
            </w:r>
            <w:r>
              <w:rPr>
                <w:rFonts w:hint="eastAsia" w:ascii="宋体" w:hAnsi="宋体"/>
                <w:color w:val="auto"/>
                <w:kern w:val="2"/>
                <w:sz w:val="24"/>
                <w:szCs w:val="24"/>
                <w:highlight w:val="none"/>
              </w:rPr>
              <w:t>危及医护人员安全的突发事件的应急预案，社会纠纷、暴恐事件等类型的应急预案，重大活动或重要接待任务等类型</w:t>
            </w:r>
            <w:r>
              <w:rPr>
                <w:rFonts w:hint="eastAsia" w:hAnsi="宋体"/>
                <w:bCs/>
                <w:color w:val="auto"/>
                <w:sz w:val="24"/>
                <w:szCs w:val="24"/>
                <w:highlight w:val="none"/>
              </w:rPr>
              <w:t>方案满足项目需求、合理可行、科学规范，有针对性解释说明的得6分；方案基本全面，有针对性解释说明的得5分；方案不够全面，有针对性有解释说明的得4分；方案不全面，有解释说明的得3分；方案不全面，没有解释说明的得1分；未提供不得分。</w:t>
            </w:r>
          </w:p>
        </w:tc>
        <w:tc>
          <w:tcPr>
            <w:tcW w:w="850" w:type="dxa"/>
            <w:vAlign w:val="center"/>
          </w:tcPr>
          <w:p w14:paraId="70AFBA80">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6分</w:t>
            </w:r>
          </w:p>
        </w:tc>
      </w:tr>
      <w:tr w14:paraId="6D21A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1419" w:type="dxa"/>
            <w:gridSpan w:val="2"/>
            <w:vAlign w:val="center"/>
          </w:tcPr>
          <w:p w14:paraId="2820F695">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管理制度</w:t>
            </w:r>
          </w:p>
        </w:tc>
        <w:tc>
          <w:tcPr>
            <w:tcW w:w="7938" w:type="dxa"/>
            <w:shd w:val="clear" w:color="auto" w:fill="auto"/>
            <w:vAlign w:val="center"/>
          </w:tcPr>
          <w:p w14:paraId="210FF74E">
            <w:pPr>
              <w:pStyle w:val="12"/>
              <w:spacing w:after="0" w:line="400" w:lineRule="exact"/>
              <w:ind w:left="0" w:leftChars="0"/>
              <w:jc w:val="left"/>
              <w:rPr>
                <w:rFonts w:hAnsi="宋体"/>
                <w:bCs/>
                <w:color w:val="auto"/>
                <w:sz w:val="24"/>
                <w:szCs w:val="24"/>
                <w:highlight w:val="none"/>
              </w:rPr>
            </w:pPr>
            <w:r>
              <w:rPr>
                <w:rFonts w:hint="eastAsia" w:ascii="宋体" w:hAnsi="宋体"/>
                <w:color w:val="auto"/>
                <w:kern w:val="2"/>
                <w:sz w:val="24"/>
                <w:szCs w:val="24"/>
                <w:highlight w:val="none"/>
              </w:rPr>
              <w:t>供应商的保安工作人员职责制度，保安交接班制度，保安队伍例会制度，队伍绩效考核管理制度，队伍奖惩制度</w:t>
            </w:r>
            <w:r>
              <w:rPr>
                <w:rFonts w:hint="eastAsia" w:hAnsi="宋体"/>
                <w:bCs/>
                <w:color w:val="auto"/>
                <w:sz w:val="24"/>
                <w:szCs w:val="24"/>
                <w:highlight w:val="none"/>
              </w:rPr>
              <w:t>，有针对性解释说明的得6分；方案基本全面，有针对性解释说明的得5分；方案不够全面，有针对性有解释说明的得4分；方案不全面，有解释说明的得3分；方案不全面，没有解释说明的得1分；未提供不得分。</w:t>
            </w:r>
          </w:p>
        </w:tc>
        <w:tc>
          <w:tcPr>
            <w:tcW w:w="850" w:type="dxa"/>
            <w:vAlign w:val="center"/>
          </w:tcPr>
          <w:p w14:paraId="78D5A19D">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6分</w:t>
            </w:r>
          </w:p>
        </w:tc>
      </w:tr>
      <w:tr w14:paraId="5F76C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1419" w:type="dxa"/>
            <w:gridSpan w:val="2"/>
            <w:vAlign w:val="center"/>
          </w:tcPr>
          <w:p w14:paraId="4E423B75">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拟投入本项目人员</w:t>
            </w:r>
          </w:p>
        </w:tc>
        <w:tc>
          <w:tcPr>
            <w:tcW w:w="7938" w:type="dxa"/>
            <w:vAlign w:val="center"/>
          </w:tcPr>
          <w:p w14:paraId="007DA3B9">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1.拟投入本项</w:t>
            </w:r>
            <w:r>
              <w:rPr>
                <w:rFonts w:hint="eastAsia" w:hAnsi="宋体" w:cs="宋体"/>
                <w:color w:val="auto"/>
                <w:sz w:val="24"/>
                <w:szCs w:val="24"/>
                <w:highlight w:val="none"/>
                <w:lang w:eastAsia="zh-CN"/>
              </w:rPr>
              <w:t>目的</w:t>
            </w:r>
            <w:r>
              <w:rPr>
                <w:rFonts w:hint="eastAsia" w:hAnsi="宋体" w:cs="宋体"/>
                <w:color w:val="auto"/>
                <w:sz w:val="24"/>
                <w:szCs w:val="24"/>
                <w:highlight w:val="none"/>
              </w:rPr>
              <w:t>项目负责人：</w:t>
            </w:r>
          </w:p>
          <w:p w14:paraId="45946C66">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（1）项目负责人具有本科及以上学历且在本单位工作满三个月的得</w:t>
            </w:r>
            <w:r>
              <w:rPr>
                <w:rFonts w:hint="eastAsia" w:hAnsi="宋体" w:cs="宋体"/>
                <w:color w:val="auto"/>
                <w:sz w:val="24"/>
                <w:szCs w:val="24"/>
                <w:highlight w:val="none"/>
                <w:lang w:val="en-US" w:eastAsia="zh-CN"/>
              </w:rPr>
              <w:t>2</w:t>
            </w:r>
            <w:r>
              <w:rPr>
                <w:rFonts w:hint="eastAsia" w:hAnsi="宋体" w:cs="宋体"/>
                <w:color w:val="auto"/>
                <w:sz w:val="24"/>
                <w:szCs w:val="24"/>
                <w:highlight w:val="none"/>
              </w:rPr>
              <w:t>分；</w:t>
            </w:r>
            <w:r>
              <w:rPr>
                <w:rFonts w:hAnsi="宋体" w:cs="宋体"/>
                <w:color w:val="auto"/>
                <w:sz w:val="24"/>
                <w:szCs w:val="24"/>
                <w:highlight w:val="none"/>
              </w:rPr>
              <w:t xml:space="preserve"> </w:t>
            </w:r>
          </w:p>
          <w:p w14:paraId="6D7ECD02">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（2）项目负责人具有保安管理师（二级）及以上等级证书的得</w:t>
            </w:r>
            <w:r>
              <w:rPr>
                <w:rFonts w:hint="eastAsia" w:hAnsi="宋体" w:cs="宋体"/>
                <w:color w:val="auto"/>
                <w:sz w:val="24"/>
                <w:szCs w:val="24"/>
                <w:highlight w:val="none"/>
                <w:lang w:val="en-US" w:eastAsia="zh-CN"/>
              </w:rPr>
              <w:t>2</w:t>
            </w:r>
            <w:r>
              <w:rPr>
                <w:rFonts w:hint="eastAsia" w:hAnsi="宋体" w:cs="宋体"/>
                <w:color w:val="auto"/>
                <w:sz w:val="24"/>
                <w:szCs w:val="24"/>
                <w:highlight w:val="none"/>
              </w:rPr>
              <w:t>分；</w:t>
            </w:r>
            <w:r>
              <w:rPr>
                <w:rFonts w:hAnsi="宋体" w:cs="宋体"/>
                <w:color w:val="auto"/>
                <w:sz w:val="24"/>
                <w:szCs w:val="24"/>
                <w:highlight w:val="none"/>
              </w:rPr>
              <w:t xml:space="preserve"> </w:t>
            </w:r>
          </w:p>
          <w:p w14:paraId="73E68C47">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以上（1）和（2）提供学历证书复印件（以教育部提供的学历证书为准），保安管理师证书复印件（以行政管理部门核发的保安管理师证为准）以及本单位或分公司为其缴纳的近三个月的社保证明，未提供不得分。</w:t>
            </w:r>
          </w:p>
          <w:p w14:paraId="40C566DB">
            <w:pPr>
              <w:pStyle w:val="12"/>
              <w:spacing w:beforeLines="50" w:afterLines="50" w:line="360" w:lineRule="auto"/>
              <w:ind w:left="0" w:leftChars="0"/>
              <w:jc w:val="left"/>
              <w:rPr>
                <w:rFonts w:hAnsi="宋体" w:cs="宋体"/>
                <w:color w:val="auto"/>
                <w:sz w:val="24"/>
                <w:szCs w:val="24"/>
                <w:highlight w:val="none"/>
              </w:rPr>
            </w:pPr>
            <w:r>
              <w:rPr>
                <w:rFonts w:hAnsi="宋体" w:cs="宋体"/>
                <w:color w:val="auto"/>
                <w:sz w:val="24"/>
                <w:szCs w:val="24"/>
                <w:highlight w:val="none"/>
              </w:rPr>
              <w:t>3</w:t>
            </w:r>
            <w:r>
              <w:rPr>
                <w:rFonts w:hint="eastAsia" w:hAnsi="宋体" w:cs="宋体"/>
                <w:color w:val="auto"/>
                <w:sz w:val="24"/>
                <w:szCs w:val="24"/>
                <w:highlight w:val="none"/>
              </w:rPr>
              <w:t>.项目团队其他成员</w:t>
            </w:r>
            <w:r>
              <w:rPr>
                <w:rFonts w:hint="eastAsia" w:hAnsi="宋体" w:cs="宋体"/>
                <w:color w:val="auto"/>
                <w:sz w:val="24"/>
                <w:szCs w:val="24"/>
                <w:highlight w:val="none"/>
                <w:lang w:eastAsia="zh-CN"/>
              </w:rPr>
              <w:t>（</w:t>
            </w:r>
            <w:r>
              <w:rPr>
                <w:rFonts w:hint="eastAsia" w:hAnsi="宋体" w:cs="宋体"/>
                <w:color w:val="auto"/>
                <w:sz w:val="24"/>
                <w:szCs w:val="24"/>
                <w:highlight w:val="none"/>
              </w:rPr>
              <w:t>不含项目负责人)：具有保安管理师（二级）职业技能等级证书的，每位得</w:t>
            </w:r>
            <w:r>
              <w:rPr>
                <w:rFonts w:hint="eastAsia" w:hAnsi="宋体" w:cs="宋体"/>
                <w:color w:val="auto"/>
                <w:sz w:val="24"/>
                <w:szCs w:val="24"/>
                <w:highlight w:val="none"/>
                <w:lang w:val="en-US" w:eastAsia="zh-CN"/>
              </w:rPr>
              <w:t>2</w:t>
            </w:r>
            <w:r>
              <w:rPr>
                <w:rFonts w:hint="eastAsia" w:hAnsi="宋体" w:cs="宋体"/>
                <w:color w:val="auto"/>
                <w:sz w:val="24"/>
                <w:szCs w:val="24"/>
                <w:highlight w:val="none"/>
              </w:rPr>
              <w:t>分，具有高级保安管理师（一级）等级证书的，每位得</w:t>
            </w:r>
            <w:r>
              <w:rPr>
                <w:rFonts w:hint="eastAsia" w:hAnsi="宋体" w:cs="宋体"/>
                <w:color w:val="auto"/>
                <w:sz w:val="24"/>
                <w:szCs w:val="24"/>
                <w:highlight w:val="none"/>
                <w:lang w:val="en-US" w:eastAsia="zh-CN"/>
              </w:rPr>
              <w:t>3</w:t>
            </w:r>
            <w:r>
              <w:rPr>
                <w:rFonts w:hint="eastAsia" w:hAnsi="宋体" w:cs="宋体"/>
                <w:color w:val="auto"/>
                <w:sz w:val="24"/>
                <w:szCs w:val="24"/>
                <w:highlight w:val="none"/>
              </w:rPr>
              <w:t>分，最高得</w:t>
            </w:r>
            <w:r>
              <w:rPr>
                <w:rFonts w:hint="eastAsia" w:hAnsi="宋体" w:cs="宋体"/>
                <w:color w:val="auto"/>
                <w:sz w:val="24"/>
                <w:szCs w:val="24"/>
                <w:highlight w:val="none"/>
                <w:lang w:val="en-US" w:eastAsia="zh-CN"/>
              </w:rPr>
              <w:t>8</w:t>
            </w:r>
            <w:r>
              <w:rPr>
                <w:rFonts w:hint="eastAsia" w:hAnsi="宋体" w:cs="宋体"/>
                <w:color w:val="auto"/>
                <w:sz w:val="24"/>
                <w:szCs w:val="24"/>
                <w:highlight w:val="none"/>
              </w:rPr>
              <w:t>分；</w:t>
            </w:r>
          </w:p>
          <w:p w14:paraId="31200FAB">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提供相关人员本单位或分公司为其缴纳的近一个月的社保证明、相关证书或文件复印件。</w:t>
            </w:r>
          </w:p>
        </w:tc>
        <w:tc>
          <w:tcPr>
            <w:tcW w:w="850" w:type="dxa"/>
            <w:vAlign w:val="center"/>
          </w:tcPr>
          <w:p w14:paraId="651393A5">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12分</w:t>
            </w:r>
          </w:p>
        </w:tc>
      </w:tr>
      <w:tr w14:paraId="63B05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1419" w:type="dxa"/>
            <w:gridSpan w:val="2"/>
            <w:vAlign w:val="center"/>
          </w:tcPr>
          <w:p w14:paraId="683239E4">
            <w:pPr>
              <w:pStyle w:val="12"/>
              <w:spacing w:beforeLines="50" w:afterLines="50" w:line="360" w:lineRule="auto"/>
              <w:ind w:left="0" w:leftChars="0"/>
              <w:jc w:val="left"/>
              <w:rPr>
                <w:rFonts w:ascii="宋体"/>
                <w:color w:val="auto"/>
                <w:sz w:val="24"/>
                <w:highlight w:val="none"/>
              </w:rPr>
            </w:pPr>
            <w:r>
              <w:rPr>
                <w:rFonts w:hint="eastAsia" w:ascii="宋体"/>
                <w:color w:val="auto"/>
                <w:sz w:val="24"/>
                <w:highlight w:val="none"/>
              </w:rPr>
              <w:t>本项目有效的改进措施和合理化建议</w:t>
            </w:r>
          </w:p>
        </w:tc>
        <w:tc>
          <w:tcPr>
            <w:tcW w:w="7938" w:type="dxa"/>
            <w:vAlign w:val="center"/>
          </w:tcPr>
          <w:p w14:paraId="675F78EC">
            <w:pPr>
              <w:spacing w:beforeLines="50" w:afterLines="50" w:line="400" w:lineRule="exact"/>
              <w:rPr>
                <w:rFonts w:ascii="宋体"/>
                <w:color w:val="auto"/>
                <w:kern w:val="0"/>
                <w:sz w:val="24"/>
                <w:szCs w:val="20"/>
                <w:highlight w:val="none"/>
              </w:rPr>
            </w:pPr>
            <w:r>
              <w:rPr>
                <w:rFonts w:hint="eastAsia" w:ascii="宋体"/>
                <w:color w:val="auto"/>
                <w:kern w:val="0"/>
                <w:sz w:val="24"/>
                <w:szCs w:val="20"/>
                <w:highlight w:val="none"/>
              </w:rPr>
              <w:t>针对项目的现状、特点等问题提出有效建议或措施的每项得0.5分，最高得2分。</w:t>
            </w:r>
          </w:p>
        </w:tc>
        <w:tc>
          <w:tcPr>
            <w:tcW w:w="850" w:type="dxa"/>
            <w:vAlign w:val="center"/>
          </w:tcPr>
          <w:p w14:paraId="4D236D4F">
            <w:pPr>
              <w:pStyle w:val="12"/>
              <w:spacing w:beforeLines="50" w:afterLines="50" w:line="360" w:lineRule="auto"/>
              <w:ind w:left="0" w:leftChars="0"/>
              <w:jc w:val="left"/>
              <w:rPr>
                <w:rFonts w:ascii="宋体" w:hAnsi="宋体" w:cs="宋体" w:eastAsiaTheme="minorEastAsia"/>
                <w:bCs/>
                <w:color w:val="auto"/>
                <w:sz w:val="24"/>
                <w:highlight w:val="none"/>
              </w:rPr>
            </w:pPr>
            <w:r>
              <w:rPr>
                <w:rFonts w:hint="eastAsia" w:ascii="宋体" w:hAnsi="宋体" w:cs="宋体" w:eastAsiaTheme="minorEastAsia"/>
                <w:bCs/>
                <w:color w:val="auto"/>
                <w:sz w:val="24"/>
                <w:highlight w:val="none"/>
              </w:rPr>
              <w:t>2分</w:t>
            </w:r>
          </w:p>
        </w:tc>
      </w:tr>
      <w:tr w14:paraId="11905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9357" w:type="dxa"/>
            <w:gridSpan w:val="3"/>
            <w:vAlign w:val="center"/>
          </w:tcPr>
          <w:p w14:paraId="54E6F374">
            <w:pPr>
              <w:pStyle w:val="12"/>
              <w:spacing w:beforeLines="50" w:afterLines="50" w:line="360" w:lineRule="auto"/>
              <w:ind w:left="0" w:leftChars="0"/>
              <w:jc w:val="left"/>
              <w:rPr>
                <w:rFonts w:ascii="宋体" w:hAnsi="宋体" w:cs="宋体" w:eastAsiaTheme="minorEastAsia"/>
                <w:bCs/>
                <w:color w:val="auto"/>
                <w:sz w:val="24"/>
                <w:highlight w:val="none"/>
              </w:rPr>
            </w:pPr>
            <w:r>
              <w:rPr>
                <w:rFonts w:hint="eastAsia" w:ascii="宋体" w:hAnsi="宋体" w:cs="宋体" w:eastAsiaTheme="minorEastAsia"/>
                <w:bCs/>
                <w:color w:val="auto"/>
                <w:sz w:val="24"/>
                <w:highlight w:val="none"/>
              </w:rPr>
              <w:t>资信、商务及其他部分</w:t>
            </w:r>
          </w:p>
        </w:tc>
        <w:tc>
          <w:tcPr>
            <w:tcW w:w="850" w:type="dxa"/>
            <w:vAlign w:val="center"/>
          </w:tcPr>
          <w:p w14:paraId="48245749">
            <w:pPr>
              <w:pStyle w:val="12"/>
              <w:spacing w:beforeLines="50" w:afterLines="50" w:line="360" w:lineRule="auto"/>
              <w:ind w:left="0" w:leftChars="0"/>
              <w:jc w:val="left"/>
              <w:rPr>
                <w:rFonts w:ascii="宋体" w:hAnsi="宋体" w:cs="宋体" w:eastAsiaTheme="minorEastAsia"/>
                <w:bCs/>
                <w:color w:val="auto"/>
                <w:sz w:val="24"/>
                <w:highlight w:val="none"/>
              </w:rPr>
            </w:pPr>
            <w:r>
              <w:rPr>
                <w:rFonts w:hint="eastAsia" w:ascii="宋体" w:hAnsi="宋体" w:cs="宋体" w:eastAsiaTheme="minorEastAsia"/>
                <w:bCs/>
                <w:color w:val="auto"/>
                <w:sz w:val="24"/>
                <w:highlight w:val="none"/>
              </w:rPr>
              <w:t>28分</w:t>
            </w:r>
          </w:p>
        </w:tc>
      </w:tr>
      <w:tr w14:paraId="4FF62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1419" w:type="dxa"/>
            <w:gridSpan w:val="2"/>
            <w:vAlign w:val="center"/>
          </w:tcPr>
          <w:p w14:paraId="2AA68239">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企业业绩</w:t>
            </w:r>
          </w:p>
        </w:tc>
        <w:tc>
          <w:tcPr>
            <w:tcW w:w="7938" w:type="dxa"/>
            <w:vAlign w:val="center"/>
          </w:tcPr>
          <w:p w14:paraId="389B5E46">
            <w:pPr>
              <w:spacing w:line="400" w:lineRule="exact"/>
              <w:jc w:val="left"/>
              <w:rPr>
                <w:rFonts w:hAnsi="宋体" w:cs="宋体"/>
                <w:color w:val="auto"/>
                <w:kern w:val="0"/>
                <w:sz w:val="24"/>
                <w:highlight w:val="none"/>
              </w:rPr>
            </w:pPr>
            <w:r>
              <w:rPr>
                <w:rFonts w:hint="eastAsia" w:hAnsi="宋体" w:cs="宋体"/>
                <w:color w:val="auto"/>
                <w:kern w:val="0"/>
                <w:sz w:val="24"/>
                <w:highlight w:val="none"/>
              </w:rPr>
              <w:t>投标人2021年1月1日至今（以合同签订时间为准）同类项目业绩，</w:t>
            </w:r>
          </w:p>
          <w:p w14:paraId="748446D0">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每提供1个合同的得1分，最高得1分，未提供采购项目合同复印件的不得分。</w:t>
            </w:r>
          </w:p>
        </w:tc>
        <w:tc>
          <w:tcPr>
            <w:tcW w:w="850" w:type="dxa"/>
            <w:vAlign w:val="center"/>
          </w:tcPr>
          <w:p w14:paraId="551EBC54">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1分</w:t>
            </w:r>
          </w:p>
        </w:tc>
      </w:tr>
      <w:tr w14:paraId="42859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9" w:type="dxa"/>
            <w:gridSpan w:val="2"/>
            <w:vAlign w:val="center"/>
          </w:tcPr>
          <w:p w14:paraId="4E752CBC">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政策分</w:t>
            </w:r>
          </w:p>
        </w:tc>
        <w:tc>
          <w:tcPr>
            <w:tcW w:w="7938" w:type="dxa"/>
            <w:vAlign w:val="center"/>
          </w:tcPr>
          <w:p w14:paraId="09E9D6C7">
            <w:pPr>
              <w:spacing w:line="400" w:lineRule="exact"/>
              <w:jc w:val="left"/>
              <w:rPr>
                <w:rFonts w:hAnsi="宋体" w:cs="宋体"/>
                <w:color w:val="auto"/>
                <w:kern w:val="0"/>
                <w:sz w:val="24"/>
                <w:highlight w:val="none"/>
              </w:rPr>
            </w:pPr>
            <w:r>
              <w:rPr>
                <w:rFonts w:hint="eastAsia" w:hAnsi="宋体" w:cs="宋体"/>
                <w:color w:val="auto"/>
                <w:kern w:val="0"/>
                <w:sz w:val="24"/>
                <w:highlight w:val="none"/>
              </w:rPr>
              <w:t>投标人按规定享受其他的国家政策支持、扶持的（高新企业等</w:t>
            </w:r>
            <w:r>
              <w:rPr>
                <w:rFonts w:hint="eastAsia" w:hAnsi="宋体" w:cs="宋体"/>
                <w:color w:val="auto"/>
                <w:kern w:val="0"/>
                <w:sz w:val="24"/>
                <w:highlight w:val="none"/>
                <w:lang w:eastAsia="zh-CN"/>
              </w:rPr>
              <w:t>，</w:t>
            </w:r>
            <w:r>
              <w:rPr>
                <w:rFonts w:hint="eastAsia" w:hAnsi="宋体" w:cs="宋体"/>
                <w:color w:val="auto"/>
                <w:kern w:val="0"/>
                <w:sz w:val="24"/>
                <w:highlight w:val="none"/>
              </w:rPr>
              <w:t xml:space="preserve"> 价格政策认定享受的国家政策除外），每项得1分，最高2分；政策分加分需由投标人提供相关证明资料及法律依据，如未提供则不得加分。</w:t>
            </w:r>
          </w:p>
        </w:tc>
        <w:tc>
          <w:tcPr>
            <w:tcW w:w="850" w:type="dxa"/>
            <w:vAlign w:val="center"/>
          </w:tcPr>
          <w:p w14:paraId="7EEF4FF9">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2分</w:t>
            </w:r>
          </w:p>
        </w:tc>
      </w:tr>
      <w:tr w14:paraId="6B6C8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419" w:type="dxa"/>
            <w:gridSpan w:val="2"/>
            <w:vAlign w:val="center"/>
          </w:tcPr>
          <w:p w14:paraId="48A17288">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权威认证</w:t>
            </w:r>
          </w:p>
        </w:tc>
        <w:tc>
          <w:tcPr>
            <w:tcW w:w="7938" w:type="dxa"/>
            <w:vAlign w:val="center"/>
          </w:tcPr>
          <w:p w14:paraId="1F0B51B2">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投标人具有有效期内的质量管理体系认证证书、环境管理体系认证证书、职业健康安全认证证书的，每项得2分，最高得6分。注：提供全国认证认可信息公共服务平台查询结果及认证证书复印件，未提供不得分。</w:t>
            </w:r>
          </w:p>
        </w:tc>
        <w:tc>
          <w:tcPr>
            <w:tcW w:w="850" w:type="dxa"/>
            <w:vAlign w:val="center"/>
          </w:tcPr>
          <w:p w14:paraId="60736066">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6分</w:t>
            </w:r>
          </w:p>
        </w:tc>
      </w:tr>
      <w:tr w14:paraId="1FD89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19" w:type="dxa"/>
            <w:gridSpan w:val="2"/>
            <w:vAlign w:val="center"/>
          </w:tcPr>
          <w:p w14:paraId="5B606659">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企业及人员荣誉等</w:t>
            </w:r>
          </w:p>
        </w:tc>
        <w:tc>
          <w:tcPr>
            <w:tcW w:w="7938" w:type="dxa"/>
            <w:vAlign w:val="center"/>
          </w:tcPr>
          <w:p w14:paraId="52EFC200">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1）投标人2021年1月1日至今政府行政职能部门授予的企业荣誉：有国家级，包含国务院所属的部、委、办、局授予的荣誉的得2分；有省级，包含省政府所属的部、委、办、局（厅）授予的荣誉的得1分；有市级，包含市政府所属的部、委、办、局或区、县政府授予的荣誉的得0.5分。以最高奖项计、分值不重复计算，提供荣誉证书或文件，未提供不得分（证书上未体现单位名称或有效期的，请提供相应证明文件，否则不计分）。</w:t>
            </w:r>
          </w:p>
          <w:p w14:paraId="4E90DC64">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（2）投标人参加历年市级及以上职业技能比武，获得三届团体第一名的得3分，获得两届团体第一名的得2分，获得一届团体第一名的得1分；</w:t>
            </w:r>
          </w:p>
          <w:p w14:paraId="5E2D1831">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（3）企业员工获得国家级</w:t>
            </w:r>
            <w:r>
              <w:rPr>
                <w:rFonts w:hint="eastAsia" w:hAnsi="宋体" w:cs="宋体"/>
                <w:color w:val="auto"/>
                <w:sz w:val="24"/>
                <w:szCs w:val="24"/>
                <w:highlight w:val="none"/>
                <w:lang w:eastAsia="zh-CN"/>
              </w:rPr>
              <w:t>荣誉</w:t>
            </w:r>
            <w:r>
              <w:rPr>
                <w:rFonts w:hint="eastAsia" w:hAnsi="宋体" w:cs="宋体"/>
                <w:color w:val="auto"/>
                <w:sz w:val="24"/>
                <w:szCs w:val="24"/>
                <w:highlight w:val="none"/>
              </w:rPr>
              <w:t>的得3分；获得省级</w:t>
            </w:r>
            <w:r>
              <w:rPr>
                <w:rFonts w:hint="eastAsia" w:hAnsi="宋体" w:cs="宋体"/>
                <w:color w:val="auto"/>
                <w:sz w:val="24"/>
                <w:szCs w:val="24"/>
                <w:highlight w:val="none"/>
                <w:lang w:eastAsia="zh-CN"/>
              </w:rPr>
              <w:t>荣誉的</w:t>
            </w:r>
            <w:r>
              <w:rPr>
                <w:rFonts w:hint="eastAsia" w:hAnsi="宋体" w:cs="宋体"/>
                <w:color w:val="auto"/>
                <w:sz w:val="24"/>
                <w:szCs w:val="24"/>
                <w:highlight w:val="none"/>
              </w:rPr>
              <w:t>得2分；获得</w:t>
            </w:r>
            <w:r>
              <w:rPr>
                <w:rFonts w:hint="eastAsia" w:hAnsi="宋体" w:cs="宋体"/>
                <w:color w:val="auto"/>
                <w:sz w:val="24"/>
                <w:szCs w:val="24"/>
                <w:highlight w:val="none"/>
                <w:lang w:eastAsia="zh-CN"/>
              </w:rPr>
              <w:t>市荣誉</w:t>
            </w:r>
            <w:r>
              <w:rPr>
                <w:rFonts w:hint="eastAsia" w:hAnsi="宋体" w:cs="宋体"/>
                <w:color w:val="auto"/>
                <w:sz w:val="24"/>
                <w:szCs w:val="24"/>
                <w:highlight w:val="none"/>
              </w:rPr>
              <w:t>的得1分；不可重复计分，最高得3分（保安员荣誉称号由各级保安协会颁发）；</w:t>
            </w:r>
          </w:p>
          <w:p w14:paraId="2B41C3D6">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提供相关人员本单位或分公司为其缴纳的近一个月的社保证明、相关证书或文件复印件。</w:t>
            </w:r>
          </w:p>
        </w:tc>
        <w:tc>
          <w:tcPr>
            <w:tcW w:w="850" w:type="dxa"/>
            <w:vAlign w:val="center"/>
          </w:tcPr>
          <w:p w14:paraId="78313899">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8分</w:t>
            </w:r>
          </w:p>
        </w:tc>
      </w:tr>
      <w:tr w14:paraId="76B64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19" w:type="dxa"/>
            <w:gridSpan w:val="2"/>
            <w:vAlign w:val="center"/>
          </w:tcPr>
          <w:p w14:paraId="23F4E08F">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服务承诺</w:t>
            </w:r>
          </w:p>
        </w:tc>
        <w:tc>
          <w:tcPr>
            <w:tcW w:w="7938" w:type="dxa"/>
            <w:vAlign w:val="center"/>
          </w:tcPr>
          <w:p w14:paraId="30B1B021">
            <w:pPr>
              <w:pStyle w:val="12"/>
              <w:spacing w:after="0" w:line="400" w:lineRule="exact"/>
              <w:ind w:left="0" w:leftChars="0"/>
              <w:jc w:val="left"/>
              <w:rPr>
                <w:rFonts w:hAnsi="宋体"/>
                <w:bCs/>
                <w:color w:val="auto"/>
                <w:sz w:val="24"/>
                <w:szCs w:val="24"/>
                <w:highlight w:val="none"/>
              </w:rPr>
            </w:pPr>
            <w:r>
              <w:rPr>
                <w:rFonts w:hint="eastAsia" w:hAnsi="宋体"/>
                <w:bCs/>
                <w:color w:val="auto"/>
                <w:sz w:val="24"/>
                <w:szCs w:val="24"/>
                <w:highlight w:val="none"/>
              </w:rPr>
              <w:t>1.针对本项目的服务方案（包括但不限于服务内容、服务响应时间、服务保障措施等）。服务方案完整、可行，落实保障措施和其他承诺等全面、周到、科学、规范，有针对性解释说明的得4分；方案基本全面，有针对性解释说明的得3分；方案不够全面，有针对性有解释说明的得2分；方案不全面，有解释说明的得1分；未提供不得分。</w:t>
            </w:r>
          </w:p>
          <w:p w14:paraId="402FD170">
            <w:pPr>
              <w:pStyle w:val="12"/>
              <w:spacing w:beforeLines="50" w:afterLines="50" w:line="360" w:lineRule="auto"/>
              <w:ind w:left="0" w:leftChars="0"/>
              <w:jc w:val="left"/>
              <w:rPr>
                <w:rFonts w:hAnsi="宋体" w:cs="宋体"/>
                <w:color w:val="auto"/>
                <w:sz w:val="24"/>
                <w:szCs w:val="24"/>
                <w:highlight w:val="none"/>
              </w:rPr>
            </w:pPr>
            <w:r>
              <w:rPr>
                <w:rFonts w:hint="eastAsia" w:hAnsi="宋体"/>
                <w:bCs/>
                <w:color w:val="auto"/>
                <w:sz w:val="24"/>
                <w:szCs w:val="24"/>
                <w:highlight w:val="none"/>
              </w:rPr>
              <w:t>2. 除招标文件要求外，投标人可提供适合的优惠措施，提供一项得0.5分，最高得1分。未提供的不得分。</w:t>
            </w:r>
          </w:p>
        </w:tc>
        <w:tc>
          <w:tcPr>
            <w:tcW w:w="850" w:type="dxa"/>
            <w:vAlign w:val="center"/>
          </w:tcPr>
          <w:p w14:paraId="2D60FAA9">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lang w:val="en-US" w:eastAsia="zh-CN"/>
              </w:rPr>
              <w:t>5</w:t>
            </w:r>
            <w:r>
              <w:rPr>
                <w:rFonts w:hint="eastAsia" w:hAnsi="宋体" w:cs="宋体"/>
                <w:color w:val="auto"/>
                <w:sz w:val="24"/>
                <w:szCs w:val="24"/>
                <w:highlight w:val="none"/>
              </w:rPr>
              <w:t>分</w:t>
            </w:r>
          </w:p>
        </w:tc>
      </w:tr>
      <w:tr w14:paraId="5974D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419" w:type="dxa"/>
            <w:gridSpan w:val="2"/>
            <w:vAlign w:val="center"/>
          </w:tcPr>
          <w:p w14:paraId="3AB34C08">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培训方案</w:t>
            </w:r>
          </w:p>
        </w:tc>
        <w:tc>
          <w:tcPr>
            <w:tcW w:w="7938" w:type="dxa"/>
            <w:vAlign w:val="center"/>
          </w:tcPr>
          <w:p w14:paraId="086C1588">
            <w:pPr>
              <w:spacing w:beforeLines="50" w:afterLines="50" w:line="400" w:lineRule="exact"/>
              <w:rPr>
                <w:rFonts w:hAnsi="宋体" w:cs="宋体"/>
                <w:color w:val="auto"/>
                <w:kern w:val="0"/>
                <w:sz w:val="24"/>
                <w:highlight w:val="none"/>
              </w:rPr>
            </w:pPr>
            <w:r>
              <w:rPr>
                <w:rFonts w:hint="eastAsia" w:hAnsi="宋体"/>
                <w:bCs/>
                <w:color w:val="auto"/>
                <w:sz w:val="24"/>
                <w:highlight w:val="none"/>
              </w:rPr>
              <w:t>保安人员业务和安保技能培训计划和承诺完善且有针对性，能与本项目需求贴合且有详细的培训计划，培训方案（培训计划、地点、组织、人员配备、资料等）内容完整、科学合理、切实可行的，有针对性解释说明的得3分； 方案基本全面，有针对性解释说明的得2分；方案不全面，有解释说明的得1分；未提供不得分。</w:t>
            </w:r>
          </w:p>
        </w:tc>
        <w:tc>
          <w:tcPr>
            <w:tcW w:w="850" w:type="dxa"/>
            <w:vAlign w:val="center"/>
          </w:tcPr>
          <w:p w14:paraId="1A252003">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3分</w:t>
            </w:r>
          </w:p>
        </w:tc>
      </w:tr>
      <w:tr w14:paraId="116C6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419" w:type="dxa"/>
            <w:gridSpan w:val="2"/>
            <w:vAlign w:val="center"/>
          </w:tcPr>
          <w:p w14:paraId="5CC2835B">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服务网点</w:t>
            </w:r>
          </w:p>
        </w:tc>
        <w:tc>
          <w:tcPr>
            <w:tcW w:w="7938" w:type="dxa"/>
            <w:vAlign w:val="center"/>
          </w:tcPr>
          <w:p w14:paraId="67F931F5">
            <w:pPr>
              <w:spacing w:beforeLines="50" w:afterLines="50" w:line="400" w:lineRule="exact"/>
              <w:rPr>
                <w:rFonts w:hAnsi="宋体" w:cs="宋体"/>
                <w:color w:val="auto"/>
                <w:kern w:val="0"/>
                <w:sz w:val="24"/>
                <w:highlight w:val="none"/>
              </w:rPr>
            </w:pPr>
            <w:r>
              <w:rPr>
                <w:rFonts w:hint="eastAsia" w:hAnsi="宋体" w:cs="宋体"/>
                <w:color w:val="auto"/>
                <w:kern w:val="0"/>
                <w:sz w:val="24"/>
                <w:highlight w:val="none"/>
              </w:rPr>
              <w:t>投标人在湖州地区配备或承诺合同履行前设立售后服务单位的得3分；投标人在与湖州地域接壤的地区配备或承诺合同履行前设立售后服务单位得2分；投标人在其他地区配备售后服务单位的，得1分（须提供详细的网点全称、营业执照、联系人、联系方式等相关证明材料）；投标时承诺合同履行前设立售后服务网点的，必须在合同履行前设立，否则以提供虚假材料谋取中标报同级政府采购监管部门处理。</w:t>
            </w:r>
          </w:p>
        </w:tc>
        <w:tc>
          <w:tcPr>
            <w:tcW w:w="850" w:type="dxa"/>
            <w:vAlign w:val="center"/>
          </w:tcPr>
          <w:p w14:paraId="57FBEA44">
            <w:pPr>
              <w:pStyle w:val="12"/>
              <w:spacing w:beforeLines="50" w:afterLines="50" w:line="360" w:lineRule="auto"/>
              <w:ind w:left="0" w:leftChars="0"/>
              <w:jc w:val="left"/>
              <w:rPr>
                <w:rFonts w:hAnsi="宋体" w:cs="宋体"/>
                <w:color w:val="auto"/>
                <w:sz w:val="24"/>
                <w:szCs w:val="24"/>
                <w:highlight w:val="none"/>
              </w:rPr>
            </w:pPr>
            <w:r>
              <w:rPr>
                <w:rFonts w:hint="eastAsia" w:hAnsi="宋体" w:cs="宋体"/>
                <w:color w:val="auto"/>
                <w:sz w:val="24"/>
                <w:szCs w:val="24"/>
                <w:highlight w:val="none"/>
              </w:rPr>
              <w:t>3分</w:t>
            </w:r>
          </w:p>
        </w:tc>
      </w:tr>
    </w:tbl>
    <w:p w14:paraId="4EA3CDEF">
      <w:pPr>
        <w:spacing w:line="360" w:lineRule="auto"/>
        <w:ind w:left="9094" w:leftChars="200" w:hanging="8674" w:hangingChars="3600"/>
        <w:jc w:val="left"/>
        <w:rPr>
          <w:rFonts w:ascii="宋体" w:hAnsi="宋体"/>
          <w:b/>
          <w:bCs/>
          <w:color w:val="auto"/>
          <w:sz w:val="24"/>
          <w:highlight w:val="none"/>
        </w:rPr>
      </w:pPr>
      <w:r>
        <w:rPr>
          <w:rFonts w:hint="eastAsia" w:ascii="宋体" w:hAnsi="宋体"/>
          <w:b/>
          <w:bCs/>
          <w:color w:val="auto"/>
          <w:sz w:val="24"/>
          <w:highlight w:val="none"/>
        </w:rPr>
        <w:t>（四）技术、商务、资信及其他分的计算</w:t>
      </w:r>
    </w:p>
    <w:p w14:paraId="11AB1B6A">
      <w:pPr>
        <w:spacing w:beforeLines="50" w:afterLines="50" w:line="360" w:lineRule="auto"/>
        <w:ind w:firstLine="480" w:firstLineChars="200"/>
        <w:rPr>
          <w:rFonts w:ascii="宋体" w:hAnsi="宋体"/>
          <w:color w:val="auto"/>
          <w:sz w:val="24"/>
          <w:highlight w:val="none"/>
        </w:rPr>
      </w:pPr>
      <w:r>
        <w:rPr>
          <w:rFonts w:hint="eastAsia" w:ascii="宋体" w:hAnsi="宋体"/>
          <w:color w:val="auto"/>
          <w:sz w:val="24"/>
          <w:highlight w:val="none"/>
        </w:rPr>
        <w:t>技术、商务、资信及其他分按照评标委员会成员的独立评分结果汇总数的算术平均分计算，计算公式为：技术商务资信分=（评标委员会所有成员评分合计数）/（评标委员会组成人员数）</w:t>
      </w:r>
    </w:p>
    <w:p w14:paraId="180223E7">
      <w:pPr>
        <w:rPr>
          <w:color w:val="auto"/>
          <w:highlight w:val="none"/>
        </w:rPr>
      </w:pPr>
    </w:p>
    <w:p w14:paraId="6D9DA3E3">
      <w:pPr>
        <w:pStyle w:val="2"/>
        <w:rPr>
          <w:color w:val="auto"/>
          <w:highlight w:val="none"/>
        </w:rPr>
      </w:pPr>
    </w:p>
    <w:p w14:paraId="7E04C251">
      <w:pPr>
        <w:pStyle w:val="2"/>
        <w:rPr>
          <w:color w:val="auto"/>
          <w:highlight w:val="none"/>
        </w:rPr>
      </w:pPr>
    </w:p>
    <w:p w14:paraId="21BFC0F7">
      <w:pPr>
        <w:rPr>
          <w:rFonts w:ascii="黑体" w:hAnsi="宋体" w:eastAsia="黑体"/>
          <w:color w:val="auto"/>
          <w:sz w:val="30"/>
          <w:szCs w:val="30"/>
          <w:highlight w:val="none"/>
        </w:rPr>
      </w:pPr>
      <w:r>
        <w:rPr>
          <w:rFonts w:hint="eastAsia" w:ascii="黑体" w:hAnsi="宋体" w:eastAsia="黑体"/>
          <w:color w:val="auto"/>
          <w:sz w:val="30"/>
          <w:szCs w:val="30"/>
          <w:highlight w:val="none"/>
        </w:rPr>
        <w:br w:type="page"/>
      </w:r>
    </w:p>
    <w:p w14:paraId="5BFB368B">
      <w:pPr>
        <w:adjustRightInd w:val="0"/>
        <w:spacing w:line="360" w:lineRule="auto"/>
        <w:jc w:val="center"/>
        <w:rPr>
          <w:rFonts w:ascii="黑体" w:hAnsi="宋体" w:eastAsia="黑体"/>
          <w:bCs/>
          <w:color w:val="auto"/>
          <w:sz w:val="30"/>
          <w:szCs w:val="30"/>
          <w:highlight w:val="none"/>
        </w:rPr>
      </w:pPr>
      <w:r>
        <w:rPr>
          <w:rFonts w:hint="eastAsia" w:ascii="黑体" w:hAnsi="宋体" w:eastAsia="黑体"/>
          <w:color w:val="auto"/>
          <w:sz w:val="30"/>
          <w:szCs w:val="30"/>
          <w:highlight w:val="none"/>
        </w:rPr>
        <w:t xml:space="preserve">第五章  </w:t>
      </w:r>
      <w:r>
        <w:rPr>
          <w:rFonts w:hint="eastAsia" w:ascii="黑体" w:hAnsi="宋体" w:eastAsia="黑体"/>
          <w:bCs/>
          <w:color w:val="auto"/>
          <w:sz w:val="30"/>
          <w:szCs w:val="30"/>
          <w:highlight w:val="none"/>
        </w:rPr>
        <w:t xml:space="preserve">合同主要条款（供参考）                           </w:t>
      </w:r>
    </w:p>
    <w:p w14:paraId="795C8D1D">
      <w:pPr>
        <w:pStyle w:val="49"/>
        <w:snapToGrid w:val="0"/>
        <w:spacing w:line="240" w:lineRule="auto"/>
        <w:ind w:firstLine="0"/>
        <w:jc w:val="center"/>
        <w:rPr>
          <w:rFonts w:ascii="宋体" w:hAnsi="宋体" w:cs="宋体"/>
          <w:color w:val="auto"/>
          <w:sz w:val="32"/>
          <w:szCs w:val="32"/>
          <w:highlight w:val="none"/>
        </w:rPr>
      </w:pPr>
      <w:r>
        <w:rPr>
          <w:rFonts w:hint="eastAsia" w:ascii="宋体" w:hAnsi="宋体" w:cs="宋体"/>
          <w:color w:val="auto"/>
          <w:sz w:val="32"/>
          <w:szCs w:val="32"/>
          <w:highlight w:val="none"/>
        </w:rPr>
        <w:t>湖州市中心医院采购合同（服务类）</w:t>
      </w:r>
    </w:p>
    <w:p w14:paraId="0E65F619">
      <w:pPr>
        <w:pStyle w:val="13"/>
        <w:spacing w:before="120" w:after="120" w:line="480" w:lineRule="exact"/>
        <w:rPr>
          <w:rFonts w:hAnsi="宋体"/>
          <w:color w:val="auto"/>
          <w:kern w:val="2"/>
          <w:sz w:val="24"/>
          <w:highlight w:val="none"/>
        </w:rPr>
      </w:pPr>
      <w:r>
        <w:rPr>
          <w:rFonts w:hint="eastAsia" w:hAnsi="宋体"/>
          <w:color w:val="auto"/>
          <w:kern w:val="2"/>
          <w:sz w:val="24"/>
          <w:highlight w:val="none"/>
        </w:rPr>
        <w:t>合同编码：</w:t>
      </w:r>
    </w:p>
    <w:p w14:paraId="09B1BE71">
      <w:pPr>
        <w:pStyle w:val="50"/>
        <w:rPr>
          <w:rFonts w:ascii="宋体" w:hAnsi="宋体" w:cs="宋体"/>
          <w:b/>
          <w:color w:val="auto"/>
          <w:sz w:val="24"/>
          <w:szCs w:val="24"/>
          <w:highlight w:val="none"/>
          <w:lang w:eastAsia="zh-CN"/>
        </w:rPr>
      </w:pPr>
    </w:p>
    <w:p w14:paraId="26C63C3D">
      <w:pPr>
        <w:widowControl/>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 xml:space="preserve">甲方（采购人）： </w:t>
      </w:r>
      <w:r>
        <w:rPr>
          <w:rFonts w:hint="eastAsia" w:ascii="宋体" w:hAnsi="宋体" w:cs="宋体"/>
          <w:b/>
          <w:color w:val="auto"/>
          <w:kern w:val="0"/>
          <w:sz w:val="24"/>
          <w:highlight w:val="none"/>
        </w:rPr>
        <w:t>湖州市中心医院</w:t>
      </w:r>
    </w:p>
    <w:p w14:paraId="023FDAC9">
      <w:pPr>
        <w:pStyle w:val="50"/>
        <w:spacing w:line="360" w:lineRule="auto"/>
        <w:rPr>
          <w:rFonts w:ascii="宋体" w:hAnsi="宋体" w:cs="宋体"/>
          <w:b/>
          <w:color w:val="auto"/>
          <w:sz w:val="24"/>
          <w:szCs w:val="24"/>
          <w:highlight w:val="none"/>
          <w:lang w:eastAsia="zh-CN"/>
        </w:rPr>
      </w:pPr>
      <w:r>
        <w:rPr>
          <w:rFonts w:hint="eastAsia" w:ascii="宋体" w:hAnsi="宋体" w:cs="宋体"/>
          <w:b/>
          <w:color w:val="auto"/>
          <w:sz w:val="24"/>
          <w:szCs w:val="24"/>
          <w:highlight w:val="none"/>
          <w:lang w:eastAsia="zh-CN"/>
        </w:rPr>
        <w:t>乙方（</w:t>
      </w:r>
      <w:r>
        <w:rPr>
          <w:rFonts w:hint="eastAsia" w:ascii="宋体" w:hAnsi="宋体" w:cs="宋体"/>
          <w:b/>
          <w:color w:val="auto"/>
          <w:sz w:val="24"/>
          <w:szCs w:val="24"/>
          <w:highlight w:val="none"/>
        </w:rPr>
        <w:t>中标供应商</w:t>
      </w:r>
      <w:r>
        <w:rPr>
          <w:rFonts w:hint="eastAsia" w:ascii="宋体" w:hAnsi="宋体" w:cs="宋体"/>
          <w:b/>
          <w:color w:val="auto"/>
          <w:sz w:val="24"/>
          <w:szCs w:val="24"/>
          <w:highlight w:val="none"/>
          <w:lang w:eastAsia="zh-CN"/>
        </w:rPr>
        <w:t xml:space="preserve">）： </w:t>
      </w:r>
    </w:p>
    <w:p w14:paraId="210CD0B5">
      <w:pPr>
        <w:pStyle w:val="50"/>
        <w:numPr>
          <w:ilvl w:val="0"/>
          <w:numId w:val="6"/>
        </w:numPr>
        <w:spacing w:line="360" w:lineRule="auto"/>
        <w:ind w:left="420" w:leftChars="200"/>
        <w:rPr>
          <w:rFonts w:ascii="宋体" w:hAnsi="宋体" w:cs="宋体"/>
          <w:bCs/>
          <w:color w:val="auto"/>
          <w:sz w:val="24"/>
          <w:szCs w:val="24"/>
          <w:highlight w:val="none"/>
        </w:rPr>
      </w:pPr>
      <w:r>
        <w:rPr>
          <w:rFonts w:hint="eastAsia" w:ascii="宋体" w:hAnsi="宋体" w:cs="宋体"/>
          <w:bCs/>
          <w:color w:val="auto"/>
          <w:sz w:val="24"/>
          <w:szCs w:val="24"/>
          <w:highlight w:val="none"/>
        </w:rPr>
        <w:t>服务内容及合同价款</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3408"/>
        <w:gridCol w:w="1705"/>
        <w:gridCol w:w="1705"/>
      </w:tblGrid>
      <w:tr w14:paraId="5A1DF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tcPr>
          <w:p w14:paraId="3420B088">
            <w:pPr>
              <w:pStyle w:val="50"/>
              <w:widowControl w:val="0"/>
              <w:spacing w:line="360" w:lineRule="auto"/>
              <w:ind w:left="420" w:leftChars="200"/>
              <w:jc w:val="both"/>
              <w:rPr>
                <w:rFonts w:ascii="宋体" w:hAnsi="宋体" w:cs="宋体"/>
                <w:bCs/>
                <w:color w:val="auto"/>
                <w:sz w:val="24"/>
                <w:szCs w:val="24"/>
                <w:highlight w:val="none"/>
              </w:rPr>
            </w:pPr>
            <w:r>
              <w:rPr>
                <w:rFonts w:hint="eastAsia" w:ascii="宋体" w:hAnsi="宋体" w:cs="宋体"/>
                <w:bCs/>
                <w:color w:val="auto"/>
                <w:sz w:val="24"/>
                <w:szCs w:val="24"/>
                <w:highlight w:val="none"/>
              </w:rPr>
              <w:t>项目名称</w:t>
            </w:r>
          </w:p>
        </w:tc>
        <w:tc>
          <w:tcPr>
            <w:tcW w:w="3408" w:type="dxa"/>
            <w:noWrap/>
          </w:tcPr>
          <w:p w14:paraId="36010897">
            <w:pPr>
              <w:pStyle w:val="50"/>
              <w:widowControl w:val="0"/>
              <w:spacing w:line="360" w:lineRule="auto"/>
              <w:ind w:left="420" w:leftChars="200"/>
              <w:jc w:val="both"/>
              <w:rPr>
                <w:rFonts w:ascii="宋体" w:hAnsi="宋体" w:cs="宋体"/>
                <w:bCs/>
                <w:color w:val="auto"/>
                <w:sz w:val="24"/>
                <w:szCs w:val="24"/>
                <w:highlight w:val="none"/>
              </w:rPr>
            </w:pPr>
            <w:r>
              <w:rPr>
                <w:rFonts w:hint="eastAsia" w:ascii="宋体" w:hAnsi="宋体" w:cs="宋体"/>
                <w:bCs/>
                <w:color w:val="auto"/>
                <w:sz w:val="24"/>
                <w:szCs w:val="24"/>
                <w:highlight w:val="none"/>
              </w:rPr>
              <w:t>具体服务内容</w:t>
            </w:r>
          </w:p>
        </w:tc>
        <w:tc>
          <w:tcPr>
            <w:tcW w:w="1705" w:type="dxa"/>
            <w:noWrap/>
          </w:tcPr>
          <w:p w14:paraId="5DB34ABF">
            <w:pPr>
              <w:pStyle w:val="50"/>
              <w:widowControl w:val="0"/>
              <w:spacing w:line="360" w:lineRule="auto"/>
              <w:ind w:left="420" w:leftChars="200"/>
              <w:jc w:val="both"/>
              <w:rPr>
                <w:rFonts w:ascii="宋体" w:hAnsi="宋体" w:cs="宋体"/>
                <w:bCs/>
                <w:color w:val="auto"/>
                <w:sz w:val="24"/>
                <w:szCs w:val="24"/>
                <w:highlight w:val="none"/>
              </w:rPr>
            </w:pPr>
            <w:r>
              <w:rPr>
                <w:rFonts w:hint="eastAsia" w:ascii="宋体" w:hAnsi="宋体" w:cs="宋体"/>
                <w:bCs/>
                <w:color w:val="auto"/>
                <w:sz w:val="24"/>
                <w:szCs w:val="24"/>
                <w:highlight w:val="none"/>
              </w:rPr>
              <w:t>数量</w:t>
            </w:r>
          </w:p>
        </w:tc>
        <w:tc>
          <w:tcPr>
            <w:tcW w:w="1705" w:type="dxa"/>
            <w:noWrap/>
          </w:tcPr>
          <w:p w14:paraId="5EE3E4AC">
            <w:pPr>
              <w:pStyle w:val="50"/>
              <w:widowControl w:val="0"/>
              <w:spacing w:line="360" w:lineRule="auto"/>
              <w:ind w:left="420" w:leftChars="200"/>
              <w:jc w:val="both"/>
              <w:rPr>
                <w:rFonts w:ascii="宋体" w:hAnsi="宋体" w:cs="宋体"/>
                <w:bCs/>
                <w:color w:val="auto"/>
                <w:sz w:val="24"/>
                <w:szCs w:val="24"/>
                <w:highlight w:val="none"/>
              </w:rPr>
            </w:pPr>
            <w:r>
              <w:rPr>
                <w:rFonts w:hint="eastAsia" w:ascii="宋体" w:hAnsi="宋体" w:cs="宋体"/>
                <w:bCs/>
                <w:color w:val="auto"/>
                <w:sz w:val="24"/>
                <w:szCs w:val="24"/>
                <w:highlight w:val="none"/>
              </w:rPr>
              <w:t>金额：（元）</w:t>
            </w:r>
          </w:p>
        </w:tc>
      </w:tr>
      <w:tr w14:paraId="6E412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tcPr>
          <w:p w14:paraId="52FC21DF">
            <w:pPr>
              <w:pStyle w:val="50"/>
              <w:widowControl w:val="0"/>
              <w:spacing w:line="360" w:lineRule="auto"/>
              <w:ind w:left="420" w:leftChars="200"/>
              <w:jc w:val="both"/>
              <w:rPr>
                <w:rFonts w:ascii="宋体" w:hAnsi="宋体" w:cs="宋体"/>
                <w:bCs/>
                <w:color w:val="auto"/>
                <w:sz w:val="24"/>
                <w:szCs w:val="24"/>
                <w:highlight w:val="none"/>
              </w:rPr>
            </w:pPr>
          </w:p>
        </w:tc>
        <w:tc>
          <w:tcPr>
            <w:tcW w:w="3408" w:type="dxa"/>
            <w:noWrap/>
          </w:tcPr>
          <w:p w14:paraId="6F57A71B">
            <w:pPr>
              <w:pStyle w:val="50"/>
              <w:widowControl w:val="0"/>
              <w:spacing w:line="360" w:lineRule="auto"/>
              <w:ind w:left="420" w:leftChars="200"/>
              <w:jc w:val="both"/>
              <w:rPr>
                <w:rFonts w:ascii="宋体" w:hAnsi="宋体" w:cs="宋体"/>
                <w:bCs/>
                <w:color w:val="auto"/>
                <w:sz w:val="24"/>
                <w:szCs w:val="24"/>
                <w:highlight w:val="none"/>
              </w:rPr>
            </w:pPr>
          </w:p>
        </w:tc>
        <w:tc>
          <w:tcPr>
            <w:tcW w:w="1705" w:type="dxa"/>
            <w:noWrap/>
          </w:tcPr>
          <w:p w14:paraId="5873313F">
            <w:pPr>
              <w:pStyle w:val="50"/>
              <w:widowControl w:val="0"/>
              <w:spacing w:line="360" w:lineRule="auto"/>
              <w:ind w:left="420" w:leftChars="200"/>
              <w:jc w:val="both"/>
              <w:rPr>
                <w:rFonts w:ascii="宋体" w:hAnsi="宋体" w:cs="宋体"/>
                <w:bCs/>
                <w:color w:val="auto"/>
                <w:sz w:val="24"/>
                <w:szCs w:val="24"/>
                <w:highlight w:val="none"/>
              </w:rPr>
            </w:pPr>
          </w:p>
        </w:tc>
        <w:tc>
          <w:tcPr>
            <w:tcW w:w="1705" w:type="dxa"/>
            <w:noWrap/>
          </w:tcPr>
          <w:p w14:paraId="2CB4C780">
            <w:pPr>
              <w:pStyle w:val="50"/>
              <w:widowControl w:val="0"/>
              <w:spacing w:line="360" w:lineRule="auto"/>
              <w:ind w:left="420" w:leftChars="200"/>
              <w:jc w:val="both"/>
              <w:rPr>
                <w:rFonts w:ascii="宋体" w:hAnsi="宋体" w:cs="宋体"/>
                <w:bCs/>
                <w:color w:val="auto"/>
                <w:sz w:val="24"/>
                <w:szCs w:val="24"/>
                <w:highlight w:val="none"/>
              </w:rPr>
            </w:pPr>
          </w:p>
        </w:tc>
      </w:tr>
      <w:tr w14:paraId="525BE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112" w:type="dxa"/>
            <w:gridSpan w:val="2"/>
            <w:noWrap/>
          </w:tcPr>
          <w:p w14:paraId="20FA4B02">
            <w:pPr>
              <w:pStyle w:val="50"/>
              <w:widowControl w:val="0"/>
              <w:spacing w:line="360" w:lineRule="auto"/>
              <w:ind w:left="420" w:leftChars="200"/>
              <w:jc w:val="both"/>
              <w:rPr>
                <w:rFonts w:ascii="宋体" w:hAnsi="宋体" w:cs="宋体"/>
                <w:bCs/>
                <w:color w:val="auto"/>
                <w:sz w:val="24"/>
                <w:szCs w:val="24"/>
                <w:highlight w:val="none"/>
              </w:rPr>
            </w:pPr>
            <w:r>
              <w:rPr>
                <w:rFonts w:hint="eastAsia" w:ascii="宋体" w:hAnsi="宋体" w:cs="宋体"/>
                <w:bCs/>
                <w:color w:val="auto"/>
                <w:sz w:val="24"/>
                <w:szCs w:val="24"/>
                <w:highlight w:val="none"/>
              </w:rPr>
              <w:t>合计</w:t>
            </w:r>
          </w:p>
        </w:tc>
        <w:tc>
          <w:tcPr>
            <w:tcW w:w="1705" w:type="dxa"/>
            <w:noWrap/>
          </w:tcPr>
          <w:p w14:paraId="38942DEF">
            <w:pPr>
              <w:pStyle w:val="50"/>
              <w:widowControl w:val="0"/>
              <w:spacing w:line="360" w:lineRule="auto"/>
              <w:ind w:left="420" w:leftChars="200"/>
              <w:jc w:val="both"/>
              <w:rPr>
                <w:rFonts w:ascii="宋体" w:hAnsi="宋体" w:cs="宋体"/>
                <w:bCs/>
                <w:color w:val="auto"/>
                <w:sz w:val="24"/>
                <w:szCs w:val="24"/>
                <w:highlight w:val="none"/>
              </w:rPr>
            </w:pPr>
          </w:p>
        </w:tc>
        <w:tc>
          <w:tcPr>
            <w:tcW w:w="1705" w:type="dxa"/>
            <w:noWrap/>
          </w:tcPr>
          <w:p w14:paraId="5F928004">
            <w:pPr>
              <w:pStyle w:val="50"/>
              <w:widowControl w:val="0"/>
              <w:spacing w:line="360" w:lineRule="auto"/>
              <w:ind w:left="420" w:leftChars="200"/>
              <w:jc w:val="both"/>
              <w:rPr>
                <w:rFonts w:ascii="宋体" w:hAnsi="宋体" w:cs="宋体"/>
                <w:bCs/>
                <w:color w:val="auto"/>
                <w:sz w:val="24"/>
                <w:szCs w:val="24"/>
                <w:highlight w:val="none"/>
              </w:rPr>
            </w:pPr>
          </w:p>
        </w:tc>
      </w:tr>
      <w:tr w14:paraId="0C108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noWrap/>
          </w:tcPr>
          <w:p w14:paraId="51FF7677">
            <w:pPr>
              <w:pStyle w:val="50"/>
              <w:widowControl w:val="0"/>
              <w:spacing w:line="360" w:lineRule="auto"/>
              <w:ind w:left="420" w:leftChars="200"/>
              <w:jc w:val="both"/>
              <w:rPr>
                <w:rFonts w:ascii="宋体" w:hAnsi="宋体" w:cs="宋体"/>
                <w:bCs/>
                <w:color w:val="auto"/>
                <w:sz w:val="24"/>
                <w:szCs w:val="24"/>
                <w:highlight w:val="none"/>
                <w:u w:val="single"/>
              </w:rPr>
            </w:pPr>
            <w:r>
              <w:rPr>
                <w:rFonts w:hint="eastAsia" w:ascii="宋体" w:hAnsi="宋体" w:cs="宋体"/>
                <w:bCs/>
                <w:color w:val="auto"/>
                <w:sz w:val="24"/>
                <w:szCs w:val="24"/>
                <w:highlight w:val="none"/>
              </w:rPr>
              <w:t>合同总价大写：</w:t>
            </w:r>
          </w:p>
        </w:tc>
      </w:tr>
    </w:tbl>
    <w:p w14:paraId="1EA295E2">
      <w:pPr>
        <w:snapToGrid w:val="0"/>
        <w:spacing w:line="360" w:lineRule="auto"/>
        <w:ind w:firstLine="480" w:firstLineChars="200"/>
        <w:rPr>
          <w:rFonts w:ascii="宋体" w:hAnsi="宋体" w:cs="宋体"/>
          <w:color w:val="auto"/>
          <w:sz w:val="24"/>
          <w:highlight w:val="none"/>
        </w:rPr>
      </w:pPr>
    </w:p>
    <w:p w14:paraId="42C7A42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注：1、以上合同总价包含服务所需的一切费用。</w:t>
      </w:r>
    </w:p>
    <w:p w14:paraId="5F455E91">
      <w:pPr>
        <w:pStyle w:val="5"/>
        <w:numPr>
          <w:ilvl w:val="0"/>
          <w:numId w:val="6"/>
        </w:numPr>
        <w:spacing w:before="0" w:after="0" w:line="360" w:lineRule="auto"/>
        <w:ind w:left="0" w:firstLine="480" w:firstLineChars="200"/>
        <w:rPr>
          <w:rFonts w:ascii="宋体" w:hAnsi="宋体" w:cs="宋体"/>
          <w:color w:val="auto"/>
          <w:sz w:val="24"/>
          <w:highlight w:val="none"/>
        </w:rPr>
      </w:pPr>
      <w:r>
        <w:rPr>
          <w:rFonts w:hint="eastAsia" w:ascii="宋体" w:hAnsi="宋体" w:cs="宋体"/>
          <w:color w:val="auto"/>
          <w:sz w:val="24"/>
          <w:highlight w:val="none"/>
        </w:rPr>
        <w:t>技术资料</w:t>
      </w:r>
    </w:p>
    <w:p w14:paraId="1D4CD83C">
      <w:pPr>
        <w:numPr>
          <w:ilvl w:val="0"/>
          <w:numId w:val="7"/>
        </w:num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乙方应按招标文件规定的时间向甲方提供服务内容的相关技术资料。</w:t>
      </w:r>
    </w:p>
    <w:p w14:paraId="0C5AC3EC">
      <w:pPr>
        <w:pStyle w:val="5"/>
        <w:numPr>
          <w:ilvl w:val="0"/>
          <w:numId w:val="7"/>
        </w:numPr>
        <w:spacing w:before="0" w:after="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没有甲方事先书面同意，乙方不得将由甲方提供的合同或资料提供给履行本合同无关的任何其他人。即使向履行本合同有关的人员提供，也应注意保密并限于履行合同的必要范围。</w:t>
      </w:r>
    </w:p>
    <w:p w14:paraId="24F89F74">
      <w:pPr>
        <w:numPr>
          <w:ilvl w:val="0"/>
          <w:numId w:val="6"/>
        </w:numPr>
        <w:spacing w:line="360" w:lineRule="auto"/>
        <w:ind w:left="0" w:firstLine="480" w:firstLineChars="200"/>
        <w:rPr>
          <w:rFonts w:ascii="宋体" w:hAnsi="宋体" w:cs="宋体"/>
          <w:color w:val="auto"/>
          <w:sz w:val="24"/>
          <w:highlight w:val="none"/>
        </w:rPr>
      </w:pPr>
      <w:r>
        <w:rPr>
          <w:rFonts w:hint="eastAsia" w:ascii="宋体" w:hAnsi="宋体" w:cs="宋体"/>
          <w:color w:val="auto"/>
          <w:sz w:val="24"/>
          <w:highlight w:val="none"/>
        </w:rPr>
        <w:t>乙方应保证所提供的服务、数据或其任何一部分均不会侵犯第三方的知识产权。</w:t>
      </w:r>
    </w:p>
    <w:p w14:paraId="1D96C902">
      <w:pPr>
        <w:pStyle w:val="5"/>
        <w:numPr>
          <w:ilvl w:val="0"/>
          <w:numId w:val="6"/>
        </w:numPr>
        <w:spacing w:before="0" w:after="0" w:line="360" w:lineRule="auto"/>
        <w:ind w:left="0" w:firstLine="480" w:firstLineChars="200"/>
        <w:rPr>
          <w:rFonts w:ascii="宋体" w:hAnsi="宋体" w:cs="宋体"/>
          <w:color w:val="auto"/>
          <w:sz w:val="24"/>
          <w:highlight w:val="none"/>
        </w:rPr>
      </w:pPr>
      <w:r>
        <w:rPr>
          <w:rFonts w:hint="eastAsia" w:ascii="宋体" w:hAnsi="宋体" w:cs="宋体"/>
          <w:color w:val="auto"/>
          <w:sz w:val="24"/>
          <w:highlight w:val="none"/>
        </w:rPr>
        <w:t>不得转包和分包，否则甲方有权解除合同，并追究乙方的违约责任。</w:t>
      </w:r>
    </w:p>
    <w:p w14:paraId="2F7178F1">
      <w:pPr>
        <w:numPr>
          <w:ilvl w:val="0"/>
          <w:numId w:val="6"/>
        </w:numPr>
        <w:spacing w:line="360" w:lineRule="auto"/>
        <w:ind w:left="0" w:firstLine="480" w:firstLineChars="200"/>
        <w:rPr>
          <w:rFonts w:ascii="宋体" w:hAnsi="宋体" w:cs="宋体"/>
          <w:color w:val="auto"/>
          <w:sz w:val="24"/>
          <w:highlight w:val="none"/>
        </w:rPr>
      </w:pPr>
      <w:r>
        <w:rPr>
          <w:rFonts w:hint="eastAsia" w:ascii="宋体" w:hAnsi="宋体" w:cs="宋体"/>
          <w:color w:val="auto"/>
          <w:sz w:val="24"/>
          <w:highlight w:val="none"/>
        </w:rPr>
        <w:t>服务期</w:t>
      </w:r>
    </w:p>
    <w:p w14:paraId="5C405805">
      <w:pPr>
        <w:pStyle w:val="5"/>
        <w:spacing w:before="0" w:after="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要求服务时间年月日至年月日</w:t>
      </w:r>
    </w:p>
    <w:p w14:paraId="70C35267">
      <w:pPr>
        <w:pStyle w:val="12"/>
        <w:tabs>
          <w:tab w:val="left" w:pos="0"/>
          <w:tab w:val="left" w:pos="993"/>
          <w:tab w:val="left" w:pos="1134"/>
        </w:tabs>
        <w:spacing w:line="480" w:lineRule="exact"/>
        <w:ind w:left="0" w:leftChars="0" w:firstLine="480" w:firstLineChars="200"/>
        <w:rPr>
          <w:rFonts w:hAnsi="宋体" w:cs="宋体"/>
          <w:color w:val="auto"/>
          <w:kern w:val="2"/>
          <w:sz w:val="24"/>
          <w:highlight w:val="none"/>
        </w:rPr>
      </w:pPr>
      <w:r>
        <w:rPr>
          <w:rFonts w:hint="eastAsia" w:hAnsi="宋体" w:cs="宋体"/>
          <w:color w:val="auto"/>
          <w:kern w:val="2"/>
          <w:sz w:val="24"/>
          <w:highlight w:val="none"/>
        </w:rPr>
        <w:t>付款方式一：项目合同生效以及具备实施条件后7个工作日支付当年合同价的20%作为预付款；之后根据管理考核办法扣除考核金后每月按实结算一次，计算公式：</w:t>
      </w:r>
    </w:p>
    <w:p w14:paraId="7FF9B3EF">
      <w:pPr>
        <w:pStyle w:val="12"/>
        <w:tabs>
          <w:tab w:val="left" w:pos="0"/>
          <w:tab w:val="left" w:pos="993"/>
          <w:tab w:val="left" w:pos="1134"/>
        </w:tabs>
        <w:spacing w:line="480" w:lineRule="exact"/>
        <w:ind w:left="0" w:leftChars="0" w:firstLine="480" w:firstLineChars="200"/>
        <w:rPr>
          <w:rFonts w:hAnsi="宋体" w:cs="宋体"/>
          <w:color w:val="auto"/>
          <w:kern w:val="2"/>
          <w:sz w:val="24"/>
          <w:highlight w:val="none"/>
        </w:rPr>
      </w:pPr>
      <w:r>
        <w:rPr>
          <w:rFonts w:hint="eastAsia" w:hAnsi="宋体" w:cs="宋体"/>
          <w:color w:val="auto"/>
          <w:kern w:val="2"/>
          <w:sz w:val="24"/>
          <w:highlight w:val="none"/>
        </w:rPr>
        <w:t>当月服务费=每月人均综合单价*实际人数-每日人均综合单价*缺勤天数+加班费-考核费用+额外奖励费用</w:t>
      </w:r>
    </w:p>
    <w:p w14:paraId="01F514A7">
      <w:pPr>
        <w:pStyle w:val="12"/>
        <w:tabs>
          <w:tab w:val="left" w:pos="0"/>
          <w:tab w:val="left" w:pos="993"/>
          <w:tab w:val="left" w:pos="1134"/>
        </w:tabs>
        <w:adjustRightInd w:val="0"/>
        <w:spacing w:line="480" w:lineRule="exact"/>
        <w:ind w:left="0" w:leftChars="0" w:firstLine="480" w:firstLineChars="200"/>
        <w:rPr>
          <w:rFonts w:hAnsi="宋体" w:cs="宋体"/>
          <w:color w:val="auto"/>
          <w:kern w:val="2"/>
          <w:sz w:val="24"/>
          <w:highlight w:val="none"/>
        </w:rPr>
      </w:pPr>
      <w:r>
        <w:rPr>
          <w:rFonts w:hint="eastAsia" w:hAnsi="宋体" w:cs="宋体"/>
          <w:color w:val="auto"/>
          <w:kern w:val="2"/>
          <w:sz w:val="24"/>
          <w:highlight w:val="none"/>
        </w:rPr>
        <w:t>（首月支付可从预付款中抵扣）。</w:t>
      </w:r>
    </w:p>
    <w:p w14:paraId="02B25FF7">
      <w:pPr>
        <w:spacing w:line="360" w:lineRule="auto"/>
        <w:ind w:left="420" w:leftChars="200"/>
        <w:rPr>
          <w:rFonts w:ascii="宋体" w:hAnsi="宋体" w:cs="宋体"/>
          <w:color w:val="auto"/>
          <w:sz w:val="24"/>
          <w:highlight w:val="none"/>
        </w:rPr>
      </w:pPr>
      <w:r>
        <w:rPr>
          <w:rFonts w:hint="eastAsia" w:hAnsi="宋体" w:cs="宋体"/>
          <w:color w:val="auto"/>
          <w:sz w:val="24"/>
          <w:highlight w:val="none"/>
        </w:rPr>
        <w:t>付款方式二：（1）中标供应商提出，不需支付预付款。（由中标供应商签订合同代表手抄并签字，手写文字上加盖供应商公章）（2）每月根据管理考核办法扣除考核金后每月按实结算一次。</w:t>
      </w:r>
    </w:p>
    <w:p w14:paraId="22689F96">
      <w:pPr>
        <w:pStyle w:val="5"/>
        <w:numPr>
          <w:ilvl w:val="0"/>
          <w:numId w:val="6"/>
        </w:numPr>
        <w:spacing w:before="0" w:after="0" w:line="360" w:lineRule="auto"/>
        <w:ind w:left="0" w:firstLine="480" w:firstLineChars="200"/>
        <w:rPr>
          <w:rFonts w:ascii="宋体" w:hAnsi="宋体" w:cs="宋体"/>
          <w:color w:val="auto"/>
          <w:sz w:val="24"/>
          <w:highlight w:val="none"/>
        </w:rPr>
      </w:pPr>
      <w:r>
        <w:rPr>
          <w:rFonts w:hint="eastAsia" w:ascii="宋体" w:hAnsi="宋体" w:cs="宋体"/>
          <w:color w:val="auto"/>
          <w:sz w:val="24"/>
          <w:highlight w:val="none"/>
        </w:rPr>
        <w:t>税费</w:t>
      </w:r>
    </w:p>
    <w:p w14:paraId="37ADEEB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本合同执行中相关的一切税费均由乙方承担。</w:t>
      </w:r>
    </w:p>
    <w:p w14:paraId="65106D45">
      <w:pPr>
        <w:pStyle w:val="5"/>
        <w:numPr>
          <w:ilvl w:val="0"/>
          <w:numId w:val="6"/>
        </w:numPr>
        <w:spacing w:before="0" w:after="0" w:line="360" w:lineRule="auto"/>
        <w:ind w:left="0" w:firstLine="480" w:firstLineChars="200"/>
        <w:rPr>
          <w:rFonts w:ascii="宋体" w:hAnsi="宋体" w:cs="宋体"/>
          <w:color w:val="auto"/>
          <w:sz w:val="24"/>
          <w:highlight w:val="none"/>
        </w:rPr>
      </w:pPr>
      <w:r>
        <w:rPr>
          <w:rFonts w:hint="eastAsia" w:ascii="宋体" w:hAnsi="宋体" w:cs="宋体"/>
          <w:color w:val="auto"/>
          <w:sz w:val="24"/>
          <w:highlight w:val="none"/>
        </w:rPr>
        <w:t>质量保证及后续服务</w:t>
      </w:r>
    </w:p>
    <w:p w14:paraId="724DEEB8">
      <w:pPr>
        <w:pStyle w:val="5"/>
        <w:numPr>
          <w:ilvl w:val="0"/>
          <w:numId w:val="6"/>
        </w:numPr>
        <w:spacing w:before="0" w:after="0" w:line="360" w:lineRule="auto"/>
        <w:ind w:left="0" w:firstLine="480" w:firstLineChars="200"/>
        <w:rPr>
          <w:rFonts w:ascii="宋体" w:hAnsi="宋体" w:cs="宋体"/>
          <w:color w:val="auto"/>
          <w:sz w:val="24"/>
          <w:highlight w:val="none"/>
        </w:rPr>
      </w:pPr>
      <w:r>
        <w:rPr>
          <w:rFonts w:hint="eastAsia" w:ascii="宋体" w:hAnsi="宋体" w:cs="宋体"/>
          <w:color w:val="auto"/>
          <w:sz w:val="24"/>
          <w:highlight w:val="none"/>
        </w:rPr>
        <w:t>乙方应按招标文件规定向甲方提供服务</w:t>
      </w:r>
    </w:p>
    <w:p w14:paraId="1930140F">
      <w:pPr>
        <w:pStyle w:val="5"/>
        <w:numPr>
          <w:ilvl w:val="0"/>
          <w:numId w:val="8"/>
        </w:numPr>
        <w:spacing w:before="0" w:after="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乙方提供的服务成果质量没有达到甲方要求的，乙方应负责免费提供后续服务。对达不到要求者，根据实际情况，甲方可以选择按以下方法处理：</w:t>
      </w:r>
    </w:p>
    <w:p w14:paraId="5877D97E">
      <w:pPr>
        <w:numPr>
          <w:ilvl w:val="0"/>
          <w:numId w:val="9"/>
        </w:num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重做：乙方承担重做期间所发生的全部费用。</w:t>
      </w:r>
    </w:p>
    <w:p w14:paraId="059C3F04">
      <w:pPr>
        <w:pStyle w:val="5"/>
        <w:numPr>
          <w:ilvl w:val="0"/>
          <w:numId w:val="9"/>
        </w:numPr>
        <w:spacing w:before="0" w:after="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解除合同。</w:t>
      </w:r>
    </w:p>
    <w:p w14:paraId="31475E69">
      <w:pPr>
        <w:numPr>
          <w:ilvl w:val="0"/>
          <w:numId w:val="8"/>
        </w:num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乙方应对服务期内出现的质量及安全问题负责处理解决并承担一切费用。</w:t>
      </w:r>
    </w:p>
    <w:p w14:paraId="5B671301">
      <w:pPr>
        <w:pStyle w:val="5"/>
        <w:numPr>
          <w:ilvl w:val="0"/>
          <w:numId w:val="6"/>
        </w:numPr>
        <w:spacing w:before="0" w:after="0" w:line="360" w:lineRule="auto"/>
        <w:ind w:left="0" w:firstLine="480" w:firstLineChars="200"/>
        <w:rPr>
          <w:rFonts w:ascii="宋体" w:hAnsi="宋体" w:cs="宋体"/>
          <w:color w:val="auto"/>
          <w:sz w:val="24"/>
          <w:highlight w:val="none"/>
        </w:rPr>
      </w:pPr>
      <w:r>
        <w:rPr>
          <w:rFonts w:hint="eastAsia" w:ascii="宋体" w:hAnsi="宋体" w:cs="宋体"/>
          <w:color w:val="auto"/>
          <w:sz w:val="24"/>
          <w:highlight w:val="none"/>
        </w:rPr>
        <w:t>违约责任</w:t>
      </w:r>
    </w:p>
    <w:p w14:paraId="3FF72A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1、乙方连续</w:t>
      </w:r>
      <w:r>
        <w:rPr>
          <w:rFonts w:hint="eastAsia" w:ascii="宋体" w:hAnsi="宋体" w:cs="宋体"/>
          <w:color w:val="auto"/>
          <w:sz w:val="24"/>
          <w:highlight w:val="none"/>
          <w:u w:val="single"/>
        </w:rPr>
        <w:t>个月</w:t>
      </w:r>
      <w:r>
        <w:rPr>
          <w:rFonts w:hint="eastAsia" w:ascii="宋体" w:hAnsi="宋体" w:cs="宋体"/>
          <w:color w:val="auto"/>
          <w:sz w:val="24"/>
          <w:highlight w:val="none"/>
        </w:rPr>
        <w:t>没有达到服务质量要求，甲方有权提前中止服务合同。</w:t>
      </w:r>
    </w:p>
    <w:p w14:paraId="0B6038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2、甲方无故逾期办理支付手续的，甲方应按逾期总额每日万分之一向乙方支付违约金，违约金总额不得超过合同总价款的20%。</w:t>
      </w:r>
    </w:p>
    <w:p w14:paraId="1D2C0F7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乙方未如期提供服务的，每日向甲方支付合同价款的千分之六作为违约金。乙方超过约定日期10个工作日仍不能提供服务的，甲方可解除本合同。乙方因未能如期提供服务或因其他违约行为导致甲方解除合同的，乙方应向甲方支付合同总价值的5%作为违约金，若造成的损失超过违约金的，超过部分应由乙方继续承担赔偿责任。</w:t>
      </w:r>
    </w:p>
    <w:p w14:paraId="6FC520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十、不可抗力事件处理</w:t>
      </w:r>
    </w:p>
    <w:p w14:paraId="034A88B3">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1、如果双方中任何一方遭遇法律规定的不可抗力，致使合同履行受阻时，履行合同的期限应予延长，延长的期限应相当于不可抗力所影响的时间。</w:t>
      </w:r>
    </w:p>
    <w:p w14:paraId="1E00A8AD">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2、受事故影响的一方应在不可抗力的事故发生后15天内书面形式通知另一方，并将有关部门出具的证明文件送达另一方。</w:t>
      </w:r>
    </w:p>
    <w:p w14:paraId="06A5ACC7">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3、不可抗力使合同的某些内容有变更必要的，双方应通过协商达成进一步履行合同的协议，因不可抗力致使合同不能履行的，合同终止。</w:t>
      </w:r>
    </w:p>
    <w:p w14:paraId="3150C23B">
      <w:pPr>
        <w:pStyle w:val="5"/>
        <w:spacing w:before="0" w:after="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十一、争议解决</w:t>
      </w:r>
    </w:p>
    <w:p w14:paraId="1B64A8B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双方在执行合同中发生的一切争议，应通过协商解决。如协商不成的，也可向甲方所在地人民法院起诉。</w:t>
      </w:r>
    </w:p>
    <w:p w14:paraId="7C64993D">
      <w:pPr>
        <w:spacing w:line="360" w:lineRule="auto"/>
        <w:ind w:firstLine="480" w:firstLineChars="200"/>
        <w:rPr>
          <w:rFonts w:ascii="宋体" w:hAnsi="宋体" w:cs="宋体"/>
          <w:color w:val="auto"/>
          <w:sz w:val="24"/>
          <w:highlight w:val="none"/>
        </w:rPr>
      </w:pPr>
    </w:p>
    <w:p w14:paraId="6A816D0A">
      <w:pPr>
        <w:spacing w:line="360" w:lineRule="auto"/>
        <w:ind w:firstLine="480" w:firstLineChars="200"/>
        <w:rPr>
          <w:rFonts w:ascii="宋体" w:hAnsi="宋体" w:cs="宋体"/>
          <w:bCs/>
          <w:color w:val="auto"/>
          <w:sz w:val="24"/>
          <w:highlight w:val="none"/>
        </w:rPr>
      </w:pPr>
      <w:r>
        <w:rPr>
          <w:rFonts w:hint="eastAsia" w:ascii="宋体" w:hAnsi="宋体" w:cs="宋体"/>
          <w:color w:val="auto"/>
          <w:sz w:val="24"/>
          <w:highlight w:val="none"/>
        </w:rPr>
        <w:t>十二、</w:t>
      </w:r>
      <w:r>
        <w:rPr>
          <w:rFonts w:hint="eastAsia" w:ascii="宋体" w:hAnsi="宋体" w:cs="宋体"/>
          <w:bCs/>
          <w:color w:val="auto"/>
          <w:sz w:val="24"/>
          <w:highlight w:val="none"/>
        </w:rPr>
        <w:t>廉政条款</w:t>
      </w:r>
    </w:p>
    <w:p w14:paraId="4549B5B2">
      <w:pPr>
        <w:spacing w:line="360" w:lineRule="auto"/>
        <w:ind w:firstLine="480" w:firstLineChars="200"/>
        <w:rPr>
          <w:rFonts w:ascii="宋体" w:hAnsi="宋体" w:cs="宋体"/>
          <w:bCs/>
          <w:color w:val="auto"/>
          <w:sz w:val="24"/>
          <w:highlight w:val="none"/>
        </w:rPr>
      </w:pPr>
      <w:r>
        <w:rPr>
          <w:rFonts w:ascii="宋体" w:hAnsi="宋体" w:cs="宋体"/>
          <w:bCs/>
          <w:color w:val="auto"/>
          <w:sz w:val="24"/>
          <w:highlight w:val="none"/>
        </w:rPr>
        <w:t>1、</w:t>
      </w:r>
      <w:r>
        <w:rPr>
          <w:rFonts w:hint="eastAsia" w:ascii="宋体" w:hAnsi="宋体" w:cs="宋体"/>
          <w:bCs/>
          <w:color w:val="auto"/>
          <w:sz w:val="24"/>
          <w:highlight w:val="none"/>
        </w:rPr>
        <w:t>甲方行政后勤设备、物资采购人员必须强化</w:t>
      </w:r>
      <w:r>
        <w:rPr>
          <w:rFonts w:hint="eastAsia" w:ascii="宋体" w:hAnsi="宋体" w:cs="宋体"/>
          <w:bCs/>
          <w:color w:val="auto"/>
          <w:sz w:val="24"/>
          <w:highlight w:val="none"/>
          <w:lang w:eastAsia="zh-CN"/>
        </w:rPr>
        <w:t>法治观念</w:t>
      </w:r>
      <w:r>
        <w:rPr>
          <w:rFonts w:hint="eastAsia" w:ascii="宋体" w:hAnsi="宋体" w:cs="宋体"/>
          <w:bCs/>
          <w:color w:val="auto"/>
          <w:sz w:val="24"/>
          <w:highlight w:val="none"/>
        </w:rPr>
        <w:t>和责任意识，严格遵守国家法律、法规，遵守职业道德，必须按规定的职责权限和工作程序进行行政后勤设备、物资的采购，并做到廉洁自律，洁身自好。</w:t>
      </w:r>
    </w:p>
    <w:p w14:paraId="189E9CA3">
      <w:pPr>
        <w:spacing w:line="360" w:lineRule="auto"/>
        <w:ind w:firstLine="480" w:firstLineChars="200"/>
        <w:rPr>
          <w:rFonts w:ascii="宋体" w:hAnsi="宋体" w:cs="宋体"/>
          <w:bCs/>
          <w:color w:val="auto"/>
          <w:sz w:val="24"/>
          <w:highlight w:val="none"/>
        </w:rPr>
      </w:pPr>
      <w:r>
        <w:rPr>
          <w:rFonts w:ascii="宋体" w:hAnsi="宋体" w:cs="宋体"/>
          <w:bCs/>
          <w:color w:val="auto"/>
          <w:sz w:val="24"/>
          <w:highlight w:val="none"/>
        </w:rPr>
        <w:t>2、</w:t>
      </w:r>
      <w:r>
        <w:rPr>
          <w:rFonts w:hint="eastAsia" w:ascii="宋体" w:hAnsi="宋体" w:cs="宋体"/>
          <w:bCs/>
          <w:color w:val="auto"/>
          <w:sz w:val="24"/>
          <w:highlight w:val="none"/>
        </w:rPr>
        <w:t>甲方不得在行政后勤设备、物资购销和使用活动中，收受生产、经营企业或经销人员以各种名义给予的财物、有价证券、回扣或提成，不私自接受生产、经营企业或经销人员提供的国内外各类学术会议、考察活动及旅游等。</w:t>
      </w:r>
    </w:p>
    <w:p w14:paraId="64A9AEEB">
      <w:pPr>
        <w:spacing w:line="360" w:lineRule="auto"/>
        <w:ind w:firstLine="480" w:firstLineChars="200"/>
        <w:rPr>
          <w:rFonts w:ascii="宋体" w:hAnsi="宋体" w:cs="宋体"/>
          <w:bCs/>
          <w:color w:val="auto"/>
          <w:sz w:val="24"/>
          <w:highlight w:val="none"/>
        </w:rPr>
      </w:pPr>
      <w:r>
        <w:rPr>
          <w:rFonts w:ascii="宋体" w:hAnsi="宋体" w:cs="宋体"/>
          <w:bCs/>
          <w:color w:val="auto"/>
          <w:sz w:val="24"/>
          <w:highlight w:val="none"/>
        </w:rPr>
        <w:t>3、</w:t>
      </w:r>
      <w:r>
        <w:rPr>
          <w:rFonts w:hint="eastAsia" w:ascii="宋体" w:hAnsi="宋体" w:cs="宋体"/>
          <w:bCs/>
          <w:color w:val="auto"/>
          <w:sz w:val="24"/>
          <w:highlight w:val="none"/>
        </w:rPr>
        <w:t>甲方对行政后勤设备、物资的购销使用实施监控，发现涉嫌违规的行政后勤设备、物资产品，甲方有权立即给予停用处理，并按有关规定进行查处。</w:t>
      </w:r>
    </w:p>
    <w:p w14:paraId="7DF3C38C">
      <w:pPr>
        <w:spacing w:line="360" w:lineRule="auto"/>
        <w:ind w:firstLine="480" w:firstLineChars="200"/>
        <w:rPr>
          <w:rFonts w:ascii="宋体" w:hAnsi="宋体" w:cs="宋体"/>
          <w:bCs/>
          <w:color w:val="auto"/>
          <w:sz w:val="24"/>
          <w:highlight w:val="none"/>
        </w:rPr>
      </w:pPr>
      <w:r>
        <w:rPr>
          <w:rFonts w:ascii="宋体" w:hAnsi="宋体" w:cs="宋体"/>
          <w:bCs/>
          <w:color w:val="auto"/>
          <w:sz w:val="24"/>
          <w:highlight w:val="none"/>
        </w:rPr>
        <w:t>4、</w:t>
      </w:r>
      <w:r>
        <w:rPr>
          <w:rFonts w:hint="eastAsia" w:ascii="宋体" w:hAnsi="宋体" w:cs="宋体"/>
          <w:bCs/>
          <w:color w:val="auto"/>
          <w:sz w:val="24"/>
          <w:highlight w:val="none"/>
        </w:rPr>
        <w:t>乙方必须是资质齐全的合法经营单位，能独立承担相关法律责任。应严格行业自律，守法经营，公平竞争，认真执行政府招标采购和集中招标采购的有关规定，自觉维护市场秩序，无不良记录。</w:t>
      </w:r>
    </w:p>
    <w:p w14:paraId="4E0CF65C">
      <w:pPr>
        <w:spacing w:line="360" w:lineRule="auto"/>
        <w:ind w:firstLine="480" w:firstLineChars="200"/>
        <w:rPr>
          <w:rFonts w:ascii="宋体" w:hAnsi="宋体" w:cs="宋体"/>
          <w:bCs/>
          <w:color w:val="auto"/>
          <w:sz w:val="24"/>
          <w:highlight w:val="none"/>
        </w:rPr>
      </w:pPr>
      <w:r>
        <w:rPr>
          <w:rFonts w:ascii="宋体" w:hAnsi="宋体" w:cs="宋体"/>
          <w:bCs/>
          <w:color w:val="auto"/>
          <w:sz w:val="24"/>
          <w:highlight w:val="none"/>
        </w:rPr>
        <w:t>5、</w:t>
      </w:r>
      <w:r>
        <w:rPr>
          <w:rFonts w:hint="eastAsia" w:ascii="宋体" w:hAnsi="宋体" w:cs="宋体"/>
          <w:bCs/>
          <w:color w:val="auto"/>
          <w:sz w:val="24"/>
          <w:highlight w:val="none"/>
        </w:rPr>
        <w:t>乙方在销售行政后勤设备、物资过程中，不得以各种名义采用财物、有价证券、回扣、提成或者其他手段贿赂甲方工作人员，不得私自组织甲方工作人员参加国内外各类学术会议、考察活动及旅游。</w:t>
      </w:r>
    </w:p>
    <w:p w14:paraId="30F0F0C0">
      <w:pPr>
        <w:spacing w:line="360" w:lineRule="auto"/>
        <w:ind w:firstLine="480" w:firstLineChars="200"/>
        <w:rPr>
          <w:rFonts w:ascii="宋体" w:hAnsi="宋体" w:cs="宋体"/>
          <w:bCs/>
          <w:color w:val="auto"/>
          <w:sz w:val="24"/>
          <w:highlight w:val="none"/>
        </w:rPr>
      </w:pPr>
      <w:r>
        <w:rPr>
          <w:rFonts w:ascii="宋体" w:hAnsi="宋体" w:cs="宋体"/>
          <w:bCs/>
          <w:color w:val="auto"/>
          <w:sz w:val="24"/>
          <w:highlight w:val="none"/>
        </w:rPr>
        <w:t>6、</w:t>
      </w:r>
      <w:r>
        <w:rPr>
          <w:rFonts w:hint="eastAsia" w:ascii="宋体" w:hAnsi="宋体" w:cs="宋体"/>
          <w:bCs/>
          <w:color w:val="auto"/>
          <w:sz w:val="24"/>
          <w:highlight w:val="none"/>
        </w:rPr>
        <w:t>乙方销售人员不得在甲方医院进行产品的宣传、介绍等促销活动。</w:t>
      </w:r>
    </w:p>
    <w:p w14:paraId="31F10C66">
      <w:pPr>
        <w:spacing w:line="360" w:lineRule="auto"/>
        <w:ind w:firstLine="480" w:firstLineChars="200"/>
        <w:rPr>
          <w:color w:val="auto"/>
          <w:highlight w:val="none"/>
        </w:rPr>
      </w:pPr>
      <w:r>
        <w:rPr>
          <w:rFonts w:hint="eastAsia" w:ascii="宋体" w:hAnsi="宋体" w:cs="宋体"/>
          <w:color w:val="auto"/>
          <w:sz w:val="24"/>
          <w:highlight w:val="none"/>
        </w:rPr>
        <w:t>十三、本合同经甲、乙双方法定代表或其委托人签字并加盖公章后生效。本合同一式五份，甲乙双方各执二份，一份由招标代理机构备案。</w:t>
      </w:r>
    </w:p>
    <w:p w14:paraId="6E279D2E">
      <w:pPr>
        <w:pStyle w:val="12"/>
        <w:rPr>
          <w:rFonts w:ascii="宋体" w:hAnsi="宋体" w:cs="宋体"/>
          <w:color w:val="auto"/>
          <w:sz w:val="24"/>
          <w:szCs w:val="24"/>
          <w:highlight w:val="none"/>
        </w:rPr>
      </w:pPr>
    </w:p>
    <w:tbl>
      <w:tblPr>
        <w:tblStyle w:val="24"/>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0"/>
        <w:gridCol w:w="4701"/>
      </w:tblGrid>
      <w:tr w14:paraId="3F181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75CD7BA5">
            <w:pPr>
              <w:snapToGrid w:val="0"/>
              <w:rPr>
                <w:rFonts w:ascii="宋体" w:hAnsi="宋体" w:cs="宋体"/>
                <w:color w:val="auto"/>
                <w:sz w:val="24"/>
                <w:highlight w:val="none"/>
              </w:rPr>
            </w:pPr>
            <w:r>
              <w:rPr>
                <w:rFonts w:hint="eastAsia" w:ascii="宋体" w:hAnsi="宋体" w:cs="宋体"/>
                <w:color w:val="auto"/>
                <w:sz w:val="24"/>
                <w:highlight w:val="none"/>
              </w:rPr>
              <w:t>甲方（单位章）：湖州市中心医院</w:t>
            </w:r>
          </w:p>
        </w:tc>
        <w:tc>
          <w:tcPr>
            <w:tcW w:w="4701" w:type="dxa"/>
            <w:noWrap/>
            <w:vAlign w:val="center"/>
          </w:tcPr>
          <w:p w14:paraId="0EAEFFEC">
            <w:pPr>
              <w:snapToGrid w:val="0"/>
              <w:rPr>
                <w:rFonts w:ascii="宋体" w:hAnsi="宋体" w:cs="宋体"/>
                <w:color w:val="auto"/>
                <w:sz w:val="24"/>
                <w:highlight w:val="none"/>
              </w:rPr>
            </w:pPr>
            <w:r>
              <w:rPr>
                <w:rFonts w:hint="eastAsia" w:ascii="宋体" w:hAnsi="宋体" w:cs="宋体"/>
                <w:color w:val="auto"/>
                <w:sz w:val="24"/>
                <w:highlight w:val="none"/>
              </w:rPr>
              <w:t>乙方（单位章）：</w:t>
            </w:r>
          </w:p>
        </w:tc>
      </w:tr>
      <w:tr w14:paraId="22721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78C78152">
            <w:pPr>
              <w:snapToGrid w:val="0"/>
              <w:rPr>
                <w:rFonts w:ascii="宋体" w:hAnsi="宋体" w:cs="宋体"/>
                <w:color w:val="auto"/>
                <w:sz w:val="24"/>
                <w:highlight w:val="none"/>
              </w:rPr>
            </w:pPr>
            <w:r>
              <w:rPr>
                <w:rFonts w:hint="eastAsia" w:ascii="宋体" w:hAnsi="宋体" w:cs="宋体"/>
                <w:color w:val="auto"/>
                <w:sz w:val="24"/>
                <w:highlight w:val="none"/>
              </w:rPr>
              <w:t>法定代表人（签字或盖章）：</w:t>
            </w:r>
          </w:p>
        </w:tc>
        <w:tc>
          <w:tcPr>
            <w:tcW w:w="4701" w:type="dxa"/>
            <w:noWrap/>
            <w:vAlign w:val="center"/>
          </w:tcPr>
          <w:p w14:paraId="6C00FBA9">
            <w:pPr>
              <w:snapToGrid w:val="0"/>
              <w:rPr>
                <w:rFonts w:ascii="宋体" w:hAnsi="宋体" w:cs="宋体"/>
                <w:color w:val="auto"/>
                <w:sz w:val="24"/>
                <w:highlight w:val="none"/>
              </w:rPr>
            </w:pPr>
            <w:r>
              <w:rPr>
                <w:rFonts w:hint="eastAsia" w:ascii="宋体" w:hAnsi="宋体" w:cs="宋体"/>
                <w:color w:val="auto"/>
                <w:sz w:val="24"/>
                <w:highlight w:val="none"/>
              </w:rPr>
              <w:t>法定代表人（签字或盖章）：</w:t>
            </w:r>
          </w:p>
        </w:tc>
      </w:tr>
      <w:tr w14:paraId="3DF12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2C9C0920">
            <w:pPr>
              <w:snapToGrid w:val="0"/>
              <w:rPr>
                <w:rFonts w:ascii="宋体" w:hAnsi="宋体" w:cs="宋体"/>
                <w:color w:val="auto"/>
                <w:sz w:val="24"/>
                <w:highlight w:val="none"/>
              </w:rPr>
            </w:pPr>
            <w:r>
              <w:rPr>
                <w:rFonts w:hint="eastAsia" w:ascii="宋体" w:hAnsi="宋体" w:cs="宋体"/>
                <w:color w:val="auto"/>
                <w:sz w:val="24"/>
                <w:highlight w:val="none"/>
              </w:rPr>
              <w:t>或授权代表（签字）：</w:t>
            </w:r>
          </w:p>
        </w:tc>
        <w:tc>
          <w:tcPr>
            <w:tcW w:w="4701" w:type="dxa"/>
            <w:noWrap/>
            <w:vAlign w:val="center"/>
          </w:tcPr>
          <w:p w14:paraId="32D9D02A">
            <w:pPr>
              <w:snapToGrid w:val="0"/>
              <w:rPr>
                <w:rFonts w:ascii="宋体" w:hAnsi="宋体" w:cs="宋体"/>
                <w:color w:val="auto"/>
                <w:sz w:val="24"/>
                <w:highlight w:val="none"/>
              </w:rPr>
            </w:pPr>
            <w:r>
              <w:rPr>
                <w:rFonts w:hint="eastAsia" w:ascii="宋体" w:hAnsi="宋体" w:cs="宋体"/>
                <w:color w:val="auto"/>
                <w:sz w:val="24"/>
                <w:highlight w:val="none"/>
              </w:rPr>
              <w:t>或授权代表（签字）：</w:t>
            </w:r>
          </w:p>
        </w:tc>
      </w:tr>
      <w:tr w14:paraId="635F8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5EEA45DF">
            <w:pPr>
              <w:snapToGrid w:val="0"/>
              <w:rPr>
                <w:rFonts w:ascii="宋体" w:hAnsi="宋体" w:cs="宋体"/>
                <w:color w:val="auto"/>
                <w:sz w:val="24"/>
                <w:highlight w:val="none"/>
              </w:rPr>
            </w:pPr>
            <w:r>
              <w:rPr>
                <w:rFonts w:hint="eastAsia" w:ascii="宋体" w:hAnsi="宋体" w:cs="宋体"/>
                <w:color w:val="auto"/>
                <w:sz w:val="24"/>
                <w:highlight w:val="none"/>
              </w:rPr>
              <w:t>地　　址：</w:t>
            </w:r>
            <w:r>
              <w:rPr>
                <w:rFonts w:ascii="宋体" w:hAnsi="宋体" w:cs="宋体"/>
                <w:color w:val="auto"/>
                <w:sz w:val="24"/>
                <w:highlight w:val="none"/>
              </w:rPr>
              <w:t>浙江省湖州市三环北路1558号</w:t>
            </w:r>
          </w:p>
        </w:tc>
        <w:tc>
          <w:tcPr>
            <w:tcW w:w="4701" w:type="dxa"/>
            <w:noWrap/>
            <w:vAlign w:val="center"/>
          </w:tcPr>
          <w:p w14:paraId="37F84970">
            <w:pPr>
              <w:ind w:left="6000" w:hanging="6000" w:hangingChars="2500"/>
              <w:rPr>
                <w:rFonts w:ascii="宋体" w:hAnsi="宋体" w:cs="宋体"/>
                <w:color w:val="auto"/>
                <w:sz w:val="24"/>
                <w:highlight w:val="none"/>
              </w:rPr>
            </w:pPr>
            <w:r>
              <w:rPr>
                <w:rFonts w:hint="eastAsia" w:ascii="宋体" w:hAnsi="宋体" w:cs="宋体"/>
                <w:color w:val="auto"/>
                <w:sz w:val="24"/>
                <w:highlight w:val="none"/>
              </w:rPr>
              <w:t>地　　址：</w:t>
            </w:r>
          </w:p>
        </w:tc>
      </w:tr>
      <w:tr w14:paraId="20234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7638150A">
            <w:pPr>
              <w:snapToGrid w:val="0"/>
              <w:rPr>
                <w:rFonts w:ascii="宋体" w:hAnsi="宋体" w:cs="宋体"/>
                <w:color w:val="auto"/>
                <w:sz w:val="24"/>
                <w:highlight w:val="none"/>
              </w:rPr>
            </w:pPr>
            <w:r>
              <w:rPr>
                <w:rFonts w:hint="eastAsia" w:ascii="宋体" w:hAnsi="宋体" w:cs="宋体"/>
                <w:color w:val="auto"/>
                <w:sz w:val="24"/>
                <w:highlight w:val="none"/>
              </w:rPr>
              <w:t>邮政编码：313000</w:t>
            </w:r>
          </w:p>
        </w:tc>
        <w:tc>
          <w:tcPr>
            <w:tcW w:w="4701" w:type="dxa"/>
            <w:noWrap/>
            <w:vAlign w:val="center"/>
          </w:tcPr>
          <w:p w14:paraId="1C863F5F">
            <w:pPr>
              <w:snapToGrid w:val="0"/>
              <w:rPr>
                <w:rFonts w:ascii="宋体" w:hAnsi="宋体" w:cs="宋体"/>
                <w:color w:val="auto"/>
                <w:sz w:val="24"/>
                <w:highlight w:val="none"/>
              </w:rPr>
            </w:pPr>
            <w:r>
              <w:rPr>
                <w:rFonts w:hint="eastAsia" w:ascii="宋体" w:hAnsi="宋体" w:cs="宋体"/>
                <w:color w:val="auto"/>
                <w:sz w:val="24"/>
                <w:highlight w:val="none"/>
              </w:rPr>
              <w:t>邮政编码：</w:t>
            </w:r>
          </w:p>
        </w:tc>
      </w:tr>
      <w:tr w14:paraId="2FD9C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0BAE598A">
            <w:pPr>
              <w:snapToGrid w:val="0"/>
              <w:rPr>
                <w:rFonts w:ascii="宋体" w:hAnsi="宋体" w:cs="宋体"/>
                <w:color w:val="auto"/>
                <w:sz w:val="24"/>
                <w:highlight w:val="none"/>
              </w:rPr>
            </w:pPr>
            <w:r>
              <w:rPr>
                <w:rFonts w:hint="eastAsia" w:ascii="宋体" w:hAnsi="宋体" w:cs="宋体"/>
                <w:color w:val="auto"/>
                <w:sz w:val="24"/>
                <w:highlight w:val="none"/>
              </w:rPr>
              <w:t>电　　话：</w:t>
            </w:r>
            <w:r>
              <w:rPr>
                <w:rFonts w:hint="eastAsia" w:ascii="宋体" w:hAnsi="宋体" w:cs="宋体"/>
                <w:color w:val="auto"/>
                <w:sz w:val="24"/>
                <w:highlight w:val="none"/>
              </w:rPr>
              <w:tab/>
            </w:r>
          </w:p>
        </w:tc>
        <w:tc>
          <w:tcPr>
            <w:tcW w:w="4701" w:type="dxa"/>
            <w:noWrap/>
            <w:vAlign w:val="center"/>
          </w:tcPr>
          <w:p w14:paraId="3E6C8755">
            <w:pPr>
              <w:snapToGrid w:val="0"/>
              <w:rPr>
                <w:rFonts w:ascii="宋体" w:hAnsi="宋体" w:cs="宋体"/>
                <w:color w:val="auto"/>
                <w:sz w:val="24"/>
                <w:highlight w:val="none"/>
              </w:rPr>
            </w:pPr>
            <w:r>
              <w:rPr>
                <w:rFonts w:hint="eastAsia" w:ascii="宋体" w:hAnsi="宋体" w:cs="宋体"/>
                <w:color w:val="auto"/>
                <w:sz w:val="24"/>
                <w:highlight w:val="none"/>
              </w:rPr>
              <w:t>电　　话：</w:t>
            </w:r>
          </w:p>
        </w:tc>
      </w:tr>
      <w:tr w14:paraId="351D8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79D9DB47">
            <w:pPr>
              <w:snapToGrid w:val="0"/>
              <w:rPr>
                <w:rFonts w:ascii="宋体" w:hAnsi="宋体" w:cs="宋体"/>
                <w:color w:val="auto"/>
                <w:sz w:val="24"/>
                <w:highlight w:val="none"/>
              </w:rPr>
            </w:pPr>
            <w:r>
              <w:rPr>
                <w:rFonts w:hint="eastAsia" w:ascii="宋体" w:hAnsi="宋体" w:cs="宋体"/>
                <w:color w:val="auto"/>
                <w:sz w:val="24"/>
                <w:highlight w:val="none"/>
              </w:rPr>
              <w:t>开户银行：</w:t>
            </w:r>
          </w:p>
        </w:tc>
        <w:tc>
          <w:tcPr>
            <w:tcW w:w="4701" w:type="dxa"/>
            <w:noWrap/>
            <w:vAlign w:val="center"/>
          </w:tcPr>
          <w:p w14:paraId="3D2D3E27">
            <w:pPr>
              <w:snapToGrid w:val="0"/>
              <w:rPr>
                <w:rFonts w:ascii="宋体" w:hAnsi="宋体" w:cs="宋体"/>
                <w:color w:val="auto"/>
                <w:sz w:val="24"/>
                <w:highlight w:val="none"/>
              </w:rPr>
            </w:pPr>
            <w:r>
              <w:rPr>
                <w:rFonts w:hint="eastAsia" w:ascii="宋体" w:hAnsi="宋体" w:cs="宋体"/>
                <w:color w:val="auto"/>
                <w:sz w:val="24"/>
                <w:highlight w:val="none"/>
              </w:rPr>
              <w:t>开户银行：</w:t>
            </w:r>
          </w:p>
        </w:tc>
      </w:tr>
      <w:tr w14:paraId="73507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493C3E10">
            <w:pPr>
              <w:snapToGrid w:val="0"/>
              <w:rPr>
                <w:rFonts w:ascii="宋体" w:hAnsi="宋体" w:cs="宋体"/>
                <w:color w:val="auto"/>
                <w:sz w:val="24"/>
                <w:highlight w:val="none"/>
              </w:rPr>
            </w:pPr>
            <w:r>
              <w:rPr>
                <w:rFonts w:hint="eastAsia" w:ascii="宋体" w:hAnsi="宋体" w:cs="宋体"/>
                <w:color w:val="auto"/>
                <w:sz w:val="24"/>
                <w:highlight w:val="none"/>
              </w:rPr>
              <w:t>账　　号：</w:t>
            </w:r>
          </w:p>
        </w:tc>
        <w:tc>
          <w:tcPr>
            <w:tcW w:w="4701" w:type="dxa"/>
            <w:noWrap/>
            <w:vAlign w:val="center"/>
          </w:tcPr>
          <w:p w14:paraId="17037EBD">
            <w:pPr>
              <w:rPr>
                <w:rFonts w:ascii="宋体" w:hAnsi="宋体" w:cs="宋体"/>
                <w:color w:val="auto"/>
                <w:sz w:val="24"/>
                <w:highlight w:val="none"/>
              </w:rPr>
            </w:pPr>
            <w:r>
              <w:rPr>
                <w:rFonts w:hint="eastAsia" w:ascii="宋体" w:hAnsi="宋体" w:cs="宋体"/>
                <w:color w:val="auto"/>
                <w:sz w:val="24"/>
                <w:highlight w:val="none"/>
              </w:rPr>
              <w:t>账　　号：</w:t>
            </w:r>
          </w:p>
        </w:tc>
      </w:tr>
      <w:tr w14:paraId="6B4D0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627011DB">
            <w:pPr>
              <w:snapToGrid w:val="0"/>
              <w:rPr>
                <w:rFonts w:ascii="宋体" w:hAnsi="宋体" w:cs="宋体"/>
                <w:color w:val="auto"/>
                <w:sz w:val="24"/>
                <w:highlight w:val="none"/>
              </w:rPr>
            </w:pPr>
            <w:r>
              <w:rPr>
                <w:rFonts w:hint="eastAsia" w:ascii="宋体" w:hAnsi="宋体" w:cs="宋体"/>
                <w:color w:val="auto"/>
                <w:sz w:val="24"/>
                <w:highlight w:val="none"/>
              </w:rPr>
              <w:t xml:space="preserve">税号： </w:t>
            </w:r>
          </w:p>
        </w:tc>
        <w:tc>
          <w:tcPr>
            <w:tcW w:w="4701" w:type="dxa"/>
            <w:noWrap/>
            <w:vAlign w:val="center"/>
          </w:tcPr>
          <w:p w14:paraId="6C9363C8">
            <w:pPr>
              <w:snapToGrid w:val="0"/>
              <w:rPr>
                <w:rFonts w:ascii="宋体" w:hAnsi="宋体" w:cs="宋体"/>
                <w:color w:val="auto"/>
                <w:sz w:val="24"/>
                <w:highlight w:val="none"/>
              </w:rPr>
            </w:pPr>
            <w:r>
              <w:rPr>
                <w:rFonts w:hint="eastAsia" w:ascii="宋体" w:hAnsi="宋体" w:cs="宋体"/>
                <w:color w:val="auto"/>
                <w:sz w:val="24"/>
                <w:highlight w:val="none"/>
              </w:rPr>
              <w:t>税号：</w:t>
            </w:r>
          </w:p>
        </w:tc>
      </w:tr>
      <w:tr w14:paraId="29665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noWrap/>
            <w:vAlign w:val="center"/>
          </w:tcPr>
          <w:p w14:paraId="5CFBB364">
            <w:pPr>
              <w:snapToGrid w:val="0"/>
              <w:rPr>
                <w:rFonts w:ascii="宋体" w:hAnsi="宋体" w:cs="宋体"/>
                <w:color w:val="auto"/>
                <w:sz w:val="24"/>
                <w:highlight w:val="none"/>
              </w:rPr>
            </w:pPr>
            <w:r>
              <w:rPr>
                <w:rFonts w:hint="eastAsia" w:ascii="宋体" w:hAnsi="宋体" w:cs="宋体"/>
                <w:color w:val="auto"/>
                <w:sz w:val="24"/>
                <w:highlight w:val="none"/>
              </w:rPr>
              <w:t>签订时间：   年　月　日</w:t>
            </w:r>
          </w:p>
        </w:tc>
        <w:tc>
          <w:tcPr>
            <w:tcW w:w="4701" w:type="dxa"/>
            <w:noWrap/>
            <w:vAlign w:val="center"/>
          </w:tcPr>
          <w:p w14:paraId="5E98B875">
            <w:pPr>
              <w:snapToGrid w:val="0"/>
              <w:rPr>
                <w:rFonts w:ascii="宋体" w:hAnsi="宋体" w:cs="宋体"/>
                <w:color w:val="auto"/>
                <w:sz w:val="24"/>
                <w:highlight w:val="none"/>
              </w:rPr>
            </w:pPr>
            <w:r>
              <w:rPr>
                <w:rFonts w:hint="eastAsia" w:ascii="宋体" w:hAnsi="宋体" w:cs="宋体"/>
                <w:color w:val="auto"/>
                <w:sz w:val="24"/>
                <w:highlight w:val="none"/>
              </w:rPr>
              <w:t>签订时间：   年　月　日</w:t>
            </w:r>
          </w:p>
        </w:tc>
      </w:tr>
    </w:tbl>
    <w:p w14:paraId="53FAB353">
      <w:pPr>
        <w:snapToGrid w:val="0"/>
        <w:ind w:firstLine="480" w:firstLineChars="200"/>
        <w:rPr>
          <w:rFonts w:ascii="宋体" w:hAnsi="宋体" w:cs="宋体"/>
          <w:color w:val="auto"/>
          <w:sz w:val="24"/>
          <w:highlight w:val="none"/>
        </w:rPr>
      </w:pPr>
    </w:p>
    <w:p w14:paraId="2BFF8B0B">
      <w:pPr>
        <w:pStyle w:val="13"/>
        <w:snapToGrid w:val="0"/>
        <w:spacing w:beforeLines="0" w:afterLines="0" w:line="360" w:lineRule="auto"/>
        <w:rPr>
          <w:color w:val="auto"/>
          <w:highlight w:val="none"/>
        </w:rPr>
      </w:pPr>
    </w:p>
    <w:p w14:paraId="13AAD139">
      <w:pPr>
        <w:pStyle w:val="13"/>
        <w:snapToGrid w:val="0"/>
        <w:spacing w:beforeLines="0" w:afterLines="0" w:line="360" w:lineRule="auto"/>
        <w:rPr>
          <w:color w:val="auto"/>
          <w:highlight w:val="none"/>
        </w:rPr>
      </w:pPr>
    </w:p>
    <w:p w14:paraId="1B051318">
      <w:pPr>
        <w:snapToGrid w:val="0"/>
        <w:spacing w:line="360" w:lineRule="auto"/>
        <w:jc w:val="center"/>
        <w:rPr>
          <w:color w:val="auto"/>
          <w:sz w:val="30"/>
          <w:szCs w:val="30"/>
          <w:highlight w:val="none"/>
        </w:rPr>
      </w:pPr>
      <w:r>
        <w:rPr>
          <w:rFonts w:hint="eastAsia"/>
          <w:color w:val="auto"/>
          <w:sz w:val="30"/>
          <w:szCs w:val="30"/>
          <w:highlight w:val="none"/>
        </w:rPr>
        <w:t>第六章　投标文件格式</w:t>
      </w:r>
    </w:p>
    <w:p w14:paraId="681140BF">
      <w:pPr>
        <w:snapToGrid w:val="0"/>
        <w:spacing w:line="360" w:lineRule="auto"/>
        <w:jc w:val="center"/>
        <w:outlineLvl w:val="1"/>
        <w:rPr>
          <w:rFonts w:ascii="宋体" w:hAnsi="宋体"/>
          <w:b/>
          <w:bCs/>
          <w:color w:val="auto"/>
          <w:sz w:val="24"/>
          <w:highlight w:val="none"/>
        </w:rPr>
      </w:pPr>
      <w:r>
        <w:rPr>
          <w:rFonts w:hint="eastAsia" w:ascii="宋体" w:hAnsi="宋体"/>
          <w:b/>
          <w:bCs/>
          <w:color w:val="auto"/>
          <w:sz w:val="24"/>
          <w:highlight w:val="none"/>
        </w:rPr>
        <w:t>一、资格文件格式</w:t>
      </w:r>
    </w:p>
    <w:p w14:paraId="39821B11">
      <w:pPr>
        <w:snapToGrid w:val="0"/>
        <w:spacing w:line="360" w:lineRule="auto"/>
        <w:jc w:val="center"/>
        <w:rPr>
          <w:rFonts w:ascii="宋体" w:hAnsi="宋体"/>
          <w:color w:val="auto"/>
          <w:sz w:val="24"/>
          <w:szCs w:val="20"/>
          <w:highlight w:val="none"/>
        </w:rPr>
      </w:pPr>
    </w:p>
    <w:p w14:paraId="2411B75E">
      <w:pPr>
        <w:snapToGrid w:val="0"/>
        <w:spacing w:line="360" w:lineRule="auto"/>
        <w:rPr>
          <w:rFonts w:ascii="宋体" w:hAnsi="宋体"/>
          <w:color w:val="auto"/>
          <w:sz w:val="24"/>
          <w:szCs w:val="20"/>
          <w:highlight w:val="none"/>
        </w:rPr>
      </w:pPr>
      <w:r>
        <w:rPr>
          <w:rFonts w:hint="eastAsia" w:ascii="宋体" w:hAnsi="宋体"/>
          <w:color w:val="auto"/>
          <w:sz w:val="24"/>
          <w:highlight w:val="none"/>
        </w:rPr>
        <w:t>1.资格文件封面格式：</w:t>
      </w:r>
    </w:p>
    <w:p w14:paraId="5369BA6F">
      <w:pPr>
        <w:snapToGrid w:val="0"/>
        <w:spacing w:line="360" w:lineRule="auto"/>
        <w:jc w:val="center"/>
        <w:rPr>
          <w:rFonts w:ascii="宋体" w:hAnsi="宋体"/>
          <w:bCs/>
          <w:color w:val="auto"/>
          <w:sz w:val="24"/>
          <w:szCs w:val="20"/>
          <w:highlight w:val="none"/>
        </w:rPr>
      </w:pPr>
      <w:r>
        <w:rPr>
          <w:rFonts w:hint="eastAsia" w:ascii="宋体" w:hAnsi="宋体"/>
          <w:bCs/>
          <w:color w:val="auto"/>
          <w:sz w:val="24"/>
          <w:highlight w:val="none"/>
        </w:rPr>
        <w:t>资 格 文件</w:t>
      </w:r>
    </w:p>
    <w:p w14:paraId="1EF89A3B">
      <w:pPr>
        <w:snapToGrid w:val="0"/>
        <w:spacing w:line="360" w:lineRule="auto"/>
        <w:rPr>
          <w:rFonts w:ascii="宋体" w:hAnsi="宋体"/>
          <w:bCs/>
          <w:color w:val="auto"/>
          <w:sz w:val="24"/>
          <w:szCs w:val="20"/>
          <w:highlight w:val="none"/>
        </w:rPr>
      </w:pPr>
    </w:p>
    <w:p w14:paraId="096C18E1">
      <w:pPr>
        <w:snapToGrid w:val="0"/>
        <w:spacing w:line="360" w:lineRule="auto"/>
        <w:ind w:left="1918" w:leftChars="456" w:hanging="960" w:hangingChars="400"/>
        <w:rPr>
          <w:rFonts w:hint="eastAsia" w:ascii="宋体" w:hAnsi="宋体" w:eastAsia="宋体"/>
          <w:bCs/>
          <w:color w:val="auto"/>
          <w:sz w:val="24"/>
          <w:szCs w:val="20"/>
          <w:highlight w:val="none"/>
          <w:lang w:eastAsia="zh-CN"/>
        </w:rPr>
      </w:pPr>
      <w:r>
        <w:rPr>
          <w:rFonts w:hint="eastAsia" w:ascii="宋体" w:hAnsi="宋体"/>
          <w:bCs/>
          <w:color w:val="auto"/>
          <w:sz w:val="24"/>
          <w:highlight w:val="none"/>
        </w:rPr>
        <w:t>项目名称：</w:t>
      </w:r>
      <w:r>
        <w:rPr>
          <w:rFonts w:hint="eastAsia" w:ascii="宋体" w:hAnsi="宋体"/>
          <w:color w:val="auto"/>
          <w:spacing w:val="-20"/>
          <w:sz w:val="24"/>
          <w:highlight w:val="none"/>
          <w:lang w:eastAsia="zh-CN"/>
        </w:rPr>
        <w:t>湖州市中心医院安防服务招标项目</w:t>
      </w:r>
    </w:p>
    <w:p w14:paraId="3071D378">
      <w:pPr>
        <w:snapToGrid w:val="0"/>
        <w:spacing w:line="360" w:lineRule="auto"/>
        <w:ind w:firstLine="960" w:firstLineChars="400"/>
        <w:rPr>
          <w:rFonts w:hint="eastAsia" w:ascii="宋体" w:hAnsi="宋体" w:eastAsia="宋体"/>
          <w:bCs/>
          <w:color w:val="auto"/>
          <w:sz w:val="24"/>
          <w:szCs w:val="20"/>
          <w:highlight w:val="none"/>
          <w:lang w:eastAsia="zh-CN"/>
        </w:rPr>
      </w:pPr>
      <w:r>
        <w:rPr>
          <w:rFonts w:hint="eastAsia" w:ascii="宋体" w:hAnsi="宋体"/>
          <w:bCs/>
          <w:color w:val="auto"/>
          <w:sz w:val="24"/>
          <w:highlight w:val="none"/>
        </w:rPr>
        <w:t>项目编号：</w:t>
      </w:r>
      <w:r>
        <w:rPr>
          <w:rFonts w:hint="eastAsia" w:ascii="宋体" w:hAnsi="宋体"/>
          <w:color w:val="auto"/>
          <w:sz w:val="24"/>
          <w:highlight w:val="none"/>
          <w:lang w:eastAsia="zh-CN"/>
        </w:rPr>
        <w:t>HYHZ2025-33</w:t>
      </w:r>
    </w:p>
    <w:p w14:paraId="513E6FE1">
      <w:pPr>
        <w:pStyle w:val="8"/>
        <w:snapToGrid w:val="0"/>
        <w:spacing w:line="360" w:lineRule="auto"/>
        <w:ind w:firstLine="998" w:firstLineChars="416"/>
        <w:rPr>
          <w:rFonts w:ascii="宋体" w:hAnsi="宋体"/>
          <w:bCs/>
          <w:color w:val="auto"/>
          <w:sz w:val="24"/>
          <w:szCs w:val="24"/>
          <w:highlight w:val="none"/>
        </w:rPr>
      </w:pPr>
      <w:r>
        <w:rPr>
          <w:rFonts w:hint="eastAsia" w:ascii="宋体" w:hAnsi="宋体"/>
          <w:bCs/>
          <w:color w:val="auto"/>
          <w:sz w:val="24"/>
          <w:szCs w:val="24"/>
          <w:highlight w:val="none"/>
        </w:rPr>
        <w:t>投标人名称：</w:t>
      </w:r>
    </w:p>
    <w:p w14:paraId="55EEF201">
      <w:pPr>
        <w:pStyle w:val="8"/>
        <w:snapToGrid w:val="0"/>
        <w:spacing w:line="360" w:lineRule="auto"/>
        <w:ind w:firstLine="998" w:firstLineChars="416"/>
        <w:rPr>
          <w:rFonts w:ascii="宋体" w:hAnsi="宋体"/>
          <w:bCs/>
          <w:color w:val="auto"/>
          <w:sz w:val="24"/>
          <w:szCs w:val="24"/>
          <w:highlight w:val="none"/>
        </w:rPr>
      </w:pPr>
      <w:r>
        <w:rPr>
          <w:rFonts w:hint="eastAsia" w:ascii="宋体" w:hAnsi="宋体"/>
          <w:bCs/>
          <w:color w:val="auto"/>
          <w:sz w:val="24"/>
          <w:szCs w:val="24"/>
          <w:highlight w:val="none"/>
        </w:rPr>
        <w:t>投标人地址：</w:t>
      </w:r>
    </w:p>
    <w:p w14:paraId="2F9CD6B2">
      <w:pPr>
        <w:snapToGrid w:val="0"/>
        <w:spacing w:line="360" w:lineRule="auto"/>
        <w:ind w:firstLine="645"/>
        <w:jc w:val="center"/>
        <w:rPr>
          <w:rFonts w:ascii="宋体" w:hAnsi="宋体"/>
          <w:color w:val="auto"/>
          <w:sz w:val="24"/>
          <w:szCs w:val="20"/>
          <w:highlight w:val="none"/>
        </w:rPr>
      </w:pPr>
      <w:r>
        <w:rPr>
          <w:rFonts w:hint="eastAsia" w:ascii="宋体" w:hAnsi="宋体"/>
          <w:color w:val="auto"/>
          <w:sz w:val="24"/>
          <w:highlight w:val="none"/>
        </w:rPr>
        <w:t>年月日</w:t>
      </w:r>
    </w:p>
    <w:p w14:paraId="5517BE99">
      <w:pPr>
        <w:snapToGrid w:val="0"/>
        <w:spacing w:line="360" w:lineRule="auto"/>
        <w:rPr>
          <w:rFonts w:ascii="宋体" w:hAnsi="宋体"/>
          <w:b/>
          <w:bCs/>
          <w:color w:val="auto"/>
          <w:sz w:val="24"/>
          <w:highlight w:val="none"/>
        </w:rPr>
      </w:pPr>
      <w:r>
        <w:rPr>
          <w:rFonts w:hint="eastAsia" w:ascii="宋体" w:hAnsi="宋体"/>
          <w:color w:val="auto"/>
          <w:sz w:val="24"/>
          <w:highlight w:val="none"/>
        </w:rPr>
        <w:t>2.</w:t>
      </w:r>
      <w:r>
        <w:rPr>
          <w:rFonts w:hint="eastAsia" w:ascii="宋体" w:hAnsi="宋体"/>
          <w:b/>
          <w:bCs/>
          <w:color w:val="auto"/>
          <w:sz w:val="24"/>
          <w:highlight w:val="none"/>
        </w:rPr>
        <w:t>资格文件目录</w:t>
      </w:r>
    </w:p>
    <w:p w14:paraId="08B53550">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w:t>
      </w:r>
      <w:r>
        <w:rPr>
          <w:rFonts w:ascii="宋体" w:hAnsi="宋体"/>
          <w:color w:val="auto"/>
          <w:sz w:val="24"/>
          <w:highlight w:val="none"/>
        </w:rPr>
        <w:t>1</w:t>
      </w:r>
      <w:r>
        <w:rPr>
          <w:rFonts w:hint="eastAsia" w:ascii="宋体" w:hAnsi="宋体"/>
          <w:color w:val="auto"/>
          <w:sz w:val="24"/>
          <w:highlight w:val="none"/>
        </w:rPr>
        <w:t>）投标声明书————————（页码）</w:t>
      </w:r>
    </w:p>
    <w:p w14:paraId="09CFD6D3">
      <w:pPr>
        <w:snapToGrid w:val="0"/>
        <w:spacing w:line="360" w:lineRule="auto"/>
        <w:jc w:val="left"/>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2</w:t>
      </w:r>
      <w:r>
        <w:rPr>
          <w:rFonts w:hint="eastAsia" w:ascii="宋体" w:hAnsi="宋体"/>
          <w:color w:val="auto"/>
          <w:sz w:val="24"/>
          <w:highlight w:val="none"/>
        </w:rPr>
        <w:t>）投标人基本情况介绍————————</w:t>
      </w:r>
    </w:p>
    <w:p w14:paraId="6E1E050B">
      <w:pPr>
        <w:snapToGrid w:val="0"/>
        <w:spacing w:line="360" w:lineRule="auto"/>
        <w:jc w:val="left"/>
        <w:rPr>
          <w:rFonts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法定代表人授权委托书</w:t>
      </w:r>
      <w:r>
        <w:rPr>
          <w:rFonts w:hint="eastAsia" w:ascii="宋体" w:hAnsi="宋体"/>
          <w:color w:val="auto"/>
          <w:sz w:val="24"/>
          <w:highlight w:val="none"/>
        </w:rPr>
        <w:t>————————</w:t>
      </w:r>
    </w:p>
    <w:p w14:paraId="11B1AF79">
      <w:pPr>
        <w:snapToGrid w:val="0"/>
        <w:spacing w:line="360" w:lineRule="auto"/>
        <w:jc w:val="left"/>
        <w:rPr>
          <w:rFonts w:ascii="宋体" w:hAnsi="宋体"/>
          <w:color w:val="auto"/>
          <w:sz w:val="24"/>
          <w:highlight w:val="none"/>
        </w:rPr>
      </w:pPr>
      <w:r>
        <w:rPr>
          <w:rFonts w:hint="eastAsia" w:ascii="宋体" w:hAnsi="宋体"/>
          <w:color w:val="auto"/>
          <w:sz w:val="24"/>
          <w:highlight w:val="none"/>
        </w:rPr>
        <w:t>（4）近三个月依法缴纳税收和社保费的证明【税费凭证，或者依法缴纳税费或依法免缴税费的证明】（</w:t>
      </w:r>
      <w:r>
        <w:rPr>
          <w:rFonts w:hint="eastAsia" w:ascii="宋体" w:hAnsi="宋体"/>
          <w:bCs/>
          <w:color w:val="auto"/>
          <w:sz w:val="24"/>
          <w:highlight w:val="none"/>
        </w:rPr>
        <w:t>复印件各一份</w:t>
      </w:r>
      <w:r>
        <w:rPr>
          <w:rFonts w:hint="eastAsia" w:ascii="宋体" w:hAnsi="宋体"/>
          <w:color w:val="auto"/>
          <w:sz w:val="24"/>
          <w:highlight w:val="none"/>
        </w:rPr>
        <w:t>）————————</w:t>
      </w:r>
    </w:p>
    <w:p w14:paraId="47100712">
      <w:pPr>
        <w:snapToGrid w:val="0"/>
        <w:spacing w:line="360" w:lineRule="auto"/>
        <w:jc w:val="left"/>
        <w:rPr>
          <w:rFonts w:ascii="宋体" w:hAnsi="宋体"/>
          <w:color w:val="auto"/>
          <w:sz w:val="24"/>
          <w:highlight w:val="none"/>
        </w:rPr>
      </w:pPr>
      <w:r>
        <w:rPr>
          <w:rFonts w:hint="eastAsia" w:ascii="宋体" w:hAnsi="宋体"/>
          <w:color w:val="auto"/>
          <w:sz w:val="24"/>
          <w:highlight w:val="none"/>
        </w:rPr>
        <w:t>（5）有效的营业执照副本复印件————————</w:t>
      </w:r>
    </w:p>
    <w:p w14:paraId="6CE02F26">
      <w:pPr>
        <w:snapToGrid w:val="0"/>
        <w:spacing w:line="360" w:lineRule="auto"/>
        <w:jc w:val="left"/>
        <w:rPr>
          <w:rFonts w:ascii="宋体" w:hAnsi="宋体" w:cs="Arial"/>
          <w:color w:val="auto"/>
          <w:kern w:val="0"/>
          <w:sz w:val="24"/>
          <w:highlight w:val="none"/>
        </w:rPr>
      </w:pPr>
      <w:r>
        <w:rPr>
          <w:rFonts w:hint="eastAsia" w:ascii="宋体" w:hAnsi="宋体" w:cs="Arial"/>
          <w:color w:val="auto"/>
          <w:kern w:val="0"/>
          <w:sz w:val="24"/>
          <w:highlight w:val="none"/>
        </w:rPr>
        <w:t>（6）</w:t>
      </w:r>
      <w:r>
        <w:rPr>
          <w:rFonts w:hint="eastAsia" w:ascii="宋体" w:hAnsi="宋体" w:cs="宋体"/>
          <w:color w:val="auto"/>
          <w:sz w:val="24"/>
          <w:highlight w:val="none"/>
        </w:rPr>
        <w:t>近二年</w:t>
      </w:r>
      <w:r>
        <w:rPr>
          <w:rFonts w:hint="eastAsia" w:ascii="宋体" w:hAnsi="宋体" w:cs="宋体"/>
          <w:color w:val="auto"/>
          <w:sz w:val="24"/>
          <w:highlight w:val="none"/>
          <w:lang w:eastAsia="zh-CN"/>
        </w:rPr>
        <w:t>（</w:t>
      </w:r>
      <w:r>
        <w:rPr>
          <w:rFonts w:hint="eastAsia" w:ascii="宋体" w:hAnsi="宋体" w:cs="宋体"/>
          <w:color w:val="auto"/>
          <w:sz w:val="24"/>
          <w:highlight w:val="none"/>
        </w:rPr>
        <w:t>2022、2023年)企业的财务状况报告或银行资信证明复印件</w:t>
      </w:r>
      <w:r>
        <w:rPr>
          <w:rFonts w:hint="eastAsia" w:ascii="宋体" w:hAnsi="宋体"/>
          <w:color w:val="auto"/>
          <w:sz w:val="24"/>
          <w:highlight w:val="none"/>
        </w:rPr>
        <w:t>———————</w:t>
      </w:r>
    </w:p>
    <w:p w14:paraId="66C668FE">
      <w:pPr>
        <w:snapToGrid w:val="0"/>
        <w:spacing w:line="360" w:lineRule="auto"/>
        <w:jc w:val="left"/>
        <w:rPr>
          <w:rFonts w:ascii="宋体" w:hAnsi="宋体"/>
          <w:color w:val="auto"/>
          <w:sz w:val="24"/>
          <w:highlight w:val="none"/>
        </w:rPr>
      </w:pPr>
      <w:r>
        <w:rPr>
          <w:rFonts w:hint="eastAsia" w:ascii="宋体" w:hAnsi="宋体" w:cs="Arial"/>
          <w:color w:val="auto"/>
          <w:kern w:val="0"/>
          <w:sz w:val="24"/>
          <w:highlight w:val="none"/>
        </w:rPr>
        <w:t>（7）</w:t>
      </w:r>
      <w:r>
        <w:rPr>
          <w:rFonts w:hint="eastAsia" w:ascii="宋体" w:hAnsi="宋体"/>
          <w:color w:val="auto"/>
          <w:sz w:val="24"/>
          <w:highlight w:val="none"/>
        </w:rPr>
        <w:t>提供自招标公告发布之日起至投标截止日内任意时间的“信用中国”网站（www.creditchina.gov.cn）、中国政府采购网（www.ccgp.gov.cn）投标人信用查询网页截图————————</w:t>
      </w:r>
    </w:p>
    <w:p w14:paraId="7548E686">
      <w:pPr>
        <w:snapToGrid w:val="0"/>
        <w:spacing w:line="360" w:lineRule="auto"/>
        <w:jc w:val="left"/>
        <w:rPr>
          <w:rFonts w:ascii="宋体" w:hAnsi="宋体"/>
          <w:color w:val="auto"/>
          <w:sz w:val="24"/>
          <w:highlight w:val="none"/>
        </w:rPr>
      </w:pPr>
      <w:r>
        <w:rPr>
          <w:rFonts w:hint="eastAsia" w:ascii="宋体" w:hAnsi="宋体" w:cs="Arial"/>
          <w:color w:val="auto"/>
          <w:kern w:val="0"/>
          <w:sz w:val="24"/>
          <w:highlight w:val="none"/>
        </w:rPr>
        <w:t>（8）</w:t>
      </w:r>
      <w:r>
        <w:rPr>
          <w:rFonts w:hint="eastAsia" w:ascii="宋体" w:hAnsi="宋体"/>
          <w:color w:val="auto"/>
          <w:sz w:val="24"/>
          <w:highlight w:val="none"/>
        </w:rPr>
        <w:t>《中小企业声明函》（格式见附件），残疾人福利性单位需提供《残疾人福利性单位声明函》，监狱企业需提供省级以</w:t>
      </w:r>
      <w:r>
        <w:rPr>
          <w:rFonts w:hint="eastAsia" w:ascii="宋体" w:hAnsi="宋体" w:cs="宋体"/>
          <w:color w:val="auto"/>
          <w:sz w:val="24"/>
          <w:highlight w:val="none"/>
        </w:rPr>
        <w:t>上监狱管理局、戒毒管理局（含新疆生产建设兵团）出具的属于监狱企业的证明文件</w:t>
      </w:r>
      <w:r>
        <w:rPr>
          <w:rFonts w:hint="eastAsia" w:ascii="宋体" w:hAnsi="宋体"/>
          <w:color w:val="auto"/>
          <w:sz w:val="24"/>
          <w:highlight w:val="none"/>
        </w:rPr>
        <w:t>————————</w:t>
      </w:r>
    </w:p>
    <w:p w14:paraId="2B7B084B">
      <w:pPr>
        <w:snapToGrid w:val="0"/>
        <w:spacing w:line="360" w:lineRule="auto"/>
        <w:jc w:val="left"/>
        <w:rPr>
          <w:rFonts w:ascii="宋体" w:hAnsi="宋体"/>
          <w:color w:val="auto"/>
          <w:sz w:val="24"/>
          <w:highlight w:val="none"/>
        </w:rPr>
      </w:pPr>
      <w:r>
        <w:rPr>
          <w:rFonts w:hint="eastAsia" w:ascii="宋体" w:hAnsi="宋体"/>
          <w:color w:val="auto"/>
          <w:sz w:val="24"/>
          <w:highlight w:val="none"/>
        </w:rPr>
        <w:t>（9）</w:t>
      </w:r>
      <w:r>
        <w:rPr>
          <w:rFonts w:hint="eastAsia" w:ascii="宋体" w:hAnsi="宋体" w:cs="仿宋"/>
          <w:color w:val="auto"/>
          <w:sz w:val="24"/>
          <w:highlight w:val="none"/>
        </w:rPr>
        <w:t>联合体各方共同招标协议或分包意向协议（如有，格式自拟）</w:t>
      </w:r>
      <w:r>
        <w:rPr>
          <w:rFonts w:hint="eastAsia" w:ascii="宋体" w:hAnsi="宋体"/>
          <w:color w:val="auto"/>
          <w:sz w:val="24"/>
          <w:highlight w:val="none"/>
        </w:rPr>
        <w:t>————————</w:t>
      </w:r>
    </w:p>
    <w:p w14:paraId="7D08CF40">
      <w:pPr>
        <w:snapToGrid w:val="0"/>
        <w:spacing w:line="360" w:lineRule="auto"/>
        <w:jc w:val="left"/>
        <w:rPr>
          <w:rFonts w:ascii="宋体" w:hAnsi="宋体"/>
          <w:color w:val="auto"/>
          <w:highlight w:val="none"/>
        </w:rPr>
      </w:pPr>
      <w:r>
        <w:rPr>
          <w:rFonts w:ascii="宋体" w:hAnsi="宋体"/>
          <w:color w:val="auto"/>
          <w:highlight w:val="none"/>
        </w:rPr>
        <w:t>（</w:t>
      </w:r>
      <w:r>
        <w:rPr>
          <w:rFonts w:hint="eastAsia" w:ascii="宋体" w:hAnsi="宋体"/>
          <w:color w:val="auto"/>
          <w:highlight w:val="none"/>
        </w:rPr>
        <w:t>10</w:t>
      </w:r>
      <w:r>
        <w:rPr>
          <w:rFonts w:ascii="宋体" w:hAnsi="宋体"/>
          <w:color w:val="auto"/>
          <w:highlight w:val="none"/>
        </w:rPr>
        <w:t>）</w:t>
      </w:r>
      <w:r>
        <w:rPr>
          <w:rFonts w:hint="eastAsia" w:ascii="宋体" w:hAnsi="宋体"/>
          <w:color w:val="auto"/>
          <w:sz w:val="24"/>
          <w:highlight w:val="none"/>
        </w:rPr>
        <w:t>公安部门颁发的有效的《保安服务许可证》复印件————————</w:t>
      </w:r>
    </w:p>
    <w:p w14:paraId="064C7972">
      <w:pPr>
        <w:pStyle w:val="2"/>
        <w:rPr>
          <w:color w:val="auto"/>
          <w:highlight w:val="none"/>
        </w:rPr>
      </w:pPr>
    </w:p>
    <w:p w14:paraId="23E2EE20">
      <w:pPr>
        <w:rPr>
          <w:color w:val="auto"/>
          <w:highlight w:val="none"/>
        </w:rPr>
      </w:pPr>
    </w:p>
    <w:p w14:paraId="45053FCC">
      <w:pPr>
        <w:rPr>
          <w:color w:val="auto"/>
          <w:highlight w:val="none"/>
        </w:rPr>
      </w:pPr>
    </w:p>
    <w:p w14:paraId="39D94CFF">
      <w:pPr>
        <w:pStyle w:val="2"/>
        <w:rPr>
          <w:color w:val="auto"/>
          <w:highlight w:val="none"/>
        </w:rPr>
      </w:pPr>
    </w:p>
    <w:p w14:paraId="42DE1E25">
      <w:pPr>
        <w:snapToGrid w:val="0"/>
        <w:spacing w:line="360" w:lineRule="auto"/>
        <w:jc w:val="left"/>
        <w:rPr>
          <w:rFonts w:ascii="宋体" w:hAnsi="宋体"/>
          <w:color w:val="auto"/>
          <w:sz w:val="24"/>
          <w:szCs w:val="20"/>
          <w:highlight w:val="none"/>
        </w:rPr>
      </w:pPr>
      <w:r>
        <w:rPr>
          <w:rFonts w:hint="eastAsia" w:ascii="宋体" w:hAnsi="宋体"/>
          <w:color w:val="auto"/>
          <w:highlight w:val="none"/>
        </w:rPr>
        <w:t>3</w:t>
      </w:r>
      <w:r>
        <w:rPr>
          <w:rFonts w:hint="eastAsia" w:ascii="宋体" w:hAnsi="宋体"/>
          <w:color w:val="auto"/>
          <w:sz w:val="24"/>
          <w:highlight w:val="none"/>
        </w:rPr>
        <w:t>.投标声明书格式：</w:t>
      </w:r>
    </w:p>
    <w:p w14:paraId="2547D7D1">
      <w:pPr>
        <w:snapToGrid w:val="0"/>
        <w:spacing w:line="360" w:lineRule="auto"/>
        <w:jc w:val="center"/>
        <w:rPr>
          <w:rFonts w:ascii="宋体" w:hAnsi="宋体"/>
          <w:color w:val="auto"/>
          <w:sz w:val="24"/>
          <w:szCs w:val="20"/>
          <w:highlight w:val="none"/>
        </w:rPr>
      </w:pPr>
      <w:r>
        <w:rPr>
          <w:rFonts w:hint="eastAsia" w:ascii="宋体" w:hAnsi="宋体"/>
          <w:color w:val="auto"/>
          <w:sz w:val="30"/>
          <w:highlight w:val="none"/>
        </w:rPr>
        <w:t>投标声明书</w:t>
      </w:r>
    </w:p>
    <w:p w14:paraId="2448B002">
      <w:pPr>
        <w:snapToGrid w:val="0"/>
        <w:spacing w:line="360" w:lineRule="auto"/>
        <w:rPr>
          <w:rFonts w:ascii="宋体" w:hAnsi="宋体"/>
          <w:color w:val="auto"/>
          <w:sz w:val="24"/>
          <w:szCs w:val="20"/>
          <w:highlight w:val="none"/>
        </w:rPr>
      </w:pPr>
      <w:r>
        <w:rPr>
          <w:rFonts w:hint="eastAsia" w:ascii="宋体" w:hAnsi="宋体"/>
          <w:color w:val="auto"/>
          <w:sz w:val="24"/>
          <w:highlight w:val="none"/>
        </w:rPr>
        <w:t>致：</w:t>
      </w:r>
      <w:r>
        <w:rPr>
          <w:rFonts w:ascii="宋体" w:hAnsi="宋体"/>
          <w:color w:val="auto"/>
          <w:sz w:val="24"/>
          <w:highlight w:val="none"/>
        </w:rPr>
        <w:t>______</w:t>
      </w:r>
      <w:r>
        <w:rPr>
          <w:rFonts w:ascii="宋体" w:hAnsi="宋体"/>
          <w:color w:val="auto"/>
          <w:sz w:val="24"/>
          <w:highlight w:val="none"/>
          <w:u w:val="single"/>
        </w:rPr>
        <w:t>_     _</w:t>
      </w:r>
      <w:r>
        <w:rPr>
          <w:rFonts w:ascii="宋体" w:hAnsi="宋体"/>
          <w:color w:val="auto"/>
          <w:sz w:val="24"/>
          <w:highlight w:val="none"/>
        </w:rPr>
        <w:t>_</w:t>
      </w:r>
      <w:r>
        <w:rPr>
          <w:rFonts w:hint="eastAsia" w:ascii="宋体" w:hAnsi="宋体"/>
          <w:color w:val="auto"/>
          <w:sz w:val="24"/>
          <w:highlight w:val="none"/>
        </w:rPr>
        <w:t>（招标采购单位名称）：</w:t>
      </w:r>
    </w:p>
    <w:p w14:paraId="71C9C934">
      <w:pPr>
        <w:snapToGrid w:val="0"/>
        <w:spacing w:line="360" w:lineRule="auto"/>
        <w:ind w:firstLine="720" w:firstLineChars="300"/>
        <w:rPr>
          <w:rFonts w:ascii="宋体" w:hAnsi="宋体"/>
          <w:color w:val="auto"/>
          <w:sz w:val="24"/>
          <w:szCs w:val="20"/>
          <w:highlight w:val="none"/>
        </w:rPr>
      </w:pPr>
      <w:r>
        <w:rPr>
          <w:rFonts w:ascii="宋体" w:hAnsi="宋体"/>
          <w:color w:val="auto"/>
          <w:sz w:val="24"/>
          <w:highlight w:val="none"/>
        </w:rPr>
        <w:t>______</w:t>
      </w:r>
      <w:r>
        <w:rPr>
          <w:rFonts w:ascii="宋体" w:hAnsi="宋体"/>
          <w:color w:val="auto"/>
          <w:sz w:val="24"/>
          <w:highlight w:val="none"/>
          <w:u w:val="single"/>
        </w:rPr>
        <w:t>_     _</w:t>
      </w:r>
      <w:r>
        <w:rPr>
          <w:rFonts w:ascii="宋体" w:hAnsi="宋体"/>
          <w:color w:val="auto"/>
          <w:sz w:val="24"/>
          <w:highlight w:val="none"/>
        </w:rPr>
        <w:t>_</w:t>
      </w:r>
      <w:r>
        <w:rPr>
          <w:rFonts w:hint="eastAsia" w:ascii="宋体" w:hAnsi="宋体"/>
          <w:color w:val="auto"/>
          <w:sz w:val="24"/>
          <w:highlight w:val="none"/>
        </w:rPr>
        <w:t>（投标人名称）系中华人民共和国合法企业，经营地址。</w:t>
      </w:r>
    </w:p>
    <w:p w14:paraId="262474E4">
      <w:pPr>
        <w:snapToGrid w:val="0"/>
        <w:spacing w:line="360" w:lineRule="auto"/>
        <w:ind w:firstLine="645"/>
        <w:rPr>
          <w:rFonts w:ascii="宋体" w:hAnsi="宋体"/>
          <w:color w:val="auto"/>
          <w:sz w:val="24"/>
          <w:szCs w:val="20"/>
          <w:highlight w:val="none"/>
        </w:rPr>
      </w:pPr>
      <w:r>
        <w:rPr>
          <w:rFonts w:hint="eastAsia" w:ascii="宋体" w:hAnsi="宋体"/>
          <w:color w:val="auto"/>
          <w:sz w:val="24"/>
          <w:highlight w:val="none"/>
        </w:rPr>
        <w:t>我</w:t>
      </w:r>
      <w:r>
        <w:rPr>
          <w:rFonts w:ascii="宋体" w:hAnsi="宋体"/>
          <w:color w:val="auto"/>
          <w:sz w:val="24"/>
          <w:highlight w:val="none"/>
        </w:rPr>
        <w:t>___</w:t>
      </w:r>
      <w:r>
        <w:rPr>
          <w:rFonts w:ascii="宋体" w:hAnsi="宋体"/>
          <w:color w:val="auto"/>
          <w:sz w:val="24"/>
          <w:highlight w:val="none"/>
          <w:u w:val="single"/>
        </w:rPr>
        <w:t xml:space="preserve">    _</w:t>
      </w:r>
      <w:r>
        <w:rPr>
          <w:rFonts w:ascii="宋体" w:hAnsi="宋体"/>
          <w:color w:val="auto"/>
          <w:sz w:val="24"/>
          <w:highlight w:val="none"/>
        </w:rPr>
        <w:t>_</w:t>
      </w:r>
      <w:r>
        <w:rPr>
          <w:rFonts w:hint="eastAsia" w:ascii="宋体" w:hAnsi="宋体"/>
          <w:color w:val="auto"/>
          <w:sz w:val="24"/>
          <w:highlight w:val="none"/>
        </w:rPr>
        <w:t>（姓名）系</w:t>
      </w:r>
      <w:r>
        <w:rPr>
          <w:rFonts w:ascii="宋体" w:hAnsi="宋体"/>
          <w:color w:val="auto"/>
          <w:sz w:val="24"/>
          <w:highlight w:val="none"/>
        </w:rPr>
        <w:t>______</w:t>
      </w:r>
      <w:r>
        <w:rPr>
          <w:rFonts w:ascii="宋体" w:hAnsi="宋体"/>
          <w:color w:val="auto"/>
          <w:sz w:val="24"/>
          <w:highlight w:val="none"/>
          <w:u w:val="single"/>
        </w:rPr>
        <w:t>_     _</w:t>
      </w:r>
      <w:r>
        <w:rPr>
          <w:rFonts w:ascii="宋体" w:hAnsi="宋体"/>
          <w:color w:val="auto"/>
          <w:sz w:val="24"/>
          <w:highlight w:val="none"/>
        </w:rPr>
        <w:t>_</w:t>
      </w:r>
      <w:r>
        <w:rPr>
          <w:rFonts w:hint="eastAsia" w:ascii="宋体" w:hAnsi="宋体"/>
          <w:color w:val="auto"/>
          <w:sz w:val="24"/>
          <w:highlight w:val="none"/>
        </w:rPr>
        <w:t>（投标人名称）的法定代表人，我方愿意参加贵方组织的</w:t>
      </w:r>
      <w:r>
        <w:rPr>
          <w:rFonts w:ascii="宋体" w:hAnsi="宋体"/>
          <w:color w:val="auto"/>
          <w:sz w:val="24"/>
          <w:highlight w:val="none"/>
        </w:rPr>
        <w:t>_____</w:t>
      </w:r>
      <w:r>
        <w:rPr>
          <w:rFonts w:ascii="宋体" w:hAnsi="宋体"/>
          <w:color w:val="auto"/>
          <w:sz w:val="24"/>
          <w:highlight w:val="none"/>
          <w:u w:val="single"/>
        </w:rPr>
        <w:t>_              _     _</w:t>
      </w:r>
      <w:r>
        <w:rPr>
          <w:rFonts w:ascii="宋体" w:hAnsi="宋体"/>
          <w:color w:val="auto"/>
          <w:sz w:val="24"/>
          <w:highlight w:val="none"/>
        </w:rPr>
        <w:t>_</w:t>
      </w:r>
      <w:r>
        <w:rPr>
          <w:rFonts w:hint="eastAsia" w:ascii="宋体" w:hAnsi="宋体"/>
          <w:color w:val="auto"/>
          <w:sz w:val="24"/>
          <w:highlight w:val="none"/>
        </w:rPr>
        <w:t>项目的投标，为便于贵方公正、择优地确定中标人及其投标产品和服务，我方就本次投标有关事项郑重声明如下：</w:t>
      </w:r>
    </w:p>
    <w:p w14:paraId="5C985F59">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我方向贵方提交的所有投标文件、资料都是准确的和真实的</w:t>
      </w:r>
      <w:r>
        <w:rPr>
          <w:rFonts w:hint="eastAsia" w:ascii="宋体" w:hAnsi="宋体"/>
          <w:color w:val="auto"/>
          <w:sz w:val="24"/>
          <w:highlight w:val="none"/>
        </w:rPr>
        <w:t>。</w:t>
      </w:r>
    </w:p>
    <w:p w14:paraId="5090A5C2">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我方不是采购人的附属机构；在获知本项目采购信息后，与采购人聘请的为此项目提供咨询服务的公司及其附属机构没有任何联系。</w:t>
      </w:r>
    </w:p>
    <w:p w14:paraId="768CF738">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我方此次向贵方提供的产品名称为：</w:t>
      </w:r>
      <w:r>
        <w:rPr>
          <w:rFonts w:hint="eastAsia" w:ascii="宋体" w:hAnsi="宋体"/>
          <w:color w:val="auto"/>
          <w:sz w:val="24"/>
          <w:highlight w:val="none"/>
        </w:rPr>
        <w:t>；规格型号：；该型号产品我方有现货可供，并已于年月生产完工或向</w:t>
      </w:r>
      <w:r>
        <w:rPr>
          <w:rFonts w:hint="eastAsia" w:ascii="宋体" w:hAnsi="宋体"/>
          <w:color w:val="auto"/>
          <w:sz w:val="24"/>
          <w:highlight w:val="none"/>
          <w:u w:val="single"/>
        </w:rPr>
        <w:t>　　</w:t>
      </w:r>
      <w:r>
        <w:rPr>
          <w:rFonts w:hint="eastAsia" w:ascii="宋体" w:hAnsi="宋体"/>
          <w:color w:val="auto"/>
          <w:sz w:val="24"/>
          <w:highlight w:val="none"/>
        </w:rPr>
        <w:t>（原厂商名称）购进［</w:t>
      </w:r>
      <w:r>
        <w:rPr>
          <w:rFonts w:hint="eastAsia" w:ascii="宋体" w:hAnsi="宋体"/>
          <w:b/>
          <w:bCs/>
          <w:color w:val="auto"/>
          <w:sz w:val="24"/>
          <w:highlight w:val="none"/>
        </w:rPr>
        <w:t>或</w:t>
      </w:r>
      <w:r>
        <w:rPr>
          <w:rFonts w:hint="eastAsia" w:ascii="宋体" w:hAnsi="宋体"/>
          <w:color w:val="auto"/>
          <w:sz w:val="24"/>
          <w:highlight w:val="none"/>
        </w:rPr>
        <w:t>需在中标后向订购］。</w:t>
      </w:r>
    </w:p>
    <w:p w14:paraId="56880783">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4</w:t>
      </w:r>
      <w:r>
        <w:rPr>
          <w:rFonts w:hint="eastAsia" w:ascii="宋体" w:hAnsi="宋体"/>
          <w:color w:val="auto"/>
          <w:sz w:val="24"/>
          <w:highlight w:val="none"/>
        </w:rPr>
        <w:t>.</w:t>
      </w:r>
      <w:r>
        <w:rPr>
          <w:rFonts w:ascii="宋体" w:hAnsi="宋体"/>
          <w:color w:val="auto"/>
          <w:sz w:val="24"/>
          <w:highlight w:val="none"/>
        </w:rPr>
        <w:t>我方诚意提请贵方关注：</w:t>
      </w:r>
      <w:r>
        <w:rPr>
          <w:rFonts w:hint="eastAsia" w:ascii="宋体" w:hAnsi="宋体"/>
          <w:color w:val="auto"/>
          <w:sz w:val="24"/>
          <w:highlight w:val="none"/>
        </w:rPr>
        <w:t>近期</w:t>
      </w:r>
      <w:r>
        <w:rPr>
          <w:rFonts w:ascii="宋体" w:hAnsi="宋体"/>
          <w:color w:val="auto"/>
          <w:sz w:val="24"/>
          <w:highlight w:val="none"/>
        </w:rPr>
        <w:t>有关该型号产品的</w:t>
      </w:r>
      <w:r>
        <w:rPr>
          <w:rFonts w:hint="eastAsia" w:ascii="宋体" w:hAnsi="宋体"/>
          <w:color w:val="auto"/>
          <w:sz w:val="24"/>
          <w:highlight w:val="none"/>
        </w:rPr>
        <w:t>生产、供货、售后服务以及性能等方面的重大决策和事项有：</w:t>
      </w:r>
    </w:p>
    <w:p w14:paraId="0DA025E7">
      <w:pPr>
        <w:snapToGrid w:val="0"/>
        <w:spacing w:line="360" w:lineRule="auto"/>
        <w:ind w:firstLine="480" w:firstLineChars="200"/>
        <w:rPr>
          <w:rFonts w:ascii="宋体" w:hAnsi="宋体"/>
          <w:color w:val="auto"/>
          <w:sz w:val="24"/>
          <w:szCs w:val="20"/>
          <w:highlight w:val="none"/>
          <w:u w:val="single"/>
        </w:rPr>
      </w:pPr>
      <w:r>
        <w:rPr>
          <w:rFonts w:hint="eastAsia" w:ascii="宋体" w:hAnsi="宋体"/>
          <w:color w:val="auto"/>
          <w:sz w:val="24"/>
          <w:highlight w:val="none"/>
          <w:u w:val="single"/>
        </w:rPr>
        <w:t>　　　　　　　　　　　　　　　　　　　　　　　　　　　</w:t>
      </w:r>
    </w:p>
    <w:p w14:paraId="7312EEDD">
      <w:pPr>
        <w:snapToGrid w:val="0"/>
        <w:spacing w:line="360" w:lineRule="auto"/>
        <w:ind w:firstLine="480" w:firstLineChars="200"/>
        <w:rPr>
          <w:rFonts w:ascii="宋体" w:hAnsi="宋体"/>
          <w:color w:val="auto"/>
          <w:sz w:val="24"/>
          <w:szCs w:val="20"/>
          <w:highlight w:val="none"/>
        </w:rPr>
      </w:pPr>
      <w:r>
        <w:rPr>
          <w:rFonts w:hint="eastAsia" w:ascii="宋体" w:hAnsi="宋体"/>
          <w:color w:val="auto"/>
          <w:sz w:val="24"/>
          <w:highlight w:val="none"/>
          <w:u w:val="single"/>
        </w:rPr>
        <w:t>　　　　　　　　　　　　　　　　　　　　　　　　　　　</w:t>
      </w:r>
    </w:p>
    <w:p w14:paraId="7352515F">
      <w:pPr>
        <w:pStyle w:val="12"/>
        <w:snapToGrid w:val="0"/>
        <w:spacing w:line="360" w:lineRule="auto"/>
        <w:ind w:firstLine="480" w:firstLineChars="200"/>
        <w:rPr>
          <w:rFonts w:hAnsi="宋体"/>
          <w:color w:val="auto"/>
          <w:sz w:val="24"/>
          <w:highlight w:val="none"/>
        </w:rPr>
      </w:pPr>
      <w:r>
        <w:rPr>
          <w:rFonts w:hAnsi="宋体"/>
          <w:color w:val="auto"/>
          <w:sz w:val="24"/>
          <w:highlight w:val="none"/>
        </w:rPr>
        <w:t>5</w:t>
      </w:r>
      <w:r>
        <w:rPr>
          <w:rFonts w:hint="eastAsia" w:hAnsi="宋体"/>
          <w:color w:val="auto"/>
          <w:sz w:val="24"/>
          <w:highlight w:val="none"/>
        </w:rPr>
        <w:t>.我方及由本人担任法定代表人的其他机构</w:t>
      </w:r>
      <w:r>
        <w:rPr>
          <w:rFonts w:hAnsi="宋体"/>
          <w:color w:val="auto"/>
          <w:sz w:val="24"/>
          <w:highlight w:val="none"/>
        </w:rPr>
        <w:t>最近三年内被</w:t>
      </w:r>
      <w:r>
        <w:rPr>
          <w:rFonts w:hint="eastAsia" w:hAnsi="宋体"/>
          <w:color w:val="auto"/>
          <w:sz w:val="24"/>
          <w:highlight w:val="none"/>
        </w:rPr>
        <w:t>通报或者被处罚的</w:t>
      </w:r>
      <w:r>
        <w:rPr>
          <w:rFonts w:hAnsi="宋体"/>
          <w:color w:val="auto"/>
          <w:sz w:val="24"/>
          <w:highlight w:val="none"/>
        </w:rPr>
        <w:t>违法行为有：</w:t>
      </w:r>
    </w:p>
    <w:p w14:paraId="4DD192D3">
      <w:pPr>
        <w:snapToGrid w:val="0"/>
        <w:spacing w:line="360" w:lineRule="auto"/>
        <w:ind w:firstLine="480" w:firstLineChars="200"/>
        <w:rPr>
          <w:rFonts w:ascii="宋体" w:hAnsi="宋体"/>
          <w:color w:val="auto"/>
          <w:sz w:val="24"/>
          <w:szCs w:val="20"/>
          <w:highlight w:val="none"/>
          <w:u w:val="single"/>
        </w:rPr>
      </w:pPr>
      <w:r>
        <w:rPr>
          <w:rFonts w:hint="eastAsia" w:ascii="宋体" w:hAnsi="宋体"/>
          <w:color w:val="auto"/>
          <w:sz w:val="24"/>
          <w:highlight w:val="none"/>
          <w:u w:val="single"/>
        </w:rPr>
        <w:t>　　　　　　　　　　　　　　　　　　　　　　　　　　　</w:t>
      </w:r>
    </w:p>
    <w:p w14:paraId="48B2E6E5">
      <w:pPr>
        <w:snapToGrid w:val="0"/>
        <w:spacing w:line="360" w:lineRule="auto"/>
        <w:ind w:firstLine="480" w:firstLineChars="200"/>
        <w:rPr>
          <w:rFonts w:ascii="宋体" w:hAnsi="宋体"/>
          <w:color w:val="auto"/>
          <w:sz w:val="24"/>
          <w:szCs w:val="20"/>
          <w:highlight w:val="none"/>
          <w:u w:val="single"/>
        </w:rPr>
      </w:pPr>
      <w:r>
        <w:rPr>
          <w:rFonts w:hint="eastAsia" w:ascii="宋体" w:hAnsi="宋体"/>
          <w:color w:val="auto"/>
          <w:sz w:val="24"/>
          <w:highlight w:val="none"/>
          <w:u w:val="single"/>
        </w:rPr>
        <w:t>　　　　　　　　　　　　　　　　　　　　　　　　　　　</w:t>
      </w:r>
    </w:p>
    <w:p w14:paraId="5A5DC072">
      <w:pPr>
        <w:snapToGrid w:val="0"/>
        <w:spacing w:line="360" w:lineRule="auto"/>
        <w:ind w:firstLine="480" w:firstLineChars="200"/>
        <w:rPr>
          <w:rFonts w:ascii="宋体" w:hAnsi="宋体"/>
          <w:color w:val="auto"/>
          <w:sz w:val="24"/>
          <w:szCs w:val="20"/>
          <w:highlight w:val="none"/>
        </w:rPr>
      </w:pPr>
      <w:r>
        <w:rPr>
          <w:rFonts w:hint="eastAsia" w:ascii="宋体" w:hAnsi="宋体"/>
          <w:color w:val="auto"/>
          <w:sz w:val="24"/>
          <w:highlight w:val="none"/>
        </w:rPr>
        <w:t>6.以上事项如有虚假或隐瞒，我方愿意承担一切后果，并不再寻求任何旨在减轻或免除法律责任的辩解。</w:t>
      </w:r>
    </w:p>
    <w:p w14:paraId="1B59F340">
      <w:pPr>
        <w:pStyle w:val="33"/>
        <w:snapToGrid w:val="0"/>
        <w:spacing w:line="360" w:lineRule="auto"/>
        <w:ind w:firstLine="220"/>
        <w:rPr>
          <w:rFonts w:ascii="宋体" w:hAnsi="宋体"/>
          <w:color w:val="auto"/>
          <w:highlight w:val="none"/>
        </w:rPr>
      </w:pPr>
    </w:p>
    <w:p w14:paraId="2142CBC4">
      <w:pPr>
        <w:snapToGrid w:val="0"/>
        <w:spacing w:line="360" w:lineRule="auto"/>
        <w:ind w:firstLine="200"/>
        <w:rPr>
          <w:rFonts w:ascii="宋体" w:hAnsi="宋体"/>
          <w:color w:val="auto"/>
          <w:sz w:val="24"/>
          <w:szCs w:val="20"/>
          <w:highlight w:val="none"/>
          <w:u w:val="single"/>
        </w:rPr>
      </w:pPr>
      <w:r>
        <w:rPr>
          <w:rFonts w:hint="eastAsia" w:ascii="宋体" w:hAnsi="宋体"/>
          <w:color w:val="auto"/>
          <w:sz w:val="24"/>
          <w:highlight w:val="none"/>
        </w:rPr>
        <w:t>法定代表人签字：</w:t>
      </w:r>
    </w:p>
    <w:p w14:paraId="39240A1A">
      <w:pPr>
        <w:snapToGrid w:val="0"/>
        <w:spacing w:line="360" w:lineRule="auto"/>
        <w:ind w:firstLine="240" w:firstLineChars="100"/>
        <w:rPr>
          <w:rFonts w:ascii="宋体" w:hAnsi="宋体"/>
          <w:color w:val="auto"/>
          <w:sz w:val="24"/>
          <w:highlight w:val="none"/>
        </w:rPr>
      </w:pPr>
      <w:r>
        <w:rPr>
          <w:rFonts w:hint="eastAsia" w:ascii="宋体" w:hAnsi="宋体"/>
          <w:color w:val="auto"/>
          <w:sz w:val="24"/>
          <w:highlight w:val="none"/>
        </w:rPr>
        <w:t>投标人公章：</w:t>
      </w:r>
      <w:r>
        <w:rPr>
          <w:rFonts w:ascii="宋体" w:hAnsi="宋体"/>
          <w:color w:val="auto"/>
          <w:sz w:val="24"/>
          <w:highlight w:val="none"/>
        </w:rPr>
        <w:t xml:space="preserve">                      年    月    日</w:t>
      </w:r>
    </w:p>
    <w:p w14:paraId="657D0F0E">
      <w:pPr>
        <w:pStyle w:val="2"/>
        <w:rPr>
          <w:color w:val="auto"/>
          <w:highlight w:val="none"/>
        </w:rPr>
      </w:pPr>
    </w:p>
    <w:p w14:paraId="767FCC52">
      <w:pPr>
        <w:pStyle w:val="34"/>
        <w:rPr>
          <w:color w:val="auto"/>
          <w:highlight w:val="none"/>
        </w:rPr>
      </w:pPr>
    </w:p>
    <w:p w14:paraId="74DDD747">
      <w:pPr>
        <w:snapToGrid w:val="0"/>
        <w:spacing w:line="360" w:lineRule="auto"/>
        <w:rPr>
          <w:rFonts w:ascii="宋体" w:hAnsi="宋体"/>
          <w:color w:val="auto"/>
          <w:sz w:val="24"/>
          <w:szCs w:val="20"/>
          <w:highlight w:val="none"/>
        </w:rPr>
      </w:pPr>
    </w:p>
    <w:p w14:paraId="35146970">
      <w:pPr>
        <w:snapToGrid w:val="0"/>
        <w:spacing w:line="360" w:lineRule="auto"/>
        <w:rPr>
          <w:rFonts w:ascii="宋体" w:hAnsi="宋体"/>
          <w:color w:val="auto"/>
          <w:sz w:val="24"/>
          <w:highlight w:val="none"/>
        </w:rPr>
      </w:pPr>
      <w:r>
        <w:rPr>
          <w:rFonts w:hint="eastAsia" w:ascii="宋体" w:hAnsi="宋体"/>
          <w:color w:val="auto"/>
          <w:sz w:val="24"/>
          <w:highlight w:val="none"/>
        </w:rPr>
        <w:t>4.投标人情况介绍（格式自拟）</w:t>
      </w:r>
    </w:p>
    <w:p w14:paraId="4BC6708F">
      <w:pPr>
        <w:pStyle w:val="2"/>
        <w:rPr>
          <w:color w:val="auto"/>
          <w:highlight w:val="none"/>
        </w:rPr>
      </w:pPr>
    </w:p>
    <w:p w14:paraId="3CFBD8B6">
      <w:pPr>
        <w:pStyle w:val="2"/>
        <w:rPr>
          <w:color w:val="auto"/>
          <w:highlight w:val="none"/>
        </w:rPr>
      </w:pPr>
    </w:p>
    <w:p w14:paraId="4CD3EF24">
      <w:pPr>
        <w:snapToGrid w:val="0"/>
        <w:spacing w:line="360" w:lineRule="auto"/>
        <w:rPr>
          <w:rFonts w:ascii="宋体" w:hAnsi="宋体"/>
          <w:color w:val="auto"/>
          <w:sz w:val="24"/>
          <w:szCs w:val="20"/>
          <w:highlight w:val="none"/>
        </w:rPr>
      </w:pPr>
      <w:r>
        <w:rPr>
          <w:rFonts w:hint="eastAsia" w:ascii="宋体" w:hAnsi="宋体"/>
          <w:color w:val="auto"/>
          <w:sz w:val="24"/>
          <w:highlight w:val="none"/>
        </w:rPr>
        <w:t>5.法定代表人授权委托书格式：</w:t>
      </w:r>
    </w:p>
    <w:p w14:paraId="2EBE3037">
      <w:pPr>
        <w:snapToGrid w:val="0"/>
        <w:spacing w:line="360" w:lineRule="auto"/>
        <w:jc w:val="center"/>
        <w:rPr>
          <w:rFonts w:ascii="宋体" w:hAnsi="宋体"/>
          <w:b/>
          <w:color w:val="auto"/>
          <w:sz w:val="24"/>
          <w:szCs w:val="20"/>
          <w:highlight w:val="none"/>
        </w:rPr>
      </w:pPr>
      <w:r>
        <w:rPr>
          <w:rFonts w:hint="eastAsia" w:ascii="宋体" w:hAnsi="宋体"/>
          <w:b/>
          <w:color w:val="auto"/>
          <w:sz w:val="24"/>
          <w:highlight w:val="none"/>
        </w:rPr>
        <w:t>法定代表人授权委托书</w:t>
      </w:r>
    </w:p>
    <w:p w14:paraId="5A8D839D">
      <w:pPr>
        <w:snapToGrid w:val="0"/>
        <w:spacing w:line="360" w:lineRule="auto"/>
        <w:rPr>
          <w:rFonts w:ascii="宋体" w:hAnsi="宋体"/>
          <w:b/>
          <w:bCs/>
          <w:color w:val="auto"/>
          <w:sz w:val="24"/>
          <w:szCs w:val="20"/>
          <w:highlight w:val="none"/>
        </w:rPr>
      </w:pPr>
      <w:r>
        <w:rPr>
          <w:rFonts w:hint="eastAsia" w:ascii="宋体" w:hAnsi="宋体"/>
          <w:bCs/>
          <w:color w:val="auto"/>
          <w:sz w:val="24"/>
          <w:highlight w:val="none"/>
        </w:rPr>
        <w:t>致：</w:t>
      </w:r>
      <w:r>
        <w:rPr>
          <w:rFonts w:ascii="宋体" w:hAnsi="宋体"/>
          <w:color w:val="auto"/>
          <w:sz w:val="24"/>
          <w:highlight w:val="none"/>
        </w:rPr>
        <w:t>______</w:t>
      </w:r>
      <w:r>
        <w:rPr>
          <w:rFonts w:ascii="宋体" w:hAnsi="宋体"/>
          <w:color w:val="auto"/>
          <w:sz w:val="24"/>
          <w:highlight w:val="none"/>
          <w:u w:val="single"/>
        </w:rPr>
        <w:t>_     _</w:t>
      </w:r>
      <w:r>
        <w:rPr>
          <w:rFonts w:ascii="宋体" w:hAnsi="宋体"/>
          <w:color w:val="auto"/>
          <w:sz w:val="24"/>
          <w:highlight w:val="none"/>
        </w:rPr>
        <w:t>_</w:t>
      </w:r>
      <w:r>
        <w:rPr>
          <w:rFonts w:hint="eastAsia" w:ascii="宋体" w:hAnsi="宋体"/>
          <w:color w:val="auto"/>
          <w:sz w:val="24"/>
          <w:highlight w:val="none"/>
        </w:rPr>
        <w:t>（招标采购单位名称）：</w:t>
      </w:r>
    </w:p>
    <w:p w14:paraId="41F4694D">
      <w:pPr>
        <w:snapToGrid w:val="0"/>
        <w:spacing w:line="360" w:lineRule="auto"/>
        <w:ind w:firstLine="720" w:firstLineChars="300"/>
        <w:rPr>
          <w:rFonts w:ascii="宋体" w:hAnsi="宋体"/>
          <w:color w:val="auto"/>
          <w:sz w:val="24"/>
          <w:szCs w:val="20"/>
          <w:highlight w:val="none"/>
        </w:rPr>
      </w:pPr>
      <w:r>
        <w:rPr>
          <w:rFonts w:hint="eastAsia" w:ascii="宋体" w:hAnsi="宋体"/>
          <w:color w:val="auto"/>
          <w:sz w:val="24"/>
          <w:highlight w:val="none"/>
        </w:rPr>
        <w:t>我</w:t>
      </w:r>
      <w:r>
        <w:rPr>
          <w:rFonts w:ascii="宋体" w:hAnsi="宋体"/>
          <w:color w:val="auto"/>
          <w:sz w:val="24"/>
          <w:highlight w:val="none"/>
        </w:rPr>
        <w:t>______</w:t>
      </w:r>
      <w:r>
        <w:rPr>
          <w:rFonts w:ascii="宋体" w:hAnsi="宋体"/>
          <w:color w:val="auto"/>
          <w:sz w:val="24"/>
          <w:highlight w:val="none"/>
          <w:u w:val="single"/>
        </w:rPr>
        <w:t>_     _</w:t>
      </w:r>
      <w:r>
        <w:rPr>
          <w:rFonts w:ascii="宋体" w:hAnsi="宋体"/>
          <w:color w:val="auto"/>
          <w:sz w:val="24"/>
          <w:highlight w:val="none"/>
        </w:rPr>
        <w:t>_</w:t>
      </w:r>
      <w:r>
        <w:rPr>
          <w:rFonts w:hint="eastAsia" w:ascii="宋体" w:hAnsi="宋体"/>
          <w:color w:val="auto"/>
          <w:sz w:val="24"/>
          <w:highlight w:val="none"/>
        </w:rPr>
        <w:t>（姓名）系</w:t>
      </w:r>
      <w:r>
        <w:rPr>
          <w:rFonts w:ascii="宋体" w:hAnsi="宋体"/>
          <w:color w:val="auto"/>
          <w:sz w:val="24"/>
          <w:highlight w:val="none"/>
        </w:rPr>
        <w:t>______</w:t>
      </w:r>
      <w:r>
        <w:rPr>
          <w:rFonts w:ascii="宋体" w:hAnsi="宋体"/>
          <w:color w:val="auto"/>
          <w:sz w:val="24"/>
          <w:highlight w:val="none"/>
          <w:u w:val="single"/>
        </w:rPr>
        <w:t>_     _</w:t>
      </w:r>
      <w:r>
        <w:rPr>
          <w:rFonts w:ascii="宋体" w:hAnsi="宋体"/>
          <w:color w:val="auto"/>
          <w:sz w:val="24"/>
          <w:highlight w:val="none"/>
        </w:rPr>
        <w:t>_</w:t>
      </w:r>
      <w:r>
        <w:rPr>
          <w:rFonts w:hint="eastAsia" w:ascii="宋体" w:hAnsi="宋体"/>
          <w:color w:val="auto"/>
          <w:sz w:val="24"/>
          <w:highlight w:val="none"/>
        </w:rPr>
        <w:t>（投标人名称）的法定代表人，现授权委托本单位在职职工（姓名）以我方的名义参加</w:t>
      </w:r>
      <w:r>
        <w:rPr>
          <w:rFonts w:hint="eastAsia" w:ascii="宋体" w:hAnsi="宋体"/>
          <w:color w:val="auto"/>
          <w:spacing w:val="-20"/>
          <w:sz w:val="24"/>
          <w:highlight w:val="none"/>
          <w:u w:val="single"/>
          <w:lang w:eastAsia="zh-CN"/>
        </w:rPr>
        <w:t>湖州市中心医院安防服务招标项目</w:t>
      </w:r>
      <w:r>
        <w:rPr>
          <w:rFonts w:hint="eastAsia" w:ascii="宋体" w:hAnsi="宋体"/>
          <w:color w:val="auto"/>
          <w:sz w:val="24"/>
          <w:highlight w:val="none"/>
        </w:rPr>
        <w:t>的投标活动，并代表我方全权办理针对上述项目的投标、开标、评标、签约等具体事务和签署相关文件。</w:t>
      </w:r>
    </w:p>
    <w:p w14:paraId="7F503C2E">
      <w:pPr>
        <w:snapToGrid w:val="0"/>
        <w:spacing w:line="360" w:lineRule="auto"/>
        <w:rPr>
          <w:rFonts w:ascii="宋体" w:hAnsi="宋体"/>
          <w:color w:val="auto"/>
          <w:sz w:val="24"/>
          <w:szCs w:val="20"/>
          <w:highlight w:val="none"/>
        </w:rPr>
      </w:pPr>
      <w:r>
        <w:rPr>
          <w:rFonts w:hint="eastAsia" w:ascii="宋体" w:hAnsi="宋体"/>
          <w:color w:val="auto"/>
          <w:sz w:val="24"/>
          <w:highlight w:val="none"/>
        </w:rPr>
        <w:t>我方对被授权人的签名事项负全部责任。</w:t>
      </w:r>
    </w:p>
    <w:p w14:paraId="055E18E0">
      <w:pPr>
        <w:snapToGrid w:val="0"/>
        <w:spacing w:line="360" w:lineRule="auto"/>
        <w:ind w:firstLine="480"/>
        <w:rPr>
          <w:rFonts w:ascii="宋体" w:hAnsi="宋体"/>
          <w:color w:val="auto"/>
          <w:sz w:val="24"/>
          <w:szCs w:val="20"/>
          <w:highlight w:val="none"/>
        </w:rPr>
      </w:pPr>
      <w:r>
        <w:rPr>
          <w:rFonts w:hint="eastAsia" w:ascii="宋体" w:hAnsi="宋体"/>
          <w:color w:val="auto"/>
          <w:sz w:val="24"/>
          <w:highlight w:val="none"/>
          <w:u w:val="single"/>
        </w:rPr>
        <w:t>在撤销授权的书面通知以前，本授权书一直有效。</w:t>
      </w:r>
      <w:r>
        <w:rPr>
          <w:rFonts w:hint="eastAsia" w:ascii="宋体" w:hAnsi="宋体"/>
          <w:color w:val="auto"/>
          <w:sz w:val="24"/>
          <w:highlight w:val="none"/>
        </w:rPr>
        <w:t>被授权人在授权书有效期内签署的所有文件不因授权的撤销而失效。</w:t>
      </w:r>
    </w:p>
    <w:p w14:paraId="3E3A4C11">
      <w:pPr>
        <w:snapToGrid w:val="0"/>
        <w:spacing w:line="360" w:lineRule="auto"/>
        <w:ind w:firstLine="480"/>
        <w:rPr>
          <w:rFonts w:ascii="宋体" w:hAnsi="宋体"/>
          <w:color w:val="auto"/>
          <w:sz w:val="24"/>
          <w:szCs w:val="20"/>
          <w:highlight w:val="none"/>
        </w:rPr>
      </w:pPr>
      <w:r>
        <w:rPr>
          <w:rFonts w:hint="eastAsia" w:ascii="宋体" w:hAnsi="宋体"/>
          <w:color w:val="auto"/>
          <w:sz w:val="24"/>
          <w:highlight w:val="none"/>
        </w:rPr>
        <w:t>被授权人无转委托权，特此委托。</w:t>
      </w:r>
    </w:p>
    <w:p w14:paraId="0102E66C">
      <w:pPr>
        <w:snapToGrid w:val="0"/>
        <w:spacing w:line="360" w:lineRule="auto"/>
        <w:rPr>
          <w:rFonts w:ascii="宋体" w:hAnsi="宋体"/>
          <w:color w:val="auto"/>
          <w:sz w:val="24"/>
          <w:szCs w:val="20"/>
          <w:highlight w:val="none"/>
        </w:rPr>
      </w:pPr>
    </w:p>
    <w:p w14:paraId="7C537545">
      <w:pPr>
        <w:snapToGrid w:val="0"/>
        <w:spacing w:line="360" w:lineRule="auto"/>
        <w:rPr>
          <w:rFonts w:ascii="宋体" w:hAnsi="宋体"/>
          <w:color w:val="auto"/>
          <w:sz w:val="24"/>
          <w:szCs w:val="20"/>
          <w:highlight w:val="none"/>
          <w:u w:val="single"/>
        </w:rPr>
      </w:pPr>
      <w:r>
        <w:rPr>
          <w:rFonts w:hint="eastAsia" w:ascii="宋体" w:hAnsi="宋体"/>
          <w:color w:val="auto"/>
          <w:sz w:val="24"/>
          <w:highlight w:val="none"/>
        </w:rPr>
        <w:t>被授权人签名：法定代表人签名：</w:t>
      </w:r>
    </w:p>
    <w:p w14:paraId="157309BA">
      <w:pPr>
        <w:snapToGrid w:val="0"/>
        <w:spacing w:line="360" w:lineRule="auto"/>
        <w:ind w:firstLine="960" w:firstLineChars="400"/>
        <w:rPr>
          <w:rFonts w:ascii="宋体" w:hAnsi="宋体"/>
          <w:color w:val="auto"/>
          <w:sz w:val="24"/>
          <w:szCs w:val="20"/>
          <w:highlight w:val="none"/>
        </w:rPr>
      </w:pPr>
      <w:r>
        <w:rPr>
          <w:rFonts w:hint="eastAsia" w:ascii="宋体" w:hAnsi="宋体"/>
          <w:color w:val="auto"/>
          <w:sz w:val="24"/>
          <w:highlight w:val="none"/>
        </w:rPr>
        <w:t>职务：职务：</w:t>
      </w:r>
    </w:p>
    <w:p w14:paraId="4109C36D">
      <w:pPr>
        <w:snapToGrid w:val="0"/>
        <w:spacing w:line="360" w:lineRule="auto"/>
        <w:rPr>
          <w:rFonts w:ascii="宋体" w:hAnsi="宋体"/>
          <w:color w:val="auto"/>
          <w:sz w:val="24"/>
          <w:szCs w:val="20"/>
          <w:highlight w:val="none"/>
        </w:rPr>
      </w:pPr>
      <w:r>
        <w:rPr>
          <w:rFonts w:hint="eastAsia" w:ascii="宋体" w:hAnsi="宋体"/>
          <w:color w:val="auto"/>
          <w:sz w:val="24"/>
          <w:highlight w:val="none"/>
        </w:rPr>
        <w:t>被授权人身份证号码：</w:t>
      </w:r>
    </w:p>
    <w:p w14:paraId="6004D0E5">
      <w:pPr>
        <w:snapToGrid w:val="0"/>
        <w:spacing w:line="360" w:lineRule="auto"/>
        <w:rPr>
          <w:rFonts w:ascii="宋体" w:hAnsi="宋体"/>
          <w:color w:val="auto"/>
          <w:sz w:val="24"/>
          <w:highlight w:val="none"/>
        </w:rPr>
      </w:pPr>
      <w:r>
        <w:rPr>
          <w:rFonts w:hint="eastAsia" w:ascii="宋体" w:hAnsi="宋体"/>
          <w:color w:val="auto"/>
          <w:sz w:val="24"/>
          <w:highlight w:val="none"/>
        </w:rPr>
        <w:t>投标人公章：</w:t>
      </w:r>
    </w:p>
    <w:p w14:paraId="2AFC7868">
      <w:pPr>
        <w:pStyle w:val="8"/>
        <w:spacing w:line="360" w:lineRule="auto"/>
        <w:ind w:firstLine="374" w:firstLineChars="156"/>
        <w:rPr>
          <w:rFonts w:ascii="宋体" w:hAnsi="宋体"/>
          <w:color w:val="auto"/>
          <w:sz w:val="24"/>
          <w:szCs w:val="24"/>
          <w:highlight w:val="none"/>
        </w:rPr>
      </w:pPr>
      <w:r>
        <w:rPr>
          <w:rFonts w:hint="eastAsia" w:ascii="宋体" w:hAnsi="宋体"/>
          <w:color w:val="auto"/>
          <w:sz w:val="24"/>
          <w:szCs w:val="24"/>
          <w:highlight w:val="none"/>
        </w:rPr>
        <w:t>————————————————————-----------</w:t>
      </w:r>
    </w:p>
    <w:p w14:paraId="2F889825">
      <w:pPr>
        <w:pStyle w:val="8"/>
        <w:spacing w:line="360" w:lineRule="auto"/>
        <w:ind w:firstLine="374" w:firstLineChars="156"/>
        <w:jc w:val="center"/>
        <w:rPr>
          <w:rFonts w:ascii="宋体" w:hAnsi="宋体"/>
          <w:color w:val="auto"/>
          <w:sz w:val="24"/>
          <w:szCs w:val="24"/>
          <w:highlight w:val="none"/>
        </w:rPr>
      </w:pPr>
    </w:p>
    <w:p w14:paraId="2116BBDC">
      <w:pPr>
        <w:pStyle w:val="8"/>
        <w:spacing w:line="360" w:lineRule="auto"/>
        <w:ind w:firstLine="374" w:firstLineChars="156"/>
        <w:jc w:val="center"/>
        <w:rPr>
          <w:rFonts w:ascii="宋体" w:hAnsi="宋体"/>
          <w:color w:val="auto"/>
          <w:sz w:val="24"/>
          <w:szCs w:val="24"/>
          <w:highlight w:val="none"/>
        </w:rPr>
      </w:pPr>
      <w:r>
        <w:rPr>
          <w:rFonts w:hint="eastAsia" w:ascii="宋体" w:hAnsi="宋体"/>
          <w:color w:val="auto"/>
          <w:sz w:val="24"/>
          <w:szCs w:val="24"/>
          <w:highlight w:val="none"/>
        </w:rPr>
        <w:t>授权代理人有效身份证明复印件粘贴处</w:t>
      </w:r>
    </w:p>
    <w:p w14:paraId="7F72F83C">
      <w:pPr>
        <w:snapToGrid w:val="0"/>
        <w:spacing w:line="360" w:lineRule="auto"/>
        <w:rPr>
          <w:rFonts w:ascii="宋体" w:hAnsi="宋体"/>
          <w:color w:val="auto"/>
          <w:sz w:val="24"/>
          <w:highlight w:val="none"/>
        </w:rPr>
      </w:pPr>
    </w:p>
    <w:p w14:paraId="7A12D76B">
      <w:pPr>
        <w:snapToGrid w:val="0"/>
        <w:spacing w:line="360" w:lineRule="auto"/>
        <w:rPr>
          <w:rFonts w:ascii="宋体" w:hAnsi="宋体"/>
          <w:color w:val="auto"/>
          <w:sz w:val="24"/>
          <w:highlight w:val="none"/>
        </w:rPr>
      </w:pPr>
    </w:p>
    <w:p w14:paraId="3D96CE71">
      <w:pPr>
        <w:snapToGrid w:val="0"/>
        <w:spacing w:line="360" w:lineRule="auto"/>
        <w:jc w:val="center"/>
        <w:rPr>
          <w:rFonts w:ascii="宋体" w:hAnsi="宋体"/>
          <w:color w:val="auto"/>
          <w:sz w:val="24"/>
          <w:highlight w:val="none"/>
        </w:rPr>
      </w:pPr>
      <w:r>
        <w:rPr>
          <w:rFonts w:hint="eastAsia" w:ascii="宋体" w:hAnsi="宋体"/>
          <w:color w:val="auto"/>
          <w:sz w:val="24"/>
          <w:highlight w:val="none"/>
        </w:rPr>
        <w:t>年月日</w:t>
      </w:r>
    </w:p>
    <w:p w14:paraId="024737BE">
      <w:pPr>
        <w:snapToGrid w:val="0"/>
        <w:spacing w:beforeLines="50" w:after="50"/>
        <w:rPr>
          <w:color w:val="auto"/>
          <w:sz w:val="24"/>
          <w:highlight w:val="none"/>
        </w:rPr>
      </w:pPr>
      <w:r>
        <w:rPr>
          <w:rFonts w:hint="eastAsia"/>
          <w:color w:val="auto"/>
          <w:sz w:val="24"/>
          <w:highlight w:val="none"/>
        </w:rPr>
        <w:t>附：</w:t>
      </w:r>
      <w:r>
        <w:rPr>
          <w:color w:val="auto"/>
          <w:sz w:val="24"/>
          <w:highlight w:val="none"/>
        </w:rPr>
        <w:t>授权代理人社保证明复印件</w:t>
      </w:r>
      <w:r>
        <w:rPr>
          <w:rFonts w:hint="eastAsia"/>
          <w:color w:val="auto"/>
          <w:sz w:val="24"/>
          <w:highlight w:val="none"/>
        </w:rPr>
        <w:t>（</w:t>
      </w:r>
      <w:r>
        <w:rPr>
          <w:color w:val="auto"/>
          <w:sz w:val="24"/>
          <w:highlight w:val="none"/>
        </w:rPr>
        <w:t>社保机构出具的由本单位或分公司为其缴纳的近1个月的社保证明</w:t>
      </w:r>
      <w:r>
        <w:rPr>
          <w:rFonts w:hint="eastAsia"/>
          <w:color w:val="auto"/>
          <w:sz w:val="24"/>
          <w:highlight w:val="none"/>
        </w:rPr>
        <w:t>）</w:t>
      </w:r>
    </w:p>
    <w:p w14:paraId="1FD989F4">
      <w:pPr>
        <w:snapToGrid w:val="0"/>
        <w:spacing w:line="360" w:lineRule="auto"/>
        <w:rPr>
          <w:rFonts w:ascii="宋体" w:hAnsi="宋体"/>
          <w:color w:val="auto"/>
          <w:highlight w:val="none"/>
        </w:rPr>
      </w:pPr>
    </w:p>
    <w:p w14:paraId="5105E0D3">
      <w:pPr>
        <w:pStyle w:val="2"/>
        <w:rPr>
          <w:color w:val="auto"/>
          <w:highlight w:val="none"/>
        </w:rPr>
      </w:pPr>
    </w:p>
    <w:p w14:paraId="69DE4681">
      <w:pPr>
        <w:pStyle w:val="14"/>
        <w:rPr>
          <w:color w:val="auto"/>
          <w:highlight w:val="none"/>
        </w:rPr>
      </w:pPr>
    </w:p>
    <w:p w14:paraId="16359A14">
      <w:pPr>
        <w:rPr>
          <w:color w:val="auto"/>
          <w:highlight w:val="none"/>
        </w:rPr>
      </w:pPr>
    </w:p>
    <w:p w14:paraId="6CB58092">
      <w:pPr>
        <w:pStyle w:val="23"/>
        <w:spacing w:before="120"/>
        <w:rPr>
          <w:color w:val="auto"/>
          <w:highlight w:val="none"/>
        </w:rPr>
      </w:pPr>
    </w:p>
    <w:p w14:paraId="7351EA5F">
      <w:pPr>
        <w:rPr>
          <w:color w:val="auto"/>
          <w:highlight w:val="none"/>
        </w:rPr>
      </w:pPr>
    </w:p>
    <w:p w14:paraId="7577E387">
      <w:pPr>
        <w:pStyle w:val="2"/>
        <w:rPr>
          <w:color w:val="auto"/>
          <w:highlight w:val="none"/>
        </w:rPr>
      </w:pPr>
    </w:p>
    <w:p w14:paraId="215B8EF0">
      <w:pPr>
        <w:pStyle w:val="23"/>
        <w:spacing w:before="120"/>
        <w:rPr>
          <w:color w:val="auto"/>
          <w:highlight w:val="none"/>
        </w:rPr>
      </w:pPr>
    </w:p>
    <w:p w14:paraId="7C604475">
      <w:pPr>
        <w:rPr>
          <w:color w:val="auto"/>
          <w:highlight w:val="none"/>
        </w:rPr>
      </w:pPr>
    </w:p>
    <w:p w14:paraId="4DAB4D22">
      <w:pPr>
        <w:snapToGrid w:val="0"/>
        <w:spacing w:line="360" w:lineRule="auto"/>
        <w:rPr>
          <w:rFonts w:ascii="宋体" w:hAnsi="宋体"/>
          <w:color w:val="auto"/>
          <w:sz w:val="24"/>
          <w:szCs w:val="20"/>
          <w:highlight w:val="none"/>
        </w:rPr>
      </w:pPr>
      <w:r>
        <w:rPr>
          <w:rFonts w:hint="eastAsia" w:ascii="宋体" w:hAnsi="宋体"/>
          <w:color w:val="auto"/>
          <w:sz w:val="24"/>
          <w:highlight w:val="none"/>
        </w:rPr>
        <w:t>6.近三个月依法缴纳税收和社保费的证明【税费凭证，或者依法缴纳税费或依法免缴税费的证明】</w:t>
      </w:r>
      <w:r>
        <w:rPr>
          <w:rFonts w:hint="eastAsia" w:ascii="宋体" w:hAnsi="宋体"/>
          <w:color w:val="auto"/>
          <w:sz w:val="24"/>
          <w:szCs w:val="20"/>
          <w:highlight w:val="none"/>
        </w:rPr>
        <w:t>（格式自拟，</w:t>
      </w:r>
      <w:r>
        <w:rPr>
          <w:rFonts w:hint="eastAsia" w:ascii="宋体" w:hAnsi="宋体"/>
          <w:bCs/>
          <w:color w:val="auto"/>
          <w:sz w:val="24"/>
          <w:highlight w:val="none"/>
        </w:rPr>
        <w:t>复印件各一份</w:t>
      </w:r>
      <w:r>
        <w:rPr>
          <w:rFonts w:hint="eastAsia" w:ascii="宋体" w:hAnsi="宋体"/>
          <w:color w:val="auto"/>
          <w:sz w:val="24"/>
          <w:szCs w:val="20"/>
          <w:highlight w:val="none"/>
        </w:rPr>
        <w:t>），《依法纳税或依法免税证明》原件一年内均保持有效。</w:t>
      </w:r>
    </w:p>
    <w:p w14:paraId="33A1B82F">
      <w:pPr>
        <w:snapToGrid w:val="0"/>
        <w:spacing w:line="360" w:lineRule="auto"/>
        <w:rPr>
          <w:rFonts w:ascii="宋体" w:hAnsi="宋体"/>
          <w:color w:val="auto"/>
          <w:highlight w:val="none"/>
        </w:rPr>
      </w:pPr>
    </w:p>
    <w:p w14:paraId="43BEEB61">
      <w:pPr>
        <w:snapToGrid w:val="0"/>
        <w:spacing w:line="360" w:lineRule="auto"/>
        <w:rPr>
          <w:rFonts w:ascii="宋体" w:hAnsi="宋体"/>
          <w:color w:val="auto"/>
          <w:highlight w:val="none"/>
        </w:rPr>
      </w:pPr>
    </w:p>
    <w:p w14:paraId="7AE373D0">
      <w:pPr>
        <w:snapToGrid w:val="0"/>
        <w:spacing w:line="360" w:lineRule="auto"/>
        <w:rPr>
          <w:rFonts w:ascii="宋体" w:hAnsi="宋体"/>
          <w:color w:val="auto"/>
          <w:highlight w:val="none"/>
        </w:rPr>
      </w:pPr>
    </w:p>
    <w:p w14:paraId="18FC8D09">
      <w:pPr>
        <w:pStyle w:val="2"/>
        <w:rPr>
          <w:color w:val="auto"/>
          <w:highlight w:val="none"/>
        </w:rPr>
      </w:pPr>
    </w:p>
    <w:p w14:paraId="51C69BC5">
      <w:pPr>
        <w:rPr>
          <w:color w:val="auto"/>
          <w:highlight w:val="none"/>
        </w:rPr>
      </w:pPr>
    </w:p>
    <w:p w14:paraId="733EE241">
      <w:pPr>
        <w:snapToGrid w:val="0"/>
        <w:spacing w:line="360" w:lineRule="auto"/>
        <w:rPr>
          <w:rFonts w:ascii="宋体" w:hAnsi="宋体"/>
          <w:color w:val="auto"/>
          <w:highlight w:val="none"/>
        </w:rPr>
      </w:pPr>
    </w:p>
    <w:p w14:paraId="3BE635EE">
      <w:pPr>
        <w:snapToGrid w:val="0"/>
        <w:spacing w:line="360" w:lineRule="auto"/>
        <w:rPr>
          <w:color w:val="auto"/>
          <w:highlight w:val="none"/>
          <w:u w:val="single"/>
        </w:rPr>
      </w:pPr>
      <w:r>
        <w:rPr>
          <w:rFonts w:hint="eastAsia" w:ascii="宋体" w:hAnsi="宋体"/>
          <w:color w:val="auto"/>
          <w:sz w:val="24"/>
          <w:highlight w:val="none"/>
        </w:rPr>
        <w:t>7.有效</w:t>
      </w:r>
      <w:r>
        <w:rPr>
          <w:rFonts w:hint="eastAsia" w:ascii="宋体" w:hAnsi="宋体" w:cs="宋体"/>
          <w:color w:val="auto"/>
          <w:sz w:val="24"/>
          <w:highlight w:val="none"/>
        </w:rPr>
        <w:t>的营业执照副本</w:t>
      </w:r>
      <w:r>
        <w:rPr>
          <w:rFonts w:hint="eastAsia" w:ascii="宋体" w:hAnsi="宋体"/>
          <w:color w:val="auto"/>
          <w:sz w:val="24"/>
          <w:highlight w:val="none"/>
        </w:rPr>
        <w:t>复印件</w:t>
      </w:r>
    </w:p>
    <w:p w14:paraId="05A0CAEE">
      <w:pPr>
        <w:snapToGrid w:val="0"/>
        <w:spacing w:line="360" w:lineRule="auto"/>
        <w:jc w:val="left"/>
        <w:rPr>
          <w:rFonts w:ascii="宋体" w:hAnsi="宋体"/>
          <w:color w:val="auto"/>
          <w:sz w:val="24"/>
          <w:szCs w:val="20"/>
          <w:highlight w:val="none"/>
        </w:rPr>
      </w:pPr>
    </w:p>
    <w:p w14:paraId="570C7A46">
      <w:pPr>
        <w:snapToGrid w:val="0"/>
        <w:spacing w:line="360" w:lineRule="auto"/>
        <w:jc w:val="left"/>
        <w:rPr>
          <w:rFonts w:ascii="宋体" w:hAnsi="宋体"/>
          <w:color w:val="auto"/>
          <w:sz w:val="24"/>
          <w:highlight w:val="none"/>
        </w:rPr>
      </w:pPr>
    </w:p>
    <w:p w14:paraId="511CF02E">
      <w:pPr>
        <w:pStyle w:val="2"/>
        <w:rPr>
          <w:color w:val="auto"/>
          <w:highlight w:val="none"/>
        </w:rPr>
      </w:pPr>
    </w:p>
    <w:p w14:paraId="6CBB4036">
      <w:pPr>
        <w:rPr>
          <w:color w:val="auto"/>
          <w:highlight w:val="none"/>
        </w:rPr>
      </w:pPr>
    </w:p>
    <w:p w14:paraId="29EFA469">
      <w:pPr>
        <w:snapToGrid w:val="0"/>
        <w:spacing w:line="360" w:lineRule="auto"/>
        <w:jc w:val="left"/>
        <w:rPr>
          <w:rFonts w:ascii="宋体" w:hAnsi="宋体"/>
          <w:color w:val="auto"/>
          <w:sz w:val="24"/>
          <w:highlight w:val="none"/>
        </w:rPr>
      </w:pPr>
    </w:p>
    <w:p w14:paraId="53E81C8A">
      <w:pPr>
        <w:snapToGrid w:val="0"/>
        <w:spacing w:line="360" w:lineRule="auto"/>
        <w:jc w:val="left"/>
        <w:rPr>
          <w:rFonts w:ascii="宋体" w:hAnsi="宋体"/>
          <w:color w:val="auto"/>
          <w:sz w:val="24"/>
          <w:highlight w:val="none"/>
        </w:rPr>
      </w:pPr>
    </w:p>
    <w:p w14:paraId="144C9F01">
      <w:pPr>
        <w:snapToGrid w:val="0"/>
        <w:spacing w:line="360" w:lineRule="auto"/>
        <w:jc w:val="left"/>
        <w:rPr>
          <w:rFonts w:ascii="宋体" w:hAnsi="宋体"/>
          <w:color w:val="auto"/>
          <w:sz w:val="24"/>
          <w:highlight w:val="none"/>
        </w:rPr>
      </w:pPr>
      <w:r>
        <w:rPr>
          <w:rFonts w:hint="eastAsia" w:ascii="宋体" w:hAnsi="宋体" w:cs="宋体"/>
          <w:color w:val="auto"/>
          <w:sz w:val="24"/>
          <w:highlight w:val="none"/>
        </w:rPr>
        <w:t>8.近二年</w:t>
      </w:r>
      <w:r>
        <w:rPr>
          <w:rFonts w:hint="eastAsia" w:ascii="宋体" w:hAnsi="宋体" w:cs="宋体"/>
          <w:color w:val="auto"/>
          <w:sz w:val="24"/>
          <w:highlight w:val="none"/>
          <w:lang w:eastAsia="zh-CN"/>
        </w:rPr>
        <w:t>（</w:t>
      </w:r>
      <w:r>
        <w:rPr>
          <w:rFonts w:hint="eastAsia" w:ascii="宋体" w:hAnsi="宋体" w:cs="宋体"/>
          <w:color w:val="auto"/>
          <w:sz w:val="24"/>
          <w:highlight w:val="none"/>
        </w:rPr>
        <w:t>2022、2023年)企业的财务状况报告或银行资信证明</w:t>
      </w:r>
      <w:r>
        <w:rPr>
          <w:rFonts w:hint="eastAsia" w:ascii="宋体" w:hAnsi="宋体"/>
          <w:color w:val="auto"/>
          <w:sz w:val="24"/>
          <w:highlight w:val="none"/>
        </w:rPr>
        <w:t>复印件</w:t>
      </w:r>
    </w:p>
    <w:p w14:paraId="3F7A3D15">
      <w:pPr>
        <w:snapToGrid w:val="0"/>
        <w:spacing w:line="360" w:lineRule="auto"/>
        <w:jc w:val="left"/>
        <w:rPr>
          <w:rFonts w:ascii="宋体" w:hAnsi="宋体"/>
          <w:color w:val="auto"/>
          <w:sz w:val="24"/>
          <w:highlight w:val="none"/>
        </w:rPr>
      </w:pPr>
    </w:p>
    <w:p w14:paraId="3258EEC6">
      <w:pPr>
        <w:snapToGrid w:val="0"/>
        <w:spacing w:line="360" w:lineRule="auto"/>
        <w:jc w:val="left"/>
        <w:rPr>
          <w:rFonts w:ascii="宋体" w:hAnsi="宋体"/>
          <w:color w:val="auto"/>
          <w:sz w:val="24"/>
          <w:highlight w:val="none"/>
        </w:rPr>
      </w:pPr>
    </w:p>
    <w:p w14:paraId="381AFC81">
      <w:pPr>
        <w:snapToGrid w:val="0"/>
        <w:spacing w:line="360" w:lineRule="auto"/>
        <w:jc w:val="left"/>
        <w:rPr>
          <w:rFonts w:ascii="宋体" w:hAnsi="宋体"/>
          <w:color w:val="auto"/>
          <w:sz w:val="24"/>
          <w:highlight w:val="none"/>
        </w:rPr>
      </w:pPr>
    </w:p>
    <w:p w14:paraId="23384F58">
      <w:pPr>
        <w:snapToGrid w:val="0"/>
        <w:spacing w:line="360" w:lineRule="auto"/>
        <w:jc w:val="left"/>
        <w:rPr>
          <w:rFonts w:ascii="宋体" w:hAnsi="宋体"/>
          <w:color w:val="auto"/>
          <w:sz w:val="24"/>
          <w:highlight w:val="none"/>
        </w:rPr>
      </w:pPr>
    </w:p>
    <w:p w14:paraId="1CC95C63">
      <w:pPr>
        <w:pStyle w:val="2"/>
        <w:rPr>
          <w:color w:val="auto"/>
          <w:highlight w:val="none"/>
        </w:rPr>
      </w:pPr>
    </w:p>
    <w:p w14:paraId="52D167DA">
      <w:pPr>
        <w:snapToGrid w:val="0"/>
        <w:spacing w:line="360" w:lineRule="auto"/>
        <w:jc w:val="left"/>
        <w:rPr>
          <w:rFonts w:ascii="宋体" w:hAnsi="宋体"/>
          <w:color w:val="auto"/>
          <w:sz w:val="24"/>
          <w:highlight w:val="none"/>
        </w:rPr>
      </w:pPr>
      <w:r>
        <w:rPr>
          <w:rFonts w:hint="eastAsia" w:ascii="宋体" w:hAnsi="宋体"/>
          <w:color w:val="auto"/>
          <w:sz w:val="24"/>
          <w:highlight w:val="none"/>
        </w:rPr>
        <w:t>9.提供自招标公告发布之日起至投标截止日内任意时间的“信用中国”网站（www.creditchina.gov.cn）、中国政府采购网（www.ccgp.gov.cn）投标人信用查询网页截图</w:t>
      </w:r>
    </w:p>
    <w:p w14:paraId="08EEE89E">
      <w:pPr>
        <w:snapToGrid w:val="0"/>
        <w:spacing w:line="360" w:lineRule="auto"/>
        <w:jc w:val="left"/>
        <w:rPr>
          <w:rFonts w:ascii="宋体" w:hAnsi="宋体"/>
          <w:color w:val="auto"/>
          <w:sz w:val="24"/>
          <w:highlight w:val="none"/>
        </w:rPr>
      </w:pPr>
    </w:p>
    <w:p w14:paraId="76D9C038">
      <w:pPr>
        <w:snapToGrid w:val="0"/>
        <w:spacing w:line="360" w:lineRule="auto"/>
        <w:jc w:val="left"/>
        <w:rPr>
          <w:rFonts w:ascii="宋体" w:hAnsi="宋体"/>
          <w:color w:val="auto"/>
          <w:sz w:val="24"/>
          <w:highlight w:val="none"/>
        </w:rPr>
      </w:pPr>
    </w:p>
    <w:p w14:paraId="17FDAB3F">
      <w:pPr>
        <w:pStyle w:val="23"/>
        <w:spacing w:before="120"/>
        <w:rPr>
          <w:color w:val="auto"/>
          <w:highlight w:val="none"/>
        </w:rPr>
      </w:pPr>
    </w:p>
    <w:p w14:paraId="054F87F9">
      <w:pPr>
        <w:rPr>
          <w:color w:val="auto"/>
          <w:highlight w:val="none"/>
        </w:rPr>
      </w:pPr>
    </w:p>
    <w:p w14:paraId="2F0361DD">
      <w:pPr>
        <w:pStyle w:val="2"/>
        <w:rPr>
          <w:color w:val="auto"/>
          <w:highlight w:val="none"/>
        </w:rPr>
      </w:pPr>
    </w:p>
    <w:p w14:paraId="2EBD745C">
      <w:pPr>
        <w:pStyle w:val="2"/>
        <w:rPr>
          <w:color w:val="auto"/>
          <w:highlight w:val="none"/>
        </w:rPr>
      </w:pPr>
    </w:p>
    <w:p w14:paraId="4EBA3CE0">
      <w:pPr>
        <w:rPr>
          <w:color w:val="auto"/>
          <w:highlight w:val="none"/>
        </w:rPr>
      </w:pPr>
    </w:p>
    <w:p w14:paraId="37FE9E6D">
      <w:pPr>
        <w:pStyle w:val="2"/>
        <w:rPr>
          <w:color w:val="auto"/>
          <w:highlight w:val="none"/>
        </w:rPr>
      </w:pPr>
    </w:p>
    <w:p w14:paraId="70F19053">
      <w:pPr>
        <w:pStyle w:val="2"/>
        <w:rPr>
          <w:color w:val="auto"/>
          <w:highlight w:val="none"/>
        </w:rPr>
      </w:pPr>
    </w:p>
    <w:p w14:paraId="1DC26FAA">
      <w:pPr>
        <w:rPr>
          <w:color w:val="auto"/>
          <w:highlight w:val="none"/>
        </w:rPr>
      </w:pPr>
    </w:p>
    <w:p w14:paraId="002A65B1">
      <w:pPr>
        <w:snapToGrid w:val="0"/>
        <w:spacing w:line="360" w:lineRule="auto"/>
        <w:jc w:val="left"/>
        <w:rPr>
          <w:rFonts w:ascii="宋体" w:hAnsi="宋体"/>
          <w:b/>
          <w:color w:val="auto"/>
          <w:sz w:val="28"/>
          <w:szCs w:val="28"/>
          <w:highlight w:val="none"/>
        </w:rPr>
      </w:pPr>
      <w:r>
        <w:rPr>
          <w:rFonts w:hint="eastAsia" w:ascii="宋体" w:hAnsi="宋体"/>
          <w:b/>
          <w:color w:val="auto"/>
          <w:sz w:val="24"/>
          <w:highlight w:val="none"/>
        </w:rPr>
        <w:t xml:space="preserve">11. </w:t>
      </w:r>
      <w:r>
        <w:rPr>
          <w:rFonts w:hint="eastAsia" w:ascii="宋体" w:hAnsi="宋体"/>
          <w:b/>
          <w:color w:val="auto"/>
          <w:sz w:val="28"/>
          <w:szCs w:val="28"/>
          <w:highlight w:val="none"/>
        </w:rPr>
        <w:t>中小企业声明函</w:t>
      </w:r>
    </w:p>
    <w:p w14:paraId="304DA1E5">
      <w:pPr>
        <w:pStyle w:val="2"/>
        <w:rPr>
          <w:color w:val="auto"/>
          <w:highlight w:val="none"/>
        </w:rPr>
      </w:pPr>
    </w:p>
    <w:p w14:paraId="4957699D">
      <w:pPr>
        <w:spacing w:line="360" w:lineRule="auto"/>
        <w:ind w:firstLine="480" w:firstLineChars="200"/>
        <w:rPr>
          <w:rFonts w:ascii="宋体" w:hAnsi="宋体" w:cs="仿宋"/>
          <w:color w:val="auto"/>
          <w:kern w:val="0"/>
          <w:sz w:val="24"/>
          <w:highlight w:val="none"/>
        </w:rPr>
      </w:pPr>
      <w:r>
        <w:rPr>
          <w:rFonts w:hint="eastAsia" w:ascii="宋体" w:hAnsi="宋体" w:cs="仿宋"/>
          <w:color w:val="auto"/>
          <w:kern w:val="0"/>
          <w:sz w:val="24"/>
          <w:highlight w:val="none"/>
        </w:rPr>
        <w:t>本公司郑重声明，根据《政府采购促进中小企业发展管理办法》（财库﹝2020﹞46 号）的规定，本公司参加（单位名称）的（项目名称）采购活动，工程的施工单位全部为符合政策要求的中小企业（或者：服务全部由符合政策要求的中小企业承接）。相关企业（含签订分包意向协议的中小企业）的具体情况如下：</w:t>
      </w:r>
    </w:p>
    <w:p w14:paraId="19F9C49D">
      <w:pPr>
        <w:spacing w:line="360" w:lineRule="auto"/>
        <w:ind w:firstLine="480" w:firstLineChars="200"/>
        <w:rPr>
          <w:rFonts w:ascii="宋体" w:hAnsi="宋体" w:cs="仿宋"/>
          <w:color w:val="auto"/>
          <w:kern w:val="0"/>
          <w:sz w:val="24"/>
          <w:highlight w:val="none"/>
        </w:rPr>
      </w:pPr>
      <w:r>
        <w:rPr>
          <w:rFonts w:hint="eastAsia" w:ascii="宋体" w:hAnsi="宋体" w:cs="仿宋"/>
          <w:color w:val="auto"/>
          <w:kern w:val="0"/>
          <w:sz w:val="24"/>
          <w:highlight w:val="none"/>
        </w:rPr>
        <w:t xml:space="preserve">1. </w:t>
      </w:r>
      <w:r>
        <w:rPr>
          <w:rFonts w:hint="eastAsia" w:ascii="宋体" w:hAnsi="宋体" w:cs="仿宋"/>
          <w:color w:val="auto"/>
          <w:kern w:val="0"/>
          <w:sz w:val="24"/>
          <w:highlight w:val="none"/>
          <w:u w:val="single"/>
        </w:rPr>
        <w:t xml:space="preserve">（标的名称） </w:t>
      </w:r>
      <w:r>
        <w:rPr>
          <w:rFonts w:hint="eastAsia" w:ascii="宋体" w:hAnsi="宋体" w:cs="仿宋"/>
          <w:color w:val="auto"/>
          <w:kern w:val="0"/>
          <w:sz w:val="24"/>
          <w:highlight w:val="none"/>
        </w:rPr>
        <w:t>，属于</w:t>
      </w:r>
      <w:r>
        <w:rPr>
          <w:rFonts w:hint="eastAsia" w:ascii="宋体" w:hAnsi="宋体" w:cs="仿宋"/>
          <w:color w:val="auto"/>
          <w:kern w:val="0"/>
          <w:sz w:val="24"/>
          <w:highlight w:val="none"/>
          <w:u w:val="single"/>
        </w:rPr>
        <w:t>（采购文件中明确的所属行业）</w:t>
      </w:r>
      <w:r>
        <w:rPr>
          <w:rFonts w:hint="eastAsia" w:ascii="宋体" w:hAnsi="宋体" w:cs="仿宋"/>
          <w:color w:val="auto"/>
          <w:kern w:val="0"/>
          <w:sz w:val="24"/>
          <w:highlight w:val="none"/>
        </w:rPr>
        <w:t>；承建（承接）企业为</w:t>
      </w:r>
      <w:r>
        <w:rPr>
          <w:rFonts w:hint="eastAsia" w:ascii="宋体" w:hAnsi="宋体" w:cs="仿宋"/>
          <w:color w:val="auto"/>
          <w:kern w:val="0"/>
          <w:sz w:val="24"/>
          <w:highlight w:val="none"/>
          <w:u w:val="single"/>
        </w:rPr>
        <w:t>（企业名称）</w:t>
      </w:r>
      <w:r>
        <w:rPr>
          <w:rFonts w:hint="eastAsia" w:ascii="宋体" w:hAnsi="宋体" w:cs="仿宋"/>
          <w:color w:val="auto"/>
          <w:kern w:val="0"/>
          <w:sz w:val="24"/>
          <w:highlight w:val="none"/>
        </w:rPr>
        <w:t>，从业人员___人，营业收入为___万元，资产总额为___万元①，属于</w:t>
      </w:r>
      <w:r>
        <w:rPr>
          <w:rFonts w:hint="eastAsia" w:ascii="宋体" w:hAnsi="宋体" w:cs="仿宋"/>
          <w:color w:val="auto"/>
          <w:kern w:val="0"/>
          <w:sz w:val="24"/>
          <w:highlight w:val="none"/>
          <w:u w:val="single"/>
        </w:rPr>
        <w:t>（中型企业、小型企业、微型企业）</w:t>
      </w:r>
      <w:r>
        <w:rPr>
          <w:rFonts w:hint="eastAsia" w:ascii="宋体" w:hAnsi="宋体" w:cs="仿宋"/>
          <w:color w:val="auto"/>
          <w:kern w:val="0"/>
          <w:sz w:val="24"/>
          <w:highlight w:val="none"/>
        </w:rPr>
        <w:t>；</w:t>
      </w:r>
    </w:p>
    <w:p w14:paraId="5A642A2C">
      <w:pPr>
        <w:spacing w:line="360" w:lineRule="auto"/>
        <w:ind w:firstLine="480" w:firstLineChars="200"/>
        <w:rPr>
          <w:rFonts w:ascii="宋体" w:hAnsi="宋体" w:cs="仿宋"/>
          <w:color w:val="auto"/>
          <w:kern w:val="0"/>
          <w:sz w:val="24"/>
          <w:highlight w:val="none"/>
        </w:rPr>
      </w:pPr>
    </w:p>
    <w:p w14:paraId="48440344">
      <w:pPr>
        <w:spacing w:line="360" w:lineRule="auto"/>
        <w:ind w:firstLine="480" w:firstLineChars="200"/>
        <w:rPr>
          <w:rFonts w:ascii="宋体" w:hAnsi="宋体" w:cs="仿宋"/>
          <w:color w:val="auto"/>
          <w:kern w:val="0"/>
          <w:sz w:val="24"/>
          <w:highlight w:val="none"/>
        </w:rPr>
      </w:pPr>
      <w:r>
        <w:rPr>
          <w:rFonts w:hint="eastAsia" w:ascii="宋体" w:hAnsi="宋体" w:cs="仿宋"/>
          <w:color w:val="auto"/>
          <w:kern w:val="0"/>
          <w:sz w:val="24"/>
          <w:highlight w:val="none"/>
        </w:rPr>
        <w:t>……</w:t>
      </w:r>
    </w:p>
    <w:p w14:paraId="51A90EE2">
      <w:pPr>
        <w:spacing w:line="360" w:lineRule="auto"/>
        <w:ind w:firstLine="480" w:firstLineChars="200"/>
        <w:rPr>
          <w:rFonts w:ascii="宋体" w:hAnsi="宋体" w:cs="仿宋"/>
          <w:color w:val="auto"/>
          <w:kern w:val="0"/>
          <w:sz w:val="24"/>
          <w:highlight w:val="none"/>
        </w:rPr>
      </w:pPr>
      <w:r>
        <w:rPr>
          <w:rFonts w:hint="eastAsia" w:ascii="宋体" w:hAnsi="宋体" w:cs="仿宋"/>
          <w:color w:val="auto"/>
          <w:kern w:val="0"/>
          <w:sz w:val="24"/>
          <w:highlight w:val="none"/>
        </w:rPr>
        <w:t>以上企业，不属于大企业的分支机构，不存在控股股东为大企业的情形，也不存在与大企业的负责人为同一人的情形。</w:t>
      </w:r>
    </w:p>
    <w:p w14:paraId="325D041C">
      <w:pPr>
        <w:spacing w:line="360" w:lineRule="auto"/>
        <w:ind w:firstLine="480" w:firstLineChars="200"/>
        <w:rPr>
          <w:rFonts w:ascii="宋体" w:hAnsi="宋体" w:cs="仿宋"/>
          <w:color w:val="auto"/>
          <w:kern w:val="0"/>
          <w:sz w:val="24"/>
          <w:highlight w:val="none"/>
        </w:rPr>
      </w:pPr>
      <w:r>
        <w:rPr>
          <w:rFonts w:hint="eastAsia" w:ascii="宋体" w:hAnsi="宋体" w:cs="仿宋"/>
          <w:color w:val="auto"/>
          <w:kern w:val="0"/>
          <w:sz w:val="24"/>
          <w:highlight w:val="none"/>
        </w:rPr>
        <w:t>本企业对上述声明内容的真实性负责。如有虚假，将依法承担相应责任。</w:t>
      </w:r>
    </w:p>
    <w:p w14:paraId="022A7116">
      <w:pPr>
        <w:spacing w:line="360" w:lineRule="auto"/>
        <w:ind w:firstLine="5640" w:firstLineChars="2350"/>
        <w:rPr>
          <w:rFonts w:ascii="宋体" w:hAnsi="宋体" w:cs="仿宋"/>
          <w:color w:val="auto"/>
          <w:kern w:val="0"/>
          <w:sz w:val="24"/>
          <w:highlight w:val="none"/>
        </w:rPr>
      </w:pPr>
      <w:r>
        <w:rPr>
          <w:rFonts w:hint="eastAsia" w:ascii="宋体" w:hAnsi="宋体" w:cs="仿宋"/>
          <w:color w:val="auto"/>
          <w:kern w:val="0"/>
          <w:sz w:val="24"/>
          <w:highlight w:val="none"/>
        </w:rPr>
        <w:t>企业名称（盖章）：</w:t>
      </w:r>
    </w:p>
    <w:p w14:paraId="25FEEF22">
      <w:pPr>
        <w:spacing w:line="360" w:lineRule="auto"/>
        <w:ind w:firstLine="5640" w:firstLineChars="2350"/>
        <w:rPr>
          <w:rFonts w:ascii="宋体" w:hAnsi="宋体" w:cs="仿宋"/>
          <w:color w:val="auto"/>
          <w:kern w:val="0"/>
          <w:sz w:val="24"/>
          <w:highlight w:val="none"/>
        </w:rPr>
      </w:pPr>
      <w:r>
        <w:rPr>
          <w:rFonts w:hint="eastAsia" w:ascii="宋体" w:hAnsi="宋体" w:cs="仿宋"/>
          <w:color w:val="auto"/>
          <w:kern w:val="0"/>
          <w:sz w:val="24"/>
          <w:highlight w:val="none"/>
        </w:rPr>
        <w:t>日期：</w:t>
      </w:r>
    </w:p>
    <w:p w14:paraId="4764A4FB">
      <w:pPr>
        <w:spacing w:line="360" w:lineRule="auto"/>
        <w:ind w:firstLine="5640" w:firstLineChars="2350"/>
        <w:rPr>
          <w:rFonts w:ascii="宋体" w:hAnsi="宋体" w:cs="仿宋"/>
          <w:color w:val="auto"/>
          <w:kern w:val="0"/>
          <w:sz w:val="24"/>
          <w:highlight w:val="none"/>
        </w:rPr>
      </w:pPr>
    </w:p>
    <w:p w14:paraId="55E00C18">
      <w:pPr>
        <w:spacing w:line="360" w:lineRule="auto"/>
        <w:ind w:firstLine="5640" w:firstLineChars="2350"/>
        <w:rPr>
          <w:rFonts w:ascii="宋体" w:hAnsi="宋体"/>
          <w:bCs/>
          <w:color w:val="auto"/>
          <w:sz w:val="24"/>
          <w:highlight w:val="none"/>
        </w:rPr>
      </w:pPr>
    </w:p>
    <w:p w14:paraId="458E04D6">
      <w:pPr>
        <w:numPr>
          <w:ilvl w:val="0"/>
          <w:numId w:val="10"/>
        </w:numPr>
        <w:snapToGrid w:val="0"/>
        <w:spacing w:before="50" w:after="50" w:line="360" w:lineRule="auto"/>
        <w:jc w:val="left"/>
        <w:rPr>
          <w:rFonts w:ascii="宋体" w:hAnsi="宋体" w:cs="仿宋"/>
          <w:color w:val="auto"/>
          <w:sz w:val="24"/>
          <w:highlight w:val="none"/>
        </w:rPr>
      </w:pPr>
      <w:r>
        <w:rPr>
          <w:rFonts w:hint="eastAsia" w:ascii="宋体" w:cs="宋体"/>
          <w:color w:val="auto"/>
          <w:kern w:val="0"/>
          <w:sz w:val="18"/>
          <w:szCs w:val="18"/>
          <w:highlight w:val="none"/>
        </w:rPr>
        <w:t>注从业人员、营业收入、资产总额填报上一年度数据，无上一年度数据的新成立企业可不填报。</w:t>
      </w:r>
    </w:p>
    <w:p w14:paraId="3BA257C4">
      <w:pPr>
        <w:spacing w:line="360" w:lineRule="auto"/>
        <w:ind w:firstLine="5600" w:firstLineChars="2000"/>
        <w:rPr>
          <w:rFonts w:ascii="宋体" w:hAnsi="宋体"/>
          <w:color w:val="auto"/>
          <w:sz w:val="28"/>
          <w:szCs w:val="28"/>
          <w:highlight w:val="none"/>
        </w:rPr>
      </w:pPr>
    </w:p>
    <w:p w14:paraId="7A0674B6">
      <w:pPr>
        <w:snapToGrid w:val="0"/>
        <w:spacing w:line="360" w:lineRule="auto"/>
        <w:jc w:val="left"/>
        <w:rPr>
          <w:rFonts w:ascii="宋体" w:hAnsi="宋体"/>
          <w:color w:val="auto"/>
          <w:sz w:val="28"/>
          <w:szCs w:val="28"/>
          <w:highlight w:val="none"/>
        </w:rPr>
      </w:pPr>
    </w:p>
    <w:p w14:paraId="4F14D91E">
      <w:pPr>
        <w:widowControl/>
        <w:jc w:val="left"/>
        <w:rPr>
          <w:rFonts w:ascii="宋体" w:hAnsi="宋体" w:cs="宋体"/>
          <w:color w:val="auto"/>
          <w:sz w:val="24"/>
          <w:szCs w:val="20"/>
          <w:highlight w:val="none"/>
        </w:rPr>
      </w:pPr>
    </w:p>
    <w:p w14:paraId="15649682">
      <w:pPr>
        <w:spacing w:line="360" w:lineRule="auto"/>
        <w:jc w:val="left"/>
        <w:outlineLvl w:val="1"/>
        <w:rPr>
          <w:rFonts w:ascii="宋体" w:hAnsi="宋体" w:cs="宋体"/>
          <w:color w:val="auto"/>
          <w:highlight w:val="none"/>
        </w:rPr>
      </w:pPr>
      <w:r>
        <w:rPr>
          <w:rFonts w:hint="eastAsia" w:hAnsi="宋体" w:cs="宋体"/>
          <w:color w:val="auto"/>
          <w:sz w:val="24"/>
          <w:highlight w:val="none"/>
          <w:u w:val="single"/>
        </w:rPr>
        <w:t>此表必须如实填写，不能留有空格。</w:t>
      </w:r>
    </w:p>
    <w:p w14:paraId="74557011">
      <w:pPr>
        <w:rPr>
          <w:rFonts w:ascii="宋体" w:hAnsi="宋体" w:cs="宋体"/>
          <w:color w:val="auto"/>
          <w:highlight w:val="none"/>
        </w:rPr>
      </w:pPr>
    </w:p>
    <w:p w14:paraId="1F8DCBDB">
      <w:pPr>
        <w:pStyle w:val="36"/>
        <w:ind w:left="402" w:hanging="402"/>
        <w:rPr>
          <w:color w:val="auto"/>
          <w:highlight w:val="none"/>
        </w:rPr>
      </w:pPr>
    </w:p>
    <w:p w14:paraId="1FF198BD">
      <w:pPr>
        <w:pStyle w:val="36"/>
        <w:ind w:left="402" w:hanging="402"/>
        <w:rPr>
          <w:color w:val="auto"/>
          <w:highlight w:val="none"/>
        </w:rPr>
      </w:pPr>
    </w:p>
    <w:p w14:paraId="5CA893B0">
      <w:pPr>
        <w:pStyle w:val="36"/>
        <w:ind w:left="402" w:hanging="402"/>
        <w:rPr>
          <w:color w:val="auto"/>
          <w:highlight w:val="none"/>
        </w:rPr>
      </w:pPr>
    </w:p>
    <w:p w14:paraId="78A6FA67">
      <w:pPr>
        <w:pStyle w:val="36"/>
        <w:ind w:left="402" w:hanging="402"/>
        <w:rPr>
          <w:color w:val="auto"/>
          <w:highlight w:val="none"/>
        </w:rPr>
      </w:pPr>
    </w:p>
    <w:p w14:paraId="4D2617D2">
      <w:pPr>
        <w:pStyle w:val="36"/>
        <w:ind w:left="402" w:hanging="402"/>
        <w:rPr>
          <w:color w:val="auto"/>
          <w:highlight w:val="none"/>
        </w:rPr>
      </w:pPr>
    </w:p>
    <w:p w14:paraId="113B6C6A">
      <w:pPr>
        <w:pStyle w:val="36"/>
        <w:ind w:left="402" w:hanging="402"/>
        <w:rPr>
          <w:color w:val="auto"/>
          <w:highlight w:val="none"/>
        </w:rPr>
      </w:pPr>
    </w:p>
    <w:p w14:paraId="3FFC9F5A">
      <w:pPr>
        <w:pStyle w:val="36"/>
        <w:ind w:left="402" w:hanging="402"/>
        <w:rPr>
          <w:color w:val="auto"/>
          <w:highlight w:val="none"/>
        </w:rPr>
      </w:pPr>
    </w:p>
    <w:p w14:paraId="6C02B50C">
      <w:pPr>
        <w:pStyle w:val="36"/>
        <w:ind w:left="402" w:hanging="402"/>
        <w:rPr>
          <w:color w:val="auto"/>
          <w:highlight w:val="none"/>
        </w:rPr>
      </w:pPr>
    </w:p>
    <w:p w14:paraId="12E04E5B">
      <w:pPr>
        <w:pStyle w:val="36"/>
        <w:ind w:left="402" w:hanging="402"/>
        <w:rPr>
          <w:color w:val="auto"/>
          <w:highlight w:val="none"/>
        </w:rPr>
      </w:pPr>
    </w:p>
    <w:p w14:paraId="552FAFFA">
      <w:pPr>
        <w:pStyle w:val="36"/>
        <w:ind w:left="402" w:hanging="402"/>
        <w:rPr>
          <w:color w:val="auto"/>
          <w:highlight w:val="none"/>
        </w:rPr>
      </w:pPr>
    </w:p>
    <w:p w14:paraId="795F637C">
      <w:pPr>
        <w:spacing w:line="588" w:lineRule="exact"/>
        <w:jc w:val="center"/>
        <w:rPr>
          <w:rFonts w:ascii="宋体" w:hAnsi="宋体"/>
          <w:b/>
          <w:bCs/>
          <w:color w:val="auto"/>
          <w:sz w:val="30"/>
          <w:highlight w:val="none"/>
        </w:rPr>
      </w:pPr>
      <w:r>
        <w:rPr>
          <w:rFonts w:hint="eastAsia" w:ascii="宋体" w:hAnsi="宋体"/>
          <w:b/>
          <w:bCs/>
          <w:color w:val="auto"/>
          <w:sz w:val="30"/>
          <w:highlight w:val="none"/>
        </w:rPr>
        <w:t>残疾人福利性单位声明函</w:t>
      </w:r>
    </w:p>
    <w:p w14:paraId="1A94EF09">
      <w:pPr>
        <w:spacing w:line="588" w:lineRule="exact"/>
        <w:jc w:val="center"/>
        <w:rPr>
          <w:rFonts w:ascii="宋体" w:hAnsi="宋体"/>
          <w:b/>
          <w:color w:val="auto"/>
          <w:spacing w:val="6"/>
          <w:sz w:val="24"/>
          <w:highlight w:val="none"/>
        </w:rPr>
      </w:pPr>
    </w:p>
    <w:p w14:paraId="11A7A661">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85EF98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本单位对上述声明的真实性负责。如有虚假，将依法承担相应责任。</w:t>
      </w:r>
    </w:p>
    <w:p w14:paraId="34E3796D">
      <w:pPr>
        <w:snapToGrid w:val="0"/>
        <w:spacing w:line="360" w:lineRule="auto"/>
        <w:ind w:firstLine="480" w:firstLineChars="200"/>
        <w:rPr>
          <w:rFonts w:ascii="宋体" w:hAnsi="宋体"/>
          <w:color w:val="auto"/>
          <w:sz w:val="24"/>
          <w:highlight w:val="none"/>
        </w:rPr>
      </w:pPr>
    </w:p>
    <w:p w14:paraId="68E813A7">
      <w:pPr>
        <w:spacing w:line="588" w:lineRule="exact"/>
        <w:ind w:firstLine="504" w:firstLineChars="200"/>
        <w:rPr>
          <w:rFonts w:ascii="宋体" w:hAnsi="宋体"/>
          <w:color w:val="auto"/>
          <w:spacing w:val="6"/>
          <w:sz w:val="24"/>
          <w:highlight w:val="none"/>
        </w:rPr>
      </w:pPr>
    </w:p>
    <w:p w14:paraId="2CF7F93E">
      <w:pPr>
        <w:snapToGrid w:val="0"/>
        <w:spacing w:line="360" w:lineRule="auto"/>
        <w:ind w:firstLine="480" w:firstLineChars="200"/>
        <w:jc w:val="right"/>
        <w:rPr>
          <w:rFonts w:ascii="宋体" w:hAnsi="宋体"/>
          <w:color w:val="auto"/>
          <w:sz w:val="24"/>
          <w:highlight w:val="none"/>
        </w:rPr>
      </w:pPr>
      <w:r>
        <w:rPr>
          <w:rFonts w:hint="eastAsia" w:ascii="宋体" w:hAnsi="宋体"/>
          <w:color w:val="auto"/>
          <w:sz w:val="24"/>
          <w:highlight w:val="none"/>
        </w:rPr>
        <w:t xml:space="preserve">      单位名称（盖章）：</w:t>
      </w:r>
    </w:p>
    <w:p w14:paraId="5DE632F6">
      <w:pPr>
        <w:snapToGrid w:val="0"/>
        <w:spacing w:line="360" w:lineRule="auto"/>
        <w:ind w:firstLine="480" w:firstLineChars="200"/>
        <w:jc w:val="right"/>
        <w:rPr>
          <w:rFonts w:ascii="宋体" w:hAnsi="宋体"/>
          <w:color w:val="auto"/>
          <w:sz w:val="24"/>
          <w:highlight w:val="none"/>
        </w:rPr>
      </w:pPr>
      <w:r>
        <w:rPr>
          <w:rFonts w:hint="eastAsia" w:ascii="宋体" w:hAnsi="宋体"/>
          <w:color w:val="auto"/>
          <w:sz w:val="24"/>
          <w:highlight w:val="none"/>
        </w:rPr>
        <w:t xml:space="preserve">       日  期：</w:t>
      </w:r>
    </w:p>
    <w:p w14:paraId="6DE8176F">
      <w:pPr>
        <w:rPr>
          <w:rFonts w:ascii="宋体" w:hAnsi="宋体"/>
          <w:color w:val="auto"/>
          <w:sz w:val="24"/>
          <w:highlight w:val="none"/>
        </w:rPr>
      </w:pPr>
    </w:p>
    <w:p w14:paraId="589C6271">
      <w:pPr>
        <w:rPr>
          <w:rFonts w:ascii="宋体" w:hAnsi="宋体"/>
          <w:color w:val="auto"/>
          <w:sz w:val="24"/>
          <w:highlight w:val="none"/>
        </w:rPr>
      </w:pPr>
    </w:p>
    <w:p w14:paraId="2097A9AD">
      <w:pPr>
        <w:pStyle w:val="8"/>
        <w:spacing w:line="500" w:lineRule="exact"/>
        <w:ind w:firstLine="0"/>
        <w:rPr>
          <w:rFonts w:ascii="宋体" w:hAnsi="宋体"/>
          <w:color w:val="auto"/>
          <w:szCs w:val="24"/>
          <w:highlight w:val="none"/>
        </w:rPr>
      </w:pPr>
    </w:p>
    <w:p w14:paraId="58D154C5">
      <w:pPr>
        <w:pStyle w:val="8"/>
        <w:spacing w:line="500" w:lineRule="exact"/>
        <w:ind w:firstLine="0"/>
        <w:rPr>
          <w:rFonts w:ascii="宋体" w:hAnsi="宋体"/>
          <w:color w:val="auto"/>
          <w:szCs w:val="24"/>
          <w:highlight w:val="none"/>
        </w:rPr>
      </w:pPr>
    </w:p>
    <w:p w14:paraId="7A6E63B0">
      <w:pPr>
        <w:snapToGrid w:val="0"/>
        <w:spacing w:before="50"/>
        <w:jc w:val="center"/>
        <w:rPr>
          <w:rFonts w:ascii="宋体" w:hAnsi="宋体"/>
          <w:b/>
          <w:color w:val="auto"/>
          <w:spacing w:val="40"/>
          <w:kern w:val="0"/>
          <w:sz w:val="24"/>
          <w:highlight w:val="none"/>
        </w:rPr>
      </w:pPr>
    </w:p>
    <w:p w14:paraId="1DC738B1">
      <w:pPr>
        <w:snapToGrid w:val="0"/>
        <w:spacing w:before="50"/>
        <w:rPr>
          <w:rFonts w:ascii="宋体" w:hAnsi="宋体"/>
          <w:b/>
          <w:color w:val="auto"/>
          <w:spacing w:val="40"/>
          <w:kern w:val="0"/>
          <w:sz w:val="24"/>
          <w:highlight w:val="none"/>
        </w:rPr>
      </w:pPr>
      <w:r>
        <w:rPr>
          <w:rFonts w:hint="eastAsia" w:ascii="宋体" w:hAnsi="宋体"/>
          <w:color w:val="auto"/>
          <w:sz w:val="24"/>
          <w:highlight w:val="none"/>
          <w:u w:val="single"/>
        </w:rPr>
        <w:t>注：若不是残疾人福利性单位，请勿填写此表。</w:t>
      </w:r>
    </w:p>
    <w:p w14:paraId="3B6E9605">
      <w:pPr>
        <w:rPr>
          <w:rFonts w:ascii="宋体" w:hAnsi="宋体"/>
          <w:color w:val="auto"/>
          <w:sz w:val="24"/>
          <w:highlight w:val="none"/>
        </w:rPr>
      </w:pPr>
    </w:p>
    <w:p w14:paraId="1DE154D4">
      <w:pPr>
        <w:pStyle w:val="20"/>
        <w:rPr>
          <w:color w:val="auto"/>
          <w:highlight w:val="none"/>
        </w:rPr>
      </w:pPr>
    </w:p>
    <w:p w14:paraId="59191796">
      <w:pPr>
        <w:pStyle w:val="20"/>
        <w:rPr>
          <w:color w:val="auto"/>
          <w:highlight w:val="none"/>
        </w:rPr>
      </w:pPr>
    </w:p>
    <w:p w14:paraId="5C317C86">
      <w:pPr>
        <w:pStyle w:val="20"/>
        <w:rPr>
          <w:color w:val="auto"/>
          <w:highlight w:val="none"/>
        </w:rPr>
      </w:pPr>
    </w:p>
    <w:p w14:paraId="33948CFB">
      <w:pPr>
        <w:pStyle w:val="20"/>
        <w:rPr>
          <w:color w:val="auto"/>
          <w:highlight w:val="none"/>
        </w:rPr>
      </w:pPr>
    </w:p>
    <w:p w14:paraId="1B95813A">
      <w:pPr>
        <w:pStyle w:val="20"/>
        <w:rPr>
          <w:color w:val="auto"/>
          <w:highlight w:val="none"/>
        </w:rPr>
      </w:pPr>
    </w:p>
    <w:p w14:paraId="6B3399C9">
      <w:pPr>
        <w:pStyle w:val="20"/>
        <w:rPr>
          <w:color w:val="auto"/>
          <w:highlight w:val="none"/>
        </w:rPr>
      </w:pPr>
    </w:p>
    <w:p w14:paraId="581E6598">
      <w:pPr>
        <w:rPr>
          <w:color w:val="auto"/>
          <w:highlight w:val="none"/>
        </w:rPr>
      </w:pPr>
    </w:p>
    <w:p w14:paraId="4C8F57B3">
      <w:pPr>
        <w:pStyle w:val="23"/>
        <w:spacing w:before="120"/>
        <w:rPr>
          <w:color w:val="auto"/>
          <w:highlight w:val="none"/>
        </w:rPr>
      </w:pPr>
    </w:p>
    <w:p w14:paraId="3C9B25F4">
      <w:pPr>
        <w:pStyle w:val="35"/>
        <w:rPr>
          <w:color w:val="auto"/>
          <w:highlight w:val="none"/>
        </w:rPr>
      </w:pPr>
    </w:p>
    <w:p w14:paraId="579DBB45">
      <w:pPr>
        <w:rPr>
          <w:color w:val="auto"/>
          <w:highlight w:val="none"/>
        </w:rPr>
      </w:pPr>
    </w:p>
    <w:p w14:paraId="515D6FAC">
      <w:pPr>
        <w:widowControl/>
        <w:spacing w:line="360" w:lineRule="auto"/>
        <w:ind w:right="60"/>
        <w:rPr>
          <w:rFonts w:ascii="宋体" w:hAnsi="宋体" w:cs="仿宋"/>
          <w:color w:val="auto"/>
          <w:sz w:val="24"/>
          <w:highlight w:val="none"/>
        </w:rPr>
      </w:pPr>
      <w:r>
        <w:rPr>
          <w:rFonts w:hint="eastAsia" w:ascii="宋体" w:hAnsi="宋体" w:cs="Arial"/>
          <w:color w:val="auto"/>
          <w:kern w:val="0"/>
          <w:sz w:val="24"/>
          <w:highlight w:val="none"/>
        </w:rPr>
        <w:t>12.</w:t>
      </w:r>
      <w:r>
        <w:rPr>
          <w:rFonts w:hint="eastAsia" w:ascii="宋体" w:hAnsi="宋体" w:cs="仿宋"/>
          <w:color w:val="auto"/>
          <w:sz w:val="24"/>
          <w:highlight w:val="none"/>
        </w:rPr>
        <w:t>联合体各方共同招标协议或分包意向协议（如有，格式自拟）</w:t>
      </w:r>
    </w:p>
    <w:p w14:paraId="0763DBBA">
      <w:pPr>
        <w:ind w:firstLine="5140" w:firstLineChars="1600"/>
        <w:rPr>
          <w:rFonts w:ascii="仿宋" w:hAnsi="仿宋" w:eastAsia="仿宋" w:cs="仿宋"/>
          <w:b/>
          <w:color w:val="auto"/>
          <w:kern w:val="0"/>
          <w:sz w:val="32"/>
          <w:szCs w:val="32"/>
          <w:highlight w:val="none"/>
        </w:rPr>
      </w:pPr>
    </w:p>
    <w:p w14:paraId="15036109">
      <w:pPr>
        <w:ind w:firstLine="5140" w:firstLineChars="1600"/>
        <w:rPr>
          <w:rFonts w:ascii="仿宋" w:hAnsi="仿宋" w:eastAsia="仿宋" w:cs="仿宋"/>
          <w:b/>
          <w:color w:val="auto"/>
          <w:kern w:val="0"/>
          <w:sz w:val="32"/>
          <w:szCs w:val="32"/>
          <w:highlight w:val="none"/>
        </w:rPr>
      </w:pPr>
    </w:p>
    <w:p w14:paraId="58D1B5DF">
      <w:pPr>
        <w:pStyle w:val="2"/>
        <w:rPr>
          <w:color w:val="auto"/>
          <w:highlight w:val="none"/>
        </w:rPr>
      </w:pPr>
    </w:p>
    <w:p w14:paraId="26153537">
      <w:pPr>
        <w:snapToGrid w:val="0"/>
        <w:spacing w:line="360" w:lineRule="auto"/>
        <w:jc w:val="left"/>
        <w:rPr>
          <w:rFonts w:ascii="宋体" w:hAnsi="宋体"/>
          <w:color w:val="auto"/>
          <w:sz w:val="24"/>
          <w:highlight w:val="none"/>
        </w:rPr>
      </w:pPr>
      <w:r>
        <w:rPr>
          <w:rFonts w:hint="eastAsia" w:ascii="宋体" w:hAnsi="宋体"/>
          <w:color w:val="auto"/>
          <w:sz w:val="24"/>
          <w:highlight w:val="none"/>
        </w:rPr>
        <w:t>13.公安部门颁发的有效的《保安服务许可证》复印件</w:t>
      </w:r>
    </w:p>
    <w:p w14:paraId="7B67989B">
      <w:pPr>
        <w:pStyle w:val="2"/>
        <w:rPr>
          <w:color w:val="auto"/>
          <w:highlight w:val="none"/>
        </w:rPr>
      </w:pPr>
    </w:p>
    <w:p w14:paraId="2155E1C9">
      <w:pPr>
        <w:snapToGrid w:val="0"/>
        <w:spacing w:line="360" w:lineRule="auto"/>
        <w:jc w:val="center"/>
        <w:outlineLvl w:val="1"/>
        <w:rPr>
          <w:rFonts w:ascii="宋体" w:hAnsi="宋体"/>
          <w:b/>
          <w:bCs/>
          <w:color w:val="auto"/>
          <w:sz w:val="24"/>
          <w:highlight w:val="none"/>
        </w:rPr>
      </w:pPr>
    </w:p>
    <w:p w14:paraId="5C498426">
      <w:pPr>
        <w:snapToGrid w:val="0"/>
        <w:spacing w:line="360" w:lineRule="auto"/>
        <w:jc w:val="center"/>
        <w:outlineLvl w:val="1"/>
        <w:rPr>
          <w:rFonts w:ascii="宋体" w:hAnsi="宋体"/>
          <w:b/>
          <w:bCs/>
          <w:color w:val="auto"/>
          <w:sz w:val="24"/>
          <w:highlight w:val="none"/>
        </w:rPr>
      </w:pPr>
      <w:r>
        <w:rPr>
          <w:rFonts w:hint="eastAsia" w:ascii="宋体" w:hAnsi="宋体"/>
          <w:b/>
          <w:bCs/>
          <w:color w:val="auto"/>
          <w:sz w:val="24"/>
          <w:highlight w:val="none"/>
        </w:rPr>
        <w:t>二、技术/资信/商务文件格式</w:t>
      </w:r>
    </w:p>
    <w:p w14:paraId="1AA8E662">
      <w:pPr>
        <w:snapToGrid w:val="0"/>
        <w:spacing w:line="360" w:lineRule="auto"/>
        <w:jc w:val="center"/>
        <w:rPr>
          <w:rFonts w:ascii="宋体" w:hAnsi="宋体"/>
          <w:color w:val="auto"/>
          <w:sz w:val="24"/>
          <w:szCs w:val="20"/>
          <w:highlight w:val="none"/>
        </w:rPr>
      </w:pPr>
    </w:p>
    <w:p w14:paraId="2D925622">
      <w:pPr>
        <w:snapToGrid w:val="0"/>
        <w:spacing w:line="360" w:lineRule="auto"/>
        <w:rPr>
          <w:rFonts w:ascii="宋体" w:hAnsi="宋体"/>
          <w:color w:val="auto"/>
          <w:sz w:val="24"/>
          <w:szCs w:val="20"/>
          <w:highlight w:val="none"/>
        </w:rPr>
      </w:pPr>
      <w:r>
        <w:rPr>
          <w:rFonts w:hint="eastAsia" w:ascii="宋体" w:hAnsi="宋体"/>
          <w:color w:val="auto"/>
          <w:sz w:val="24"/>
          <w:highlight w:val="none"/>
        </w:rPr>
        <w:t>14.技术/资信/商务文件封面格式：</w:t>
      </w:r>
    </w:p>
    <w:p w14:paraId="61D32E37">
      <w:pPr>
        <w:snapToGrid w:val="0"/>
        <w:spacing w:line="360" w:lineRule="auto"/>
        <w:jc w:val="center"/>
        <w:rPr>
          <w:rFonts w:ascii="宋体" w:hAnsi="宋体"/>
          <w:bCs/>
          <w:color w:val="auto"/>
          <w:sz w:val="24"/>
          <w:szCs w:val="20"/>
          <w:highlight w:val="none"/>
        </w:rPr>
      </w:pPr>
    </w:p>
    <w:p w14:paraId="5BA5B06E">
      <w:pPr>
        <w:snapToGrid w:val="0"/>
        <w:spacing w:line="360" w:lineRule="auto"/>
        <w:jc w:val="center"/>
        <w:rPr>
          <w:rFonts w:ascii="宋体" w:hAnsi="宋体"/>
          <w:bCs/>
          <w:color w:val="auto"/>
          <w:sz w:val="24"/>
          <w:szCs w:val="20"/>
          <w:highlight w:val="none"/>
        </w:rPr>
      </w:pPr>
      <w:r>
        <w:rPr>
          <w:rFonts w:hint="eastAsia" w:ascii="宋体" w:hAnsi="宋体"/>
          <w:bCs/>
          <w:color w:val="auto"/>
          <w:sz w:val="24"/>
          <w:highlight w:val="none"/>
        </w:rPr>
        <w:t>技术/资信/商务文件</w:t>
      </w:r>
    </w:p>
    <w:p w14:paraId="2CE5FF9B">
      <w:pPr>
        <w:snapToGrid w:val="0"/>
        <w:spacing w:line="360" w:lineRule="auto"/>
        <w:rPr>
          <w:rFonts w:ascii="宋体" w:hAnsi="宋体"/>
          <w:bCs/>
          <w:color w:val="auto"/>
          <w:sz w:val="24"/>
          <w:szCs w:val="20"/>
          <w:highlight w:val="none"/>
        </w:rPr>
      </w:pPr>
    </w:p>
    <w:p w14:paraId="062A8C2D">
      <w:pPr>
        <w:snapToGrid w:val="0"/>
        <w:spacing w:line="360" w:lineRule="auto"/>
        <w:ind w:left="1918" w:leftChars="456" w:hanging="960" w:hangingChars="400"/>
        <w:rPr>
          <w:rFonts w:hint="eastAsia" w:ascii="宋体" w:hAnsi="宋体" w:eastAsia="宋体"/>
          <w:bCs/>
          <w:color w:val="auto"/>
          <w:sz w:val="24"/>
          <w:szCs w:val="20"/>
          <w:highlight w:val="none"/>
          <w:lang w:eastAsia="zh-CN"/>
        </w:rPr>
      </w:pPr>
      <w:r>
        <w:rPr>
          <w:rFonts w:hint="eastAsia" w:ascii="宋体" w:hAnsi="宋体"/>
          <w:bCs/>
          <w:color w:val="auto"/>
          <w:sz w:val="24"/>
          <w:highlight w:val="none"/>
        </w:rPr>
        <w:t>项目名称：</w:t>
      </w:r>
      <w:r>
        <w:rPr>
          <w:rFonts w:hint="eastAsia" w:ascii="宋体" w:hAnsi="宋体"/>
          <w:color w:val="auto"/>
          <w:spacing w:val="-20"/>
          <w:sz w:val="24"/>
          <w:highlight w:val="none"/>
          <w:lang w:eastAsia="zh-CN"/>
        </w:rPr>
        <w:t>湖州市中心医院安防服务招标项目</w:t>
      </w:r>
    </w:p>
    <w:p w14:paraId="0F12852D">
      <w:pPr>
        <w:snapToGrid w:val="0"/>
        <w:spacing w:line="360" w:lineRule="auto"/>
        <w:ind w:firstLine="960" w:firstLineChars="400"/>
        <w:rPr>
          <w:rFonts w:hint="eastAsia" w:ascii="宋体" w:hAnsi="宋体" w:eastAsia="宋体"/>
          <w:bCs/>
          <w:color w:val="auto"/>
          <w:sz w:val="24"/>
          <w:szCs w:val="20"/>
          <w:highlight w:val="none"/>
          <w:lang w:eastAsia="zh-CN"/>
        </w:rPr>
      </w:pPr>
      <w:r>
        <w:rPr>
          <w:rFonts w:hint="eastAsia" w:ascii="宋体" w:hAnsi="宋体"/>
          <w:bCs/>
          <w:color w:val="auto"/>
          <w:sz w:val="24"/>
          <w:highlight w:val="none"/>
        </w:rPr>
        <w:t>项目编号：</w:t>
      </w:r>
      <w:r>
        <w:rPr>
          <w:rFonts w:hint="eastAsia" w:ascii="宋体" w:hAnsi="宋体"/>
          <w:color w:val="auto"/>
          <w:sz w:val="24"/>
          <w:highlight w:val="none"/>
          <w:lang w:eastAsia="zh-CN"/>
        </w:rPr>
        <w:t>HYHZ2025-33</w:t>
      </w:r>
    </w:p>
    <w:p w14:paraId="544A0097">
      <w:pPr>
        <w:pStyle w:val="8"/>
        <w:snapToGrid w:val="0"/>
        <w:spacing w:line="360" w:lineRule="auto"/>
        <w:ind w:firstLine="998" w:firstLineChars="416"/>
        <w:rPr>
          <w:rFonts w:ascii="宋体" w:hAnsi="宋体"/>
          <w:bCs/>
          <w:color w:val="auto"/>
          <w:sz w:val="24"/>
          <w:szCs w:val="24"/>
          <w:highlight w:val="none"/>
        </w:rPr>
      </w:pPr>
      <w:r>
        <w:rPr>
          <w:rFonts w:hint="eastAsia" w:ascii="宋体" w:hAnsi="宋体"/>
          <w:bCs/>
          <w:color w:val="auto"/>
          <w:sz w:val="24"/>
          <w:szCs w:val="24"/>
          <w:highlight w:val="none"/>
        </w:rPr>
        <w:t>投标人名称：</w:t>
      </w:r>
    </w:p>
    <w:p w14:paraId="02820628">
      <w:pPr>
        <w:pStyle w:val="8"/>
        <w:snapToGrid w:val="0"/>
        <w:spacing w:line="360" w:lineRule="auto"/>
        <w:ind w:firstLine="998" w:firstLineChars="416"/>
        <w:rPr>
          <w:rFonts w:ascii="宋体" w:hAnsi="宋体"/>
          <w:bCs/>
          <w:color w:val="auto"/>
          <w:sz w:val="24"/>
          <w:szCs w:val="24"/>
          <w:highlight w:val="none"/>
        </w:rPr>
      </w:pPr>
      <w:r>
        <w:rPr>
          <w:rFonts w:hint="eastAsia" w:ascii="宋体" w:hAnsi="宋体"/>
          <w:bCs/>
          <w:color w:val="auto"/>
          <w:sz w:val="24"/>
          <w:szCs w:val="24"/>
          <w:highlight w:val="none"/>
        </w:rPr>
        <w:t>投标人地址：</w:t>
      </w:r>
    </w:p>
    <w:p w14:paraId="53E5C717">
      <w:pPr>
        <w:snapToGrid w:val="0"/>
        <w:spacing w:line="360" w:lineRule="auto"/>
        <w:ind w:firstLine="645"/>
        <w:jc w:val="center"/>
        <w:rPr>
          <w:rFonts w:ascii="宋体" w:hAnsi="宋体"/>
          <w:color w:val="auto"/>
          <w:sz w:val="24"/>
          <w:highlight w:val="none"/>
        </w:rPr>
      </w:pPr>
      <w:r>
        <w:rPr>
          <w:rFonts w:hint="eastAsia" w:ascii="宋体" w:hAnsi="宋体"/>
          <w:color w:val="auto"/>
          <w:sz w:val="24"/>
          <w:highlight w:val="none"/>
        </w:rPr>
        <w:t>年月日</w:t>
      </w:r>
    </w:p>
    <w:p w14:paraId="55283469">
      <w:pPr>
        <w:snapToGrid w:val="0"/>
        <w:spacing w:line="360" w:lineRule="auto"/>
        <w:ind w:firstLine="645"/>
        <w:jc w:val="center"/>
        <w:rPr>
          <w:rFonts w:ascii="宋体" w:hAnsi="宋体"/>
          <w:color w:val="auto"/>
          <w:sz w:val="24"/>
          <w:highlight w:val="none"/>
        </w:rPr>
      </w:pPr>
    </w:p>
    <w:p w14:paraId="3A6F6A0D">
      <w:pPr>
        <w:pStyle w:val="2"/>
        <w:rPr>
          <w:color w:val="auto"/>
          <w:highlight w:val="none"/>
        </w:rPr>
      </w:pPr>
    </w:p>
    <w:p w14:paraId="28DFF2A3">
      <w:pPr>
        <w:snapToGrid w:val="0"/>
        <w:spacing w:line="360" w:lineRule="auto"/>
        <w:rPr>
          <w:rFonts w:ascii="宋体" w:hAnsi="宋体"/>
          <w:color w:val="auto"/>
          <w:sz w:val="24"/>
          <w:highlight w:val="none"/>
        </w:rPr>
      </w:pPr>
      <w:r>
        <w:rPr>
          <w:rFonts w:hint="eastAsia" w:ascii="宋体" w:hAnsi="宋体"/>
          <w:color w:val="auto"/>
          <w:sz w:val="24"/>
          <w:highlight w:val="none"/>
        </w:rPr>
        <w:t>15.</w:t>
      </w:r>
      <w:r>
        <w:rPr>
          <w:rFonts w:hint="eastAsia" w:ascii="宋体" w:hAnsi="宋体"/>
          <w:b/>
          <w:bCs/>
          <w:color w:val="auto"/>
          <w:sz w:val="24"/>
          <w:highlight w:val="none"/>
        </w:rPr>
        <w:t>技术/资信/商务文件目录</w:t>
      </w:r>
    </w:p>
    <w:p w14:paraId="33807E05">
      <w:pPr>
        <w:snapToGrid w:val="0"/>
        <w:spacing w:line="360" w:lineRule="auto"/>
        <w:rPr>
          <w:rFonts w:ascii="宋体" w:hAnsi="宋体"/>
          <w:color w:val="auto"/>
          <w:sz w:val="24"/>
          <w:highlight w:val="none"/>
        </w:rPr>
      </w:pPr>
      <w:r>
        <w:rPr>
          <w:rFonts w:hint="eastAsia" w:ascii="宋体" w:hAnsi="宋体"/>
          <w:color w:val="auto"/>
          <w:sz w:val="24"/>
          <w:highlight w:val="none"/>
        </w:rPr>
        <w:t>技术：</w:t>
      </w:r>
    </w:p>
    <w:p w14:paraId="04083D19">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w:t>
      </w:r>
      <w:r>
        <w:rPr>
          <w:rFonts w:ascii="宋体" w:hAnsi="宋体"/>
          <w:color w:val="auto"/>
          <w:sz w:val="24"/>
          <w:highlight w:val="none"/>
        </w:rPr>
        <w:t>1</w:t>
      </w:r>
      <w:r>
        <w:rPr>
          <w:rFonts w:hint="eastAsia" w:ascii="宋体" w:hAnsi="宋体"/>
          <w:color w:val="auto"/>
          <w:sz w:val="24"/>
          <w:highlight w:val="none"/>
        </w:rPr>
        <w:t>）技术方案————————（页码）</w:t>
      </w:r>
    </w:p>
    <w:p w14:paraId="077C4FB3">
      <w:pPr>
        <w:snapToGrid w:val="0"/>
        <w:spacing w:line="360" w:lineRule="auto"/>
        <w:jc w:val="left"/>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2</w:t>
      </w:r>
      <w:r>
        <w:rPr>
          <w:rFonts w:hint="eastAsia" w:ascii="宋体" w:hAnsi="宋体"/>
          <w:color w:val="auto"/>
          <w:sz w:val="24"/>
          <w:highlight w:val="none"/>
        </w:rPr>
        <w:t>）</w:t>
      </w:r>
      <w:r>
        <w:rPr>
          <w:rFonts w:hint="eastAsia" w:hAnsi="宋体" w:cs="宋体"/>
          <w:color w:val="auto"/>
          <w:sz w:val="24"/>
          <w:highlight w:val="none"/>
        </w:rPr>
        <w:t>质量保证与质量控制措施</w:t>
      </w:r>
      <w:r>
        <w:rPr>
          <w:rFonts w:hint="eastAsia" w:ascii="宋体" w:hAnsi="宋体"/>
          <w:color w:val="auto"/>
          <w:sz w:val="24"/>
          <w:highlight w:val="none"/>
        </w:rPr>
        <w:t>————————</w:t>
      </w:r>
    </w:p>
    <w:p w14:paraId="40B62043">
      <w:pPr>
        <w:snapToGrid w:val="0"/>
        <w:spacing w:line="360" w:lineRule="auto"/>
        <w:jc w:val="left"/>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3</w:t>
      </w:r>
      <w:r>
        <w:rPr>
          <w:rFonts w:hint="eastAsia" w:ascii="宋体" w:hAnsi="宋体"/>
          <w:color w:val="auto"/>
          <w:sz w:val="24"/>
          <w:highlight w:val="none"/>
        </w:rPr>
        <w:t>）应急处理预案————————</w:t>
      </w:r>
    </w:p>
    <w:p w14:paraId="2854914B">
      <w:pPr>
        <w:pStyle w:val="2"/>
        <w:rPr>
          <w:color w:val="auto"/>
          <w:highlight w:val="none"/>
        </w:rPr>
      </w:pPr>
      <w:r>
        <w:rPr>
          <w:rFonts w:hint="eastAsia" w:ascii="宋体" w:hAnsi="宋体"/>
          <w:color w:val="auto"/>
          <w:sz w:val="24"/>
          <w:highlight w:val="none"/>
        </w:rPr>
        <w:t>（</w:t>
      </w:r>
      <w:r>
        <w:rPr>
          <w:rFonts w:ascii="宋体" w:hAnsi="宋体"/>
          <w:color w:val="auto"/>
          <w:sz w:val="24"/>
          <w:highlight w:val="none"/>
        </w:rPr>
        <w:t>4</w:t>
      </w:r>
      <w:r>
        <w:rPr>
          <w:rFonts w:hint="eastAsia" w:ascii="宋体" w:hAnsi="宋体"/>
          <w:color w:val="auto"/>
          <w:sz w:val="24"/>
          <w:highlight w:val="none"/>
        </w:rPr>
        <w:t>）</w:t>
      </w:r>
      <w:r>
        <w:rPr>
          <w:rFonts w:hint="eastAsia" w:ascii="宋体" w:hAnsi="宋体" w:cs="宋体"/>
          <w:color w:val="auto"/>
          <w:sz w:val="24"/>
          <w:highlight w:val="none"/>
        </w:rPr>
        <w:t>重点问题和难点分析</w:t>
      </w:r>
      <w:r>
        <w:rPr>
          <w:rFonts w:hint="eastAsia" w:ascii="宋体" w:hAnsi="宋体"/>
          <w:color w:val="auto"/>
          <w:sz w:val="24"/>
          <w:highlight w:val="none"/>
        </w:rPr>
        <w:t>————————</w:t>
      </w:r>
    </w:p>
    <w:p w14:paraId="0C7E28F6">
      <w:pPr>
        <w:snapToGrid w:val="0"/>
        <w:spacing w:line="360" w:lineRule="auto"/>
        <w:jc w:val="left"/>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5</w:t>
      </w:r>
      <w:r>
        <w:rPr>
          <w:rFonts w:hint="eastAsia" w:ascii="宋体" w:hAnsi="宋体"/>
          <w:color w:val="auto"/>
          <w:sz w:val="24"/>
          <w:highlight w:val="none"/>
        </w:rPr>
        <w:t>）质量保证与质量控制措施————</w:t>
      </w:r>
    </w:p>
    <w:p w14:paraId="0BDFD22B">
      <w:pPr>
        <w:snapToGrid w:val="0"/>
        <w:spacing w:line="360" w:lineRule="auto"/>
        <w:jc w:val="left"/>
        <w:rPr>
          <w:rFonts w:ascii="宋体" w:hAnsi="宋体"/>
          <w:color w:val="auto"/>
          <w:sz w:val="24"/>
          <w:highlight w:val="none"/>
        </w:rPr>
      </w:pPr>
      <w:r>
        <w:rPr>
          <w:rFonts w:hint="eastAsia" w:ascii="宋体" w:hAnsi="宋体"/>
          <w:color w:val="auto"/>
          <w:sz w:val="24"/>
          <w:highlight w:val="none"/>
        </w:rPr>
        <w:t>（6）安全措施、文明服务计划和承诺————————</w:t>
      </w:r>
    </w:p>
    <w:p w14:paraId="3643EBF6">
      <w:pPr>
        <w:snapToGrid w:val="0"/>
        <w:spacing w:line="360" w:lineRule="auto"/>
        <w:jc w:val="left"/>
        <w:rPr>
          <w:rFonts w:hAnsi="宋体" w:cs="宋体"/>
          <w:color w:val="auto"/>
          <w:sz w:val="24"/>
          <w:highlight w:val="none"/>
        </w:rPr>
      </w:pPr>
      <w:r>
        <w:rPr>
          <w:rFonts w:hint="eastAsia" w:ascii="宋体" w:hAnsi="宋体"/>
          <w:color w:val="auto"/>
          <w:sz w:val="24"/>
          <w:highlight w:val="none"/>
        </w:rPr>
        <w:t>（7）项目实施人员一览表————————</w:t>
      </w:r>
    </w:p>
    <w:p w14:paraId="6BB2E06F">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（8）投标人对本项目的合理化建议和改进措施————————</w:t>
      </w:r>
    </w:p>
    <w:p w14:paraId="78899EC1">
      <w:pPr>
        <w:snapToGrid w:val="0"/>
        <w:spacing w:line="360" w:lineRule="auto"/>
        <w:jc w:val="left"/>
        <w:rPr>
          <w:rFonts w:ascii="宋体" w:hAnsi="宋体"/>
          <w:color w:val="auto"/>
          <w:sz w:val="24"/>
          <w:highlight w:val="none"/>
        </w:rPr>
      </w:pPr>
      <w:r>
        <w:rPr>
          <w:rFonts w:hint="eastAsia" w:ascii="宋体" w:hAnsi="宋体"/>
          <w:color w:val="auto"/>
          <w:sz w:val="24"/>
          <w:highlight w:val="none"/>
        </w:rPr>
        <w:t>（9</w:t>
      </w:r>
      <w:r>
        <w:rPr>
          <w:rFonts w:ascii="宋体" w:hAnsi="宋体"/>
          <w:color w:val="auto"/>
          <w:sz w:val="24"/>
          <w:highlight w:val="none"/>
        </w:rPr>
        <w:t>）投标人需要说明的其他文件和说明</w:t>
      </w:r>
      <w:r>
        <w:rPr>
          <w:rFonts w:hint="eastAsia" w:ascii="宋体" w:hAnsi="宋体"/>
          <w:color w:val="auto"/>
          <w:sz w:val="24"/>
          <w:highlight w:val="none"/>
        </w:rPr>
        <w:t>————————</w:t>
      </w:r>
    </w:p>
    <w:p w14:paraId="5B6B0592">
      <w:pPr>
        <w:snapToGrid w:val="0"/>
        <w:spacing w:line="360" w:lineRule="auto"/>
        <w:rPr>
          <w:rFonts w:ascii="宋体" w:hAnsi="宋体"/>
          <w:color w:val="auto"/>
          <w:sz w:val="24"/>
          <w:highlight w:val="none"/>
        </w:rPr>
      </w:pPr>
      <w:r>
        <w:rPr>
          <w:rFonts w:hint="eastAsia" w:ascii="宋体" w:hAnsi="宋体"/>
          <w:color w:val="auto"/>
          <w:sz w:val="24"/>
          <w:highlight w:val="none"/>
        </w:rPr>
        <w:t>资信：</w:t>
      </w:r>
    </w:p>
    <w:p w14:paraId="173E839A">
      <w:pPr>
        <w:snapToGrid w:val="0"/>
        <w:spacing w:line="360" w:lineRule="auto"/>
        <w:jc w:val="left"/>
        <w:rPr>
          <w:rFonts w:ascii="宋体" w:hAnsi="宋体"/>
          <w:color w:val="auto"/>
          <w:sz w:val="24"/>
          <w:highlight w:val="none"/>
        </w:rPr>
      </w:pPr>
      <w:r>
        <w:rPr>
          <w:rFonts w:hint="eastAsia" w:ascii="宋体" w:hAnsi="宋体"/>
          <w:color w:val="auto"/>
          <w:sz w:val="24"/>
          <w:highlight w:val="none"/>
        </w:rPr>
        <w:t>（10）类似成功案例的业绩证明（投标人同类项目实施情况一览表、合同复印件）————————</w:t>
      </w:r>
    </w:p>
    <w:p w14:paraId="7721E6AD">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w:t>
      </w:r>
      <w:r>
        <w:rPr>
          <w:rFonts w:ascii="宋体" w:hAnsi="宋体"/>
          <w:color w:val="auto"/>
          <w:sz w:val="24"/>
          <w:highlight w:val="none"/>
        </w:rPr>
        <w:t>1</w:t>
      </w:r>
      <w:r>
        <w:rPr>
          <w:rFonts w:hint="eastAsia" w:ascii="宋体" w:hAnsi="宋体"/>
          <w:color w:val="auto"/>
          <w:sz w:val="24"/>
          <w:highlight w:val="none"/>
        </w:rPr>
        <w:t>1）</w:t>
      </w:r>
      <w:r>
        <w:rPr>
          <w:rFonts w:hint="eastAsia" w:hAnsi="宋体" w:cs="宋体"/>
          <w:color w:val="auto"/>
          <w:sz w:val="24"/>
          <w:highlight w:val="none"/>
        </w:rPr>
        <w:t>政策分证明材料</w:t>
      </w:r>
      <w:r>
        <w:rPr>
          <w:rFonts w:hint="eastAsia" w:ascii="宋体" w:hAnsi="宋体"/>
          <w:color w:val="auto"/>
          <w:sz w:val="24"/>
          <w:highlight w:val="none"/>
        </w:rPr>
        <w:t>————————</w:t>
      </w:r>
    </w:p>
    <w:p w14:paraId="3CB378C2">
      <w:pPr>
        <w:snapToGrid w:val="0"/>
        <w:spacing w:line="360" w:lineRule="auto"/>
        <w:jc w:val="left"/>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1</w:t>
      </w:r>
      <w:r>
        <w:rPr>
          <w:rFonts w:hint="eastAsia" w:ascii="宋体" w:hAnsi="宋体"/>
          <w:color w:val="auto"/>
          <w:sz w:val="24"/>
          <w:highlight w:val="none"/>
        </w:rPr>
        <w:t>2）权威认证证书————————</w:t>
      </w:r>
    </w:p>
    <w:p w14:paraId="4665B282">
      <w:pPr>
        <w:pStyle w:val="2"/>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1</w:t>
      </w:r>
      <w:r>
        <w:rPr>
          <w:rFonts w:hint="eastAsia" w:ascii="宋体" w:hAnsi="宋体"/>
          <w:color w:val="auto"/>
          <w:sz w:val="24"/>
          <w:highlight w:val="none"/>
        </w:rPr>
        <w:t>3）</w:t>
      </w:r>
      <w:r>
        <w:rPr>
          <w:rFonts w:hint="eastAsia" w:hAnsi="宋体" w:cs="宋体"/>
          <w:color w:val="auto"/>
          <w:sz w:val="24"/>
          <w:szCs w:val="24"/>
          <w:highlight w:val="none"/>
        </w:rPr>
        <w:t>企业及人员荣誉等</w:t>
      </w:r>
      <w:r>
        <w:rPr>
          <w:rFonts w:hint="eastAsia" w:ascii="宋体" w:hAnsi="宋体"/>
          <w:color w:val="auto"/>
          <w:sz w:val="24"/>
          <w:highlight w:val="none"/>
        </w:rPr>
        <w:t>————————</w:t>
      </w:r>
    </w:p>
    <w:p w14:paraId="59FF4F02">
      <w:pPr>
        <w:pStyle w:val="2"/>
        <w:rPr>
          <w:rFonts w:ascii="宋体" w:hAnsi="宋体"/>
          <w:color w:val="auto"/>
          <w:sz w:val="24"/>
          <w:highlight w:val="none"/>
        </w:rPr>
      </w:pPr>
      <w:r>
        <w:rPr>
          <w:rFonts w:hint="eastAsia" w:ascii="宋体" w:hAnsi="宋体"/>
          <w:color w:val="auto"/>
          <w:sz w:val="24"/>
          <w:highlight w:val="none"/>
        </w:rPr>
        <w:t>（14）其他特殊资质证书</w:t>
      </w:r>
      <w:r>
        <w:rPr>
          <w:rFonts w:ascii="宋体" w:hAnsi="宋体"/>
          <w:color w:val="auto"/>
          <w:sz w:val="24"/>
          <w:highlight w:val="none"/>
        </w:rPr>
        <w:t>（如</w:t>
      </w:r>
      <w:r>
        <w:rPr>
          <w:rFonts w:hint="eastAsia" w:ascii="宋体" w:hAnsi="宋体"/>
          <w:color w:val="auto"/>
          <w:sz w:val="24"/>
          <w:highlight w:val="none"/>
        </w:rPr>
        <w:t>本地化服务能力等）（格式可自拟）—————</w:t>
      </w:r>
    </w:p>
    <w:p w14:paraId="09D75C22">
      <w:pPr>
        <w:snapToGrid w:val="0"/>
        <w:spacing w:line="360" w:lineRule="auto"/>
        <w:jc w:val="left"/>
        <w:rPr>
          <w:rFonts w:ascii="宋体" w:hAnsi="宋体"/>
          <w:color w:val="auto"/>
          <w:sz w:val="24"/>
          <w:highlight w:val="none"/>
        </w:rPr>
      </w:pPr>
      <w:r>
        <w:rPr>
          <w:rFonts w:hint="eastAsia" w:ascii="宋体" w:hAnsi="宋体"/>
          <w:color w:val="auto"/>
          <w:sz w:val="24"/>
          <w:highlight w:val="none"/>
        </w:rPr>
        <w:t>（15）投标人认为可以证明其能力或业绩的其他材料————————</w:t>
      </w:r>
    </w:p>
    <w:p w14:paraId="7134B745">
      <w:pPr>
        <w:snapToGrid w:val="0"/>
        <w:spacing w:line="360" w:lineRule="auto"/>
        <w:rPr>
          <w:rFonts w:ascii="宋体" w:hAnsi="宋体"/>
          <w:color w:val="auto"/>
          <w:sz w:val="24"/>
          <w:highlight w:val="none"/>
        </w:rPr>
      </w:pPr>
      <w:r>
        <w:rPr>
          <w:rFonts w:hint="eastAsia" w:ascii="宋体" w:hAnsi="宋体"/>
          <w:color w:val="auto"/>
          <w:sz w:val="24"/>
          <w:highlight w:val="none"/>
        </w:rPr>
        <w:t>商务：</w:t>
      </w:r>
    </w:p>
    <w:p w14:paraId="6B857015">
      <w:pPr>
        <w:snapToGrid w:val="0"/>
        <w:spacing w:line="360" w:lineRule="auto"/>
        <w:jc w:val="left"/>
        <w:rPr>
          <w:rFonts w:ascii="宋体" w:hAnsi="宋体"/>
          <w:color w:val="auto"/>
          <w:sz w:val="24"/>
          <w:highlight w:val="none"/>
        </w:rPr>
      </w:pPr>
      <w:r>
        <w:rPr>
          <w:rFonts w:hint="eastAsia" w:ascii="宋体" w:hAnsi="宋体"/>
          <w:color w:val="auto"/>
          <w:sz w:val="24"/>
          <w:highlight w:val="none"/>
        </w:rPr>
        <w:t>（16）商务响应表————————</w:t>
      </w:r>
    </w:p>
    <w:p w14:paraId="0A8AD170">
      <w:pPr>
        <w:snapToGrid w:val="0"/>
        <w:spacing w:line="360" w:lineRule="auto"/>
        <w:jc w:val="left"/>
        <w:rPr>
          <w:rFonts w:ascii="宋体" w:hAnsi="宋体"/>
          <w:color w:val="auto"/>
          <w:sz w:val="24"/>
          <w:highlight w:val="none"/>
        </w:rPr>
      </w:pPr>
      <w:r>
        <w:rPr>
          <w:rFonts w:hint="eastAsia" w:ascii="宋体" w:hAnsi="宋体"/>
          <w:color w:val="auto"/>
          <w:sz w:val="24"/>
          <w:highlight w:val="none"/>
        </w:rPr>
        <w:t>（17）</w:t>
      </w:r>
      <w:r>
        <w:rPr>
          <w:rFonts w:ascii="宋体" w:hAnsi="宋体"/>
          <w:color w:val="auto"/>
          <w:sz w:val="24"/>
          <w:highlight w:val="none"/>
        </w:rPr>
        <w:t>售后服务的内容和措施</w:t>
      </w:r>
      <w:r>
        <w:rPr>
          <w:rFonts w:hint="eastAsia" w:ascii="宋体" w:hAnsi="宋体"/>
          <w:color w:val="auto"/>
          <w:sz w:val="24"/>
          <w:highlight w:val="none"/>
        </w:rPr>
        <w:t>————————</w:t>
      </w:r>
    </w:p>
    <w:p w14:paraId="18A8415B">
      <w:pPr>
        <w:snapToGrid w:val="0"/>
        <w:spacing w:line="360" w:lineRule="auto"/>
        <w:jc w:val="left"/>
        <w:rPr>
          <w:rFonts w:ascii="宋体" w:hAnsi="宋体"/>
          <w:color w:val="auto"/>
          <w:sz w:val="24"/>
          <w:highlight w:val="none"/>
        </w:rPr>
      </w:pPr>
      <w:r>
        <w:rPr>
          <w:rFonts w:hint="eastAsia" w:ascii="宋体" w:hAnsi="宋体"/>
          <w:color w:val="auto"/>
          <w:sz w:val="24"/>
          <w:highlight w:val="none"/>
        </w:rPr>
        <w:t>（18）培训方案————————</w:t>
      </w:r>
    </w:p>
    <w:p w14:paraId="6FAEBA26">
      <w:pPr>
        <w:snapToGrid w:val="0"/>
        <w:spacing w:line="360" w:lineRule="auto"/>
        <w:jc w:val="left"/>
        <w:rPr>
          <w:rFonts w:ascii="宋体" w:hAnsi="宋体"/>
          <w:color w:val="auto"/>
          <w:sz w:val="24"/>
          <w:highlight w:val="none"/>
        </w:rPr>
      </w:pPr>
      <w:r>
        <w:rPr>
          <w:rFonts w:hint="eastAsia" w:ascii="宋体" w:hAnsi="宋体"/>
          <w:color w:val="auto"/>
          <w:sz w:val="24"/>
          <w:highlight w:val="none"/>
        </w:rPr>
        <w:t>（19）</w:t>
      </w:r>
      <w:r>
        <w:rPr>
          <w:rFonts w:hint="eastAsia" w:hAnsi="宋体" w:cs="宋体"/>
          <w:color w:val="auto"/>
          <w:sz w:val="24"/>
          <w:highlight w:val="none"/>
        </w:rPr>
        <w:t>服务网点</w:t>
      </w:r>
      <w:r>
        <w:rPr>
          <w:rFonts w:hint="eastAsia" w:ascii="宋体" w:hAnsi="宋体"/>
          <w:color w:val="auto"/>
          <w:sz w:val="24"/>
          <w:highlight w:val="none"/>
        </w:rPr>
        <w:t>————————</w:t>
      </w:r>
    </w:p>
    <w:p w14:paraId="236C84E2">
      <w:pPr>
        <w:snapToGrid w:val="0"/>
        <w:spacing w:line="360" w:lineRule="auto"/>
        <w:jc w:val="left"/>
        <w:rPr>
          <w:rFonts w:ascii="宋体" w:hAnsi="宋体"/>
          <w:color w:val="auto"/>
          <w:sz w:val="24"/>
          <w:highlight w:val="none"/>
        </w:rPr>
      </w:pPr>
      <w:r>
        <w:rPr>
          <w:rFonts w:hint="eastAsia" w:ascii="宋体" w:hAnsi="宋体"/>
          <w:color w:val="auto"/>
          <w:sz w:val="24"/>
          <w:highlight w:val="none"/>
        </w:rPr>
        <w:t>（20）信用承诺书————————</w:t>
      </w:r>
    </w:p>
    <w:p w14:paraId="76C9969E">
      <w:pPr>
        <w:snapToGrid w:val="0"/>
        <w:spacing w:line="360" w:lineRule="auto"/>
        <w:rPr>
          <w:rFonts w:ascii="宋体" w:hAnsi="宋体"/>
          <w:color w:val="auto"/>
          <w:sz w:val="24"/>
          <w:highlight w:val="none"/>
        </w:rPr>
      </w:pPr>
      <w:r>
        <w:rPr>
          <w:rFonts w:hint="eastAsia" w:ascii="宋体" w:hAnsi="宋体"/>
          <w:color w:val="auto"/>
          <w:sz w:val="24"/>
          <w:highlight w:val="none"/>
        </w:rPr>
        <w:t>（21）技术、商务、资信及其他分自评表————————</w:t>
      </w:r>
    </w:p>
    <w:p w14:paraId="18533855">
      <w:pPr>
        <w:snapToGrid w:val="0"/>
        <w:spacing w:line="360" w:lineRule="auto"/>
        <w:jc w:val="left"/>
        <w:rPr>
          <w:color w:val="auto"/>
          <w:highlight w:val="none"/>
        </w:rPr>
      </w:pPr>
    </w:p>
    <w:p w14:paraId="14C144E9">
      <w:pPr>
        <w:pStyle w:val="2"/>
        <w:rPr>
          <w:color w:val="auto"/>
          <w:highlight w:val="none"/>
        </w:rPr>
      </w:pPr>
    </w:p>
    <w:p w14:paraId="6DE24C40">
      <w:pPr>
        <w:rPr>
          <w:color w:val="auto"/>
          <w:highlight w:val="none"/>
        </w:rPr>
      </w:pPr>
    </w:p>
    <w:p w14:paraId="64635891">
      <w:pPr>
        <w:snapToGrid w:val="0"/>
        <w:spacing w:line="360" w:lineRule="auto"/>
        <w:jc w:val="left"/>
        <w:rPr>
          <w:rFonts w:ascii="宋体" w:hAnsi="宋体"/>
          <w:color w:val="auto"/>
          <w:sz w:val="24"/>
          <w:highlight w:val="none"/>
        </w:rPr>
      </w:pPr>
      <w:r>
        <w:rPr>
          <w:rFonts w:hint="eastAsia" w:ascii="宋体" w:hAnsi="宋体"/>
          <w:color w:val="auto"/>
          <w:sz w:val="24"/>
          <w:highlight w:val="none"/>
        </w:rPr>
        <w:t>16.技术方案（格式自拟）</w:t>
      </w:r>
    </w:p>
    <w:p w14:paraId="5B32A2D2">
      <w:pPr>
        <w:rPr>
          <w:color w:val="auto"/>
          <w:highlight w:val="none"/>
        </w:rPr>
      </w:pPr>
    </w:p>
    <w:p w14:paraId="50D2BAAB">
      <w:pPr>
        <w:rPr>
          <w:color w:val="auto"/>
          <w:highlight w:val="none"/>
        </w:rPr>
      </w:pPr>
    </w:p>
    <w:p w14:paraId="4FF052B9">
      <w:pPr>
        <w:pStyle w:val="2"/>
        <w:rPr>
          <w:color w:val="auto"/>
          <w:highlight w:val="none"/>
        </w:rPr>
      </w:pPr>
    </w:p>
    <w:p w14:paraId="038920C4">
      <w:pPr>
        <w:rPr>
          <w:color w:val="auto"/>
          <w:highlight w:val="none"/>
        </w:rPr>
      </w:pPr>
    </w:p>
    <w:p w14:paraId="2A95D836">
      <w:pPr>
        <w:snapToGrid w:val="0"/>
        <w:spacing w:line="360" w:lineRule="auto"/>
        <w:jc w:val="left"/>
        <w:rPr>
          <w:rFonts w:ascii="宋体" w:hAnsi="宋体"/>
          <w:color w:val="auto"/>
          <w:sz w:val="24"/>
          <w:highlight w:val="none"/>
        </w:rPr>
      </w:pPr>
      <w:r>
        <w:rPr>
          <w:rFonts w:hint="eastAsia" w:ascii="宋体" w:hAnsi="宋体"/>
          <w:color w:val="auto"/>
          <w:sz w:val="24"/>
          <w:highlight w:val="none"/>
        </w:rPr>
        <w:t>17.质量保证与质量控制措施（格式自拟）</w:t>
      </w:r>
    </w:p>
    <w:p w14:paraId="5A0452AE">
      <w:pPr>
        <w:pStyle w:val="2"/>
        <w:rPr>
          <w:color w:val="auto"/>
          <w:highlight w:val="none"/>
        </w:rPr>
      </w:pPr>
    </w:p>
    <w:p w14:paraId="6C3CCC03">
      <w:pPr>
        <w:snapToGrid w:val="0"/>
        <w:spacing w:line="360" w:lineRule="auto"/>
        <w:jc w:val="left"/>
        <w:rPr>
          <w:rFonts w:ascii="宋体" w:hAnsi="宋体"/>
          <w:color w:val="auto"/>
          <w:sz w:val="24"/>
          <w:szCs w:val="20"/>
          <w:highlight w:val="none"/>
        </w:rPr>
      </w:pPr>
    </w:p>
    <w:p w14:paraId="3E11FFC5">
      <w:pPr>
        <w:pStyle w:val="2"/>
        <w:rPr>
          <w:color w:val="auto"/>
          <w:highlight w:val="none"/>
        </w:rPr>
      </w:pPr>
    </w:p>
    <w:p w14:paraId="7C4AD5C7">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18.应急处理预案（格式自拟）</w:t>
      </w:r>
    </w:p>
    <w:p w14:paraId="4EBF54A3">
      <w:pPr>
        <w:pStyle w:val="2"/>
        <w:rPr>
          <w:color w:val="auto"/>
          <w:highlight w:val="none"/>
        </w:rPr>
      </w:pPr>
    </w:p>
    <w:p w14:paraId="092ED9A9">
      <w:pPr>
        <w:rPr>
          <w:color w:val="auto"/>
          <w:highlight w:val="none"/>
        </w:rPr>
      </w:pPr>
    </w:p>
    <w:p w14:paraId="187357D6">
      <w:pPr>
        <w:pStyle w:val="2"/>
        <w:rPr>
          <w:color w:val="auto"/>
          <w:highlight w:val="none"/>
        </w:rPr>
      </w:pPr>
    </w:p>
    <w:p w14:paraId="6E8E95BD">
      <w:pPr>
        <w:rPr>
          <w:color w:val="auto"/>
          <w:highlight w:val="none"/>
        </w:rPr>
      </w:pPr>
    </w:p>
    <w:p w14:paraId="0C5A0A1F">
      <w:pPr>
        <w:pStyle w:val="34"/>
        <w:rPr>
          <w:rFonts w:hAnsi="宋体" w:cs="Times New Roman"/>
          <w:color w:val="auto"/>
          <w:kern w:val="2"/>
          <w:highlight w:val="none"/>
        </w:rPr>
      </w:pPr>
      <w:r>
        <w:rPr>
          <w:rFonts w:hint="eastAsia" w:hAnsi="宋体" w:cs="Times New Roman"/>
          <w:color w:val="auto"/>
          <w:kern w:val="2"/>
          <w:highlight w:val="none"/>
        </w:rPr>
        <w:t>19.重点问题和难点分析（格式自拟）</w:t>
      </w:r>
    </w:p>
    <w:p w14:paraId="6FEDBE08">
      <w:pPr>
        <w:pStyle w:val="35"/>
        <w:rPr>
          <w:color w:val="auto"/>
          <w:highlight w:val="none"/>
        </w:rPr>
      </w:pPr>
    </w:p>
    <w:p w14:paraId="7A498F6B">
      <w:pPr>
        <w:rPr>
          <w:color w:val="auto"/>
          <w:highlight w:val="none"/>
        </w:rPr>
      </w:pPr>
    </w:p>
    <w:p w14:paraId="4E521483">
      <w:pPr>
        <w:rPr>
          <w:color w:val="auto"/>
          <w:highlight w:val="none"/>
        </w:rPr>
      </w:pPr>
    </w:p>
    <w:p w14:paraId="3C0E7EF9">
      <w:pPr>
        <w:pStyle w:val="2"/>
        <w:rPr>
          <w:color w:val="auto"/>
          <w:highlight w:val="none"/>
        </w:rPr>
      </w:pPr>
    </w:p>
    <w:p w14:paraId="25E0B660">
      <w:pPr>
        <w:spacing w:line="360" w:lineRule="auto"/>
        <w:jc w:val="left"/>
        <w:rPr>
          <w:rFonts w:ascii="宋体" w:hAnsi="宋体"/>
          <w:color w:val="auto"/>
          <w:sz w:val="24"/>
          <w:highlight w:val="none"/>
        </w:rPr>
      </w:pPr>
      <w:r>
        <w:rPr>
          <w:rFonts w:hint="eastAsia" w:ascii="宋体" w:hAnsi="宋体"/>
          <w:color w:val="auto"/>
          <w:sz w:val="24"/>
          <w:highlight w:val="none"/>
        </w:rPr>
        <w:t>20.质量保证与质量控制措施（格式自拟）</w:t>
      </w:r>
    </w:p>
    <w:p w14:paraId="5ABEEBFB">
      <w:pPr>
        <w:pStyle w:val="2"/>
        <w:rPr>
          <w:color w:val="auto"/>
          <w:highlight w:val="none"/>
        </w:rPr>
      </w:pPr>
    </w:p>
    <w:p w14:paraId="17B248D3">
      <w:pPr>
        <w:pStyle w:val="2"/>
        <w:rPr>
          <w:color w:val="auto"/>
          <w:highlight w:val="none"/>
        </w:rPr>
      </w:pPr>
    </w:p>
    <w:p w14:paraId="262BE2B8">
      <w:pPr>
        <w:rPr>
          <w:color w:val="auto"/>
          <w:highlight w:val="none"/>
        </w:rPr>
      </w:pPr>
    </w:p>
    <w:p w14:paraId="04A5E77C">
      <w:pPr>
        <w:rPr>
          <w:color w:val="auto"/>
          <w:highlight w:val="none"/>
        </w:rPr>
      </w:pPr>
    </w:p>
    <w:p w14:paraId="50E17F98">
      <w:pPr>
        <w:snapToGrid w:val="0"/>
        <w:spacing w:line="360" w:lineRule="auto"/>
        <w:jc w:val="left"/>
        <w:rPr>
          <w:rFonts w:ascii="宋体" w:hAnsi="宋体"/>
          <w:color w:val="auto"/>
          <w:sz w:val="24"/>
          <w:highlight w:val="none"/>
        </w:rPr>
      </w:pPr>
      <w:r>
        <w:rPr>
          <w:rFonts w:hint="eastAsia" w:ascii="宋体" w:hAnsi="宋体"/>
          <w:color w:val="auto"/>
          <w:sz w:val="24"/>
          <w:szCs w:val="20"/>
          <w:highlight w:val="none"/>
        </w:rPr>
        <w:t>21.安全措施、文明服务计划和承诺</w:t>
      </w:r>
      <w:r>
        <w:rPr>
          <w:rFonts w:hint="eastAsia" w:ascii="宋体" w:hAnsi="宋体"/>
          <w:color w:val="auto"/>
          <w:sz w:val="24"/>
          <w:highlight w:val="none"/>
        </w:rPr>
        <w:t>（格式自拟）</w:t>
      </w:r>
    </w:p>
    <w:p w14:paraId="2DC48C61">
      <w:pPr>
        <w:pStyle w:val="2"/>
        <w:rPr>
          <w:color w:val="auto"/>
          <w:highlight w:val="none"/>
        </w:rPr>
      </w:pPr>
    </w:p>
    <w:p w14:paraId="430E8DBD">
      <w:pPr>
        <w:rPr>
          <w:color w:val="auto"/>
          <w:highlight w:val="none"/>
        </w:rPr>
      </w:pPr>
    </w:p>
    <w:p w14:paraId="57EB29D6">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22. 项目实施人员一览表格式：</w:t>
      </w:r>
    </w:p>
    <w:p w14:paraId="10E9B64A">
      <w:pPr>
        <w:snapToGrid w:val="0"/>
        <w:spacing w:line="360" w:lineRule="auto"/>
        <w:jc w:val="center"/>
        <w:rPr>
          <w:rFonts w:ascii="宋体" w:hAnsi="宋体"/>
          <w:b/>
          <w:color w:val="auto"/>
          <w:sz w:val="24"/>
          <w:szCs w:val="20"/>
          <w:highlight w:val="none"/>
        </w:rPr>
      </w:pPr>
      <w:r>
        <w:rPr>
          <w:rFonts w:hint="eastAsia" w:ascii="宋体" w:hAnsi="宋体"/>
          <w:b/>
          <w:color w:val="auto"/>
          <w:sz w:val="24"/>
          <w:highlight w:val="none"/>
        </w:rPr>
        <w:t>项目实施人员（主要从业人员及其技术资格）一览表</w:t>
      </w:r>
    </w:p>
    <w:p w14:paraId="47474AE9">
      <w:pPr>
        <w:snapToGrid w:val="0"/>
        <w:spacing w:line="360" w:lineRule="auto"/>
        <w:rPr>
          <w:rFonts w:ascii="宋体" w:hAnsi="宋体"/>
          <w:color w:val="auto"/>
          <w:sz w:val="24"/>
          <w:szCs w:val="20"/>
          <w:highlight w:val="none"/>
        </w:rPr>
      </w:pPr>
      <w:r>
        <w:rPr>
          <w:rFonts w:hint="eastAsia" w:ascii="宋体" w:hAnsi="宋体"/>
          <w:color w:val="auto"/>
          <w:highlight w:val="none"/>
        </w:rPr>
        <w:t>项目名称：</w:t>
      </w:r>
    </w:p>
    <w:tbl>
      <w:tblPr>
        <w:tblStyle w:val="24"/>
        <w:tblW w:w="8531"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620"/>
        <w:gridCol w:w="1980"/>
      </w:tblGrid>
      <w:tr w14:paraId="6746B2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bottom"/>
          </w:tcPr>
          <w:p w14:paraId="15698E23">
            <w:pPr>
              <w:snapToGrid w:val="0"/>
              <w:spacing w:line="360" w:lineRule="auto"/>
              <w:rPr>
                <w:rFonts w:ascii="宋体" w:hAnsi="宋体"/>
                <w:color w:val="auto"/>
                <w:sz w:val="24"/>
                <w:szCs w:val="20"/>
                <w:highlight w:val="none"/>
              </w:rPr>
            </w:pPr>
            <w:r>
              <w:rPr>
                <w:rFonts w:hint="eastAsia" w:ascii="宋体" w:hAnsi="宋体"/>
                <w:color w:val="auto"/>
                <w:sz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bottom"/>
          </w:tcPr>
          <w:p w14:paraId="2B8A1F23">
            <w:pPr>
              <w:snapToGrid w:val="0"/>
              <w:spacing w:line="360" w:lineRule="auto"/>
              <w:rPr>
                <w:rFonts w:ascii="宋体" w:hAnsi="宋体"/>
                <w:color w:val="auto"/>
                <w:sz w:val="24"/>
                <w:szCs w:val="20"/>
                <w:highlight w:val="none"/>
              </w:rPr>
            </w:pPr>
            <w:r>
              <w:rPr>
                <w:rFonts w:hint="eastAsia" w:ascii="宋体" w:hAnsi="宋体"/>
                <w:color w:val="auto"/>
                <w:sz w:val="24"/>
                <w:highlight w:val="none"/>
              </w:rPr>
              <w:t>职务</w:t>
            </w:r>
          </w:p>
        </w:tc>
        <w:tc>
          <w:tcPr>
            <w:tcW w:w="1663" w:type="dxa"/>
            <w:tcBorders>
              <w:top w:val="single" w:color="auto" w:sz="4" w:space="0"/>
              <w:left w:val="single" w:color="auto" w:sz="4" w:space="0"/>
              <w:bottom w:val="single" w:color="auto" w:sz="4" w:space="0"/>
              <w:right w:val="single" w:color="auto" w:sz="4" w:space="0"/>
            </w:tcBorders>
            <w:vAlign w:val="bottom"/>
          </w:tcPr>
          <w:p w14:paraId="64BF32B7">
            <w:pPr>
              <w:snapToGrid w:val="0"/>
              <w:spacing w:line="360" w:lineRule="auto"/>
              <w:jc w:val="center"/>
              <w:rPr>
                <w:rFonts w:ascii="宋体" w:hAnsi="宋体"/>
                <w:color w:val="auto"/>
                <w:sz w:val="24"/>
                <w:szCs w:val="20"/>
                <w:highlight w:val="none"/>
              </w:rPr>
            </w:pPr>
            <w:r>
              <w:rPr>
                <w:rFonts w:hint="eastAsia" w:ascii="宋体" w:hAnsi="宋体"/>
                <w:color w:val="auto"/>
                <w:sz w:val="24"/>
                <w:highlight w:val="none"/>
              </w:rPr>
              <w:t>专业技术资格</w:t>
            </w:r>
          </w:p>
        </w:tc>
        <w:tc>
          <w:tcPr>
            <w:tcW w:w="1260" w:type="dxa"/>
            <w:tcBorders>
              <w:top w:val="single" w:color="auto" w:sz="4" w:space="0"/>
              <w:left w:val="single" w:color="auto" w:sz="4" w:space="0"/>
              <w:bottom w:val="single" w:color="auto" w:sz="4" w:space="0"/>
              <w:right w:val="single" w:color="auto" w:sz="4" w:space="0"/>
            </w:tcBorders>
            <w:vAlign w:val="bottom"/>
          </w:tcPr>
          <w:p w14:paraId="0FBDE2BB">
            <w:pPr>
              <w:snapToGrid w:val="0"/>
              <w:spacing w:line="360" w:lineRule="auto"/>
              <w:rPr>
                <w:rFonts w:ascii="宋体" w:hAnsi="宋体"/>
                <w:color w:val="auto"/>
                <w:sz w:val="24"/>
                <w:szCs w:val="20"/>
                <w:highlight w:val="none"/>
              </w:rPr>
            </w:pPr>
            <w:r>
              <w:rPr>
                <w:rFonts w:hint="eastAsia" w:ascii="宋体" w:hAnsi="宋体"/>
                <w:color w:val="auto"/>
                <w:sz w:val="24"/>
                <w:highlight w:val="none"/>
              </w:rPr>
              <w:t>证书编号</w:t>
            </w:r>
          </w:p>
        </w:tc>
        <w:tc>
          <w:tcPr>
            <w:tcW w:w="1620" w:type="dxa"/>
            <w:tcBorders>
              <w:top w:val="single" w:color="auto" w:sz="4" w:space="0"/>
              <w:left w:val="single" w:color="auto" w:sz="4" w:space="0"/>
              <w:bottom w:val="single" w:color="auto" w:sz="4" w:space="0"/>
              <w:right w:val="single" w:color="auto" w:sz="4" w:space="0"/>
            </w:tcBorders>
            <w:vAlign w:val="bottom"/>
          </w:tcPr>
          <w:p w14:paraId="7782A7C7">
            <w:pPr>
              <w:snapToGrid w:val="0"/>
              <w:spacing w:line="360" w:lineRule="auto"/>
              <w:rPr>
                <w:rFonts w:ascii="宋体" w:hAnsi="宋体"/>
                <w:bCs/>
                <w:color w:val="auto"/>
                <w:sz w:val="24"/>
                <w:szCs w:val="20"/>
                <w:highlight w:val="none"/>
              </w:rPr>
            </w:pPr>
            <w:r>
              <w:rPr>
                <w:rFonts w:hint="eastAsia" w:ascii="宋体" w:hAnsi="宋体"/>
                <w:bCs/>
                <w:color w:val="auto"/>
                <w:sz w:val="24"/>
                <w:highlight w:val="none"/>
              </w:rPr>
              <w:t>参加本单位工作时间</w:t>
            </w:r>
          </w:p>
        </w:tc>
        <w:tc>
          <w:tcPr>
            <w:tcW w:w="1980" w:type="dxa"/>
            <w:tcBorders>
              <w:top w:val="single" w:color="auto" w:sz="4" w:space="0"/>
              <w:left w:val="single" w:color="auto" w:sz="4" w:space="0"/>
              <w:bottom w:val="single" w:color="auto" w:sz="4" w:space="0"/>
              <w:right w:val="single" w:color="auto" w:sz="4" w:space="0"/>
            </w:tcBorders>
            <w:vAlign w:val="bottom"/>
          </w:tcPr>
          <w:p w14:paraId="7134363A">
            <w:pPr>
              <w:snapToGrid w:val="0"/>
              <w:spacing w:line="360" w:lineRule="auto"/>
              <w:rPr>
                <w:rFonts w:ascii="宋体" w:hAnsi="宋体"/>
                <w:bCs/>
                <w:color w:val="auto"/>
                <w:sz w:val="24"/>
                <w:szCs w:val="20"/>
                <w:highlight w:val="none"/>
              </w:rPr>
            </w:pPr>
            <w:r>
              <w:rPr>
                <w:rFonts w:hint="eastAsia" w:ascii="宋体" w:hAnsi="宋体"/>
                <w:bCs/>
                <w:color w:val="auto"/>
                <w:sz w:val="24"/>
                <w:highlight w:val="none"/>
              </w:rPr>
              <w:t>劳动合同编号</w:t>
            </w:r>
          </w:p>
        </w:tc>
      </w:tr>
      <w:tr w14:paraId="5B0514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9A1DB6D">
            <w:pPr>
              <w:snapToGrid w:val="0"/>
              <w:spacing w:line="360" w:lineRule="auto"/>
              <w:rPr>
                <w:rFonts w:ascii="宋体" w:hAnsi="宋体"/>
                <w:color w:val="auto"/>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59B62969">
            <w:pPr>
              <w:snapToGrid w:val="0"/>
              <w:spacing w:line="360" w:lineRule="auto"/>
              <w:rPr>
                <w:rFonts w:ascii="宋体" w:hAnsi="宋体"/>
                <w:color w:val="auto"/>
                <w:sz w:val="24"/>
                <w:szCs w:val="20"/>
                <w:highlight w:val="none"/>
              </w:rPr>
            </w:pPr>
          </w:p>
        </w:tc>
        <w:tc>
          <w:tcPr>
            <w:tcW w:w="1663" w:type="dxa"/>
            <w:tcBorders>
              <w:top w:val="single" w:color="auto" w:sz="4" w:space="0"/>
              <w:left w:val="single" w:color="auto" w:sz="4" w:space="0"/>
              <w:bottom w:val="single" w:color="auto" w:sz="4" w:space="0"/>
              <w:right w:val="single" w:color="auto" w:sz="4" w:space="0"/>
            </w:tcBorders>
          </w:tcPr>
          <w:p w14:paraId="321F63F6">
            <w:pPr>
              <w:snapToGrid w:val="0"/>
              <w:spacing w:line="360" w:lineRule="auto"/>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tcPr>
          <w:p w14:paraId="2D44F06A">
            <w:pPr>
              <w:snapToGrid w:val="0"/>
              <w:spacing w:line="360" w:lineRule="auto"/>
              <w:rPr>
                <w:rFonts w:ascii="宋体" w:hAnsi="宋体"/>
                <w:color w:val="auto"/>
                <w:sz w:val="24"/>
                <w:szCs w:val="20"/>
                <w:highlight w:val="none"/>
              </w:rPr>
            </w:pPr>
          </w:p>
        </w:tc>
        <w:tc>
          <w:tcPr>
            <w:tcW w:w="1620" w:type="dxa"/>
            <w:tcBorders>
              <w:top w:val="single" w:color="auto" w:sz="4" w:space="0"/>
              <w:left w:val="single" w:color="auto" w:sz="4" w:space="0"/>
              <w:bottom w:val="single" w:color="auto" w:sz="4" w:space="0"/>
              <w:right w:val="single" w:color="auto" w:sz="4" w:space="0"/>
            </w:tcBorders>
          </w:tcPr>
          <w:p w14:paraId="409282CD">
            <w:pPr>
              <w:snapToGrid w:val="0"/>
              <w:spacing w:line="360" w:lineRule="auto"/>
              <w:rPr>
                <w:rFonts w:ascii="宋体" w:hAnsi="宋体"/>
                <w:color w:val="auto"/>
                <w:sz w:val="24"/>
                <w:szCs w:val="20"/>
                <w:highlight w:val="none"/>
              </w:rPr>
            </w:pPr>
          </w:p>
        </w:tc>
        <w:tc>
          <w:tcPr>
            <w:tcW w:w="1980" w:type="dxa"/>
            <w:tcBorders>
              <w:top w:val="single" w:color="auto" w:sz="4" w:space="0"/>
              <w:left w:val="single" w:color="auto" w:sz="4" w:space="0"/>
              <w:bottom w:val="single" w:color="auto" w:sz="4" w:space="0"/>
              <w:right w:val="single" w:color="auto" w:sz="4" w:space="0"/>
            </w:tcBorders>
          </w:tcPr>
          <w:p w14:paraId="7EEAA9AD">
            <w:pPr>
              <w:snapToGrid w:val="0"/>
              <w:spacing w:line="360" w:lineRule="auto"/>
              <w:rPr>
                <w:rFonts w:ascii="宋体" w:hAnsi="宋体"/>
                <w:color w:val="auto"/>
                <w:sz w:val="24"/>
                <w:szCs w:val="20"/>
                <w:highlight w:val="none"/>
              </w:rPr>
            </w:pPr>
          </w:p>
        </w:tc>
      </w:tr>
      <w:tr w14:paraId="73D5E4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CBE7AF7">
            <w:pPr>
              <w:snapToGrid w:val="0"/>
              <w:spacing w:line="360" w:lineRule="auto"/>
              <w:rPr>
                <w:rFonts w:ascii="宋体" w:hAnsi="宋体"/>
                <w:color w:val="auto"/>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5D30379C">
            <w:pPr>
              <w:snapToGrid w:val="0"/>
              <w:spacing w:line="360" w:lineRule="auto"/>
              <w:rPr>
                <w:rFonts w:ascii="宋体" w:hAnsi="宋体"/>
                <w:color w:val="auto"/>
                <w:sz w:val="24"/>
                <w:szCs w:val="20"/>
                <w:highlight w:val="none"/>
              </w:rPr>
            </w:pPr>
          </w:p>
        </w:tc>
        <w:tc>
          <w:tcPr>
            <w:tcW w:w="1663" w:type="dxa"/>
            <w:tcBorders>
              <w:top w:val="single" w:color="auto" w:sz="4" w:space="0"/>
              <w:left w:val="single" w:color="auto" w:sz="4" w:space="0"/>
              <w:bottom w:val="single" w:color="auto" w:sz="4" w:space="0"/>
              <w:right w:val="single" w:color="auto" w:sz="4" w:space="0"/>
            </w:tcBorders>
          </w:tcPr>
          <w:p w14:paraId="60F439C7">
            <w:pPr>
              <w:snapToGrid w:val="0"/>
              <w:spacing w:line="360" w:lineRule="auto"/>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tcPr>
          <w:p w14:paraId="4534976F">
            <w:pPr>
              <w:snapToGrid w:val="0"/>
              <w:spacing w:line="360" w:lineRule="auto"/>
              <w:rPr>
                <w:rFonts w:ascii="宋体" w:hAnsi="宋体"/>
                <w:color w:val="auto"/>
                <w:sz w:val="24"/>
                <w:szCs w:val="20"/>
                <w:highlight w:val="none"/>
              </w:rPr>
            </w:pPr>
          </w:p>
        </w:tc>
        <w:tc>
          <w:tcPr>
            <w:tcW w:w="1620" w:type="dxa"/>
            <w:tcBorders>
              <w:top w:val="single" w:color="auto" w:sz="4" w:space="0"/>
              <w:left w:val="single" w:color="auto" w:sz="4" w:space="0"/>
              <w:bottom w:val="single" w:color="auto" w:sz="4" w:space="0"/>
              <w:right w:val="single" w:color="auto" w:sz="4" w:space="0"/>
            </w:tcBorders>
          </w:tcPr>
          <w:p w14:paraId="6DA50248">
            <w:pPr>
              <w:snapToGrid w:val="0"/>
              <w:spacing w:line="360" w:lineRule="auto"/>
              <w:rPr>
                <w:rFonts w:ascii="宋体" w:hAnsi="宋体"/>
                <w:color w:val="auto"/>
                <w:sz w:val="24"/>
                <w:szCs w:val="20"/>
                <w:highlight w:val="none"/>
              </w:rPr>
            </w:pPr>
          </w:p>
        </w:tc>
        <w:tc>
          <w:tcPr>
            <w:tcW w:w="1980" w:type="dxa"/>
            <w:tcBorders>
              <w:top w:val="single" w:color="auto" w:sz="4" w:space="0"/>
              <w:left w:val="single" w:color="auto" w:sz="4" w:space="0"/>
              <w:bottom w:val="single" w:color="auto" w:sz="4" w:space="0"/>
              <w:right w:val="single" w:color="auto" w:sz="4" w:space="0"/>
            </w:tcBorders>
          </w:tcPr>
          <w:p w14:paraId="40FD6181">
            <w:pPr>
              <w:snapToGrid w:val="0"/>
              <w:spacing w:line="360" w:lineRule="auto"/>
              <w:rPr>
                <w:rFonts w:ascii="宋体" w:hAnsi="宋体"/>
                <w:color w:val="auto"/>
                <w:sz w:val="24"/>
                <w:szCs w:val="20"/>
                <w:highlight w:val="none"/>
              </w:rPr>
            </w:pPr>
          </w:p>
        </w:tc>
      </w:tr>
      <w:tr w14:paraId="7D5618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7D3C479">
            <w:pPr>
              <w:snapToGrid w:val="0"/>
              <w:spacing w:line="360" w:lineRule="auto"/>
              <w:rPr>
                <w:rFonts w:ascii="宋体" w:hAnsi="宋体"/>
                <w:color w:val="auto"/>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4785B05E">
            <w:pPr>
              <w:snapToGrid w:val="0"/>
              <w:spacing w:line="360" w:lineRule="auto"/>
              <w:rPr>
                <w:rFonts w:ascii="宋体" w:hAnsi="宋体"/>
                <w:color w:val="auto"/>
                <w:sz w:val="24"/>
                <w:szCs w:val="20"/>
                <w:highlight w:val="none"/>
              </w:rPr>
            </w:pPr>
          </w:p>
        </w:tc>
        <w:tc>
          <w:tcPr>
            <w:tcW w:w="1663" w:type="dxa"/>
            <w:tcBorders>
              <w:top w:val="single" w:color="auto" w:sz="4" w:space="0"/>
              <w:left w:val="single" w:color="auto" w:sz="4" w:space="0"/>
              <w:bottom w:val="single" w:color="auto" w:sz="4" w:space="0"/>
              <w:right w:val="single" w:color="auto" w:sz="4" w:space="0"/>
            </w:tcBorders>
          </w:tcPr>
          <w:p w14:paraId="1B3CC8A7">
            <w:pPr>
              <w:pStyle w:val="15"/>
              <w:snapToGrid w:val="0"/>
              <w:spacing w:line="360" w:lineRule="auto"/>
              <w:ind w:left="5250"/>
              <w:rPr>
                <w:rFonts w:ascii="宋体" w:hAns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14:paraId="424C8C08">
            <w:pPr>
              <w:snapToGrid w:val="0"/>
              <w:spacing w:line="360" w:lineRule="auto"/>
              <w:rPr>
                <w:rFonts w:ascii="宋体" w:hAnsi="宋体"/>
                <w:color w:val="auto"/>
                <w:sz w:val="24"/>
                <w:szCs w:val="20"/>
                <w:highlight w:val="none"/>
              </w:rPr>
            </w:pPr>
          </w:p>
        </w:tc>
        <w:tc>
          <w:tcPr>
            <w:tcW w:w="1620" w:type="dxa"/>
            <w:tcBorders>
              <w:top w:val="single" w:color="auto" w:sz="4" w:space="0"/>
              <w:left w:val="single" w:color="auto" w:sz="4" w:space="0"/>
              <w:bottom w:val="single" w:color="auto" w:sz="4" w:space="0"/>
              <w:right w:val="single" w:color="auto" w:sz="4" w:space="0"/>
            </w:tcBorders>
          </w:tcPr>
          <w:p w14:paraId="2F03F3F2">
            <w:pPr>
              <w:snapToGrid w:val="0"/>
              <w:spacing w:line="360" w:lineRule="auto"/>
              <w:rPr>
                <w:rFonts w:ascii="宋体" w:hAnsi="宋体"/>
                <w:color w:val="auto"/>
                <w:sz w:val="24"/>
                <w:szCs w:val="20"/>
                <w:highlight w:val="none"/>
              </w:rPr>
            </w:pPr>
          </w:p>
        </w:tc>
        <w:tc>
          <w:tcPr>
            <w:tcW w:w="1980" w:type="dxa"/>
            <w:tcBorders>
              <w:top w:val="single" w:color="auto" w:sz="4" w:space="0"/>
              <w:left w:val="single" w:color="auto" w:sz="4" w:space="0"/>
              <w:bottom w:val="single" w:color="auto" w:sz="4" w:space="0"/>
              <w:right w:val="single" w:color="auto" w:sz="4" w:space="0"/>
            </w:tcBorders>
          </w:tcPr>
          <w:p w14:paraId="313523D3">
            <w:pPr>
              <w:snapToGrid w:val="0"/>
              <w:spacing w:line="360" w:lineRule="auto"/>
              <w:rPr>
                <w:rFonts w:ascii="宋体" w:hAnsi="宋体"/>
                <w:color w:val="auto"/>
                <w:sz w:val="24"/>
                <w:szCs w:val="20"/>
                <w:highlight w:val="none"/>
              </w:rPr>
            </w:pPr>
          </w:p>
        </w:tc>
      </w:tr>
      <w:tr w14:paraId="00C813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1B57D7B">
            <w:pPr>
              <w:snapToGrid w:val="0"/>
              <w:spacing w:line="360" w:lineRule="auto"/>
              <w:rPr>
                <w:rFonts w:ascii="宋体" w:hAnsi="宋体"/>
                <w:color w:val="auto"/>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4A2C46B0">
            <w:pPr>
              <w:snapToGrid w:val="0"/>
              <w:spacing w:line="360" w:lineRule="auto"/>
              <w:rPr>
                <w:rFonts w:ascii="宋体" w:hAnsi="宋体"/>
                <w:color w:val="auto"/>
                <w:sz w:val="24"/>
                <w:szCs w:val="20"/>
                <w:highlight w:val="none"/>
              </w:rPr>
            </w:pPr>
          </w:p>
        </w:tc>
        <w:tc>
          <w:tcPr>
            <w:tcW w:w="1663" w:type="dxa"/>
            <w:tcBorders>
              <w:top w:val="single" w:color="auto" w:sz="4" w:space="0"/>
              <w:left w:val="single" w:color="auto" w:sz="4" w:space="0"/>
              <w:bottom w:val="single" w:color="auto" w:sz="4" w:space="0"/>
              <w:right w:val="single" w:color="auto" w:sz="4" w:space="0"/>
            </w:tcBorders>
          </w:tcPr>
          <w:p w14:paraId="0A710056">
            <w:pPr>
              <w:snapToGrid w:val="0"/>
              <w:spacing w:line="360" w:lineRule="auto"/>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tcPr>
          <w:p w14:paraId="2CE3F121">
            <w:pPr>
              <w:snapToGrid w:val="0"/>
              <w:spacing w:line="360" w:lineRule="auto"/>
              <w:rPr>
                <w:rFonts w:ascii="宋体" w:hAnsi="宋体"/>
                <w:color w:val="auto"/>
                <w:sz w:val="24"/>
                <w:szCs w:val="20"/>
                <w:highlight w:val="none"/>
              </w:rPr>
            </w:pPr>
          </w:p>
        </w:tc>
        <w:tc>
          <w:tcPr>
            <w:tcW w:w="1620" w:type="dxa"/>
            <w:tcBorders>
              <w:top w:val="single" w:color="auto" w:sz="4" w:space="0"/>
              <w:left w:val="single" w:color="auto" w:sz="4" w:space="0"/>
              <w:bottom w:val="single" w:color="auto" w:sz="4" w:space="0"/>
              <w:right w:val="single" w:color="auto" w:sz="4" w:space="0"/>
            </w:tcBorders>
          </w:tcPr>
          <w:p w14:paraId="4654061F">
            <w:pPr>
              <w:snapToGrid w:val="0"/>
              <w:spacing w:line="360" w:lineRule="auto"/>
              <w:rPr>
                <w:rFonts w:ascii="宋体" w:hAnsi="宋体"/>
                <w:color w:val="auto"/>
                <w:sz w:val="24"/>
                <w:szCs w:val="20"/>
                <w:highlight w:val="none"/>
              </w:rPr>
            </w:pPr>
          </w:p>
        </w:tc>
        <w:tc>
          <w:tcPr>
            <w:tcW w:w="1980" w:type="dxa"/>
            <w:tcBorders>
              <w:top w:val="single" w:color="auto" w:sz="4" w:space="0"/>
              <w:left w:val="single" w:color="auto" w:sz="4" w:space="0"/>
              <w:bottom w:val="single" w:color="auto" w:sz="4" w:space="0"/>
              <w:right w:val="single" w:color="auto" w:sz="4" w:space="0"/>
            </w:tcBorders>
          </w:tcPr>
          <w:p w14:paraId="47A0BBBC">
            <w:pPr>
              <w:snapToGrid w:val="0"/>
              <w:spacing w:line="360" w:lineRule="auto"/>
              <w:rPr>
                <w:rFonts w:ascii="宋体" w:hAnsi="宋体"/>
                <w:color w:val="auto"/>
                <w:sz w:val="24"/>
                <w:szCs w:val="20"/>
                <w:highlight w:val="none"/>
              </w:rPr>
            </w:pPr>
          </w:p>
        </w:tc>
      </w:tr>
      <w:tr w14:paraId="1B508D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28D3E2B">
            <w:pPr>
              <w:snapToGrid w:val="0"/>
              <w:spacing w:line="360" w:lineRule="auto"/>
              <w:rPr>
                <w:rFonts w:ascii="宋体" w:hAnsi="宋体"/>
                <w:color w:val="auto"/>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434F1398">
            <w:pPr>
              <w:snapToGrid w:val="0"/>
              <w:spacing w:line="360" w:lineRule="auto"/>
              <w:rPr>
                <w:rFonts w:ascii="宋体" w:hAnsi="宋体"/>
                <w:color w:val="auto"/>
                <w:sz w:val="24"/>
                <w:szCs w:val="20"/>
                <w:highlight w:val="none"/>
              </w:rPr>
            </w:pPr>
          </w:p>
        </w:tc>
        <w:tc>
          <w:tcPr>
            <w:tcW w:w="1663" w:type="dxa"/>
            <w:tcBorders>
              <w:top w:val="single" w:color="auto" w:sz="4" w:space="0"/>
              <w:left w:val="single" w:color="auto" w:sz="4" w:space="0"/>
              <w:bottom w:val="single" w:color="auto" w:sz="4" w:space="0"/>
              <w:right w:val="single" w:color="auto" w:sz="4" w:space="0"/>
            </w:tcBorders>
          </w:tcPr>
          <w:p w14:paraId="57557845">
            <w:pPr>
              <w:snapToGrid w:val="0"/>
              <w:spacing w:line="360" w:lineRule="auto"/>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tcPr>
          <w:p w14:paraId="466CCA66">
            <w:pPr>
              <w:snapToGrid w:val="0"/>
              <w:spacing w:line="360" w:lineRule="auto"/>
              <w:rPr>
                <w:rFonts w:ascii="宋体" w:hAnsi="宋体"/>
                <w:color w:val="auto"/>
                <w:sz w:val="24"/>
                <w:szCs w:val="20"/>
                <w:highlight w:val="none"/>
              </w:rPr>
            </w:pPr>
          </w:p>
        </w:tc>
        <w:tc>
          <w:tcPr>
            <w:tcW w:w="1620" w:type="dxa"/>
            <w:tcBorders>
              <w:top w:val="single" w:color="auto" w:sz="4" w:space="0"/>
              <w:left w:val="single" w:color="auto" w:sz="4" w:space="0"/>
              <w:bottom w:val="single" w:color="auto" w:sz="4" w:space="0"/>
              <w:right w:val="single" w:color="auto" w:sz="4" w:space="0"/>
            </w:tcBorders>
          </w:tcPr>
          <w:p w14:paraId="7A842637">
            <w:pPr>
              <w:snapToGrid w:val="0"/>
              <w:spacing w:line="360" w:lineRule="auto"/>
              <w:rPr>
                <w:rFonts w:ascii="宋体" w:hAnsi="宋体"/>
                <w:color w:val="auto"/>
                <w:sz w:val="24"/>
                <w:szCs w:val="20"/>
                <w:highlight w:val="none"/>
              </w:rPr>
            </w:pPr>
          </w:p>
        </w:tc>
        <w:tc>
          <w:tcPr>
            <w:tcW w:w="1980" w:type="dxa"/>
            <w:tcBorders>
              <w:top w:val="single" w:color="auto" w:sz="4" w:space="0"/>
              <w:left w:val="single" w:color="auto" w:sz="4" w:space="0"/>
              <w:bottom w:val="single" w:color="auto" w:sz="4" w:space="0"/>
              <w:right w:val="single" w:color="auto" w:sz="4" w:space="0"/>
            </w:tcBorders>
          </w:tcPr>
          <w:p w14:paraId="1792B730">
            <w:pPr>
              <w:snapToGrid w:val="0"/>
              <w:spacing w:line="360" w:lineRule="auto"/>
              <w:rPr>
                <w:rFonts w:ascii="宋体" w:hAnsi="宋体"/>
                <w:color w:val="auto"/>
                <w:sz w:val="24"/>
                <w:szCs w:val="20"/>
                <w:highlight w:val="none"/>
              </w:rPr>
            </w:pPr>
          </w:p>
        </w:tc>
      </w:tr>
      <w:tr w14:paraId="4642B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C0B74BE">
            <w:pPr>
              <w:snapToGrid w:val="0"/>
              <w:spacing w:line="360" w:lineRule="auto"/>
              <w:rPr>
                <w:rFonts w:ascii="宋体" w:hAnsi="宋体"/>
                <w:color w:val="auto"/>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4290CF4B">
            <w:pPr>
              <w:snapToGrid w:val="0"/>
              <w:spacing w:line="360" w:lineRule="auto"/>
              <w:rPr>
                <w:rFonts w:ascii="宋体" w:hAnsi="宋体"/>
                <w:color w:val="auto"/>
                <w:sz w:val="24"/>
                <w:szCs w:val="20"/>
                <w:highlight w:val="none"/>
              </w:rPr>
            </w:pPr>
          </w:p>
        </w:tc>
        <w:tc>
          <w:tcPr>
            <w:tcW w:w="1663" w:type="dxa"/>
            <w:tcBorders>
              <w:top w:val="single" w:color="auto" w:sz="4" w:space="0"/>
              <w:left w:val="single" w:color="auto" w:sz="4" w:space="0"/>
              <w:bottom w:val="single" w:color="auto" w:sz="4" w:space="0"/>
              <w:right w:val="single" w:color="auto" w:sz="4" w:space="0"/>
            </w:tcBorders>
          </w:tcPr>
          <w:p w14:paraId="0D4E5276">
            <w:pPr>
              <w:snapToGrid w:val="0"/>
              <w:spacing w:line="360" w:lineRule="auto"/>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tcPr>
          <w:p w14:paraId="13182890">
            <w:pPr>
              <w:snapToGrid w:val="0"/>
              <w:spacing w:line="360" w:lineRule="auto"/>
              <w:rPr>
                <w:rFonts w:ascii="宋体" w:hAnsi="宋体"/>
                <w:color w:val="auto"/>
                <w:sz w:val="24"/>
                <w:szCs w:val="20"/>
                <w:highlight w:val="none"/>
              </w:rPr>
            </w:pPr>
          </w:p>
        </w:tc>
        <w:tc>
          <w:tcPr>
            <w:tcW w:w="1620" w:type="dxa"/>
            <w:tcBorders>
              <w:top w:val="single" w:color="auto" w:sz="4" w:space="0"/>
              <w:left w:val="single" w:color="auto" w:sz="4" w:space="0"/>
              <w:bottom w:val="single" w:color="auto" w:sz="4" w:space="0"/>
              <w:right w:val="single" w:color="auto" w:sz="4" w:space="0"/>
            </w:tcBorders>
          </w:tcPr>
          <w:p w14:paraId="392047D1">
            <w:pPr>
              <w:snapToGrid w:val="0"/>
              <w:spacing w:line="360" w:lineRule="auto"/>
              <w:rPr>
                <w:rFonts w:ascii="宋体" w:hAnsi="宋体"/>
                <w:color w:val="auto"/>
                <w:sz w:val="24"/>
                <w:szCs w:val="20"/>
                <w:highlight w:val="none"/>
              </w:rPr>
            </w:pPr>
          </w:p>
        </w:tc>
        <w:tc>
          <w:tcPr>
            <w:tcW w:w="1980" w:type="dxa"/>
            <w:tcBorders>
              <w:top w:val="single" w:color="auto" w:sz="4" w:space="0"/>
              <w:left w:val="single" w:color="auto" w:sz="4" w:space="0"/>
              <w:bottom w:val="single" w:color="auto" w:sz="4" w:space="0"/>
              <w:right w:val="single" w:color="auto" w:sz="4" w:space="0"/>
            </w:tcBorders>
          </w:tcPr>
          <w:p w14:paraId="749003B2">
            <w:pPr>
              <w:snapToGrid w:val="0"/>
              <w:spacing w:line="360" w:lineRule="auto"/>
              <w:rPr>
                <w:rFonts w:ascii="宋体" w:hAnsi="宋体"/>
                <w:color w:val="auto"/>
                <w:sz w:val="24"/>
                <w:szCs w:val="20"/>
                <w:highlight w:val="none"/>
              </w:rPr>
            </w:pPr>
          </w:p>
        </w:tc>
      </w:tr>
      <w:tr w14:paraId="733BFE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8637D9C">
            <w:pPr>
              <w:snapToGrid w:val="0"/>
              <w:spacing w:line="360" w:lineRule="auto"/>
              <w:rPr>
                <w:rFonts w:ascii="宋体" w:hAnsi="宋体"/>
                <w:color w:val="auto"/>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053A1402">
            <w:pPr>
              <w:snapToGrid w:val="0"/>
              <w:spacing w:line="360" w:lineRule="auto"/>
              <w:rPr>
                <w:rFonts w:ascii="宋体" w:hAnsi="宋体"/>
                <w:color w:val="auto"/>
                <w:sz w:val="24"/>
                <w:szCs w:val="20"/>
                <w:highlight w:val="none"/>
              </w:rPr>
            </w:pPr>
          </w:p>
        </w:tc>
        <w:tc>
          <w:tcPr>
            <w:tcW w:w="1663" w:type="dxa"/>
            <w:tcBorders>
              <w:top w:val="single" w:color="auto" w:sz="4" w:space="0"/>
              <w:left w:val="single" w:color="auto" w:sz="4" w:space="0"/>
              <w:bottom w:val="single" w:color="auto" w:sz="4" w:space="0"/>
              <w:right w:val="single" w:color="auto" w:sz="4" w:space="0"/>
            </w:tcBorders>
          </w:tcPr>
          <w:p w14:paraId="0FE7F92F">
            <w:pPr>
              <w:snapToGrid w:val="0"/>
              <w:spacing w:line="360" w:lineRule="auto"/>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tcPr>
          <w:p w14:paraId="57E36EF5">
            <w:pPr>
              <w:snapToGrid w:val="0"/>
              <w:spacing w:line="360" w:lineRule="auto"/>
              <w:rPr>
                <w:rFonts w:ascii="宋体" w:hAnsi="宋体"/>
                <w:color w:val="auto"/>
                <w:sz w:val="24"/>
                <w:szCs w:val="20"/>
                <w:highlight w:val="none"/>
              </w:rPr>
            </w:pPr>
          </w:p>
        </w:tc>
        <w:tc>
          <w:tcPr>
            <w:tcW w:w="1620" w:type="dxa"/>
            <w:tcBorders>
              <w:top w:val="single" w:color="auto" w:sz="4" w:space="0"/>
              <w:left w:val="single" w:color="auto" w:sz="4" w:space="0"/>
              <w:bottom w:val="single" w:color="auto" w:sz="4" w:space="0"/>
              <w:right w:val="single" w:color="auto" w:sz="4" w:space="0"/>
            </w:tcBorders>
          </w:tcPr>
          <w:p w14:paraId="608C33E9">
            <w:pPr>
              <w:snapToGrid w:val="0"/>
              <w:spacing w:line="360" w:lineRule="auto"/>
              <w:rPr>
                <w:rFonts w:ascii="宋体" w:hAnsi="宋体"/>
                <w:color w:val="auto"/>
                <w:sz w:val="24"/>
                <w:szCs w:val="20"/>
                <w:highlight w:val="none"/>
              </w:rPr>
            </w:pPr>
          </w:p>
        </w:tc>
        <w:tc>
          <w:tcPr>
            <w:tcW w:w="1980" w:type="dxa"/>
            <w:tcBorders>
              <w:top w:val="single" w:color="auto" w:sz="4" w:space="0"/>
              <w:left w:val="single" w:color="auto" w:sz="4" w:space="0"/>
              <w:bottom w:val="single" w:color="auto" w:sz="4" w:space="0"/>
              <w:right w:val="single" w:color="auto" w:sz="4" w:space="0"/>
            </w:tcBorders>
          </w:tcPr>
          <w:p w14:paraId="1B36E8CD">
            <w:pPr>
              <w:snapToGrid w:val="0"/>
              <w:spacing w:line="360" w:lineRule="auto"/>
              <w:rPr>
                <w:rFonts w:ascii="宋体" w:hAnsi="宋体"/>
                <w:color w:val="auto"/>
                <w:sz w:val="24"/>
                <w:szCs w:val="20"/>
                <w:highlight w:val="none"/>
              </w:rPr>
            </w:pPr>
          </w:p>
        </w:tc>
      </w:tr>
      <w:tr w14:paraId="4C374A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D6DA407">
            <w:pPr>
              <w:snapToGrid w:val="0"/>
              <w:spacing w:line="360" w:lineRule="auto"/>
              <w:rPr>
                <w:rFonts w:ascii="宋体" w:hAnsi="宋体"/>
                <w:color w:val="auto"/>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2723C9CB">
            <w:pPr>
              <w:snapToGrid w:val="0"/>
              <w:spacing w:line="360" w:lineRule="auto"/>
              <w:rPr>
                <w:rFonts w:ascii="宋体" w:hAnsi="宋体"/>
                <w:color w:val="auto"/>
                <w:sz w:val="24"/>
                <w:szCs w:val="20"/>
                <w:highlight w:val="none"/>
              </w:rPr>
            </w:pPr>
          </w:p>
        </w:tc>
        <w:tc>
          <w:tcPr>
            <w:tcW w:w="1663" w:type="dxa"/>
            <w:tcBorders>
              <w:top w:val="single" w:color="auto" w:sz="4" w:space="0"/>
              <w:left w:val="single" w:color="auto" w:sz="4" w:space="0"/>
              <w:bottom w:val="single" w:color="auto" w:sz="4" w:space="0"/>
              <w:right w:val="single" w:color="auto" w:sz="4" w:space="0"/>
            </w:tcBorders>
          </w:tcPr>
          <w:p w14:paraId="73BB8FC9">
            <w:pPr>
              <w:snapToGrid w:val="0"/>
              <w:spacing w:line="360" w:lineRule="auto"/>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tcPr>
          <w:p w14:paraId="64529B67">
            <w:pPr>
              <w:snapToGrid w:val="0"/>
              <w:spacing w:line="360" w:lineRule="auto"/>
              <w:rPr>
                <w:rFonts w:ascii="宋体" w:hAnsi="宋体"/>
                <w:color w:val="auto"/>
                <w:sz w:val="24"/>
                <w:szCs w:val="20"/>
                <w:highlight w:val="none"/>
              </w:rPr>
            </w:pPr>
          </w:p>
        </w:tc>
        <w:tc>
          <w:tcPr>
            <w:tcW w:w="1620" w:type="dxa"/>
            <w:tcBorders>
              <w:top w:val="single" w:color="auto" w:sz="4" w:space="0"/>
              <w:left w:val="single" w:color="auto" w:sz="4" w:space="0"/>
              <w:bottom w:val="single" w:color="auto" w:sz="4" w:space="0"/>
              <w:right w:val="single" w:color="auto" w:sz="4" w:space="0"/>
            </w:tcBorders>
          </w:tcPr>
          <w:p w14:paraId="7234145D">
            <w:pPr>
              <w:snapToGrid w:val="0"/>
              <w:spacing w:line="360" w:lineRule="auto"/>
              <w:rPr>
                <w:rFonts w:ascii="宋体" w:hAnsi="宋体"/>
                <w:color w:val="auto"/>
                <w:sz w:val="24"/>
                <w:szCs w:val="20"/>
                <w:highlight w:val="none"/>
              </w:rPr>
            </w:pPr>
          </w:p>
        </w:tc>
        <w:tc>
          <w:tcPr>
            <w:tcW w:w="1980" w:type="dxa"/>
            <w:tcBorders>
              <w:top w:val="single" w:color="auto" w:sz="4" w:space="0"/>
              <w:left w:val="single" w:color="auto" w:sz="4" w:space="0"/>
              <w:bottom w:val="single" w:color="auto" w:sz="4" w:space="0"/>
              <w:right w:val="single" w:color="auto" w:sz="4" w:space="0"/>
            </w:tcBorders>
          </w:tcPr>
          <w:p w14:paraId="07C9CE2D">
            <w:pPr>
              <w:snapToGrid w:val="0"/>
              <w:spacing w:line="360" w:lineRule="auto"/>
              <w:rPr>
                <w:rFonts w:ascii="宋体" w:hAnsi="宋体"/>
                <w:color w:val="auto"/>
                <w:sz w:val="24"/>
                <w:szCs w:val="20"/>
                <w:highlight w:val="none"/>
              </w:rPr>
            </w:pPr>
          </w:p>
        </w:tc>
      </w:tr>
      <w:tr w14:paraId="5BECB4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0241A8D">
            <w:pPr>
              <w:snapToGrid w:val="0"/>
              <w:spacing w:line="360" w:lineRule="auto"/>
              <w:rPr>
                <w:rFonts w:ascii="宋体" w:hAnsi="宋体"/>
                <w:color w:val="auto"/>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14:paraId="35C355B7">
            <w:pPr>
              <w:snapToGrid w:val="0"/>
              <w:spacing w:line="360" w:lineRule="auto"/>
              <w:rPr>
                <w:rFonts w:ascii="宋体" w:hAnsi="宋体"/>
                <w:color w:val="auto"/>
                <w:sz w:val="24"/>
                <w:szCs w:val="20"/>
                <w:highlight w:val="none"/>
              </w:rPr>
            </w:pPr>
          </w:p>
        </w:tc>
        <w:tc>
          <w:tcPr>
            <w:tcW w:w="1663" w:type="dxa"/>
            <w:tcBorders>
              <w:top w:val="single" w:color="auto" w:sz="4" w:space="0"/>
              <w:left w:val="single" w:color="auto" w:sz="4" w:space="0"/>
              <w:bottom w:val="single" w:color="auto" w:sz="4" w:space="0"/>
              <w:right w:val="single" w:color="auto" w:sz="4" w:space="0"/>
            </w:tcBorders>
          </w:tcPr>
          <w:p w14:paraId="55477291">
            <w:pPr>
              <w:snapToGrid w:val="0"/>
              <w:spacing w:line="360" w:lineRule="auto"/>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tcPr>
          <w:p w14:paraId="51888E4A">
            <w:pPr>
              <w:snapToGrid w:val="0"/>
              <w:spacing w:line="360" w:lineRule="auto"/>
              <w:rPr>
                <w:rFonts w:ascii="宋体" w:hAnsi="宋体"/>
                <w:color w:val="auto"/>
                <w:sz w:val="24"/>
                <w:szCs w:val="20"/>
                <w:highlight w:val="none"/>
              </w:rPr>
            </w:pPr>
          </w:p>
        </w:tc>
        <w:tc>
          <w:tcPr>
            <w:tcW w:w="1620" w:type="dxa"/>
            <w:tcBorders>
              <w:top w:val="single" w:color="auto" w:sz="4" w:space="0"/>
              <w:left w:val="single" w:color="auto" w:sz="4" w:space="0"/>
              <w:bottom w:val="single" w:color="auto" w:sz="4" w:space="0"/>
              <w:right w:val="single" w:color="auto" w:sz="4" w:space="0"/>
            </w:tcBorders>
          </w:tcPr>
          <w:p w14:paraId="2A82EBDD">
            <w:pPr>
              <w:snapToGrid w:val="0"/>
              <w:spacing w:line="360" w:lineRule="auto"/>
              <w:rPr>
                <w:rFonts w:ascii="宋体" w:hAnsi="宋体"/>
                <w:color w:val="auto"/>
                <w:sz w:val="24"/>
                <w:szCs w:val="20"/>
                <w:highlight w:val="none"/>
              </w:rPr>
            </w:pPr>
          </w:p>
        </w:tc>
        <w:tc>
          <w:tcPr>
            <w:tcW w:w="1980" w:type="dxa"/>
            <w:tcBorders>
              <w:top w:val="single" w:color="auto" w:sz="4" w:space="0"/>
              <w:left w:val="single" w:color="auto" w:sz="4" w:space="0"/>
              <w:bottom w:val="single" w:color="auto" w:sz="4" w:space="0"/>
              <w:right w:val="single" w:color="auto" w:sz="4" w:space="0"/>
            </w:tcBorders>
          </w:tcPr>
          <w:p w14:paraId="57A9BDF1">
            <w:pPr>
              <w:snapToGrid w:val="0"/>
              <w:spacing w:line="360" w:lineRule="auto"/>
              <w:rPr>
                <w:rFonts w:ascii="宋体" w:hAnsi="宋体"/>
                <w:color w:val="auto"/>
                <w:sz w:val="24"/>
                <w:szCs w:val="20"/>
                <w:highlight w:val="none"/>
              </w:rPr>
            </w:pPr>
          </w:p>
        </w:tc>
      </w:tr>
    </w:tbl>
    <w:p w14:paraId="18A54C52">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注：在填写时，如本表格不适合投标单位的实际情况，可根据本表格式自行划表填写。</w:t>
      </w:r>
    </w:p>
    <w:p w14:paraId="1CDB6F40">
      <w:pPr>
        <w:snapToGrid w:val="0"/>
        <w:spacing w:line="360" w:lineRule="auto"/>
        <w:rPr>
          <w:rFonts w:ascii="宋体" w:hAnsi="宋体"/>
          <w:color w:val="auto"/>
          <w:spacing w:val="20"/>
          <w:sz w:val="24"/>
          <w:szCs w:val="20"/>
          <w:highlight w:val="none"/>
          <w:u w:val="single"/>
        </w:rPr>
      </w:pPr>
      <w:r>
        <w:rPr>
          <w:rFonts w:hint="eastAsia" w:ascii="宋体" w:hAnsi="宋体"/>
          <w:color w:val="auto"/>
          <w:spacing w:val="20"/>
          <w:sz w:val="24"/>
          <w:highlight w:val="none"/>
        </w:rPr>
        <w:t>授权代表签名：</w:t>
      </w:r>
    </w:p>
    <w:p w14:paraId="4F9F0CE8">
      <w:pPr>
        <w:snapToGrid w:val="0"/>
        <w:spacing w:line="360" w:lineRule="auto"/>
        <w:jc w:val="left"/>
        <w:rPr>
          <w:rFonts w:ascii="宋体" w:hAnsi="宋体"/>
          <w:color w:val="auto"/>
          <w:spacing w:val="20"/>
          <w:sz w:val="24"/>
          <w:szCs w:val="20"/>
          <w:highlight w:val="none"/>
          <w:u w:val="single"/>
        </w:rPr>
      </w:pPr>
      <w:r>
        <w:rPr>
          <w:rFonts w:hint="eastAsia" w:ascii="宋体" w:hAnsi="宋体"/>
          <w:color w:val="auto"/>
          <w:spacing w:val="20"/>
          <w:sz w:val="24"/>
          <w:highlight w:val="none"/>
        </w:rPr>
        <w:t>投标人盖章：日期：</w:t>
      </w:r>
    </w:p>
    <w:p w14:paraId="0AA9649A">
      <w:pPr>
        <w:rPr>
          <w:color w:val="auto"/>
          <w:highlight w:val="none"/>
        </w:rPr>
      </w:pPr>
    </w:p>
    <w:p w14:paraId="06F24B02">
      <w:pPr>
        <w:snapToGrid w:val="0"/>
        <w:spacing w:line="360" w:lineRule="auto"/>
        <w:jc w:val="left"/>
        <w:rPr>
          <w:rFonts w:ascii="宋体" w:hAnsi="宋体"/>
          <w:color w:val="auto"/>
          <w:sz w:val="24"/>
          <w:highlight w:val="none"/>
        </w:rPr>
      </w:pPr>
    </w:p>
    <w:p w14:paraId="50A63C76">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23.投标人对本项目的合理化建议和改进措施（格式自拟）</w:t>
      </w:r>
    </w:p>
    <w:p w14:paraId="22A8A693">
      <w:pPr>
        <w:snapToGrid w:val="0"/>
        <w:spacing w:line="360" w:lineRule="auto"/>
        <w:jc w:val="left"/>
        <w:rPr>
          <w:rFonts w:ascii="宋体" w:hAnsi="宋体"/>
          <w:color w:val="auto"/>
          <w:sz w:val="24"/>
          <w:szCs w:val="20"/>
          <w:highlight w:val="none"/>
        </w:rPr>
      </w:pPr>
    </w:p>
    <w:p w14:paraId="4A082C71">
      <w:pPr>
        <w:pStyle w:val="2"/>
        <w:rPr>
          <w:color w:val="auto"/>
          <w:highlight w:val="none"/>
        </w:rPr>
      </w:pPr>
    </w:p>
    <w:p w14:paraId="2C7809DA">
      <w:pPr>
        <w:rPr>
          <w:color w:val="auto"/>
          <w:highlight w:val="none"/>
        </w:rPr>
      </w:pPr>
    </w:p>
    <w:p w14:paraId="77F2CDCC">
      <w:pPr>
        <w:snapToGrid w:val="0"/>
        <w:spacing w:line="360" w:lineRule="auto"/>
        <w:jc w:val="left"/>
        <w:rPr>
          <w:rFonts w:ascii="宋体" w:hAnsi="宋体"/>
          <w:color w:val="auto"/>
          <w:sz w:val="24"/>
          <w:highlight w:val="none"/>
        </w:rPr>
      </w:pPr>
      <w:r>
        <w:rPr>
          <w:rFonts w:hint="eastAsia" w:ascii="宋体" w:hAnsi="宋体"/>
          <w:color w:val="auto"/>
          <w:sz w:val="24"/>
          <w:highlight w:val="none"/>
        </w:rPr>
        <w:t>24.投标人需要说明的其他文件和说明（格式自拟）</w:t>
      </w:r>
    </w:p>
    <w:p w14:paraId="31E71A59">
      <w:pPr>
        <w:pStyle w:val="2"/>
        <w:rPr>
          <w:color w:val="auto"/>
          <w:highlight w:val="none"/>
        </w:rPr>
        <w:sectPr>
          <w:headerReference r:id="rId3" w:type="default"/>
          <w:pgSz w:w="11906" w:h="16838"/>
          <w:pgMar w:top="1361" w:right="1247" w:bottom="1361" w:left="1247" w:header="851" w:footer="851" w:gutter="0"/>
          <w:cols w:space="720" w:num="1"/>
          <w:docGrid w:linePitch="312" w:charSpace="0"/>
        </w:sectPr>
      </w:pPr>
    </w:p>
    <w:p w14:paraId="39662458">
      <w:pPr>
        <w:snapToGrid w:val="0"/>
        <w:spacing w:line="360" w:lineRule="auto"/>
        <w:jc w:val="left"/>
        <w:rPr>
          <w:rFonts w:ascii="宋体" w:hAnsi="宋体"/>
          <w:color w:val="auto"/>
          <w:sz w:val="24"/>
          <w:highlight w:val="none"/>
        </w:rPr>
      </w:pPr>
      <w:r>
        <w:rPr>
          <w:rFonts w:hint="eastAsia" w:ascii="宋体" w:hAnsi="宋体"/>
          <w:color w:val="auto"/>
          <w:sz w:val="24"/>
          <w:highlight w:val="none"/>
        </w:rPr>
        <w:t>25.投标人的类似成功案例的业绩证明文件：</w:t>
      </w:r>
    </w:p>
    <w:p w14:paraId="4DB89095">
      <w:pPr>
        <w:pStyle w:val="19"/>
        <w:snapToGrid w:val="0"/>
        <w:spacing w:line="360" w:lineRule="auto"/>
        <w:ind w:left="480" w:hanging="480"/>
        <w:rPr>
          <w:rFonts w:ascii="宋体" w:hAnsi="宋体"/>
          <w:color w:val="auto"/>
          <w:sz w:val="24"/>
          <w:highlight w:val="none"/>
        </w:rPr>
      </w:pPr>
      <w:r>
        <w:rPr>
          <w:rFonts w:ascii="宋体" w:hAnsi="宋体"/>
          <w:color w:val="auto"/>
          <w:sz w:val="24"/>
          <w:highlight w:val="none"/>
        </w:rPr>
        <w:t>投标人同类项目实施情况一览表格式：（投标人同类项目合同复印件）</w:t>
      </w:r>
    </w:p>
    <w:tbl>
      <w:tblPr>
        <w:tblStyle w:val="24"/>
        <w:tblW w:w="139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800"/>
        <w:gridCol w:w="1800"/>
        <w:gridCol w:w="2160"/>
      </w:tblGrid>
      <w:tr w14:paraId="31CC9F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7"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14:paraId="747B7D25">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14:paraId="3A9D3845">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292C0CA2">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采购</w:t>
            </w:r>
          </w:p>
          <w:p w14:paraId="350D4B81">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数量</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0F822B05">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单价</w:t>
            </w:r>
          </w:p>
        </w:tc>
        <w:tc>
          <w:tcPr>
            <w:tcW w:w="1800" w:type="dxa"/>
            <w:vMerge w:val="restart"/>
            <w:tcBorders>
              <w:top w:val="single" w:color="auto" w:sz="4" w:space="0"/>
              <w:left w:val="single" w:color="auto" w:sz="4" w:space="0"/>
              <w:bottom w:val="single" w:color="auto" w:sz="4" w:space="0"/>
              <w:right w:val="single" w:color="auto" w:sz="4" w:space="0"/>
            </w:tcBorders>
            <w:vAlign w:val="center"/>
          </w:tcPr>
          <w:p w14:paraId="5246FF38">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合同</w:t>
            </w:r>
          </w:p>
          <w:p w14:paraId="7C7639FB">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金额</w:t>
            </w:r>
          </w:p>
          <w:p w14:paraId="2484FA1E">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（万元）</w:t>
            </w:r>
          </w:p>
        </w:tc>
        <w:tc>
          <w:tcPr>
            <w:tcW w:w="1800" w:type="dxa"/>
            <w:tcBorders>
              <w:top w:val="single" w:color="auto" w:sz="4" w:space="0"/>
              <w:left w:val="single" w:color="auto" w:sz="4" w:space="0"/>
              <w:bottom w:val="single" w:color="auto" w:sz="4" w:space="0"/>
              <w:right w:val="single" w:color="auto" w:sz="4" w:space="0"/>
            </w:tcBorders>
            <w:vAlign w:val="center"/>
          </w:tcPr>
          <w:p w14:paraId="01C5F293">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附件页码</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14:paraId="090C190F">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采购单位联系人及</w:t>
            </w:r>
          </w:p>
          <w:p w14:paraId="477409AD">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联系电话</w:t>
            </w:r>
          </w:p>
        </w:tc>
      </w:tr>
      <w:tr w14:paraId="5E0190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6"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14:paraId="4A358AF0">
            <w:pPr>
              <w:widowControl/>
              <w:spacing w:line="360" w:lineRule="auto"/>
              <w:jc w:val="left"/>
              <w:rPr>
                <w:rFonts w:ascii="宋体" w:hAnsi="宋体"/>
                <w:color w:val="auto"/>
                <w:sz w:val="18"/>
                <w:highlight w:val="none"/>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14:paraId="34350AD0">
            <w:pPr>
              <w:widowControl/>
              <w:spacing w:line="360" w:lineRule="auto"/>
              <w:jc w:val="left"/>
              <w:rPr>
                <w:rFonts w:ascii="宋体" w:hAnsi="宋体"/>
                <w:color w:val="auto"/>
                <w:sz w:val="18"/>
                <w:highlight w:val="none"/>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36CD7CF3">
            <w:pPr>
              <w:widowControl/>
              <w:spacing w:line="360" w:lineRule="auto"/>
              <w:jc w:val="left"/>
              <w:rPr>
                <w:rFonts w:ascii="宋体" w:hAnsi="宋体"/>
                <w:color w:val="auto"/>
                <w:sz w:val="18"/>
                <w:highlight w:val="none"/>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2923EFC5">
            <w:pPr>
              <w:widowControl/>
              <w:spacing w:line="360" w:lineRule="auto"/>
              <w:jc w:val="left"/>
              <w:rPr>
                <w:rFonts w:ascii="宋体" w:hAnsi="宋体"/>
                <w:color w:val="auto"/>
                <w:sz w:val="18"/>
                <w:highlight w:val="none"/>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14:paraId="4E29E7B6">
            <w:pPr>
              <w:widowControl/>
              <w:spacing w:line="360" w:lineRule="auto"/>
              <w:jc w:val="left"/>
              <w:rPr>
                <w:rFonts w:ascii="宋体" w:hAnsi="宋体"/>
                <w:color w:val="auto"/>
                <w:sz w:val="18"/>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2B951CF7">
            <w:pPr>
              <w:snapToGrid w:val="0"/>
              <w:spacing w:line="360" w:lineRule="auto"/>
              <w:jc w:val="center"/>
              <w:rPr>
                <w:rFonts w:ascii="宋体" w:hAnsi="宋体"/>
                <w:color w:val="auto"/>
                <w:sz w:val="18"/>
                <w:szCs w:val="20"/>
                <w:highlight w:val="none"/>
              </w:rPr>
            </w:pPr>
            <w:r>
              <w:rPr>
                <w:rFonts w:hint="eastAsia" w:ascii="宋体" w:hAnsi="宋体"/>
                <w:color w:val="auto"/>
                <w:sz w:val="18"/>
                <w:highlight w:val="none"/>
              </w:rPr>
              <w:t>合同</w:t>
            </w:r>
          </w:p>
        </w:tc>
        <w:tc>
          <w:tcPr>
            <w:tcW w:w="2160" w:type="dxa"/>
            <w:vMerge w:val="continue"/>
            <w:tcBorders>
              <w:top w:val="single" w:color="auto" w:sz="4" w:space="0"/>
              <w:left w:val="single" w:color="auto" w:sz="4" w:space="0"/>
              <w:bottom w:val="single" w:color="auto" w:sz="4" w:space="0"/>
              <w:right w:val="single" w:color="auto" w:sz="4" w:space="0"/>
            </w:tcBorders>
            <w:vAlign w:val="center"/>
          </w:tcPr>
          <w:p w14:paraId="64B0ADE4">
            <w:pPr>
              <w:widowControl/>
              <w:spacing w:line="360" w:lineRule="auto"/>
              <w:jc w:val="left"/>
              <w:rPr>
                <w:rFonts w:ascii="宋体" w:hAnsi="宋体"/>
                <w:color w:val="auto"/>
                <w:sz w:val="18"/>
                <w:highlight w:val="none"/>
              </w:rPr>
            </w:pPr>
          </w:p>
        </w:tc>
      </w:tr>
      <w:tr w14:paraId="1A9848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2628" w:type="dxa"/>
            <w:tcBorders>
              <w:top w:val="single" w:color="auto" w:sz="4" w:space="0"/>
              <w:left w:val="single" w:color="auto" w:sz="4" w:space="0"/>
              <w:bottom w:val="single" w:color="auto" w:sz="4" w:space="0"/>
              <w:right w:val="single" w:color="auto" w:sz="4" w:space="0"/>
            </w:tcBorders>
          </w:tcPr>
          <w:p w14:paraId="720647BD">
            <w:pPr>
              <w:snapToGrid w:val="0"/>
              <w:spacing w:line="360" w:lineRule="auto"/>
              <w:jc w:val="left"/>
              <w:rPr>
                <w:rFonts w:ascii="宋体" w:hAnsi="宋体"/>
                <w:color w:val="auto"/>
                <w:sz w:val="18"/>
                <w:szCs w:val="20"/>
                <w:highlight w:val="none"/>
              </w:rPr>
            </w:pPr>
          </w:p>
        </w:tc>
        <w:tc>
          <w:tcPr>
            <w:tcW w:w="3420" w:type="dxa"/>
            <w:tcBorders>
              <w:top w:val="single" w:color="auto" w:sz="4" w:space="0"/>
              <w:left w:val="single" w:color="auto" w:sz="4" w:space="0"/>
              <w:bottom w:val="single" w:color="auto" w:sz="4" w:space="0"/>
              <w:right w:val="single" w:color="auto" w:sz="4" w:space="0"/>
            </w:tcBorders>
          </w:tcPr>
          <w:p w14:paraId="79D98442">
            <w:pPr>
              <w:snapToGrid w:val="0"/>
              <w:spacing w:line="360" w:lineRule="auto"/>
              <w:jc w:val="left"/>
              <w:rPr>
                <w:rFonts w:ascii="宋体" w:hAnsi="宋体"/>
                <w:color w:val="auto"/>
                <w:sz w:val="18"/>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76724CA1">
            <w:pPr>
              <w:snapToGrid w:val="0"/>
              <w:spacing w:line="360" w:lineRule="auto"/>
              <w:jc w:val="left"/>
              <w:rPr>
                <w:rFonts w:ascii="宋体" w:hAnsi="宋体"/>
                <w:color w:val="auto"/>
                <w:sz w:val="18"/>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3DC98FF2">
            <w:pPr>
              <w:snapToGrid w:val="0"/>
              <w:spacing w:line="360" w:lineRule="auto"/>
              <w:jc w:val="left"/>
              <w:rPr>
                <w:rFonts w:ascii="宋体" w:hAnsi="宋体"/>
                <w:color w:val="auto"/>
                <w:sz w:val="18"/>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7795ACFA">
            <w:pPr>
              <w:snapToGrid w:val="0"/>
              <w:spacing w:line="360" w:lineRule="auto"/>
              <w:jc w:val="left"/>
              <w:rPr>
                <w:rFonts w:ascii="宋体" w:hAnsi="宋体"/>
                <w:color w:val="auto"/>
                <w:sz w:val="18"/>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2B06DA6F">
            <w:pPr>
              <w:snapToGrid w:val="0"/>
              <w:spacing w:line="360" w:lineRule="auto"/>
              <w:jc w:val="left"/>
              <w:rPr>
                <w:rFonts w:ascii="宋体" w:hAnsi="宋体"/>
                <w:color w:val="auto"/>
                <w:sz w:val="18"/>
                <w:szCs w:val="20"/>
                <w:highlight w:val="none"/>
              </w:rPr>
            </w:pPr>
          </w:p>
        </w:tc>
        <w:tc>
          <w:tcPr>
            <w:tcW w:w="2160" w:type="dxa"/>
            <w:tcBorders>
              <w:top w:val="single" w:color="auto" w:sz="4" w:space="0"/>
              <w:left w:val="single" w:color="auto" w:sz="4" w:space="0"/>
              <w:bottom w:val="single" w:color="auto" w:sz="4" w:space="0"/>
              <w:right w:val="single" w:color="auto" w:sz="4" w:space="0"/>
            </w:tcBorders>
          </w:tcPr>
          <w:p w14:paraId="09000E57">
            <w:pPr>
              <w:snapToGrid w:val="0"/>
              <w:spacing w:line="360" w:lineRule="auto"/>
              <w:jc w:val="left"/>
              <w:rPr>
                <w:rFonts w:ascii="宋体" w:hAnsi="宋体"/>
                <w:color w:val="auto"/>
                <w:sz w:val="18"/>
                <w:szCs w:val="20"/>
                <w:highlight w:val="none"/>
              </w:rPr>
            </w:pPr>
          </w:p>
        </w:tc>
      </w:tr>
      <w:tr w14:paraId="08310A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2628" w:type="dxa"/>
            <w:tcBorders>
              <w:top w:val="single" w:color="auto" w:sz="4" w:space="0"/>
              <w:left w:val="single" w:color="auto" w:sz="4" w:space="0"/>
              <w:bottom w:val="single" w:color="auto" w:sz="4" w:space="0"/>
              <w:right w:val="single" w:color="auto" w:sz="4" w:space="0"/>
            </w:tcBorders>
          </w:tcPr>
          <w:p w14:paraId="448BD030">
            <w:pPr>
              <w:snapToGrid w:val="0"/>
              <w:spacing w:line="360" w:lineRule="auto"/>
              <w:jc w:val="left"/>
              <w:rPr>
                <w:rFonts w:ascii="宋体" w:hAnsi="宋体"/>
                <w:color w:val="auto"/>
                <w:sz w:val="24"/>
                <w:szCs w:val="20"/>
                <w:highlight w:val="none"/>
              </w:rPr>
            </w:pPr>
          </w:p>
        </w:tc>
        <w:tc>
          <w:tcPr>
            <w:tcW w:w="3420" w:type="dxa"/>
            <w:tcBorders>
              <w:top w:val="single" w:color="auto" w:sz="4" w:space="0"/>
              <w:left w:val="single" w:color="auto" w:sz="4" w:space="0"/>
              <w:bottom w:val="single" w:color="auto" w:sz="4" w:space="0"/>
              <w:right w:val="single" w:color="auto" w:sz="4" w:space="0"/>
            </w:tcBorders>
          </w:tcPr>
          <w:p w14:paraId="43B71520">
            <w:pPr>
              <w:snapToGrid w:val="0"/>
              <w:spacing w:line="360" w:lineRule="auto"/>
              <w:jc w:val="left"/>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768A74A7">
            <w:pPr>
              <w:snapToGrid w:val="0"/>
              <w:spacing w:line="360" w:lineRule="auto"/>
              <w:jc w:val="left"/>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21E49048">
            <w:pPr>
              <w:snapToGrid w:val="0"/>
              <w:spacing w:line="360" w:lineRule="auto"/>
              <w:jc w:val="left"/>
              <w:rPr>
                <w:rFonts w:ascii="宋体" w:hAnsi="宋体"/>
                <w:color w:val="auto"/>
                <w:sz w:val="24"/>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7D6BDCD1">
            <w:pPr>
              <w:snapToGrid w:val="0"/>
              <w:spacing w:line="360" w:lineRule="auto"/>
              <w:jc w:val="left"/>
              <w:rPr>
                <w:rFonts w:ascii="宋体" w:hAnsi="宋体"/>
                <w:color w:val="auto"/>
                <w:sz w:val="24"/>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18D6697C">
            <w:pPr>
              <w:snapToGrid w:val="0"/>
              <w:spacing w:line="360" w:lineRule="auto"/>
              <w:jc w:val="left"/>
              <w:rPr>
                <w:rFonts w:ascii="宋体" w:hAnsi="宋体"/>
                <w:color w:val="auto"/>
                <w:sz w:val="24"/>
                <w:szCs w:val="20"/>
                <w:highlight w:val="none"/>
              </w:rPr>
            </w:pPr>
          </w:p>
        </w:tc>
        <w:tc>
          <w:tcPr>
            <w:tcW w:w="2160" w:type="dxa"/>
            <w:tcBorders>
              <w:top w:val="single" w:color="auto" w:sz="4" w:space="0"/>
              <w:left w:val="single" w:color="auto" w:sz="4" w:space="0"/>
              <w:bottom w:val="single" w:color="auto" w:sz="4" w:space="0"/>
              <w:right w:val="single" w:color="auto" w:sz="4" w:space="0"/>
            </w:tcBorders>
          </w:tcPr>
          <w:p w14:paraId="350D9FA6">
            <w:pPr>
              <w:snapToGrid w:val="0"/>
              <w:spacing w:line="360" w:lineRule="auto"/>
              <w:jc w:val="left"/>
              <w:rPr>
                <w:rFonts w:ascii="宋体" w:hAnsi="宋体"/>
                <w:color w:val="auto"/>
                <w:sz w:val="24"/>
                <w:szCs w:val="20"/>
                <w:highlight w:val="none"/>
              </w:rPr>
            </w:pPr>
          </w:p>
        </w:tc>
      </w:tr>
      <w:tr w14:paraId="23E077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2628" w:type="dxa"/>
            <w:tcBorders>
              <w:top w:val="single" w:color="auto" w:sz="4" w:space="0"/>
              <w:left w:val="single" w:color="auto" w:sz="4" w:space="0"/>
              <w:bottom w:val="single" w:color="auto" w:sz="4" w:space="0"/>
              <w:right w:val="single" w:color="auto" w:sz="4" w:space="0"/>
            </w:tcBorders>
          </w:tcPr>
          <w:p w14:paraId="34D45F8F">
            <w:pPr>
              <w:snapToGrid w:val="0"/>
              <w:spacing w:line="360" w:lineRule="auto"/>
              <w:jc w:val="left"/>
              <w:rPr>
                <w:rFonts w:ascii="宋体" w:hAnsi="宋体"/>
                <w:color w:val="auto"/>
                <w:sz w:val="24"/>
                <w:szCs w:val="20"/>
                <w:highlight w:val="none"/>
              </w:rPr>
            </w:pPr>
          </w:p>
        </w:tc>
        <w:tc>
          <w:tcPr>
            <w:tcW w:w="3420" w:type="dxa"/>
            <w:tcBorders>
              <w:top w:val="single" w:color="auto" w:sz="4" w:space="0"/>
              <w:left w:val="single" w:color="auto" w:sz="4" w:space="0"/>
              <w:bottom w:val="single" w:color="auto" w:sz="4" w:space="0"/>
              <w:right w:val="single" w:color="auto" w:sz="4" w:space="0"/>
            </w:tcBorders>
          </w:tcPr>
          <w:p w14:paraId="3D1F28C0">
            <w:pPr>
              <w:snapToGrid w:val="0"/>
              <w:spacing w:line="360" w:lineRule="auto"/>
              <w:jc w:val="left"/>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28B91E88">
            <w:pPr>
              <w:snapToGrid w:val="0"/>
              <w:spacing w:line="360" w:lineRule="auto"/>
              <w:jc w:val="left"/>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661F6DEB">
            <w:pPr>
              <w:snapToGrid w:val="0"/>
              <w:spacing w:line="360" w:lineRule="auto"/>
              <w:jc w:val="left"/>
              <w:rPr>
                <w:rFonts w:ascii="宋体" w:hAnsi="宋体"/>
                <w:color w:val="auto"/>
                <w:sz w:val="24"/>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3B49DB49">
            <w:pPr>
              <w:snapToGrid w:val="0"/>
              <w:spacing w:line="360" w:lineRule="auto"/>
              <w:jc w:val="left"/>
              <w:rPr>
                <w:rFonts w:ascii="宋体" w:hAnsi="宋体"/>
                <w:color w:val="auto"/>
                <w:sz w:val="24"/>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18A8B936">
            <w:pPr>
              <w:snapToGrid w:val="0"/>
              <w:spacing w:line="360" w:lineRule="auto"/>
              <w:jc w:val="left"/>
              <w:rPr>
                <w:rFonts w:ascii="宋体" w:hAnsi="宋体"/>
                <w:color w:val="auto"/>
                <w:sz w:val="24"/>
                <w:szCs w:val="20"/>
                <w:highlight w:val="none"/>
              </w:rPr>
            </w:pPr>
          </w:p>
        </w:tc>
        <w:tc>
          <w:tcPr>
            <w:tcW w:w="2160" w:type="dxa"/>
            <w:tcBorders>
              <w:top w:val="single" w:color="auto" w:sz="4" w:space="0"/>
              <w:left w:val="single" w:color="auto" w:sz="4" w:space="0"/>
              <w:bottom w:val="single" w:color="auto" w:sz="4" w:space="0"/>
              <w:right w:val="single" w:color="auto" w:sz="4" w:space="0"/>
            </w:tcBorders>
          </w:tcPr>
          <w:p w14:paraId="055A7DE9">
            <w:pPr>
              <w:snapToGrid w:val="0"/>
              <w:spacing w:line="360" w:lineRule="auto"/>
              <w:jc w:val="left"/>
              <w:rPr>
                <w:rFonts w:ascii="宋体" w:hAnsi="宋体"/>
                <w:color w:val="auto"/>
                <w:sz w:val="24"/>
                <w:szCs w:val="20"/>
                <w:highlight w:val="none"/>
              </w:rPr>
            </w:pPr>
          </w:p>
        </w:tc>
      </w:tr>
      <w:tr w14:paraId="066F8F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2628" w:type="dxa"/>
            <w:tcBorders>
              <w:top w:val="single" w:color="auto" w:sz="4" w:space="0"/>
              <w:left w:val="single" w:color="auto" w:sz="4" w:space="0"/>
              <w:bottom w:val="single" w:color="auto" w:sz="4" w:space="0"/>
              <w:right w:val="single" w:color="auto" w:sz="4" w:space="0"/>
            </w:tcBorders>
          </w:tcPr>
          <w:p w14:paraId="4D39A5FA">
            <w:pPr>
              <w:snapToGrid w:val="0"/>
              <w:spacing w:line="360" w:lineRule="auto"/>
              <w:jc w:val="left"/>
              <w:rPr>
                <w:rFonts w:ascii="宋体" w:hAnsi="宋体"/>
                <w:color w:val="auto"/>
                <w:sz w:val="24"/>
                <w:szCs w:val="20"/>
                <w:highlight w:val="none"/>
              </w:rPr>
            </w:pPr>
          </w:p>
        </w:tc>
        <w:tc>
          <w:tcPr>
            <w:tcW w:w="3420" w:type="dxa"/>
            <w:tcBorders>
              <w:top w:val="single" w:color="auto" w:sz="4" w:space="0"/>
              <w:left w:val="single" w:color="auto" w:sz="4" w:space="0"/>
              <w:bottom w:val="single" w:color="auto" w:sz="4" w:space="0"/>
              <w:right w:val="single" w:color="auto" w:sz="4" w:space="0"/>
            </w:tcBorders>
          </w:tcPr>
          <w:p w14:paraId="473DF4B6">
            <w:pPr>
              <w:snapToGrid w:val="0"/>
              <w:spacing w:line="360" w:lineRule="auto"/>
              <w:jc w:val="left"/>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7A4E4279">
            <w:pPr>
              <w:snapToGrid w:val="0"/>
              <w:spacing w:line="360" w:lineRule="auto"/>
              <w:jc w:val="left"/>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7326EA42">
            <w:pPr>
              <w:snapToGrid w:val="0"/>
              <w:spacing w:line="360" w:lineRule="auto"/>
              <w:jc w:val="left"/>
              <w:rPr>
                <w:rFonts w:ascii="宋体" w:hAnsi="宋体"/>
                <w:color w:val="auto"/>
                <w:sz w:val="24"/>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7044E91F">
            <w:pPr>
              <w:snapToGrid w:val="0"/>
              <w:spacing w:line="360" w:lineRule="auto"/>
              <w:jc w:val="left"/>
              <w:rPr>
                <w:rFonts w:ascii="宋体" w:hAnsi="宋体"/>
                <w:color w:val="auto"/>
                <w:sz w:val="24"/>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25ED3901">
            <w:pPr>
              <w:snapToGrid w:val="0"/>
              <w:spacing w:line="360" w:lineRule="auto"/>
              <w:jc w:val="left"/>
              <w:rPr>
                <w:rFonts w:ascii="宋体" w:hAnsi="宋体"/>
                <w:color w:val="auto"/>
                <w:sz w:val="24"/>
                <w:szCs w:val="20"/>
                <w:highlight w:val="none"/>
              </w:rPr>
            </w:pPr>
          </w:p>
        </w:tc>
        <w:tc>
          <w:tcPr>
            <w:tcW w:w="2160" w:type="dxa"/>
            <w:tcBorders>
              <w:top w:val="single" w:color="auto" w:sz="4" w:space="0"/>
              <w:left w:val="single" w:color="auto" w:sz="4" w:space="0"/>
              <w:bottom w:val="single" w:color="auto" w:sz="4" w:space="0"/>
              <w:right w:val="single" w:color="auto" w:sz="4" w:space="0"/>
            </w:tcBorders>
          </w:tcPr>
          <w:p w14:paraId="289A85C9">
            <w:pPr>
              <w:snapToGrid w:val="0"/>
              <w:spacing w:line="360" w:lineRule="auto"/>
              <w:jc w:val="left"/>
              <w:rPr>
                <w:rFonts w:ascii="宋体" w:hAnsi="宋体"/>
                <w:color w:val="auto"/>
                <w:sz w:val="24"/>
                <w:szCs w:val="20"/>
                <w:highlight w:val="none"/>
              </w:rPr>
            </w:pPr>
          </w:p>
        </w:tc>
      </w:tr>
      <w:tr w14:paraId="713EE1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2628" w:type="dxa"/>
            <w:tcBorders>
              <w:top w:val="single" w:color="auto" w:sz="4" w:space="0"/>
              <w:left w:val="single" w:color="auto" w:sz="4" w:space="0"/>
              <w:bottom w:val="single" w:color="auto" w:sz="4" w:space="0"/>
              <w:right w:val="single" w:color="auto" w:sz="4" w:space="0"/>
            </w:tcBorders>
          </w:tcPr>
          <w:p w14:paraId="5AF5DD31">
            <w:pPr>
              <w:snapToGrid w:val="0"/>
              <w:spacing w:line="360" w:lineRule="auto"/>
              <w:jc w:val="left"/>
              <w:rPr>
                <w:rFonts w:ascii="宋体" w:hAnsi="宋体"/>
                <w:color w:val="auto"/>
                <w:sz w:val="24"/>
                <w:szCs w:val="20"/>
                <w:highlight w:val="none"/>
              </w:rPr>
            </w:pPr>
          </w:p>
        </w:tc>
        <w:tc>
          <w:tcPr>
            <w:tcW w:w="3420" w:type="dxa"/>
            <w:tcBorders>
              <w:top w:val="single" w:color="auto" w:sz="4" w:space="0"/>
              <w:left w:val="single" w:color="auto" w:sz="4" w:space="0"/>
              <w:bottom w:val="single" w:color="auto" w:sz="4" w:space="0"/>
              <w:right w:val="single" w:color="auto" w:sz="4" w:space="0"/>
            </w:tcBorders>
          </w:tcPr>
          <w:p w14:paraId="1312F811">
            <w:pPr>
              <w:snapToGrid w:val="0"/>
              <w:spacing w:line="360" w:lineRule="auto"/>
              <w:jc w:val="left"/>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38AA3A00">
            <w:pPr>
              <w:snapToGrid w:val="0"/>
              <w:spacing w:line="360" w:lineRule="auto"/>
              <w:jc w:val="left"/>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tcPr>
          <w:p w14:paraId="35BF9CCC">
            <w:pPr>
              <w:snapToGrid w:val="0"/>
              <w:spacing w:line="360" w:lineRule="auto"/>
              <w:jc w:val="left"/>
              <w:rPr>
                <w:rFonts w:ascii="宋体" w:hAnsi="宋体"/>
                <w:color w:val="auto"/>
                <w:sz w:val="24"/>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33CAEE0F">
            <w:pPr>
              <w:snapToGrid w:val="0"/>
              <w:spacing w:line="360" w:lineRule="auto"/>
              <w:jc w:val="left"/>
              <w:rPr>
                <w:rFonts w:ascii="宋体" w:hAnsi="宋体"/>
                <w:color w:val="auto"/>
                <w:sz w:val="24"/>
                <w:szCs w:val="20"/>
                <w:highlight w:val="none"/>
              </w:rPr>
            </w:pPr>
          </w:p>
        </w:tc>
        <w:tc>
          <w:tcPr>
            <w:tcW w:w="1800" w:type="dxa"/>
            <w:tcBorders>
              <w:top w:val="single" w:color="auto" w:sz="4" w:space="0"/>
              <w:left w:val="single" w:color="auto" w:sz="4" w:space="0"/>
              <w:bottom w:val="single" w:color="auto" w:sz="4" w:space="0"/>
              <w:right w:val="single" w:color="auto" w:sz="4" w:space="0"/>
            </w:tcBorders>
          </w:tcPr>
          <w:p w14:paraId="75A8C828">
            <w:pPr>
              <w:snapToGrid w:val="0"/>
              <w:spacing w:line="360" w:lineRule="auto"/>
              <w:jc w:val="left"/>
              <w:rPr>
                <w:rFonts w:ascii="宋体" w:hAnsi="宋体"/>
                <w:color w:val="auto"/>
                <w:sz w:val="24"/>
                <w:szCs w:val="20"/>
                <w:highlight w:val="none"/>
              </w:rPr>
            </w:pPr>
          </w:p>
        </w:tc>
        <w:tc>
          <w:tcPr>
            <w:tcW w:w="2160" w:type="dxa"/>
            <w:tcBorders>
              <w:top w:val="single" w:color="auto" w:sz="4" w:space="0"/>
              <w:left w:val="single" w:color="auto" w:sz="4" w:space="0"/>
              <w:bottom w:val="single" w:color="auto" w:sz="4" w:space="0"/>
              <w:right w:val="single" w:color="auto" w:sz="4" w:space="0"/>
            </w:tcBorders>
          </w:tcPr>
          <w:p w14:paraId="603953BE">
            <w:pPr>
              <w:snapToGrid w:val="0"/>
              <w:spacing w:line="360" w:lineRule="auto"/>
              <w:jc w:val="left"/>
              <w:rPr>
                <w:rFonts w:ascii="宋体" w:hAnsi="宋体"/>
                <w:color w:val="auto"/>
                <w:sz w:val="24"/>
                <w:szCs w:val="20"/>
                <w:highlight w:val="none"/>
              </w:rPr>
            </w:pPr>
          </w:p>
        </w:tc>
      </w:tr>
    </w:tbl>
    <w:p w14:paraId="0460F0BC">
      <w:pPr>
        <w:pStyle w:val="9"/>
        <w:snapToGrid w:val="0"/>
        <w:spacing w:line="360" w:lineRule="auto"/>
        <w:rPr>
          <w:rFonts w:ascii="宋体" w:hAnsi="宋体" w:eastAsia="宋体"/>
          <w:color w:val="auto"/>
          <w:sz w:val="24"/>
          <w:highlight w:val="none"/>
        </w:rPr>
      </w:pPr>
    </w:p>
    <w:p w14:paraId="38E1C643">
      <w:pPr>
        <w:pStyle w:val="9"/>
        <w:snapToGrid w:val="0"/>
        <w:spacing w:line="360" w:lineRule="auto"/>
        <w:ind w:firstLine="600" w:firstLineChars="250"/>
        <w:rPr>
          <w:rFonts w:ascii="宋体" w:hAnsi="宋体" w:eastAsia="宋体"/>
          <w:color w:val="auto"/>
          <w:sz w:val="24"/>
          <w:highlight w:val="none"/>
          <w:u w:val="single"/>
        </w:rPr>
      </w:pPr>
      <w:r>
        <w:rPr>
          <w:rFonts w:hint="eastAsia" w:ascii="宋体" w:hAnsi="宋体" w:eastAsia="宋体"/>
          <w:color w:val="auto"/>
          <w:sz w:val="24"/>
          <w:highlight w:val="none"/>
        </w:rPr>
        <w:t>法定代表人签字：</w:t>
      </w:r>
      <w:r>
        <w:rPr>
          <w:rFonts w:hint="eastAsia" w:ascii="宋体" w:hAnsi="宋体" w:eastAsia="宋体"/>
          <w:color w:val="auto"/>
          <w:sz w:val="24"/>
          <w:highlight w:val="none"/>
          <w:u w:val="single"/>
        </w:rPr>
        <w:t>　　　　　</w:t>
      </w:r>
    </w:p>
    <w:p w14:paraId="069AB426">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投标人公章：年月日</w:t>
      </w:r>
    </w:p>
    <w:p w14:paraId="68213AE9">
      <w:pPr>
        <w:snapToGrid w:val="0"/>
        <w:spacing w:line="360" w:lineRule="auto"/>
        <w:ind w:firstLine="480" w:firstLineChars="200"/>
        <w:jc w:val="left"/>
        <w:rPr>
          <w:rFonts w:ascii="仿宋_GB2312" w:eastAsia="仿宋_GB2312"/>
          <w:color w:val="auto"/>
          <w:sz w:val="24"/>
          <w:highlight w:val="none"/>
        </w:rPr>
      </w:pPr>
    </w:p>
    <w:p w14:paraId="294114BC">
      <w:pPr>
        <w:snapToGrid w:val="0"/>
        <w:spacing w:line="360" w:lineRule="auto"/>
        <w:jc w:val="left"/>
        <w:rPr>
          <w:rFonts w:ascii="宋体" w:hAnsi="宋体"/>
          <w:color w:val="auto"/>
          <w:sz w:val="24"/>
          <w:highlight w:val="none"/>
        </w:rPr>
        <w:sectPr>
          <w:pgSz w:w="16838" w:h="11906" w:orient="landscape"/>
          <w:pgMar w:top="1797" w:right="1474" w:bottom="1797" w:left="1247" w:header="851" w:footer="851" w:gutter="0"/>
          <w:cols w:space="720" w:num="1"/>
          <w:docGrid w:linePitch="312" w:charSpace="0"/>
        </w:sectPr>
      </w:pPr>
    </w:p>
    <w:p w14:paraId="5C7EE5F1">
      <w:pPr>
        <w:snapToGrid w:val="0"/>
        <w:spacing w:line="360" w:lineRule="auto"/>
        <w:jc w:val="left"/>
        <w:rPr>
          <w:rFonts w:hAnsi="宋体" w:cs="宋体"/>
          <w:color w:val="auto"/>
          <w:sz w:val="24"/>
          <w:highlight w:val="none"/>
        </w:rPr>
      </w:pPr>
      <w:r>
        <w:rPr>
          <w:rFonts w:hint="eastAsia" w:ascii="宋体" w:hAnsi="宋体"/>
          <w:color w:val="auto"/>
          <w:sz w:val="24"/>
          <w:highlight w:val="none"/>
        </w:rPr>
        <w:t>26.</w:t>
      </w:r>
      <w:r>
        <w:rPr>
          <w:rFonts w:hint="eastAsia" w:hAnsi="宋体" w:cs="宋体"/>
          <w:color w:val="auto"/>
          <w:sz w:val="24"/>
          <w:highlight w:val="none"/>
        </w:rPr>
        <w:t>政策分证明材料</w:t>
      </w:r>
    </w:p>
    <w:p w14:paraId="5A11FFDC">
      <w:pPr>
        <w:pStyle w:val="2"/>
        <w:rPr>
          <w:color w:val="auto"/>
          <w:highlight w:val="none"/>
        </w:rPr>
      </w:pPr>
    </w:p>
    <w:p w14:paraId="2BF127F0">
      <w:pPr>
        <w:rPr>
          <w:color w:val="auto"/>
          <w:highlight w:val="none"/>
        </w:rPr>
      </w:pPr>
    </w:p>
    <w:p w14:paraId="73C33440">
      <w:pPr>
        <w:rPr>
          <w:color w:val="auto"/>
          <w:highlight w:val="none"/>
        </w:rPr>
      </w:pPr>
    </w:p>
    <w:p w14:paraId="44BCC45D">
      <w:pPr>
        <w:pStyle w:val="2"/>
        <w:rPr>
          <w:color w:val="auto"/>
          <w:highlight w:val="none"/>
        </w:rPr>
      </w:pPr>
    </w:p>
    <w:p w14:paraId="25272559">
      <w:pPr>
        <w:snapToGrid w:val="0"/>
        <w:spacing w:line="360" w:lineRule="auto"/>
        <w:jc w:val="left"/>
        <w:rPr>
          <w:rFonts w:ascii="宋体" w:hAnsi="宋体"/>
          <w:color w:val="auto"/>
          <w:sz w:val="24"/>
          <w:highlight w:val="none"/>
        </w:rPr>
      </w:pPr>
      <w:r>
        <w:rPr>
          <w:rFonts w:hint="eastAsia" w:ascii="宋体" w:hAnsi="宋体"/>
          <w:color w:val="auto"/>
          <w:sz w:val="24"/>
          <w:highlight w:val="none"/>
        </w:rPr>
        <w:t>27.</w:t>
      </w:r>
      <w:r>
        <w:rPr>
          <w:rFonts w:ascii="宋体" w:hAnsi="宋体"/>
          <w:color w:val="auto"/>
          <w:sz w:val="24"/>
          <w:highlight w:val="none"/>
        </w:rPr>
        <w:t>权威认证证书复印件</w:t>
      </w:r>
    </w:p>
    <w:p w14:paraId="39B5C606">
      <w:pPr>
        <w:pStyle w:val="2"/>
        <w:rPr>
          <w:color w:val="auto"/>
          <w:highlight w:val="none"/>
        </w:rPr>
      </w:pPr>
    </w:p>
    <w:p w14:paraId="37AD6C73">
      <w:pPr>
        <w:rPr>
          <w:color w:val="auto"/>
          <w:highlight w:val="none"/>
        </w:rPr>
      </w:pPr>
    </w:p>
    <w:p w14:paraId="65F03AF4">
      <w:pPr>
        <w:pStyle w:val="2"/>
        <w:rPr>
          <w:color w:val="auto"/>
          <w:highlight w:val="none"/>
        </w:rPr>
      </w:pPr>
    </w:p>
    <w:p w14:paraId="7F27345D">
      <w:pPr>
        <w:pStyle w:val="2"/>
        <w:rPr>
          <w:color w:val="auto"/>
          <w:highlight w:val="none"/>
        </w:rPr>
      </w:pPr>
    </w:p>
    <w:p w14:paraId="11FADB9D">
      <w:pPr>
        <w:snapToGrid w:val="0"/>
        <w:spacing w:line="360" w:lineRule="auto"/>
        <w:jc w:val="left"/>
        <w:rPr>
          <w:rFonts w:ascii="宋体" w:hAnsi="宋体"/>
          <w:color w:val="auto"/>
          <w:sz w:val="24"/>
          <w:highlight w:val="none"/>
        </w:rPr>
      </w:pPr>
      <w:r>
        <w:rPr>
          <w:rFonts w:hint="eastAsia" w:ascii="宋体" w:hAnsi="宋体"/>
          <w:color w:val="auto"/>
          <w:sz w:val="24"/>
          <w:highlight w:val="none"/>
        </w:rPr>
        <w:t>28.投标人认为可以证明其能力或业绩的其他材料（格式自拟）</w:t>
      </w:r>
    </w:p>
    <w:p w14:paraId="78D180EB">
      <w:pPr>
        <w:pStyle w:val="34"/>
        <w:rPr>
          <w:color w:val="auto"/>
          <w:highlight w:val="none"/>
        </w:rPr>
      </w:pPr>
    </w:p>
    <w:p w14:paraId="438A5D34">
      <w:pPr>
        <w:pStyle w:val="34"/>
        <w:rPr>
          <w:color w:val="auto"/>
          <w:highlight w:val="none"/>
        </w:rPr>
      </w:pPr>
    </w:p>
    <w:p w14:paraId="0DDA06E2">
      <w:pPr>
        <w:pStyle w:val="34"/>
        <w:rPr>
          <w:color w:val="auto"/>
          <w:highlight w:val="none"/>
        </w:rPr>
      </w:pPr>
    </w:p>
    <w:p w14:paraId="7F8053DE">
      <w:pPr>
        <w:pStyle w:val="34"/>
        <w:rPr>
          <w:color w:val="auto"/>
          <w:highlight w:val="none"/>
        </w:rPr>
      </w:pPr>
    </w:p>
    <w:p w14:paraId="4A3572BB">
      <w:pPr>
        <w:pStyle w:val="34"/>
        <w:rPr>
          <w:color w:val="auto"/>
          <w:highlight w:val="none"/>
        </w:rPr>
      </w:pPr>
    </w:p>
    <w:p w14:paraId="6D8A4DAF">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29.商务响应表格式：</w:t>
      </w:r>
    </w:p>
    <w:p w14:paraId="1D2E6975">
      <w:pPr>
        <w:snapToGrid w:val="0"/>
        <w:spacing w:line="360" w:lineRule="auto"/>
        <w:jc w:val="left"/>
        <w:rPr>
          <w:rFonts w:ascii="宋体" w:hAnsi="宋体"/>
          <w:color w:val="auto"/>
          <w:sz w:val="24"/>
          <w:szCs w:val="20"/>
          <w:highlight w:val="none"/>
          <w:u w:val="single"/>
        </w:rPr>
      </w:pPr>
      <w:r>
        <w:rPr>
          <w:rFonts w:hint="eastAsia" w:ascii="宋体" w:hAnsi="宋体"/>
          <w:color w:val="auto"/>
          <w:sz w:val="24"/>
          <w:highlight w:val="none"/>
        </w:rPr>
        <w:t>项目名称：</w:t>
      </w:r>
    </w:p>
    <w:tbl>
      <w:tblPr>
        <w:tblStyle w:val="24"/>
        <w:tblW w:w="10207" w:type="dxa"/>
        <w:tblInd w:w="-17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8"/>
        <w:gridCol w:w="6379"/>
        <w:gridCol w:w="992"/>
        <w:gridCol w:w="1418"/>
      </w:tblGrid>
      <w:tr w14:paraId="196BA2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418" w:type="dxa"/>
            <w:tcBorders>
              <w:top w:val="single" w:color="auto" w:sz="4" w:space="0"/>
              <w:left w:val="single" w:color="auto" w:sz="4" w:space="0"/>
              <w:bottom w:val="single" w:color="auto" w:sz="4" w:space="0"/>
              <w:right w:val="single" w:color="auto" w:sz="4" w:space="0"/>
            </w:tcBorders>
          </w:tcPr>
          <w:p w14:paraId="1F8DEE69">
            <w:pPr>
              <w:snapToGrid w:val="0"/>
              <w:spacing w:line="360" w:lineRule="auto"/>
              <w:rPr>
                <w:rFonts w:ascii="宋体" w:hAnsi="宋体"/>
                <w:color w:val="auto"/>
                <w:sz w:val="24"/>
                <w:szCs w:val="20"/>
                <w:highlight w:val="none"/>
              </w:rPr>
            </w:pPr>
            <w:r>
              <w:rPr>
                <w:rFonts w:hint="eastAsia" w:ascii="宋体" w:hAnsi="宋体"/>
                <w:color w:val="auto"/>
                <w:sz w:val="24"/>
                <w:highlight w:val="none"/>
              </w:rPr>
              <w:t>项目</w:t>
            </w:r>
          </w:p>
        </w:tc>
        <w:tc>
          <w:tcPr>
            <w:tcW w:w="6379" w:type="dxa"/>
            <w:tcBorders>
              <w:top w:val="single" w:color="auto" w:sz="4" w:space="0"/>
              <w:left w:val="single" w:color="auto" w:sz="4" w:space="0"/>
              <w:bottom w:val="single" w:color="auto" w:sz="4" w:space="0"/>
              <w:right w:val="single" w:color="auto" w:sz="4" w:space="0"/>
            </w:tcBorders>
          </w:tcPr>
          <w:p w14:paraId="0D25444C">
            <w:pPr>
              <w:snapToGrid w:val="0"/>
              <w:spacing w:line="360" w:lineRule="auto"/>
              <w:rPr>
                <w:rFonts w:ascii="宋体" w:hAnsi="宋体"/>
                <w:color w:val="auto"/>
                <w:sz w:val="24"/>
                <w:szCs w:val="20"/>
                <w:highlight w:val="none"/>
              </w:rPr>
            </w:pPr>
            <w:r>
              <w:rPr>
                <w:rFonts w:hint="eastAsia" w:ascii="宋体" w:hAnsi="宋体"/>
                <w:color w:val="auto"/>
                <w:sz w:val="24"/>
                <w:highlight w:val="none"/>
              </w:rPr>
              <w:t>招标文件要求</w:t>
            </w:r>
          </w:p>
        </w:tc>
        <w:tc>
          <w:tcPr>
            <w:tcW w:w="992" w:type="dxa"/>
            <w:tcBorders>
              <w:top w:val="single" w:color="auto" w:sz="4" w:space="0"/>
              <w:left w:val="single" w:color="auto" w:sz="4" w:space="0"/>
              <w:bottom w:val="single" w:color="auto" w:sz="4" w:space="0"/>
              <w:right w:val="single" w:color="auto" w:sz="4" w:space="0"/>
            </w:tcBorders>
          </w:tcPr>
          <w:p w14:paraId="7ABC21AD">
            <w:pPr>
              <w:snapToGrid w:val="0"/>
              <w:spacing w:line="360" w:lineRule="auto"/>
              <w:rPr>
                <w:rFonts w:ascii="宋体" w:hAnsi="宋体"/>
                <w:color w:val="auto"/>
                <w:sz w:val="24"/>
                <w:szCs w:val="20"/>
                <w:highlight w:val="none"/>
              </w:rPr>
            </w:pPr>
            <w:r>
              <w:rPr>
                <w:rFonts w:hint="eastAsia" w:ascii="宋体" w:hAnsi="宋体"/>
                <w:color w:val="auto"/>
                <w:sz w:val="24"/>
                <w:highlight w:val="none"/>
              </w:rPr>
              <w:t>是否响应</w:t>
            </w:r>
          </w:p>
        </w:tc>
        <w:tc>
          <w:tcPr>
            <w:tcW w:w="1418" w:type="dxa"/>
            <w:tcBorders>
              <w:top w:val="single" w:color="auto" w:sz="4" w:space="0"/>
              <w:left w:val="single" w:color="auto" w:sz="4" w:space="0"/>
              <w:bottom w:val="single" w:color="auto" w:sz="4" w:space="0"/>
              <w:right w:val="single" w:color="auto" w:sz="4" w:space="0"/>
            </w:tcBorders>
          </w:tcPr>
          <w:p w14:paraId="70D57964">
            <w:pPr>
              <w:snapToGrid w:val="0"/>
              <w:spacing w:line="360" w:lineRule="auto"/>
              <w:rPr>
                <w:rFonts w:ascii="宋体" w:hAnsi="宋体"/>
                <w:color w:val="auto"/>
                <w:sz w:val="24"/>
                <w:szCs w:val="20"/>
                <w:highlight w:val="none"/>
              </w:rPr>
            </w:pPr>
            <w:r>
              <w:rPr>
                <w:rFonts w:hint="eastAsia" w:ascii="宋体" w:hAnsi="宋体"/>
                <w:color w:val="auto"/>
                <w:sz w:val="24"/>
                <w:highlight w:val="none"/>
              </w:rPr>
              <w:t>投标人的承诺或说明</w:t>
            </w:r>
          </w:p>
        </w:tc>
      </w:tr>
      <w:tr w14:paraId="35FC77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418" w:type="dxa"/>
            <w:tcBorders>
              <w:top w:val="single" w:color="auto" w:sz="4" w:space="0"/>
              <w:left w:val="single" w:color="auto" w:sz="4" w:space="0"/>
              <w:bottom w:val="single" w:color="auto" w:sz="4" w:space="0"/>
              <w:right w:val="single" w:color="auto" w:sz="4" w:space="0"/>
            </w:tcBorders>
            <w:vAlign w:val="center"/>
          </w:tcPr>
          <w:p w14:paraId="0DB3062E">
            <w:pPr>
              <w:spacing w:line="480" w:lineRule="exact"/>
              <w:rPr>
                <w:rFonts w:ascii="宋体" w:hAnsi="宋体" w:cs="仿宋_GB2312"/>
                <w:color w:val="auto"/>
                <w:sz w:val="24"/>
                <w:highlight w:val="none"/>
              </w:rPr>
            </w:pPr>
            <w:r>
              <w:rPr>
                <w:rFonts w:hint="eastAsia" w:ascii="宋体" w:hAnsi="宋体" w:cs="仿宋_GB2312"/>
                <w:color w:val="auto"/>
                <w:sz w:val="24"/>
                <w:highlight w:val="none"/>
              </w:rPr>
              <w:t>服务期及地点</w:t>
            </w:r>
          </w:p>
        </w:tc>
        <w:tc>
          <w:tcPr>
            <w:tcW w:w="6379" w:type="dxa"/>
            <w:tcBorders>
              <w:top w:val="single" w:color="auto" w:sz="4" w:space="0"/>
              <w:left w:val="single" w:color="auto" w:sz="4" w:space="0"/>
              <w:bottom w:val="single" w:color="auto" w:sz="4" w:space="0"/>
              <w:right w:val="single" w:color="auto" w:sz="4" w:space="0"/>
            </w:tcBorders>
          </w:tcPr>
          <w:p w14:paraId="63557971">
            <w:pPr>
              <w:snapToGrid w:val="0"/>
              <w:spacing w:line="360" w:lineRule="auto"/>
              <w:rPr>
                <w:rFonts w:ascii="宋体" w:hAnsi="宋体" w:cs="宋体"/>
                <w:color w:val="auto"/>
                <w:sz w:val="24"/>
                <w:highlight w:val="none"/>
              </w:rPr>
            </w:pPr>
            <w:r>
              <w:rPr>
                <w:rFonts w:hint="eastAsia" w:ascii="宋体" w:hAnsi="宋体" w:cs="仿宋_GB2312"/>
                <w:color w:val="auto"/>
                <w:sz w:val="24"/>
                <w:highlight w:val="none"/>
              </w:rPr>
              <w:t>▲服务期：3年</w:t>
            </w:r>
          </w:p>
          <w:p w14:paraId="4CC3BA1D">
            <w:pPr>
              <w:snapToGrid w:val="0"/>
              <w:spacing w:line="360" w:lineRule="auto"/>
              <w:rPr>
                <w:rFonts w:ascii="宋体" w:hAnsi="宋体" w:cs="仿宋_GB2312"/>
                <w:color w:val="auto"/>
                <w:sz w:val="24"/>
                <w:highlight w:val="none"/>
              </w:rPr>
            </w:pPr>
            <w:r>
              <w:rPr>
                <w:rFonts w:hint="eastAsia" w:ascii="宋体" w:hAnsi="宋体" w:cs="仿宋_GB2312"/>
                <w:color w:val="auto"/>
                <w:sz w:val="24"/>
                <w:highlight w:val="none"/>
              </w:rPr>
              <w:t xml:space="preserve">地点：采购人指定地点 </w:t>
            </w:r>
          </w:p>
        </w:tc>
        <w:tc>
          <w:tcPr>
            <w:tcW w:w="992" w:type="dxa"/>
            <w:tcBorders>
              <w:top w:val="single" w:color="auto" w:sz="4" w:space="0"/>
              <w:left w:val="single" w:color="auto" w:sz="4" w:space="0"/>
              <w:bottom w:val="single" w:color="auto" w:sz="4" w:space="0"/>
              <w:right w:val="single" w:color="auto" w:sz="4" w:space="0"/>
            </w:tcBorders>
          </w:tcPr>
          <w:p w14:paraId="48EA271F">
            <w:pPr>
              <w:snapToGrid w:val="0"/>
              <w:spacing w:line="360" w:lineRule="auto"/>
              <w:rPr>
                <w:rFonts w:ascii="宋体" w:hAnsi="宋体"/>
                <w:color w:val="auto"/>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3B9AF9D0">
            <w:pPr>
              <w:snapToGrid w:val="0"/>
              <w:spacing w:line="360" w:lineRule="auto"/>
              <w:rPr>
                <w:rFonts w:ascii="宋体" w:hAnsi="宋体"/>
                <w:color w:val="auto"/>
                <w:sz w:val="24"/>
                <w:szCs w:val="20"/>
                <w:highlight w:val="none"/>
              </w:rPr>
            </w:pPr>
          </w:p>
        </w:tc>
      </w:tr>
      <w:tr w14:paraId="10F393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418" w:type="dxa"/>
            <w:tcBorders>
              <w:top w:val="single" w:color="auto" w:sz="4" w:space="0"/>
              <w:left w:val="single" w:color="auto" w:sz="4" w:space="0"/>
              <w:bottom w:val="single" w:color="auto" w:sz="4" w:space="0"/>
              <w:right w:val="single" w:color="auto" w:sz="4" w:space="0"/>
            </w:tcBorders>
          </w:tcPr>
          <w:p w14:paraId="4E92E310">
            <w:pPr>
              <w:rPr>
                <w:rFonts w:ascii="宋体" w:hAnsi="宋体" w:cs="宋体"/>
                <w:color w:val="auto"/>
                <w:sz w:val="24"/>
                <w:highlight w:val="none"/>
              </w:rPr>
            </w:pPr>
            <w:r>
              <w:rPr>
                <w:rFonts w:hint="eastAsia" w:ascii="宋体" w:hAnsi="宋体" w:cs="宋体"/>
                <w:color w:val="auto"/>
                <w:sz w:val="24"/>
                <w:highlight w:val="none"/>
              </w:rPr>
              <w:t>付款方式</w:t>
            </w:r>
          </w:p>
        </w:tc>
        <w:tc>
          <w:tcPr>
            <w:tcW w:w="6379" w:type="dxa"/>
            <w:tcBorders>
              <w:top w:val="single" w:color="auto" w:sz="4" w:space="0"/>
              <w:left w:val="single" w:color="auto" w:sz="4" w:space="0"/>
              <w:bottom w:val="single" w:color="auto" w:sz="4" w:space="0"/>
              <w:right w:val="single" w:color="auto" w:sz="4" w:space="0"/>
            </w:tcBorders>
          </w:tcPr>
          <w:p w14:paraId="6DCCDD2F">
            <w:pPr>
              <w:pStyle w:val="12"/>
              <w:tabs>
                <w:tab w:val="left" w:pos="0"/>
                <w:tab w:val="left" w:pos="993"/>
                <w:tab w:val="left" w:pos="1134"/>
              </w:tabs>
              <w:spacing w:line="480" w:lineRule="exact"/>
              <w:ind w:left="0" w:leftChars="0"/>
              <w:rPr>
                <w:rFonts w:hAnsi="宋体" w:cs="宋体"/>
                <w:color w:val="auto"/>
                <w:kern w:val="2"/>
                <w:sz w:val="24"/>
                <w:highlight w:val="none"/>
              </w:rPr>
            </w:pPr>
            <w:r>
              <w:rPr>
                <w:rFonts w:hint="eastAsia" w:ascii="宋体" w:hAnsi="宋体" w:cs="宋体"/>
                <w:color w:val="auto"/>
                <w:sz w:val="24"/>
                <w:highlight w:val="none"/>
              </w:rPr>
              <w:t>▲</w:t>
            </w:r>
            <w:r>
              <w:rPr>
                <w:rFonts w:hint="eastAsia" w:hAnsi="宋体" w:cs="宋体"/>
                <w:color w:val="auto"/>
                <w:kern w:val="2"/>
                <w:sz w:val="24"/>
                <w:highlight w:val="none"/>
              </w:rPr>
              <w:t>付款方式一：项目合同生效以及具备实施条件后7个工作日支付当年合同价的20%作为预付款；之后根据管理考核办法扣除考核金后每月按实结算一次（首月支付可从预付款中抵扣）。</w:t>
            </w:r>
          </w:p>
          <w:p w14:paraId="3081E761">
            <w:pPr>
              <w:pStyle w:val="12"/>
              <w:tabs>
                <w:tab w:val="left" w:pos="0"/>
                <w:tab w:val="left" w:pos="993"/>
                <w:tab w:val="left" w:pos="1134"/>
              </w:tabs>
              <w:spacing w:line="480" w:lineRule="exact"/>
              <w:ind w:left="0" w:leftChars="0"/>
              <w:rPr>
                <w:rFonts w:ascii="宋体" w:hAnsi="宋体" w:cs="宋体"/>
                <w:color w:val="auto"/>
                <w:sz w:val="24"/>
                <w:highlight w:val="none"/>
              </w:rPr>
            </w:pPr>
            <w:r>
              <w:rPr>
                <w:rFonts w:hint="eastAsia" w:hAnsi="宋体" w:cs="宋体"/>
                <w:color w:val="auto"/>
                <w:kern w:val="2"/>
                <w:sz w:val="24"/>
                <w:highlight w:val="none"/>
              </w:rPr>
              <w:t>付款方式二：（1）中标供应商提出，不需支付预付款。（由中标供应商签订合同代表手抄并签字，手写文字上加盖供应商公章）（2）每月根据管理考核办法扣除考核金后每月按实结算一次。</w:t>
            </w:r>
            <w:r>
              <w:rPr>
                <w:rFonts w:hint="eastAsia" w:hAnsi="宋体"/>
                <w:b/>
                <w:bCs/>
                <w:color w:val="auto"/>
                <w:sz w:val="24"/>
                <w:highlight w:val="none"/>
              </w:rPr>
              <w:t>注：</w:t>
            </w:r>
            <w:r>
              <w:rPr>
                <w:rFonts w:hint="eastAsia" w:hAnsi="宋体"/>
                <w:b/>
                <w:bCs/>
                <w:color w:val="auto"/>
                <w:sz w:val="24"/>
                <w:highlight w:val="none"/>
                <w:u w:val="single"/>
              </w:rPr>
              <w:t>若中标供应商明确表示无需预付款或者主动要求降低预付款比例的，采购人可不适用前述规定</w:t>
            </w:r>
            <w:r>
              <w:rPr>
                <w:rFonts w:hint="eastAsia" w:hAnsi="宋体"/>
                <w:b/>
                <w:bCs/>
                <w:color w:val="auto"/>
                <w:sz w:val="24"/>
                <w:highlight w:val="none"/>
              </w:rPr>
              <w:t>。</w:t>
            </w:r>
          </w:p>
        </w:tc>
        <w:tc>
          <w:tcPr>
            <w:tcW w:w="992" w:type="dxa"/>
            <w:tcBorders>
              <w:top w:val="single" w:color="auto" w:sz="4" w:space="0"/>
              <w:left w:val="single" w:color="auto" w:sz="4" w:space="0"/>
              <w:bottom w:val="single" w:color="auto" w:sz="4" w:space="0"/>
              <w:right w:val="single" w:color="auto" w:sz="4" w:space="0"/>
            </w:tcBorders>
          </w:tcPr>
          <w:p w14:paraId="5D7A2050">
            <w:pPr>
              <w:snapToGrid w:val="0"/>
              <w:spacing w:line="360" w:lineRule="auto"/>
              <w:rPr>
                <w:rFonts w:ascii="宋体" w:hAnsi="宋体"/>
                <w:color w:val="auto"/>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435E3C2F">
            <w:pPr>
              <w:snapToGrid w:val="0"/>
              <w:spacing w:line="360" w:lineRule="auto"/>
              <w:rPr>
                <w:rFonts w:ascii="宋体" w:hAnsi="宋体"/>
                <w:color w:val="auto"/>
                <w:sz w:val="24"/>
                <w:szCs w:val="20"/>
                <w:highlight w:val="none"/>
              </w:rPr>
            </w:pPr>
          </w:p>
        </w:tc>
      </w:tr>
      <w:tr w14:paraId="15FE13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418" w:type="dxa"/>
            <w:tcBorders>
              <w:top w:val="single" w:color="auto" w:sz="4" w:space="0"/>
              <w:left w:val="single" w:color="auto" w:sz="4" w:space="0"/>
              <w:bottom w:val="single" w:color="auto" w:sz="4" w:space="0"/>
              <w:right w:val="single" w:color="auto" w:sz="4" w:space="0"/>
            </w:tcBorders>
          </w:tcPr>
          <w:p w14:paraId="5703B3E7">
            <w:pPr>
              <w:rPr>
                <w:rFonts w:ascii="宋体" w:hAnsi="宋体" w:cs="宋体"/>
                <w:color w:val="auto"/>
                <w:sz w:val="24"/>
                <w:highlight w:val="none"/>
              </w:rPr>
            </w:pPr>
            <w:r>
              <w:rPr>
                <w:rFonts w:hint="eastAsia"/>
                <w:color w:val="auto"/>
                <w:sz w:val="28"/>
                <w:szCs w:val="28"/>
                <w:highlight w:val="none"/>
              </w:rPr>
              <w:t>培训</w:t>
            </w:r>
          </w:p>
        </w:tc>
        <w:tc>
          <w:tcPr>
            <w:tcW w:w="6379" w:type="dxa"/>
            <w:tcBorders>
              <w:top w:val="single" w:color="auto" w:sz="4" w:space="0"/>
              <w:left w:val="single" w:color="auto" w:sz="4" w:space="0"/>
              <w:bottom w:val="single" w:color="auto" w:sz="4" w:space="0"/>
              <w:right w:val="single" w:color="auto" w:sz="4" w:space="0"/>
            </w:tcBorders>
          </w:tcPr>
          <w:p w14:paraId="1E27AA54">
            <w:pPr>
              <w:rPr>
                <w:rFonts w:ascii="宋体" w:hAnsi="宋体" w:cs="宋体"/>
                <w:color w:val="auto"/>
                <w:sz w:val="24"/>
                <w:highlight w:val="none"/>
              </w:rPr>
            </w:pPr>
            <w:r>
              <w:rPr>
                <w:rFonts w:hint="eastAsia"/>
                <w:color w:val="auto"/>
                <w:sz w:val="28"/>
                <w:szCs w:val="28"/>
                <w:highlight w:val="none"/>
              </w:rPr>
              <w:t>每年二次培训</w:t>
            </w:r>
          </w:p>
        </w:tc>
        <w:tc>
          <w:tcPr>
            <w:tcW w:w="992" w:type="dxa"/>
            <w:tcBorders>
              <w:top w:val="single" w:color="auto" w:sz="4" w:space="0"/>
              <w:left w:val="single" w:color="auto" w:sz="4" w:space="0"/>
              <w:bottom w:val="single" w:color="auto" w:sz="4" w:space="0"/>
              <w:right w:val="single" w:color="auto" w:sz="4" w:space="0"/>
            </w:tcBorders>
          </w:tcPr>
          <w:p w14:paraId="119233CA">
            <w:pPr>
              <w:snapToGrid w:val="0"/>
              <w:spacing w:line="360" w:lineRule="auto"/>
              <w:ind w:left="43"/>
              <w:rPr>
                <w:rFonts w:ascii="宋体" w:hAnsi="宋体"/>
                <w:color w:val="auto"/>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14:paraId="30A8E3BF">
            <w:pPr>
              <w:snapToGrid w:val="0"/>
              <w:spacing w:line="360" w:lineRule="auto"/>
              <w:ind w:left="43"/>
              <w:rPr>
                <w:rFonts w:ascii="宋体" w:hAnsi="宋体"/>
                <w:color w:val="auto"/>
                <w:sz w:val="24"/>
                <w:szCs w:val="20"/>
                <w:highlight w:val="none"/>
              </w:rPr>
            </w:pPr>
          </w:p>
        </w:tc>
      </w:tr>
    </w:tbl>
    <w:p w14:paraId="06FD0E29">
      <w:pPr>
        <w:rPr>
          <w:color w:val="auto"/>
          <w:highlight w:val="none"/>
        </w:rPr>
      </w:pPr>
    </w:p>
    <w:p w14:paraId="5645B5DA">
      <w:pPr>
        <w:pStyle w:val="2"/>
        <w:rPr>
          <w:color w:val="auto"/>
          <w:highlight w:val="none"/>
        </w:rPr>
      </w:pPr>
    </w:p>
    <w:p w14:paraId="75B5021F">
      <w:pPr>
        <w:rPr>
          <w:color w:val="auto"/>
          <w:highlight w:val="none"/>
        </w:rPr>
      </w:pPr>
    </w:p>
    <w:p w14:paraId="7E5E7FCE">
      <w:pPr>
        <w:rPr>
          <w:color w:val="auto"/>
          <w:highlight w:val="none"/>
        </w:rPr>
      </w:pPr>
    </w:p>
    <w:p w14:paraId="533C75A8">
      <w:pPr>
        <w:pStyle w:val="2"/>
        <w:rPr>
          <w:color w:val="auto"/>
          <w:highlight w:val="none"/>
        </w:rPr>
      </w:pPr>
    </w:p>
    <w:p w14:paraId="7BE632DA">
      <w:pPr>
        <w:rPr>
          <w:color w:val="auto"/>
          <w:highlight w:val="none"/>
        </w:rPr>
      </w:pPr>
    </w:p>
    <w:p w14:paraId="36275D59">
      <w:pPr>
        <w:snapToGrid w:val="0"/>
        <w:spacing w:line="360" w:lineRule="auto"/>
        <w:jc w:val="left"/>
        <w:rPr>
          <w:color w:val="auto"/>
          <w:highlight w:val="none"/>
        </w:rPr>
      </w:pPr>
      <w:r>
        <w:rPr>
          <w:rFonts w:hint="eastAsia" w:ascii="宋体" w:hAnsi="宋体"/>
          <w:bCs/>
          <w:color w:val="auto"/>
          <w:sz w:val="24"/>
          <w:highlight w:val="none"/>
        </w:rPr>
        <w:t>30.</w:t>
      </w:r>
      <w:r>
        <w:rPr>
          <w:rFonts w:ascii="宋体" w:hAnsi="宋体"/>
          <w:color w:val="auto"/>
          <w:sz w:val="24"/>
          <w:highlight w:val="none"/>
        </w:rPr>
        <w:t>售后服务的内容和措施</w:t>
      </w:r>
      <w:r>
        <w:rPr>
          <w:rFonts w:hint="eastAsia" w:ascii="宋体" w:hAnsi="宋体"/>
          <w:color w:val="auto"/>
          <w:sz w:val="24"/>
          <w:highlight w:val="none"/>
        </w:rPr>
        <w:t>（格式自拟）</w:t>
      </w:r>
    </w:p>
    <w:p w14:paraId="5389A036">
      <w:pPr>
        <w:pStyle w:val="34"/>
        <w:rPr>
          <w:color w:val="auto"/>
          <w:highlight w:val="none"/>
        </w:rPr>
      </w:pPr>
    </w:p>
    <w:p w14:paraId="5C73EA2A">
      <w:pPr>
        <w:rPr>
          <w:color w:val="auto"/>
          <w:highlight w:val="none"/>
        </w:rPr>
      </w:pPr>
    </w:p>
    <w:p w14:paraId="39EFEB34">
      <w:pPr>
        <w:pStyle w:val="2"/>
        <w:rPr>
          <w:color w:val="auto"/>
          <w:highlight w:val="none"/>
        </w:rPr>
      </w:pPr>
    </w:p>
    <w:p w14:paraId="3BECBF77">
      <w:pPr>
        <w:rPr>
          <w:color w:val="auto"/>
          <w:highlight w:val="none"/>
        </w:rPr>
      </w:pPr>
    </w:p>
    <w:p w14:paraId="2E0C2008">
      <w:pPr>
        <w:pStyle w:val="2"/>
        <w:rPr>
          <w:rFonts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1.培训方案（格式自拟）</w:t>
      </w:r>
    </w:p>
    <w:p w14:paraId="5AC27F4F">
      <w:pPr>
        <w:pStyle w:val="2"/>
        <w:rPr>
          <w:rFonts w:ascii="宋体" w:hAnsi="宋体"/>
          <w:color w:val="auto"/>
          <w:sz w:val="24"/>
          <w:highlight w:val="none"/>
        </w:rPr>
      </w:pPr>
    </w:p>
    <w:p w14:paraId="7732E1C9">
      <w:pPr>
        <w:snapToGrid w:val="0"/>
        <w:spacing w:line="360" w:lineRule="auto"/>
        <w:jc w:val="left"/>
        <w:rPr>
          <w:rFonts w:ascii="宋体" w:hAnsi="宋体"/>
          <w:color w:val="auto"/>
          <w:sz w:val="24"/>
          <w:highlight w:val="none"/>
        </w:rPr>
      </w:pPr>
      <w:r>
        <w:rPr>
          <w:rFonts w:hint="eastAsia" w:ascii="宋体" w:hAnsi="宋体"/>
          <w:color w:val="auto"/>
          <w:sz w:val="24"/>
          <w:highlight w:val="none"/>
        </w:rPr>
        <w:t>32.服务网点</w:t>
      </w:r>
    </w:p>
    <w:p w14:paraId="06F65EA2">
      <w:pPr>
        <w:snapToGrid w:val="0"/>
        <w:spacing w:line="360" w:lineRule="auto"/>
        <w:jc w:val="left"/>
        <w:rPr>
          <w:rFonts w:ascii="宋体" w:hAnsi="宋体"/>
          <w:i/>
          <w:color w:val="auto"/>
          <w:sz w:val="24"/>
          <w:highlight w:val="none"/>
        </w:rPr>
      </w:pPr>
      <w:r>
        <w:rPr>
          <w:rFonts w:hint="eastAsia" w:ascii="宋体" w:hAnsi="宋体"/>
          <w:color w:val="auto"/>
          <w:sz w:val="24"/>
          <w:highlight w:val="none"/>
        </w:rPr>
        <w:t>距采购人最近或者能为本项目提供最优服务的网点情况表</w:t>
      </w:r>
    </w:p>
    <w:tbl>
      <w:tblPr>
        <w:tblStyle w:val="24"/>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1622"/>
        <w:gridCol w:w="191"/>
        <w:gridCol w:w="1439"/>
        <w:gridCol w:w="888"/>
        <w:gridCol w:w="1435"/>
        <w:gridCol w:w="1227"/>
      </w:tblGrid>
      <w:tr w14:paraId="7E1538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1874CB87">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服务网点名称</w:t>
            </w:r>
          </w:p>
        </w:tc>
        <w:tc>
          <w:tcPr>
            <w:tcW w:w="5575" w:type="dxa"/>
            <w:gridSpan w:val="5"/>
            <w:tcBorders>
              <w:top w:val="single" w:color="auto" w:sz="4" w:space="0"/>
              <w:left w:val="single" w:color="auto" w:sz="4" w:space="0"/>
              <w:bottom w:val="single" w:color="auto" w:sz="4" w:space="0"/>
              <w:right w:val="single" w:color="auto" w:sz="4" w:space="0"/>
            </w:tcBorders>
          </w:tcPr>
          <w:p w14:paraId="73A7953D">
            <w:pPr>
              <w:snapToGrid w:val="0"/>
              <w:spacing w:line="360" w:lineRule="auto"/>
              <w:jc w:val="left"/>
              <w:rPr>
                <w:rFonts w:ascii="宋体" w:hAnsi="宋体"/>
                <w:color w:val="auto"/>
                <w:sz w:val="24"/>
                <w:szCs w:val="20"/>
                <w:highlight w:val="none"/>
              </w:rPr>
            </w:pPr>
          </w:p>
        </w:tc>
        <w:tc>
          <w:tcPr>
            <w:tcW w:w="1227" w:type="dxa"/>
            <w:vMerge w:val="restart"/>
            <w:tcBorders>
              <w:top w:val="single" w:color="auto" w:sz="4" w:space="0"/>
              <w:left w:val="single" w:color="auto" w:sz="4" w:space="0"/>
              <w:bottom w:val="single" w:color="auto" w:sz="4" w:space="0"/>
              <w:right w:val="single" w:color="auto" w:sz="4" w:space="0"/>
            </w:tcBorders>
          </w:tcPr>
          <w:p w14:paraId="5BD05DA4">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投标文件</w:t>
            </w:r>
          </w:p>
          <w:p w14:paraId="3946DF88">
            <w:pPr>
              <w:snapToGrid w:val="0"/>
              <w:spacing w:line="360" w:lineRule="auto"/>
              <w:jc w:val="center"/>
              <w:rPr>
                <w:rFonts w:ascii="宋体" w:hAnsi="宋体"/>
                <w:color w:val="auto"/>
                <w:sz w:val="24"/>
                <w:szCs w:val="20"/>
                <w:highlight w:val="none"/>
              </w:rPr>
            </w:pPr>
            <w:r>
              <w:rPr>
                <w:rFonts w:hint="eastAsia" w:ascii="宋体" w:hAnsi="宋体"/>
                <w:color w:val="auto"/>
                <w:sz w:val="24"/>
                <w:highlight w:val="none"/>
              </w:rPr>
              <w:t>页码</w:t>
            </w:r>
          </w:p>
        </w:tc>
      </w:tr>
      <w:tr w14:paraId="201B8A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26180747">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地址</w:t>
            </w:r>
          </w:p>
        </w:tc>
        <w:tc>
          <w:tcPr>
            <w:tcW w:w="5575" w:type="dxa"/>
            <w:gridSpan w:val="5"/>
            <w:tcBorders>
              <w:top w:val="single" w:color="auto" w:sz="4" w:space="0"/>
              <w:left w:val="single" w:color="auto" w:sz="4" w:space="0"/>
              <w:bottom w:val="single" w:color="auto" w:sz="4" w:space="0"/>
              <w:right w:val="single" w:color="auto" w:sz="4" w:space="0"/>
            </w:tcBorders>
          </w:tcPr>
          <w:p w14:paraId="0C2D7B4C">
            <w:pPr>
              <w:snapToGrid w:val="0"/>
              <w:spacing w:line="360" w:lineRule="auto"/>
              <w:jc w:val="left"/>
              <w:rPr>
                <w:rFonts w:ascii="宋体" w:hAnsi="宋体"/>
                <w:color w:val="auto"/>
                <w:sz w:val="24"/>
                <w:szCs w:val="20"/>
                <w:highlight w:val="none"/>
              </w:rPr>
            </w:pPr>
          </w:p>
        </w:tc>
        <w:tc>
          <w:tcPr>
            <w:tcW w:w="1227" w:type="dxa"/>
            <w:vMerge w:val="continue"/>
            <w:tcBorders>
              <w:top w:val="single" w:color="auto" w:sz="4" w:space="0"/>
              <w:left w:val="single" w:color="auto" w:sz="4" w:space="0"/>
              <w:bottom w:val="single" w:color="auto" w:sz="4" w:space="0"/>
              <w:right w:val="single" w:color="auto" w:sz="4" w:space="0"/>
            </w:tcBorders>
            <w:vAlign w:val="center"/>
          </w:tcPr>
          <w:p w14:paraId="2F88E53E">
            <w:pPr>
              <w:widowControl/>
              <w:spacing w:line="360" w:lineRule="auto"/>
              <w:jc w:val="left"/>
              <w:rPr>
                <w:rFonts w:ascii="宋体" w:hAnsi="宋体"/>
                <w:color w:val="auto"/>
                <w:sz w:val="24"/>
                <w:highlight w:val="none"/>
              </w:rPr>
            </w:pPr>
          </w:p>
        </w:tc>
      </w:tr>
      <w:tr w14:paraId="0CB169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77CC4359">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注册资本金</w:t>
            </w:r>
          </w:p>
        </w:tc>
        <w:tc>
          <w:tcPr>
            <w:tcW w:w="1622" w:type="dxa"/>
            <w:tcBorders>
              <w:top w:val="single" w:color="auto" w:sz="4" w:space="0"/>
              <w:left w:val="single" w:color="auto" w:sz="4" w:space="0"/>
              <w:bottom w:val="single" w:color="auto" w:sz="4" w:space="0"/>
              <w:right w:val="single" w:color="auto" w:sz="4" w:space="0"/>
            </w:tcBorders>
          </w:tcPr>
          <w:p w14:paraId="24432E84">
            <w:pPr>
              <w:snapToGrid w:val="0"/>
              <w:spacing w:line="360" w:lineRule="auto"/>
              <w:jc w:val="left"/>
              <w:rPr>
                <w:rFonts w:ascii="宋体" w:hAnsi="宋体"/>
                <w:color w:val="auto"/>
                <w:sz w:val="24"/>
                <w:szCs w:val="20"/>
                <w:highlight w:val="none"/>
              </w:rPr>
            </w:pPr>
          </w:p>
        </w:tc>
        <w:tc>
          <w:tcPr>
            <w:tcW w:w="2518" w:type="dxa"/>
            <w:gridSpan w:val="3"/>
            <w:tcBorders>
              <w:top w:val="single" w:color="auto" w:sz="4" w:space="0"/>
              <w:left w:val="single" w:color="auto" w:sz="4" w:space="0"/>
              <w:bottom w:val="single" w:color="auto" w:sz="4" w:space="0"/>
              <w:right w:val="single" w:color="auto" w:sz="4" w:space="0"/>
            </w:tcBorders>
          </w:tcPr>
          <w:p w14:paraId="2F5A77C4">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其中：投标人出资比例</w:t>
            </w:r>
          </w:p>
        </w:tc>
        <w:tc>
          <w:tcPr>
            <w:tcW w:w="1435" w:type="dxa"/>
            <w:tcBorders>
              <w:top w:val="single" w:color="auto" w:sz="4" w:space="0"/>
              <w:left w:val="single" w:color="auto" w:sz="4" w:space="0"/>
              <w:bottom w:val="single" w:color="auto" w:sz="4" w:space="0"/>
              <w:right w:val="single" w:color="auto" w:sz="4" w:space="0"/>
            </w:tcBorders>
          </w:tcPr>
          <w:p w14:paraId="2E264AD4">
            <w:pPr>
              <w:snapToGrid w:val="0"/>
              <w:spacing w:line="360" w:lineRule="auto"/>
              <w:jc w:val="left"/>
              <w:rPr>
                <w:rFonts w:ascii="宋体" w:hAnsi="宋体"/>
                <w:color w:val="auto"/>
                <w:sz w:val="24"/>
                <w:szCs w:val="20"/>
                <w:highlight w:val="none"/>
              </w:rPr>
            </w:pPr>
          </w:p>
        </w:tc>
        <w:tc>
          <w:tcPr>
            <w:tcW w:w="1227" w:type="dxa"/>
            <w:tcBorders>
              <w:top w:val="single" w:color="auto" w:sz="4" w:space="0"/>
              <w:left w:val="single" w:color="auto" w:sz="4" w:space="0"/>
              <w:bottom w:val="single" w:color="auto" w:sz="4" w:space="0"/>
              <w:right w:val="single" w:color="auto" w:sz="4" w:space="0"/>
            </w:tcBorders>
          </w:tcPr>
          <w:p w14:paraId="3EEB5AC0">
            <w:pPr>
              <w:snapToGrid w:val="0"/>
              <w:spacing w:line="360" w:lineRule="auto"/>
              <w:jc w:val="left"/>
              <w:rPr>
                <w:rFonts w:ascii="宋体" w:hAnsi="宋体"/>
                <w:color w:val="auto"/>
                <w:sz w:val="24"/>
                <w:szCs w:val="20"/>
                <w:highlight w:val="none"/>
              </w:rPr>
            </w:pPr>
          </w:p>
        </w:tc>
      </w:tr>
      <w:tr w14:paraId="4B0EC8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79731235">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员工总人数</w:t>
            </w:r>
          </w:p>
        </w:tc>
        <w:tc>
          <w:tcPr>
            <w:tcW w:w="1622" w:type="dxa"/>
            <w:tcBorders>
              <w:top w:val="single" w:color="auto" w:sz="4" w:space="0"/>
              <w:left w:val="single" w:color="auto" w:sz="4" w:space="0"/>
              <w:bottom w:val="single" w:color="auto" w:sz="4" w:space="0"/>
              <w:right w:val="single" w:color="auto" w:sz="4" w:space="0"/>
            </w:tcBorders>
          </w:tcPr>
          <w:p w14:paraId="46FC46FF">
            <w:pPr>
              <w:snapToGrid w:val="0"/>
              <w:spacing w:line="360" w:lineRule="auto"/>
              <w:jc w:val="left"/>
              <w:rPr>
                <w:rFonts w:ascii="宋体" w:hAnsi="宋体"/>
                <w:color w:val="auto"/>
                <w:sz w:val="24"/>
                <w:szCs w:val="20"/>
                <w:highlight w:val="none"/>
              </w:rPr>
            </w:pPr>
          </w:p>
        </w:tc>
        <w:tc>
          <w:tcPr>
            <w:tcW w:w="2518" w:type="dxa"/>
            <w:gridSpan w:val="3"/>
            <w:tcBorders>
              <w:top w:val="single" w:color="auto" w:sz="4" w:space="0"/>
              <w:left w:val="single" w:color="auto" w:sz="4" w:space="0"/>
              <w:bottom w:val="single" w:color="auto" w:sz="4" w:space="0"/>
              <w:right w:val="single" w:color="auto" w:sz="4" w:space="0"/>
            </w:tcBorders>
          </w:tcPr>
          <w:p w14:paraId="27C86A84">
            <w:pPr>
              <w:snapToGrid w:val="0"/>
              <w:spacing w:line="360" w:lineRule="auto"/>
              <w:ind w:left="60"/>
              <w:jc w:val="left"/>
              <w:rPr>
                <w:rFonts w:ascii="宋体" w:hAnsi="宋体"/>
                <w:color w:val="auto"/>
                <w:sz w:val="24"/>
                <w:szCs w:val="20"/>
                <w:highlight w:val="none"/>
              </w:rPr>
            </w:pPr>
            <w:r>
              <w:rPr>
                <w:rFonts w:hint="eastAsia" w:ascii="宋体" w:hAnsi="宋体"/>
                <w:color w:val="auto"/>
                <w:sz w:val="24"/>
                <w:highlight w:val="none"/>
              </w:rPr>
              <w:t>其中：技术人员数</w:t>
            </w:r>
          </w:p>
        </w:tc>
        <w:tc>
          <w:tcPr>
            <w:tcW w:w="1435" w:type="dxa"/>
            <w:tcBorders>
              <w:top w:val="single" w:color="auto" w:sz="4" w:space="0"/>
              <w:left w:val="single" w:color="auto" w:sz="4" w:space="0"/>
              <w:bottom w:val="single" w:color="auto" w:sz="4" w:space="0"/>
              <w:right w:val="single" w:color="auto" w:sz="4" w:space="0"/>
            </w:tcBorders>
          </w:tcPr>
          <w:p w14:paraId="417D7E50">
            <w:pPr>
              <w:snapToGrid w:val="0"/>
              <w:spacing w:line="360" w:lineRule="auto"/>
              <w:jc w:val="left"/>
              <w:rPr>
                <w:rFonts w:ascii="宋体" w:hAnsi="宋体"/>
                <w:color w:val="auto"/>
                <w:sz w:val="24"/>
                <w:szCs w:val="20"/>
                <w:highlight w:val="none"/>
              </w:rPr>
            </w:pPr>
          </w:p>
        </w:tc>
        <w:tc>
          <w:tcPr>
            <w:tcW w:w="1227" w:type="dxa"/>
            <w:tcBorders>
              <w:top w:val="single" w:color="auto" w:sz="4" w:space="0"/>
              <w:left w:val="single" w:color="auto" w:sz="4" w:space="0"/>
              <w:bottom w:val="single" w:color="auto" w:sz="4" w:space="0"/>
              <w:right w:val="single" w:color="auto" w:sz="4" w:space="0"/>
            </w:tcBorders>
          </w:tcPr>
          <w:p w14:paraId="155402F7">
            <w:pPr>
              <w:snapToGrid w:val="0"/>
              <w:spacing w:line="360" w:lineRule="auto"/>
              <w:jc w:val="left"/>
              <w:rPr>
                <w:rFonts w:ascii="宋体" w:hAnsi="宋体"/>
                <w:color w:val="auto"/>
                <w:sz w:val="24"/>
                <w:szCs w:val="20"/>
                <w:highlight w:val="none"/>
              </w:rPr>
            </w:pPr>
          </w:p>
        </w:tc>
      </w:tr>
      <w:tr w14:paraId="2C4B70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AA576F4">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经营期限</w:t>
            </w:r>
          </w:p>
        </w:tc>
        <w:tc>
          <w:tcPr>
            <w:tcW w:w="5575" w:type="dxa"/>
            <w:gridSpan w:val="5"/>
            <w:tcBorders>
              <w:top w:val="single" w:color="auto" w:sz="4" w:space="0"/>
              <w:left w:val="single" w:color="auto" w:sz="4" w:space="0"/>
              <w:bottom w:val="single" w:color="auto" w:sz="4" w:space="0"/>
              <w:right w:val="single" w:color="auto" w:sz="4" w:space="0"/>
            </w:tcBorders>
          </w:tcPr>
          <w:p w14:paraId="4960BD48">
            <w:pPr>
              <w:snapToGrid w:val="0"/>
              <w:spacing w:line="360" w:lineRule="auto"/>
              <w:jc w:val="left"/>
              <w:rPr>
                <w:rFonts w:ascii="宋体" w:hAnsi="宋体"/>
                <w:color w:val="auto"/>
                <w:sz w:val="24"/>
                <w:szCs w:val="20"/>
                <w:highlight w:val="none"/>
              </w:rPr>
            </w:pPr>
          </w:p>
        </w:tc>
        <w:tc>
          <w:tcPr>
            <w:tcW w:w="1227" w:type="dxa"/>
            <w:tcBorders>
              <w:top w:val="single" w:color="auto" w:sz="4" w:space="0"/>
              <w:left w:val="single" w:color="auto" w:sz="4" w:space="0"/>
              <w:bottom w:val="single" w:color="auto" w:sz="4" w:space="0"/>
              <w:right w:val="single" w:color="auto" w:sz="4" w:space="0"/>
            </w:tcBorders>
          </w:tcPr>
          <w:p w14:paraId="35B9B065">
            <w:pPr>
              <w:snapToGrid w:val="0"/>
              <w:spacing w:line="360" w:lineRule="auto"/>
              <w:jc w:val="left"/>
              <w:rPr>
                <w:rFonts w:ascii="宋体" w:hAnsi="宋体"/>
                <w:color w:val="auto"/>
                <w:sz w:val="24"/>
                <w:szCs w:val="20"/>
                <w:highlight w:val="none"/>
              </w:rPr>
            </w:pPr>
          </w:p>
        </w:tc>
      </w:tr>
      <w:tr w14:paraId="020D58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56DAA12C">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售后服务协议</w:t>
            </w:r>
          </w:p>
        </w:tc>
        <w:tc>
          <w:tcPr>
            <w:tcW w:w="5575" w:type="dxa"/>
            <w:gridSpan w:val="5"/>
            <w:tcBorders>
              <w:top w:val="single" w:color="auto" w:sz="4" w:space="0"/>
              <w:left w:val="single" w:color="auto" w:sz="4" w:space="0"/>
              <w:bottom w:val="single" w:color="auto" w:sz="4" w:space="0"/>
              <w:right w:val="single" w:color="auto" w:sz="4" w:space="0"/>
            </w:tcBorders>
          </w:tcPr>
          <w:p w14:paraId="1E43E5B8">
            <w:pPr>
              <w:snapToGrid w:val="0"/>
              <w:spacing w:line="360" w:lineRule="auto"/>
              <w:jc w:val="left"/>
              <w:rPr>
                <w:rFonts w:ascii="宋体" w:hAnsi="宋体"/>
                <w:color w:val="auto"/>
                <w:sz w:val="24"/>
                <w:szCs w:val="20"/>
                <w:highlight w:val="none"/>
              </w:rPr>
            </w:pPr>
          </w:p>
        </w:tc>
        <w:tc>
          <w:tcPr>
            <w:tcW w:w="1227" w:type="dxa"/>
            <w:tcBorders>
              <w:top w:val="single" w:color="auto" w:sz="4" w:space="0"/>
              <w:left w:val="single" w:color="auto" w:sz="4" w:space="0"/>
              <w:bottom w:val="single" w:color="auto" w:sz="4" w:space="0"/>
              <w:right w:val="single" w:color="auto" w:sz="4" w:space="0"/>
            </w:tcBorders>
          </w:tcPr>
          <w:p w14:paraId="38492706">
            <w:pPr>
              <w:snapToGrid w:val="0"/>
              <w:spacing w:line="360" w:lineRule="auto"/>
              <w:jc w:val="left"/>
              <w:rPr>
                <w:rFonts w:ascii="宋体" w:hAnsi="宋体"/>
                <w:color w:val="auto"/>
                <w:sz w:val="24"/>
                <w:szCs w:val="20"/>
                <w:highlight w:val="none"/>
              </w:rPr>
            </w:pPr>
          </w:p>
        </w:tc>
      </w:tr>
      <w:tr w14:paraId="7E3DF8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E21C498">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售后服务内容</w:t>
            </w:r>
          </w:p>
        </w:tc>
        <w:tc>
          <w:tcPr>
            <w:tcW w:w="5575" w:type="dxa"/>
            <w:gridSpan w:val="5"/>
            <w:tcBorders>
              <w:top w:val="single" w:color="auto" w:sz="4" w:space="0"/>
              <w:left w:val="single" w:color="auto" w:sz="4" w:space="0"/>
              <w:bottom w:val="single" w:color="auto" w:sz="4" w:space="0"/>
              <w:right w:val="single" w:color="auto" w:sz="4" w:space="0"/>
            </w:tcBorders>
          </w:tcPr>
          <w:p w14:paraId="11D1F9EA">
            <w:pPr>
              <w:snapToGrid w:val="0"/>
              <w:spacing w:line="360" w:lineRule="auto"/>
              <w:jc w:val="left"/>
              <w:rPr>
                <w:rFonts w:ascii="宋体" w:hAnsi="宋体"/>
                <w:color w:val="auto"/>
                <w:sz w:val="24"/>
                <w:szCs w:val="20"/>
                <w:highlight w:val="none"/>
              </w:rPr>
            </w:pPr>
          </w:p>
        </w:tc>
        <w:tc>
          <w:tcPr>
            <w:tcW w:w="1227" w:type="dxa"/>
            <w:tcBorders>
              <w:top w:val="single" w:color="auto" w:sz="4" w:space="0"/>
              <w:left w:val="single" w:color="auto" w:sz="4" w:space="0"/>
              <w:bottom w:val="single" w:color="auto" w:sz="4" w:space="0"/>
              <w:right w:val="single" w:color="auto" w:sz="4" w:space="0"/>
            </w:tcBorders>
          </w:tcPr>
          <w:p w14:paraId="171C2B53">
            <w:pPr>
              <w:snapToGrid w:val="0"/>
              <w:spacing w:line="360" w:lineRule="auto"/>
              <w:jc w:val="left"/>
              <w:rPr>
                <w:rFonts w:ascii="宋体" w:hAnsi="宋体"/>
                <w:color w:val="auto"/>
                <w:sz w:val="24"/>
                <w:szCs w:val="20"/>
                <w:highlight w:val="none"/>
              </w:rPr>
            </w:pPr>
          </w:p>
        </w:tc>
      </w:tr>
      <w:tr w14:paraId="1CEFDC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27CCE2D">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工作业绩</w:t>
            </w:r>
          </w:p>
        </w:tc>
        <w:tc>
          <w:tcPr>
            <w:tcW w:w="5575" w:type="dxa"/>
            <w:gridSpan w:val="5"/>
            <w:tcBorders>
              <w:top w:val="single" w:color="auto" w:sz="4" w:space="0"/>
              <w:left w:val="single" w:color="auto" w:sz="4" w:space="0"/>
              <w:bottom w:val="single" w:color="auto" w:sz="4" w:space="0"/>
              <w:right w:val="single" w:color="auto" w:sz="4" w:space="0"/>
            </w:tcBorders>
          </w:tcPr>
          <w:p w14:paraId="7FB16357">
            <w:pPr>
              <w:snapToGrid w:val="0"/>
              <w:spacing w:line="360" w:lineRule="auto"/>
              <w:jc w:val="left"/>
              <w:rPr>
                <w:rFonts w:ascii="宋体" w:hAnsi="宋体"/>
                <w:color w:val="auto"/>
                <w:sz w:val="24"/>
                <w:szCs w:val="20"/>
                <w:highlight w:val="none"/>
              </w:rPr>
            </w:pPr>
          </w:p>
        </w:tc>
        <w:tc>
          <w:tcPr>
            <w:tcW w:w="1227" w:type="dxa"/>
            <w:tcBorders>
              <w:top w:val="single" w:color="auto" w:sz="4" w:space="0"/>
              <w:left w:val="single" w:color="auto" w:sz="4" w:space="0"/>
              <w:bottom w:val="single" w:color="auto" w:sz="4" w:space="0"/>
              <w:right w:val="single" w:color="auto" w:sz="4" w:space="0"/>
            </w:tcBorders>
          </w:tcPr>
          <w:p w14:paraId="725B2306">
            <w:pPr>
              <w:snapToGrid w:val="0"/>
              <w:spacing w:line="360" w:lineRule="auto"/>
              <w:jc w:val="left"/>
              <w:rPr>
                <w:rFonts w:ascii="宋体" w:hAnsi="宋体"/>
                <w:color w:val="auto"/>
                <w:sz w:val="24"/>
                <w:szCs w:val="20"/>
                <w:highlight w:val="none"/>
              </w:rPr>
            </w:pPr>
          </w:p>
        </w:tc>
      </w:tr>
      <w:tr w14:paraId="122455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7D53865A">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服务承诺</w:t>
            </w:r>
          </w:p>
        </w:tc>
        <w:tc>
          <w:tcPr>
            <w:tcW w:w="5575" w:type="dxa"/>
            <w:gridSpan w:val="5"/>
            <w:tcBorders>
              <w:top w:val="single" w:color="auto" w:sz="4" w:space="0"/>
              <w:left w:val="single" w:color="auto" w:sz="4" w:space="0"/>
              <w:bottom w:val="single" w:color="auto" w:sz="4" w:space="0"/>
              <w:right w:val="single" w:color="auto" w:sz="4" w:space="0"/>
            </w:tcBorders>
          </w:tcPr>
          <w:p w14:paraId="70DC6709">
            <w:pPr>
              <w:snapToGrid w:val="0"/>
              <w:spacing w:line="360" w:lineRule="auto"/>
              <w:jc w:val="left"/>
              <w:rPr>
                <w:rFonts w:ascii="宋体" w:hAnsi="宋体"/>
                <w:color w:val="auto"/>
                <w:sz w:val="24"/>
                <w:szCs w:val="20"/>
                <w:highlight w:val="none"/>
              </w:rPr>
            </w:pPr>
          </w:p>
        </w:tc>
        <w:tc>
          <w:tcPr>
            <w:tcW w:w="1227" w:type="dxa"/>
            <w:tcBorders>
              <w:top w:val="single" w:color="auto" w:sz="4" w:space="0"/>
              <w:left w:val="single" w:color="auto" w:sz="4" w:space="0"/>
              <w:bottom w:val="single" w:color="auto" w:sz="4" w:space="0"/>
              <w:right w:val="single" w:color="auto" w:sz="4" w:space="0"/>
            </w:tcBorders>
          </w:tcPr>
          <w:p w14:paraId="344BD564">
            <w:pPr>
              <w:snapToGrid w:val="0"/>
              <w:spacing w:line="360" w:lineRule="auto"/>
              <w:jc w:val="left"/>
              <w:rPr>
                <w:rFonts w:ascii="宋体" w:hAnsi="宋体"/>
                <w:color w:val="auto"/>
                <w:sz w:val="24"/>
                <w:szCs w:val="20"/>
                <w:highlight w:val="none"/>
              </w:rPr>
            </w:pPr>
          </w:p>
        </w:tc>
      </w:tr>
      <w:tr w14:paraId="3B65D5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6AAF2F4">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业务咨询电话</w:t>
            </w:r>
          </w:p>
        </w:tc>
        <w:tc>
          <w:tcPr>
            <w:tcW w:w="1813" w:type="dxa"/>
            <w:gridSpan w:val="2"/>
            <w:tcBorders>
              <w:top w:val="single" w:color="auto" w:sz="4" w:space="0"/>
              <w:left w:val="single" w:color="auto" w:sz="4" w:space="0"/>
              <w:bottom w:val="single" w:color="auto" w:sz="4" w:space="0"/>
              <w:right w:val="single" w:color="auto" w:sz="2" w:space="0"/>
            </w:tcBorders>
          </w:tcPr>
          <w:p w14:paraId="13B6DB22">
            <w:pPr>
              <w:snapToGrid w:val="0"/>
              <w:spacing w:line="360" w:lineRule="auto"/>
              <w:jc w:val="left"/>
              <w:rPr>
                <w:rFonts w:ascii="宋体" w:hAnsi="宋体"/>
                <w:color w:val="auto"/>
                <w:sz w:val="24"/>
                <w:szCs w:val="20"/>
                <w:highlight w:val="none"/>
              </w:rPr>
            </w:pPr>
          </w:p>
        </w:tc>
        <w:tc>
          <w:tcPr>
            <w:tcW w:w="1439" w:type="dxa"/>
            <w:tcBorders>
              <w:top w:val="single" w:color="auto" w:sz="4" w:space="0"/>
              <w:left w:val="single" w:color="auto" w:sz="2" w:space="0"/>
              <w:bottom w:val="single" w:color="auto" w:sz="4" w:space="0"/>
              <w:right w:val="single" w:color="auto" w:sz="2" w:space="0"/>
            </w:tcBorders>
          </w:tcPr>
          <w:p w14:paraId="4BEACF5F">
            <w:pPr>
              <w:snapToGrid w:val="0"/>
              <w:spacing w:line="360" w:lineRule="auto"/>
              <w:ind w:firstLine="240" w:firstLineChars="100"/>
              <w:jc w:val="left"/>
              <w:rPr>
                <w:rFonts w:ascii="宋体" w:hAnsi="宋体"/>
                <w:color w:val="auto"/>
                <w:sz w:val="24"/>
                <w:szCs w:val="20"/>
                <w:highlight w:val="none"/>
              </w:rPr>
            </w:pPr>
            <w:r>
              <w:rPr>
                <w:rFonts w:hint="eastAsia" w:ascii="宋体" w:hAnsi="宋体"/>
                <w:color w:val="auto"/>
                <w:sz w:val="24"/>
                <w:highlight w:val="none"/>
              </w:rPr>
              <w:t>传</w:t>
            </w:r>
            <w:r>
              <w:rPr>
                <w:rFonts w:ascii="宋体" w:hAnsi="宋体"/>
                <w:color w:val="auto"/>
                <w:sz w:val="24"/>
                <w:highlight w:val="none"/>
              </w:rPr>
              <w:t xml:space="preserve"> 真</w:t>
            </w:r>
          </w:p>
        </w:tc>
        <w:tc>
          <w:tcPr>
            <w:tcW w:w="2323" w:type="dxa"/>
            <w:gridSpan w:val="2"/>
            <w:tcBorders>
              <w:top w:val="single" w:color="auto" w:sz="4" w:space="0"/>
              <w:left w:val="single" w:color="auto" w:sz="2" w:space="0"/>
              <w:bottom w:val="single" w:color="auto" w:sz="4" w:space="0"/>
              <w:right w:val="single" w:color="auto" w:sz="2" w:space="0"/>
            </w:tcBorders>
          </w:tcPr>
          <w:p w14:paraId="150CAE1A">
            <w:pPr>
              <w:snapToGrid w:val="0"/>
              <w:spacing w:line="360" w:lineRule="auto"/>
              <w:jc w:val="left"/>
              <w:rPr>
                <w:rFonts w:ascii="宋体" w:hAnsi="宋体"/>
                <w:color w:val="auto"/>
                <w:sz w:val="24"/>
                <w:szCs w:val="20"/>
                <w:highlight w:val="none"/>
              </w:rPr>
            </w:pPr>
          </w:p>
        </w:tc>
        <w:tc>
          <w:tcPr>
            <w:tcW w:w="1227" w:type="dxa"/>
            <w:tcBorders>
              <w:top w:val="single" w:color="auto" w:sz="4" w:space="0"/>
              <w:left w:val="single" w:color="auto" w:sz="2" w:space="0"/>
              <w:bottom w:val="single" w:color="auto" w:sz="4" w:space="0"/>
              <w:right w:val="single" w:color="auto" w:sz="4" w:space="0"/>
            </w:tcBorders>
          </w:tcPr>
          <w:p w14:paraId="54E9D3DC">
            <w:pPr>
              <w:snapToGrid w:val="0"/>
              <w:spacing w:line="360" w:lineRule="auto"/>
              <w:jc w:val="left"/>
              <w:rPr>
                <w:rFonts w:ascii="宋体" w:hAnsi="宋体"/>
                <w:color w:val="auto"/>
                <w:sz w:val="24"/>
                <w:szCs w:val="20"/>
                <w:highlight w:val="none"/>
              </w:rPr>
            </w:pPr>
          </w:p>
        </w:tc>
      </w:tr>
      <w:tr w14:paraId="1F2A56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645354D7">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负责人</w:t>
            </w:r>
          </w:p>
        </w:tc>
        <w:tc>
          <w:tcPr>
            <w:tcW w:w="1813" w:type="dxa"/>
            <w:gridSpan w:val="2"/>
            <w:tcBorders>
              <w:top w:val="single" w:color="auto" w:sz="4" w:space="0"/>
              <w:left w:val="single" w:color="auto" w:sz="4" w:space="0"/>
              <w:bottom w:val="single" w:color="auto" w:sz="4" w:space="0"/>
              <w:right w:val="single" w:color="auto" w:sz="2" w:space="0"/>
            </w:tcBorders>
          </w:tcPr>
          <w:p w14:paraId="6B5E44FE">
            <w:pPr>
              <w:snapToGrid w:val="0"/>
              <w:spacing w:line="360" w:lineRule="auto"/>
              <w:jc w:val="left"/>
              <w:rPr>
                <w:rFonts w:ascii="宋体" w:hAnsi="宋体"/>
                <w:color w:val="auto"/>
                <w:sz w:val="24"/>
                <w:szCs w:val="20"/>
                <w:highlight w:val="none"/>
              </w:rPr>
            </w:pPr>
          </w:p>
        </w:tc>
        <w:tc>
          <w:tcPr>
            <w:tcW w:w="1439" w:type="dxa"/>
            <w:tcBorders>
              <w:top w:val="single" w:color="auto" w:sz="4" w:space="0"/>
              <w:left w:val="single" w:color="auto" w:sz="2" w:space="0"/>
              <w:bottom w:val="single" w:color="auto" w:sz="4" w:space="0"/>
              <w:right w:val="single" w:color="auto" w:sz="2" w:space="0"/>
            </w:tcBorders>
          </w:tcPr>
          <w:p w14:paraId="453E12F7">
            <w:pPr>
              <w:snapToGrid w:val="0"/>
              <w:spacing w:line="360" w:lineRule="auto"/>
              <w:jc w:val="left"/>
              <w:rPr>
                <w:rFonts w:ascii="宋体" w:hAnsi="宋体"/>
                <w:color w:val="auto"/>
                <w:sz w:val="24"/>
                <w:szCs w:val="20"/>
                <w:highlight w:val="none"/>
              </w:rPr>
            </w:pPr>
            <w:r>
              <w:rPr>
                <w:rFonts w:hint="eastAsia" w:ascii="宋体" w:hAnsi="宋体"/>
                <w:color w:val="auto"/>
                <w:sz w:val="24"/>
                <w:highlight w:val="none"/>
              </w:rPr>
              <w:t>联系电话</w:t>
            </w:r>
          </w:p>
        </w:tc>
        <w:tc>
          <w:tcPr>
            <w:tcW w:w="2323" w:type="dxa"/>
            <w:gridSpan w:val="2"/>
            <w:tcBorders>
              <w:top w:val="single" w:color="auto" w:sz="4" w:space="0"/>
              <w:left w:val="single" w:color="auto" w:sz="2" w:space="0"/>
              <w:bottom w:val="single" w:color="auto" w:sz="4" w:space="0"/>
              <w:right w:val="single" w:color="auto" w:sz="4" w:space="0"/>
            </w:tcBorders>
          </w:tcPr>
          <w:p w14:paraId="14DC055A">
            <w:pPr>
              <w:snapToGrid w:val="0"/>
              <w:spacing w:line="360" w:lineRule="auto"/>
              <w:jc w:val="left"/>
              <w:rPr>
                <w:rFonts w:ascii="宋体" w:hAnsi="宋体"/>
                <w:color w:val="auto"/>
                <w:sz w:val="24"/>
                <w:szCs w:val="20"/>
                <w:highlight w:val="none"/>
              </w:rPr>
            </w:pPr>
          </w:p>
        </w:tc>
        <w:tc>
          <w:tcPr>
            <w:tcW w:w="1227" w:type="dxa"/>
            <w:tcBorders>
              <w:top w:val="single" w:color="auto" w:sz="4" w:space="0"/>
              <w:left w:val="single" w:color="auto" w:sz="4" w:space="0"/>
              <w:bottom w:val="single" w:color="auto" w:sz="4" w:space="0"/>
              <w:right w:val="single" w:color="auto" w:sz="4" w:space="0"/>
            </w:tcBorders>
          </w:tcPr>
          <w:p w14:paraId="3E8310C9">
            <w:pPr>
              <w:snapToGrid w:val="0"/>
              <w:spacing w:line="360" w:lineRule="auto"/>
              <w:jc w:val="left"/>
              <w:rPr>
                <w:rFonts w:ascii="宋体" w:hAnsi="宋体"/>
                <w:color w:val="auto"/>
                <w:sz w:val="24"/>
                <w:szCs w:val="20"/>
                <w:highlight w:val="none"/>
              </w:rPr>
            </w:pPr>
          </w:p>
        </w:tc>
      </w:tr>
    </w:tbl>
    <w:p w14:paraId="55FF6081">
      <w:pPr>
        <w:pStyle w:val="9"/>
        <w:snapToGrid w:val="0"/>
        <w:spacing w:line="360" w:lineRule="auto"/>
        <w:rPr>
          <w:rFonts w:ascii="宋体" w:hAnsi="宋体" w:eastAsia="宋体"/>
          <w:color w:val="auto"/>
          <w:sz w:val="24"/>
          <w:highlight w:val="none"/>
          <w:u w:val="single"/>
        </w:rPr>
      </w:pPr>
      <w:r>
        <w:rPr>
          <w:rFonts w:hint="eastAsia" w:ascii="宋体" w:hAnsi="宋体" w:eastAsia="宋体"/>
          <w:color w:val="auto"/>
          <w:sz w:val="24"/>
          <w:highlight w:val="none"/>
        </w:rPr>
        <w:t>授权代表签字：</w:t>
      </w:r>
      <w:r>
        <w:rPr>
          <w:rFonts w:hint="eastAsia" w:ascii="宋体" w:hAnsi="宋体" w:eastAsia="宋体"/>
          <w:color w:val="auto"/>
          <w:sz w:val="24"/>
          <w:highlight w:val="none"/>
          <w:u w:val="single"/>
        </w:rPr>
        <w:t>　　　　　</w:t>
      </w:r>
    </w:p>
    <w:p w14:paraId="12EF8019">
      <w:pPr>
        <w:pStyle w:val="2"/>
        <w:snapToGrid w:val="0"/>
        <w:spacing w:after="0" w:line="360" w:lineRule="auto"/>
        <w:rPr>
          <w:rFonts w:ascii="宋体" w:hAnsi="宋体"/>
          <w:color w:val="auto"/>
          <w:sz w:val="24"/>
          <w:highlight w:val="none"/>
        </w:rPr>
      </w:pPr>
      <w:r>
        <w:rPr>
          <w:rFonts w:hint="eastAsia" w:ascii="宋体" w:hAnsi="宋体"/>
          <w:color w:val="auto"/>
          <w:sz w:val="24"/>
          <w:highlight w:val="none"/>
        </w:rPr>
        <w:t>投标人公章：　 年月　 日</w:t>
      </w:r>
    </w:p>
    <w:p w14:paraId="0340F9F0">
      <w:pPr>
        <w:rPr>
          <w:color w:val="auto"/>
          <w:highlight w:val="none"/>
        </w:rPr>
      </w:pPr>
    </w:p>
    <w:p w14:paraId="38236C84">
      <w:pPr>
        <w:pStyle w:val="2"/>
        <w:rPr>
          <w:color w:val="auto"/>
          <w:highlight w:val="none"/>
        </w:rPr>
      </w:pPr>
    </w:p>
    <w:p w14:paraId="4A5A77DC">
      <w:pPr>
        <w:pStyle w:val="2"/>
        <w:rPr>
          <w:rFonts w:ascii="宋体" w:hAnsi="宋体"/>
          <w:color w:val="auto"/>
          <w:sz w:val="24"/>
          <w:highlight w:val="none"/>
        </w:rPr>
      </w:pPr>
    </w:p>
    <w:p w14:paraId="3C0CD414">
      <w:pPr>
        <w:rPr>
          <w:rFonts w:ascii="宋体" w:hAnsi="宋体"/>
          <w:color w:val="auto"/>
          <w:sz w:val="24"/>
          <w:highlight w:val="none"/>
        </w:rPr>
      </w:pPr>
      <w:r>
        <w:rPr>
          <w:rFonts w:hint="eastAsia" w:ascii="宋体" w:hAnsi="宋体"/>
          <w:color w:val="auto"/>
          <w:sz w:val="24"/>
          <w:highlight w:val="none"/>
        </w:rPr>
        <w:br w:type="page"/>
      </w:r>
    </w:p>
    <w:p w14:paraId="0E02FEB5">
      <w:pPr>
        <w:snapToGrid w:val="0"/>
        <w:spacing w:line="360" w:lineRule="auto"/>
        <w:jc w:val="left"/>
        <w:rPr>
          <w:rFonts w:ascii="宋体" w:hAnsi="宋体"/>
          <w:color w:val="auto"/>
          <w:sz w:val="24"/>
          <w:highlight w:val="none"/>
        </w:rPr>
      </w:pPr>
      <w:r>
        <w:rPr>
          <w:rFonts w:hint="eastAsia" w:ascii="宋体" w:hAnsi="宋体"/>
          <w:color w:val="auto"/>
          <w:sz w:val="24"/>
          <w:highlight w:val="none"/>
        </w:rPr>
        <w:t>33.信用承诺书</w:t>
      </w:r>
    </w:p>
    <w:p w14:paraId="00B478D8">
      <w:pPr>
        <w:tabs>
          <w:tab w:val="left" w:pos="1650"/>
        </w:tabs>
        <w:spacing w:line="360" w:lineRule="auto"/>
        <w:jc w:val="center"/>
        <w:rPr>
          <w:rFonts w:ascii="宋体" w:hAnsi="宋体"/>
          <w:color w:val="auto"/>
          <w:sz w:val="44"/>
          <w:szCs w:val="44"/>
          <w:highlight w:val="none"/>
        </w:rPr>
      </w:pPr>
      <w:r>
        <w:rPr>
          <w:rFonts w:hint="eastAsia" w:ascii="宋体" w:hAnsi="宋体"/>
          <w:color w:val="auto"/>
          <w:sz w:val="44"/>
          <w:szCs w:val="44"/>
          <w:highlight w:val="none"/>
        </w:rPr>
        <w:t>信用承诺书</w:t>
      </w:r>
    </w:p>
    <w:p w14:paraId="2934278F">
      <w:pPr>
        <w:tabs>
          <w:tab w:val="left" w:pos="1650"/>
        </w:tabs>
        <w:spacing w:line="360" w:lineRule="auto"/>
        <w:jc w:val="left"/>
        <w:rPr>
          <w:rFonts w:ascii="宋体" w:hAnsi="宋体"/>
          <w:color w:val="auto"/>
          <w:sz w:val="24"/>
          <w:highlight w:val="none"/>
        </w:rPr>
      </w:pPr>
      <w:r>
        <w:rPr>
          <w:rFonts w:hint="eastAsia" w:ascii="宋体" w:hAnsi="宋体"/>
          <w:color w:val="auto"/>
          <w:sz w:val="24"/>
          <w:highlight w:val="none"/>
        </w:rPr>
        <w:t>（投标单位）现参加（采购项目）政府采购活动，郑重承诺如下：</w:t>
      </w:r>
    </w:p>
    <w:p w14:paraId="76A1FBDD">
      <w:pPr>
        <w:tabs>
          <w:tab w:val="left" w:pos="1650"/>
        </w:tabs>
        <w:spacing w:line="360" w:lineRule="auto"/>
        <w:ind w:firstLine="630"/>
        <w:rPr>
          <w:rFonts w:ascii="宋体" w:hAnsi="宋体"/>
          <w:color w:val="auto"/>
          <w:sz w:val="24"/>
          <w:highlight w:val="none"/>
        </w:rPr>
      </w:pPr>
      <w:r>
        <w:rPr>
          <w:rFonts w:hint="eastAsia" w:ascii="宋体" w:hAnsi="宋体"/>
          <w:color w:val="auto"/>
          <w:sz w:val="24"/>
          <w:highlight w:val="none"/>
        </w:rPr>
        <w:t>对所提供的资料合法性、真实性、准确性和有效性负责；</w:t>
      </w:r>
    </w:p>
    <w:p w14:paraId="1B674A97">
      <w:pPr>
        <w:tabs>
          <w:tab w:val="left" w:pos="1650"/>
        </w:tabs>
        <w:spacing w:line="360" w:lineRule="auto"/>
        <w:ind w:firstLine="630"/>
        <w:rPr>
          <w:rFonts w:ascii="宋体" w:hAnsi="宋体"/>
          <w:color w:val="auto"/>
          <w:sz w:val="24"/>
          <w:highlight w:val="none"/>
        </w:rPr>
      </w:pPr>
      <w:r>
        <w:rPr>
          <w:rFonts w:hint="eastAsia" w:ascii="宋体" w:hAnsi="宋体"/>
          <w:color w:val="auto"/>
          <w:sz w:val="24"/>
          <w:highlight w:val="none"/>
        </w:rPr>
        <w:t>严格按照国家法律、法规和规章，依法开展相关经济活动，全面履行应尽的责任和义务；</w:t>
      </w:r>
    </w:p>
    <w:p w14:paraId="49184A0E">
      <w:pPr>
        <w:tabs>
          <w:tab w:val="left" w:pos="1650"/>
        </w:tabs>
        <w:spacing w:line="360" w:lineRule="auto"/>
        <w:ind w:firstLine="630"/>
        <w:rPr>
          <w:rFonts w:ascii="宋体" w:hAnsi="宋体"/>
          <w:color w:val="auto"/>
          <w:sz w:val="24"/>
          <w:highlight w:val="none"/>
        </w:rPr>
      </w:pPr>
      <w:r>
        <w:rPr>
          <w:rFonts w:hint="eastAsia" w:ascii="宋体" w:hAnsi="宋体"/>
          <w:color w:val="auto"/>
          <w:sz w:val="24"/>
          <w:highlight w:val="none"/>
        </w:rPr>
        <w:t>加强自我约束、自我规范、自我管理，不制假售假、不虚假宣传、不违约毁约、不恶意逃债、不偷税漏税，诚信依法经营；</w:t>
      </w:r>
    </w:p>
    <w:p w14:paraId="18EEF57D">
      <w:pPr>
        <w:tabs>
          <w:tab w:val="left" w:pos="1650"/>
        </w:tabs>
        <w:spacing w:line="360" w:lineRule="auto"/>
        <w:ind w:firstLine="630"/>
        <w:rPr>
          <w:rFonts w:ascii="宋体" w:hAnsi="宋体"/>
          <w:color w:val="auto"/>
          <w:sz w:val="24"/>
          <w:highlight w:val="none"/>
        </w:rPr>
      </w:pPr>
      <w:r>
        <w:rPr>
          <w:rFonts w:hint="eastAsia" w:ascii="宋体" w:hAnsi="宋体"/>
          <w:color w:val="auto"/>
          <w:sz w:val="24"/>
          <w:highlight w:val="none"/>
        </w:rPr>
        <w:t>自愿接受行政主管部门的依法检查、违背承诺约定将自愿承担违约责任，并接受法律法规和相关部门规章制度的惩戒和约束；</w:t>
      </w:r>
    </w:p>
    <w:p w14:paraId="228EEFBC">
      <w:pPr>
        <w:tabs>
          <w:tab w:val="left" w:pos="1650"/>
        </w:tabs>
        <w:spacing w:line="360" w:lineRule="auto"/>
        <w:ind w:firstLine="630"/>
        <w:rPr>
          <w:rFonts w:ascii="宋体" w:hAnsi="宋体"/>
          <w:color w:val="auto"/>
          <w:sz w:val="24"/>
          <w:highlight w:val="none"/>
        </w:rPr>
      </w:pPr>
      <w:r>
        <w:rPr>
          <w:rFonts w:hint="eastAsia" w:ascii="宋体" w:hAnsi="宋体"/>
          <w:color w:val="auto"/>
          <w:kern w:val="0"/>
          <w:sz w:val="24"/>
          <w:highlight w:val="none"/>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57472A77">
      <w:pPr>
        <w:pStyle w:val="37"/>
        <w:spacing w:before="0" w:beforeAutospacing="0" w:after="0" w:afterAutospacing="0" w:line="360" w:lineRule="auto"/>
        <w:ind w:firstLine="600" w:firstLineChars="250"/>
        <w:rPr>
          <w:rFonts w:cs="Times New Roman"/>
          <w:color w:val="auto"/>
          <w:kern w:val="2"/>
          <w:highlight w:val="none"/>
        </w:rPr>
      </w:pPr>
      <w:r>
        <w:rPr>
          <w:rFonts w:hint="eastAsia" w:cs="Times New Roman"/>
          <w:color w:val="auto"/>
          <w:kern w:val="2"/>
          <w:highlight w:val="none"/>
        </w:rPr>
        <w:t>统一社会信用代码：</w:t>
      </w:r>
    </w:p>
    <w:p w14:paraId="10D81FAA">
      <w:pPr>
        <w:pStyle w:val="37"/>
        <w:spacing w:before="0" w:beforeAutospacing="0" w:after="0" w:afterAutospacing="0" w:line="360" w:lineRule="auto"/>
        <w:ind w:firstLine="600" w:firstLineChars="250"/>
        <w:rPr>
          <w:rFonts w:cs="Times New Roman"/>
          <w:color w:val="auto"/>
          <w:kern w:val="2"/>
          <w:highlight w:val="none"/>
        </w:rPr>
      </w:pPr>
    </w:p>
    <w:p w14:paraId="2B7A4D38">
      <w:pPr>
        <w:pStyle w:val="37"/>
        <w:spacing w:before="0" w:beforeAutospacing="0" w:after="0" w:afterAutospacing="0" w:line="360" w:lineRule="auto"/>
        <w:ind w:firstLine="565" w:firstLineChars="250"/>
        <w:rPr>
          <w:rFonts w:cs="Times New Roman"/>
          <w:color w:val="auto"/>
          <w:spacing w:val="-7"/>
          <w:highlight w:val="none"/>
        </w:rPr>
      </w:pPr>
    </w:p>
    <w:p w14:paraId="12389C57">
      <w:pPr>
        <w:pStyle w:val="37"/>
        <w:spacing w:before="0" w:beforeAutospacing="0" w:after="0" w:afterAutospacing="0" w:line="360" w:lineRule="auto"/>
        <w:ind w:firstLine="3240" w:firstLineChars="1350"/>
        <w:rPr>
          <w:rFonts w:cs="Times New Roman"/>
          <w:color w:val="auto"/>
          <w:kern w:val="2"/>
          <w:highlight w:val="none"/>
        </w:rPr>
      </w:pPr>
      <w:r>
        <w:rPr>
          <w:rFonts w:hint="eastAsia" w:cs="Times New Roman"/>
          <w:color w:val="auto"/>
          <w:kern w:val="2"/>
          <w:highlight w:val="none"/>
        </w:rPr>
        <w:t>承诺单位</w:t>
      </w:r>
      <w:r>
        <w:rPr>
          <w:rFonts w:cs="Times New Roman"/>
          <w:color w:val="auto"/>
          <w:kern w:val="2"/>
          <w:highlight w:val="none"/>
        </w:rPr>
        <w:t>/</w:t>
      </w:r>
      <w:r>
        <w:rPr>
          <w:rFonts w:hint="eastAsia" w:cs="Times New Roman"/>
          <w:color w:val="auto"/>
          <w:kern w:val="2"/>
          <w:highlight w:val="none"/>
        </w:rPr>
        <w:t>个人（盖章</w:t>
      </w:r>
      <w:r>
        <w:rPr>
          <w:rFonts w:cs="Times New Roman"/>
          <w:color w:val="auto"/>
          <w:kern w:val="2"/>
          <w:highlight w:val="none"/>
        </w:rPr>
        <w:t>/</w:t>
      </w:r>
      <w:r>
        <w:rPr>
          <w:rFonts w:hint="eastAsia" w:cs="Times New Roman"/>
          <w:color w:val="auto"/>
          <w:kern w:val="2"/>
          <w:highlight w:val="none"/>
        </w:rPr>
        <w:t>签名）</w:t>
      </w:r>
    </w:p>
    <w:p w14:paraId="7330CB1A">
      <w:pPr>
        <w:spacing w:line="360" w:lineRule="auto"/>
        <w:ind w:firstLine="3480" w:firstLineChars="1450"/>
        <w:rPr>
          <w:rFonts w:ascii="宋体" w:hAnsi="宋体"/>
          <w:color w:val="auto"/>
          <w:sz w:val="24"/>
          <w:highlight w:val="none"/>
        </w:rPr>
      </w:pPr>
      <w:r>
        <w:rPr>
          <w:rFonts w:hint="eastAsia" w:ascii="宋体" w:hAnsi="宋体"/>
          <w:color w:val="auto"/>
          <w:sz w:val="24"/>
          <w:highlight w:val="none"/>
        </w:rPr>
        <w:t>时间：2025</w:t>
      </w:r>
      <w:r>
        <w:rPr>
          <w:rFonts w:ascii="宋体" w:hAnsi="宋体"/>
          <w:color w:val="auto"/>
          <w:sz w:val="24"/>
          <w:highlight w:val="none"/>
        </w:rPr>
        <w:t>年</w:t>
      </w:r>
      <w:r>
        <w:rPr>
          <w:rFonts w:hint="eastAsia" w:ascii="宋体" w:hAnsi="宋体"/>
          <w:color w:val="auto"/>
          <w:sz w:val="24"/>
          <w:highlight w:val="none"/>
        </w:rPr>
        <w:t xml:space="preserve"> 月 日</w:t>
      </w:r>
    </w:p>
    <w:p w14:paraId="0021CE14">
      <w:pPr>
        <w:pStyle w:val="2"/>
        <w:rPr>
          <w:color w:val="auto"/>
          <w:highlight w:val="none"/>
        </w:rPr>
      </w:pPr>
    </w:p>
    <w:p w14:paraId="65D4D95A">
      <w:pPr>
        <w:pStyle w:val="14"/>
        <w:rPr>
          <w:color w:val="auto"/>
          <w:highlight w:val="none"/>
        </w:rPr>
      </w:pPr>
    </w:p>
    <w:p w14:paraId="28C26BA9">
      <w:pPr>
        <w:rPr>
          <w:color w:val="auto"/>
          <w:highlight w:val="none"/>
        </w:rPr>
      </w:pPr>
    </w:p>
    <w:p w14:paraId="0E3453E6">
      <w:pPr>
        <w:pStyle w:val="2"/>
        <w:rPr>
          <w:color w:val="auto"/>
          <w:highlight w:val="none"/>
        </w:rPr>
      </w:pPr>
    </w:p>
    <w:p w14:paraId="611046B7">
      <w:pPr>
        <w:snapToGrid w:val="0"/>
        <w:spacing w:line="360" w:lineRule="auto"/>
        <w:rPr>
          <w:rFonts w:ascii="宋体" w:hAnsi="宋体"/>
          <w:color w:val="auto"/>
          <w:sz w:val="24"/>
          <w:highlight w:val="none"/>
        </w:rPr>
      </w:pPr>
      <w:r>
        <w:rPr>
          <w:rFonts w:hint="eastAsia" w:ascii="宋体" w:hAnsi="宋体"/>
          <w:bCs/>
          <w:color w:val="auto"/>
          <w:sz w:val="24"/>
          <w:highlight w:val="none"/>
        </w:rPr>
        <w:t>34.</w:t>
      </w:r>
      <w:r>
        <w:rPr>
          <w:rFonts w:hint="eastAsia" w:ascii="宋体" w:hAnsi="宋体"/>
          <w:color w:val="auto"/>
          <w:sz w:val="24"/>
          <w:highlight w:val="none"/>
        </w:rPr>
        <w:t xml:space="preserve">技术、商务、资信及其他分自评表  </w:t>
      </w:r>
    </w:p>
    <w:p w14:paraId="15903833">
      <w:pPr>
        <w:pStyle w:val="12"/>
        <w:spacing w:line="360" w:lineRule="auto"/>
        <w:ind w:firstLine="311" w:firstLineChars="129"/>
        <w:rPr>
          <w:rFonts w:hAnsi="宋体"/>
          <w:b/>
          <w:color w:val="auto"/>
          <w:sz w:val="24"/>
          <w:highlight w:val="none"/>
        </w:rPr>
      </w:pPr>
      <w:r>
        <w:rPr>
          <w:rFonts w:hint="eastAsia" w:hAnsi="宋体"/>
          <w:b/>
          <w:color w:val="auto"/>
          <w:sz w:val="24"/>
          <w:highlight w:val="none"/>
        </w:rPr>
        <w:t>投标人名称</w:t>
      </w:r>
    </w:p>
    <w:tbl>
      <w:tblPr>
        <w:tblStyle w:val="24"/>
        <w:tblW w:w="9801" w:type="dxa"/>
        <w:tblInd w:w="-1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3533"/>
        <w:gridCol w:w="2268"/>
        <w:gridCol w:w="1276"/>
        <w:gridCol w:w="1701"/>
      </w:tblGrid>
      <w:tr w14:paraId="33D24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5" w:hRule="atLeast"/>
        </w:trPr>
        <w:tc>
          <w:tcPr>
            <w:tcW w:w="4556" w:type="dxa"/>
            <w:gridSpan w:val="2"/>
            <w:vAlign w:val="center"/>
          </w:tcPr>
          <w:p w14:paraId="07DF6AD2">
            <w:pPr>
              <w:spacing w:line="360" w:lineRule="auto"/>
              <w:jc w:val="center"/>
              <w:rPr>
                <w:rFonts w:ascii="宋体" w:hAnsi="宋体"/>
                <w:color w:val="auto"/>
                <w:sz w:val="24"/>
                <w:highlight w:val="none"/>
              </w:rPr>
            </w:pPr>
            <w:r>
              <w:rPr>
                <w:rFonts w:hint="eastAsia" w:ascii="宋体" w:hAnsi="宋体"/>
                <w:color w:val="auto"/>
                <w:sz w:val="24"/>
                <w:highlight w:val="none"/>
              </w:rPr>
              <w:t>评分项目</w:t>
            </w:r>
          </w:p>
        </w:tc>
        <w:tc>
          <w:tcPr>
            <w:tcW w:w="2268" w:type="dxa"/>
            <w:vAlign w:val="center"/>
          </w:tcPr>
          <w:p w14:paraId="36BE181B">
            <w:pPr>
              <w:snapToGrid w:val="0"/>
              <w:spacing w:line="360" w:lineRule="auto"/>
              <w:jc w:val="center"/>
              <w:rPr>
                <w:rFonts w:ascii="宋体" w:hAnsi="宋体"/>
                <w:color w:val="auto"/>
                <w:sz w:val="24"/>
                <w:highlight w:val="none"/>
              </w:rPr>
            </w:pPr>
            <w:r>
              <w:rPr>
                <w:rFonts w:hint="eastAsia" w:ascii="宋体" w:hAnsi="宋体"/>
                <w:color w:val="auto"/>
                <w:sz w:val="24"/>
                <w:highlight w:val="none"/>
              </w:rPr>
              <w:t>投标文件对应资料</w:t>
            </w:r>
          </w:p>
        </w:tc>
        <w:tc>
          <w:tcPr>
            <w:tcW w:w="1276" w:type="dxa"/>
            <w:vAlign w:val="center"/>
          </w:tcPr>
          <w:p w14:paraId="0E08FB42">
            <w:pPr>
              <w:snapToGrid w:val="0"/>
              <w:spacing w:line="360" w:lineRule="auto"/>
              <w:jc w:val="center"/>
              <w:rPr>
                <w:rFonts w:ascii="宋体" w:hAnsi="宋体"/>
                <w:color w:val="auto"/>
                <w:sz w:val="24"/>
                <w:highlight w:val="none"/>
              </w:rPr>
            </w:pPr>
            <w:r>
              <w:rPr>
                <w:rFonts w:hint="eastAsia" w:ascii="宋体" w:hAnsi="宋体"/>
                <w:color w:val="auto"/>
                <w:sz w:val="24"/>
                <w:highlight w:val="none"/>
              </w:rPr>
              <w:t>自评分</w:t>
            </w:r>
          </w:p>
        </w:tc>
        <w:tc>
          <w:tcPr>
            <w:tcW w:w="1701" w:type="dxa"/>
            <w:vAlign w:val="center"/>
          </w:tcPr>
          <w:p w14:paraId="0C735302">
            <w:pPr>
              <w:snapToGrid w:val="0"/>
              <w:spacing w:line="360" w:lineRule="auto"/>
              <w:jc w:val="center"/>
              <w:rPr>
                <w:rFonts w:ascii="宋体" w:hAnsi="宋体"/>
                <w:color w:val="auto"/>
                <w:sz w:val="24"/>
                <w:highlight w:val="none"/>
              </w:rPr>
            </w:pPr>
            <w:r>
              <w:rPr>
                <w:rFonts w:hint="eastAsia" w:ascii="宋体" w:hAnsi="宋体"/>
                <w:color w:val="auto"/>
                <w:sz w:val="24"/>
                <w:highlight w:val="none"/>
              </w:rPr>
              <w:t>投标文件页码</w:t>
            </w:r>
          </w:p>
        </w:tc>
      </w:tr>
      <w:tr w14:paraId="227E9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trPr>
        <w:tc>
          <w:tcPr>
            <w:tcW w:w="1023" w:type="dxa"/>
            <w:vMerge w:val="restart"/>
            <w:vAlign w:val="center"/>
          </w:tcPr>
          <w:p w14:paraId="3DC55E3A">
            <w:pPr>
              <w:spacing w:line="360" w:lineRule="auto"/>
              <w:jc w:val="center"/>
              <w:rPr>
                <w:rFonts w:ascii="宋体" w:hAnsi="宋体"/>
                <w:color w:val="auto"/>
                <w:sz w:val="24"/>
                <w:highlight w:val="none"/>
              </w:rPr>
            </w:pPr>
            <w:r>
              <w:rPr>
                <w:rFonts w:hint="eastAsia" w:ascii="宋体" w:hAnsi="宋体"/>
                <w:color w:val="auto"/>
                <w:sz w:val="24"/>
                <w:highlight w:val="none"/>
              </w:rPr>
              <w:t>技</w:t>
            </w:r>
          </w:p>
          <w:p w14:paraId="466DC7E9">
            <w:pPr>
              <w:spacing w:line="360" w:lineRule="auto"/>
              <w:jc w:val="center"/>
              <w:rPr>
                <w:rFonts w:ascii="宋体" w:hAnsi="宋体"/>
                <w:color w:val="auto"/>
                <w:sz w:val="24"/>
                <w:highlight w:val="none"/>
              </w:rPr>
            </w:pPr>
            <w:r>
              <w:rPr>
                <w:rFonts w:hint="eastAsia" w:ascii="宋体" w:hAnsi="宋体"/>
                <w:color w:val="auto"/>
                <w:sz w:val="24"/>
                <w:highlight w:val="none"/>
              </w:rPr>
              <w:t>术</w:t>
            </w:r>
          </w:p>
          <w:p w14:paraId="77C2FC6A">
            <w:pPr>
              <w:spacing w:line="360" w:lineRule="auto"/>
              <w:jc w:val="center"/>
              <w:rPr>
                <w:rFonts w:ascii="宋体" w:hAnsi="宋体"/>
                <w:color w:val="auto"/>
                <w:sz w:val="24"/>
                <w:highlight w:val="none"/>
              </w:rPr>
            </w:pPr>
            <w:r>
              <w:rPr>
                <w:rFonts w:hint="eastAsia" w:ascii="宋体" w:hAnsi="宋体"/>
                <w:color w:val="auto"/>
                <w:sz w:val="24"/>
                <w:highlight w:val="none"/>
              </w:rPr>
              <w:t>分</w:t>
            </w:r>
          </w:p>
          <w:p w14:paraId="1E02D379">
            <w:pPr>
              <w:spacing w:line="360" w:lineRule="auto"/>
              <w:jc w:val="center"/>
              <w:rPr>
                <w:rFonts w:ascii="宋体" w:hAnsi="宋体"/>
                <w:color w:val="auto"/>
                <w:sz w:val="24"/>
                <w:highlight w:val="none"/>
              </w:rPr>
            </w:pPr>
            <w:r>
              <w:rPr>
                <w:rFonts w:hint="eastAsia" w:ascii="宋体" w:hAnsi="宋体"/>
                <w:color w:val="auto"/>
                <w:sz w:val="24"/>
                <w:highlight w:val="none"/>
              </w:rPr>
              <w:t>62</w:t>
            </w:r>
          </w:p>
          <w:p w14:paraId="0B7FB12B">
            <w:pPr>
              <w:spacing w:line="360" w:lineRule="auto"/>
              <w:jc w:val="center"/>
              <w:rPr>
                <w:rFonts w:ascii="宋体" w:hAnsi="宋体"/>
                <w:color w:val="auto"/>
                <w:sz w:val="24"/>
                <w:highlight w:val="none"/>
              </w:rPr>
            </w:pPr>
            <w:r>
              <w:rPr>
                <w:rFonts w:hint="eastAsia" w:ascii="宋体" w:hAnsi="宋体"/>
                <w:color w:val="auto"/>
                <w:sz w:val="24"/>
                <w:highlight w:val="none"/>
              </w:rPr>
              <w:t>分</w:t>
            </w:r>
          </w:p>
        </w:tc>
        <w:tc>
          <w:tcPr>
            <w:tcW w:w="3533" w:type="dxa"/>
          </w:tcPr>
          <w:p w14:paraId="4A6F806F">
            <w:pPr>
              <w:spacing w:line="360" w:lineRule="auto"/>
              <w:jc w:val="left"/>
              <w:rPr>
                <w:rFonts w:ascii="宋体" w:hAnsi="宋体"/>
                <w:color w:val="auto"/>
                <w:sz w:val="24"/>
                <w:highlight w:val="none"/>
              </w:rPr>
            </w:pPr>
          </w:p>
        </w:tc>
        <w:tc>
          <w:tcPr>
            <w:tcW w:w="2268" w:type="dxa"/>
          </w:tcPr>
          <w:p w14:paraId="10E00DF1">
            <w:pPr>
              <w:spacing w:line="360" w:lineRule="auto"/>
              <w:rPr>
                <w:rFonts w:ascii="宋体" w:hAnsi="宋体"/>
                <w:color w:val="auto"/>
                <w:sz w:val="24"/>
                <w:highlight w:val="none"/>
              </w:rPr>
            </w:pPr>
          </w:p>
        </w:tc>
        <w:tc>
          <w:tcPr>
            <w:tcW w:w="1276" w:type="dxa"/>
          </w:tcPr>
          <w:p w14:paraId="0702CB6D">
            <w:pPr>
              <w:spacing w:line="360" w:lineRule="auto"/>
              <w:rPr>
                <w:rFonts w:ascii="宋体" w:hAnsi="宋体"/>
                <w:color w:val="auto"/>
                <w:sz w:val="24"/>
                <w:highlight w:val="none"/>
              </w:rPr>
            </w:pPr>
          </w:p>
        </w:tc>
        <w:tc>
          <w:tcPr>
            <w:tcW w:w="1701" w:type="dxa"/>
          </w:tcPr>
          <w:p w14:paraId="238B6A93">
            <w:pPr>
              <w:spacing w:line="360" w:lineRule="auto"/>
              <w:rPr>
                <w:rFonts w:ascii="宋体" w:hAnsi="宋体"/>
                <w:color w:val="auto"/>
                <w:sz w:val="24"/>
                <w:highlight w:val="none"/>
              </w:rPr>
            </w:pPr>
          </w:p>
        </w:tc>
      </w:tr>
      <w:tr w14:paraId="4C527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3" w:type="dxa"/>
            <w:vMerge w:val="continue"/>
          </w:tcPr>
          <w:p w14:paraId="33985111">
            <w:pPr>
              <w:spacing w:line="360" w:lineRule="auto"/>
              <w:rPr>
                <w:rFonts w:ascii="宋体" w:hAnsi="宋体"/>
                <w:color w:val="auto"/>
                <w:sz w:val="24"/>
                <w:highlight w:val="none"/>
              </w:rPr>
            </w:pPr>
          </w:p>
        </w:tc>
        <w:tc>
          <w:tcPr>
            <w:tcW w:w="3533" w:type="dxa"/>
          </w:tcPr>
          <w:p w14:paraId="046CCB73">
            <w:pPr>
              <w:spacing w:line="360" w:lineRule="auto"/>
              <w:jc w:val="left"/>
              <w:rPr>
                <w:rFonts w:ascii="宋体" w:hAnsi="宋体"/>
                <w:color w:val="auto"/>
                <w:sz w:val="24"/>
                <w:highlight w:val="none"/>
              </w:rPr>
            </w:pPr>
          </w:p>
        </w:tc>
        <w:tc>
          <w:tcPr>
            <w:tcW w:w="2268" w:type="dxa"/>
          </w:tcPr>
          <w:p w14:paraId="3BA660C7">
            <w:pPr>
              <w:spacing w:line="360" w:lineRule="auto"/>
              <w:rPr>
                <w:rFonts w:ascii="宋体" w:hAnsi="宋体"/>
                <w:color w:val="auto"/>
                <w:sz w:val="24"/>
                <w:highlight w:val="none"/>
              </w:rPr>
            </w:pPr>
          </w:p>
        </w:tc>
        <w:tc>
          <w:tcPr>
            <w:tcW w:w="1276" w:type="dxa"/>
          </w:tcPr>
          <w:p w14:paraId="6136E4A5">
            <w:pPr>
              <w:spacing w:line="360" w:lineRule="auto"/>
              <w:rPr>
                <w:rFonts w:ascii="宋体" w:hAnsi="宋体"/>
                <w:color w:val="auto"/>
                <w:sz w:val="24"/>
                <w:highlight w:val="none"/>
              </w:rPr>
            </w:pPr>
          </w:p>
        </w:tc>
        <w:tc>
          <w:tcPr>
            <w:tcW w:w="1701" w:type="dxa"/>
          </w:tcPr>
          <w:p w14:paraId="4B4E4DD5">
            <w:pPr>
              <w:spacing w:line="360" w:lineRule="auto"/>
              <w:rPr>
                <w:rFonts w:ascii="宋体" w:hAnsi="宋体"/>
                <w:color w:val="auto"/>
                <w:sz w:val="24"/>
                <w:highlight w:val="none"/>
              </w:rPr>
            </w:pPr>
          </w:p>
        </w:tc>
      </w:tr>
      <w:tr w14:paraId="004E1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3" w:type="dxa"/>
            <w:vMerge w:val="continue"/>
          </w:tcPr>
          <w:p w14:paraId="1316EA57">
            <w:pPr>
              <w:spacing w:line="360" w:lineRule="auto"/>
              <w:rPr>
                <w:rFonts w:ascii="宋体" w:hAnsi="宋体"/>
                <w:color w:val="auto"/>
                <w:sz w:val="24"/>
                <w:highlight w:val="none"/>
              </w:rPr>
            </w:pPr>
          </w:p>
        </w:tc>
        <w:tc>
          <w:tcPr>
            <w:tcW w:w="3533" w:type="dxa"/>
          </w:tcPr>
          <w:p w14:paraId="04DE0035">
            <w:pPr>
              <w:spacing w:line="360" w:lineRule="auto"/>
              <w:jc w:val="left"/>
              <w:rPr>
                <w:rFonts w:ascii="宋体" w:hAnsi="宋体"/>
                <w:color w:val="auto"/>
                <w:sz w:val="24"/>
                <w:highlight w:val="none"/>
              </w:rPr>
            </w:pPr>
          </w:p>
        </w:tc>
        <w:tc>
          <w:tcPr>
            <w:tcW w:w="2268" w:type="dxa"/>
          </w:tcPr>
          <w:p w14:paraId="30F818D3">
            <w:pPr>
              <w:spacing w:line="360" w:lineRule="auto"/>
              <w:rPr>
                <w:rFonts w:ascii="宋体" w:hAnsi="宋体"/>
                <w:color w:val="auto"/>
                <w:sz w:val="24"/>
                <w:highlight w:val="none"/>
              </w:rPr>
            </w:pPr>
          </w:p>
        </w:tc>
        <w:tc>
          <w:tcPr>
            <w:tcW w:w="1276" w:type="dxa"/>
          </w:tcPr>
          <w:p w14:paraId="72E7E3D9">
            <w:pPr>
              <w:spacing w:line="360" w:lineRule="auto"/>
              <w:rPr>
                <w:rFonts w:ascii="宋体" w:hAnsi="宋体"/>
                <w:color w:val="auto"/>
                <w:sz w:val="24"/>
                <w:highlight w:val="none"/>
              </w:rPr>
            </w:pPr>
          </w:p>
        </w:tc>
        <w:tc>
          <w:tcPr>
            <w:tcW w:w="1701" w:type="dxa"/>
          </w:tcPr>
          <w:p w14:paraId="075B1891">
            <w:pPr>
              <w:spacing w:line="360" w:lineRule="auto"/>
              <w:rPr>
                <w:rFonts w:ascii="宋体" w:hAnsi="宋体"/>
                <w:color w:val="auto"/>
                <w:sz w:val="24"/>
                <w:highlight w:val="none"/>
              </w:rPr>
            </w:pPr>
          </w:p>
        </w:tc>
      </w:tr>
      <w:tr w14:paraId="0A8E8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3" w:type="dxa"/>
            <w:vMerge w:val="continue"/>
          </w:tcPr>
          <w:p w14:paraId="278CBADE">
            <w:pPr>
              <w:spacing w:line="360" w:lineRule="auto"/>
              <w:rPr>
                <w:rFonts w:ascii="宋体" w:hAnsi="宋体"/>
                <w:color w:val="auto"/>
                <w:sz w:val="24"/>
                <w:highlight w:val="none"/>
              </w:rPr>
            </w:pPr>
          </w:p>
        </w:tc>
        <w:tc>
          <w:tcPr>
            <w:tcW w:w="3533" w:type="dxa"/>
          </w:tcPr>
          <w:p w14:paraId="2C317920">
            <w:pPr>
              <w:spacing w:line="360" w:lineRule="auto"/>
              <w:jc w:val="left"/>
              <w:rPr>
                <w:rFonts w:ascii="宋体" w:hAnsi="宋体"/>
                <w:color w:val="auto"/>
                <w:sz w:val="24"/>
                <w:highlight w:val="none"/>
              </w:rPr>
            </w:pPr>
          </w:p>
        </w:tc>
        <w:tc>
          <w:tcPr>
            <w:tcW w:w="2268" w:type="dxa"/>
          </w:tcPr>
          <w:p w14:paraId="75D2A520">
            <w:pPr>
              <w:spacing w:line="360" w:lineRule="auto"/>
              <w:rPr>
                <w:rFonts w:ascii="宋体" w:hAnsi="宋体"/>
                <w:color w:val="auto"/>
                <w:sz w:val="24"/>
                <w:highlight w:val="none"/>
              </w:rPr>
            </w:pPr>
          </w:p>
        </w:tc>
        <w:tc>
          <w:tcPr>
            <w:tcW w:w="1276" w:type="dxa"/>
          </w:tcPr>
          <w:p w14:paraId="405F5E64">
            <w:pPr>
              <w:spacing w:line="360" w:lineRule="auto"/>
              <w:rPr>
                <w:rFonts w:ascii="宋体" w:hAnsi="宋体"/>
                <w:color w:val="auto"/>
                <w:sz w:val="24"/>
                <w:highlight w:val="none"/>
              </w:rPr>
            </w:pPr>
          </w:p>
        </w:tc>
        <w:tc>
          <w:tcPr>
            <w:tcW w:w="1701" w:type="dxa"/>
          </w:tcPr>
          <w:p w14:paraId="39090C30">
            <w:pPr>
              <w:spacing w:line="360" w:lineRule="auto"/>
              <w:rPr>
                <w:rFonts w:ascii="宋体" w:hAnsi="宋体"/>
                <w:color w:val="auto"/>
                <w:sz w:val="24"/>
                <w:highlight w:val="none"/>
              </w:rPr>
            </w:pPr>
          </w:p>
        </w:tc>
      </w:tr>
      <w:tr w14:paraId="4EB76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3" w:type="dxa"/>
            <w:vMerge w:val="continue"/>
          </w:tcPr>
          <w:p w14:paraId="78229852">
            <w:pPr>
              <w:spacing w:line="360" w:lineRule="auto"/>
              <w:rPr>
                <w:rFonts w:ascii="宋体" w:hAnsi="宋体"/>
                <w:color w:val="auto"/>
                <w:sz w:val="24"/>
                <w:highlight w:val="none"/>
              </w:rPr>
            </w:pPr>
          </w:p>
        </w:tc>
        <w:tc>
          <w:tcPr>
            <w:tcW w:w="3533" w:type="dxa"/>
          </w:tcPr>
          <w:p w14:paraId="79D0EEA2">
            <w:pPr>
              <w:spacing w:line="360" w:lineRule="auto"/>
              <w:jc w:val="left"/>
              <w:rPr>
                <w:rFonts w:ascii="宋体" w:hAnsi="宋体"/>
                <w:color w:val="auto"/>
                <w:sz w:val="24"/>
                <w:highlight w:val="none"/>
              </w:rPr>
            </w:pPr>
          </w:p>
        </w:tc>
        <w:tc>
          <w:tcPr>
            <w:tcW w:w="2268" w:type="dxa"/>
          </w:tcPr>
          <w:p w14:paraId="10A7D704">
            <w:pPr>
              <w:spacing w:line="360" w:lineRule="auto"/>
              <w:rPr>
                <w:rFonts w:ascii="宋体" w:hAnsi="宋体"/>
                <w:color w:val="auto"/>
                <w:sz w:val="24"/>
                <w:highlight w:val="none"/>
              </w:rPr>
            </w:pPr>
          </w:p>
        </w:tc>
        <w:tc>
          <w:tcPr>
            <w:tcW w:w="1276" w:type="dxa"/>
          </w:tcPr>
          <w:p w14:paraId="5900800E">
            <w:pPr>
              <w:spacing w:line="360" w:lineRule="auto"/>
              <w:rPr>
                <w:rFonts w:ascii="宋体" w:hAnsi="宋体"/>
                <w:color w:val="auto"/>
                <w:sz w:val="24"/>
                <w:highlight w:val="none"/>
              </w:rPr>
            </w:pPr>
          </w:p>
        </w:tc>
        <w:tc>
          <w:tcPr>
            <w:tcW w:w="1701" w:type="dxa"/>
          </w:tcPr>
          <w:p w14:paraId="7B6E0D07">
            <w:pPr>
              <w:spacing w:line="360" w:lineRule="auto"/>
              <w:rPr>
                <w:rFonts w:ascii="宋体" w:hAnsi="宋体"/>
                <w:color w:val="auto"/>
                <w:sz w:val="24"/>
                <w:highlight w:val="none"/>
              </w:rPr>
            </w:pPr>
          </w:p>
        </w:tc>
      </w:tr>
      <w:tr w14:paraId="580A1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3" w:type="dxa"/>
            <w:vMerge w:val="continue"/>
          </w:tcPr>
          <w:p w14:paraId="7202DBE7">
            <w:pPr>
              <w:spacing w:line="360" w:lineRule="auto"/>
              <w:rPr>
                <w:rFonts w:ascii="宋体" w:hAnsi="宋体"/>
                <w:color w:val="auto"/>
                <w:sz w:val="24"/>
                <w:highlight w:val="none"/>
              </w:rPr>
            </w:pPr>
          </w:p>
        </w:tc>
        <w:tc>
          <w:tcPr>
            <w:tcW w:w="3533" w:type="dxa"/>
          </w:tcPr>
          <w:p w14:paraId="495E1707">
            <w:pPr>
              <w:spacing w:line="360" w:lineRule="auto"/>
              <w:jc w:val="left"/>
              <w:rPr>
                <w:rFonts w:ascii="宋体" w:hAnsi="宋体"/>
                <w:color w:val="auto"/>
                <w:sz w:val="24"/>
                <w:highlight w:val="none"/>
              </w:rPr>
            </w:pPr>
          </w:p>
        </w:tc>
        <w:tc>
          <w:tcPr>
            <w:tcW w:w="2268" w:type="dxa"/>
          </w:tcPr>
          <w:p w14:paraId="195A54F8">
            <w:pPr>
              <w:spacing w:line="360" w:lineRule="auto"/>
              <w:rPr>
                <w:rFonts w:ascii="宋体" w:hAnsi="宋体"/>
                <w:color w:val="auto"/>
                <w:sz w:val="24"/>
                <w:highlight w:val="none"/>
              </w:rPr>
            </w:pPr>
          </w:p>
        </w:tc>
        <w:tc>
          <w:tcPr>
            <w:tcW w:w="1276" w:type="dxa"/>
          </w:tcPr>
          <w:p w14:paraId="1524B558">
            <w:pPr>
              <w:spacing w:line="360" w:lineRule="auto"/>
              <w:rPr>
                <w:rFonts w:ascii="宋体" w:hAnsi="宋体"/>
                <w:color w:val="auto"/>
                <w:sz w:val="24"/>
                <w:highlight w:val="none"/>
              </w:rPr>
            </w:pPr>
          </w:p>
        </w:tc>
        <w:tc>
          <w:tcPr>
            <w:tcW w:w="1701" w:type="dxa"/>
          </w:tcPr>
          <w:p w14:paraId="3FC8007F">
            <w:pPr>
              <w:spacing w:line="360" w:lineRule="auto"/>
              <w:rPr>
                <w:rFonts w:ascii="宋体" w:hAnsi="宋体"/>
                <w:color w:val="auto"/>
                <w:sz w:val="24"/>
                <w:highlight w:val="none"/>
              </w:rPr>
            </w:pPr>
          </w:p>
        </w:tc>
      </w:tr>
      <w:tr w14:paraId="185B9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3" w:type="dxa"/>
            <w:vMerge w:val="continue"/>
          </w:tcPr>
          <w:p w14:paraId="78747A9D">
            <w:pPr>
              <w:spacing w:line="360" w:lineRule="auto"/>
              <w:rPr>
                <w:rFonts w:ascii="宋体" w:hAnsi="宋体"/>
                <w:color w:val="auto"/>
                <w:sz w:val="24"/>
                <w:highlight w:val="none"/>
              </w:rPr>
            </w:pPr>
          </w:p>
        </w:tc>
        <w:tc>
          <w:tcPr>
            <w:tcW w:w="3533" w:type="dxa"/>
          </w:tcPr>
          <w:p w14:paraId="7BD66A29">
            <w:pPr>
              <w:spacing w:line="360" w:lineRule="auto"/>
              <w:jc w:val="left"/>
              <w:rPr>
                <w:rFonts w:ascii="宋体" w:hAnsi="宋体"/>
                <w:color w:val="auto"/>
                <w:sz w:val="24"/>
                <w:highlight w:val="none"/>
              </w:rPr>
            </w:pPr>
          </w:p>
        </w:tc>
        <w:tc>
          <w:tcPr>
            <w:tcW w:w="2268" w:type="dxa"/>
          </w:tcPr>
          <w:p w14:paraId="68894370">
            <w:pPr>
              <w:spacing w:line="360" w:lineRule="auto"/>
              <w:rPr>
                <w:rFonts w:ascii="宋体" w:hAnsi="宋体"/>
                <w:color w:val="auto"/>
                <w:sz w:val="24"/>
                <w:highlight w:val="none"/>
              </w:rPr>
            </w:pPr>
          </w:p>
        </w:tc>
        <w:tc>
          <w:tcPr>
            <w:tcW w:w="1276" w:type="dxa"/>
          </w:tcPr>
          <w:p w14:paraId="14CD09F4">
            <w:pPr>
              <w:spacing w:line="360" w:lineRule="auto"/>
              <w:rPr>
                <w:rFonts w:ascii="宋体" w:hAnsi="宋体"/>
                <w:color w:val="auto"/>
                <w:sz w:val="24"/>
                <w:highlight w:val="none"/>
              </w:rPr>
            </w:pPr>
          </w:p>
        </w:tc>
        <w:tc>
          <w:tcPr>
            <w:tcW w:w="1701" w:type="dxa"/>
          </w:tcPr>
          <w:p w14:paraId="53276B58">
            <w:pPr>
              <w:spacing w:line="360" w:lineRule="auto"/>
              <w:rPr>
                <w:rFonts w:ascii="宋体" w:hAnsi="宋体"/>
                <w:color w:val="auto"/>
                <w:sz w:val="24"/>
                <w:highlight w:val="none"/>
              </w:rPr>
            </w:pPr>
          </w:p>
        </w:tc>
      </w:tr>
      <w:tr w14:paraId="75063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23" w:type="dxa"/>
            <w:vMerge w:val="continue"/>
          </w:tcPr>
          <w:p w14:paraId="2C379E5D">
            <w:pPr>
              <w:spacing w:line="360" w:lineRule="auto"/>
              <w:rPr>
                <w:rFonts w:ascii="宋体" w:hAnsi="宋体"/>
                <w:color w:val="auto"/>
                <w:sz w:val="24"/>
                <w:highlight w:val="none"/>
              </w:rPr>
            </w:pPr>
          </w:p>
        </w:tc>
        <w:tc>
          <w:tcPr>
            <w:tcW w:w="3533" w:type="dxa"/>
          </w:tcPr>
          <w:p w14:paraId="0DE539D7">
            <w:pPr>
              <w:spacing w:line="360" w:lineRule="auto"/>
              <w:jc w:val="left"/>
              <w:rPr>
                <w:rFonts w:ascii="宋体" w:hAnsi="宋体"/>
                <w:color w:val="auto"/>
                <w:sz w:val="24"/>
                <w:highlight w:val="none"/>
              </w:rPr>
            </w:pPr>
          </w:p>
        </w:tc>
        <w:tc>
          <w:tcPr>
            <w:tcW w:w="2268" w:type="dxa"/>
          </w:tcPr>
          <w:p w14:paraId="3C99F81B">
            <w:pPr>
              <w:spacing w:line="360" w:lineRule="auto"/>
              <w:rPr>
                <w:rFonts w:ascii="宋体" w:hAnsi="宋体"/>
                <w:color w:val="auto"/>
                <w:sz w:val="24"/>
                <w:highlight w:val="none"/>
              </w:rPr>
            </w:pPr>
          </w:p>
        </w:tc>
        <w:tc>
          <w:tcPr>
            <w:tcW w:w="1276" w:type="dxa"/>
          </w:tcPr>
          <w:p w14:paraId="2FB517AE">
            <w:pPr>
              <w:spacing w:line="360" w:lineRule="auto"/>
              <w:rPr>
                <w:rFonts w:ascii="宋体" w:hAnsi="宋体"/>
                <w:color w:val="auto"/>
                <w:sz w:val="24"/>
                <w:highlight w:val="none"/>
              </w:rPr>
            </w:pPr>
          </w:p>
        </w:tc>
        <w:tc>
          <w:tcPr>
            <w:tcW w:w="1701" w:type="dxa"/>
          </w:tcPr>
          <w:p w14:paraId="35F34549">
            <w:pPr>
              <w:spacing w:line="360" w:lineRule="auto"/>
              <w:rPr>
                <w:rFonts w:ascii="宋体" w:hAnsi="宋体"/>
                <w:color w:val="auto"/>
                <w:sz w:val="24"/>
                <w:highlight w:val="none"/>
              </w:rPr>
            </w:pPr>
          </w:p>
        </w:tc>
      </w:tr>
      <w:tr w14:paraId="4DD72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6" w:hRule="atLeast"/>
        </w:trPr>
        <w:tc>
          <w:tcPr>
            <w:tcW w:w="1023" w:type="dxa"/>
            <w:vMerge w:val="restart"/>
            <w:vAlign w:val="center"/>
          </w:tcPr>
          <w:p w14:paraId="7EB7E047">
            <w:pPr>
              <w:spacing w:line="360" w:lineRule="auto"/>
              <w:jc w:val="center"/>
              <w:rPr>
                <w:rFonts w:ascii="宋体" w:hAnsi="宋体"/>
                <w:color w:val="auto"/>
                <w:sz w:val="24"/>
                <w:highlight w:val="none"/>
              </w:rPr>
            </w:pPr>
            <w:r>
              <w:rPr>
                <w:rFonts w:hint="eastAsia" w:ascii="宋体" w:hAnsi="宋体"/>
                <w:color w:val="auto"/>
                <w:sz w:val="24"/>
                <w:highlight w:val="none"/>
              </w:rPr>
              <w:t>商务、资信及其他</w:t>
            </w:r>
          </w:p>
          <w:p w14:paraId="65974B4E">
            <w:pPr>
              <w:spacing w:line="360" w:lineRule="auto"/>
              <w:jc w:val="center"/>
              <w:rPr>
                <w:rFonts w:ascii="宋体" w:hAnsi="宋体"/>
                <w:color w:val="auto"/>
                <w:sz w:val="24"/>
                <w:highlight w:val="none"/>
              </w:rPr>
            </w:pPr>
            <w:r>
              <w:rPr>
                <w:rFonts w:hint="eastAsia" w:ascii="宋体" w:hAnsi="宋体"/>
                <w:color w:val="auto"/>
                <w:sz w:val="24"/>
                <w:highlight w:val="none"/>
              </w:rPr>
              <w:t>28分</w:t>
            </w:r>
          </w:p>
        </w:tc>
        <w:tc>
          <w:tcPr>
            <w:tcW w:w="3533" w:type="dxa"/>
          </w:tcPr>
          <w:p w14:paraId="094C29A3">
            <w:pPr>
              <w:spacing w:line="360" w:lineRule="auto"/>
              <w:jc w:val="left"/>
              <w:rPr>
                <w:rFonts w:ascii="宋体" w:hAnsi="宋体"/>
                <w:color w:val="auto"/>
                <w:sz w:val="24"/>
                <w:highlight w:val="none"/>
              </w:rPr>
            </w:pPr>
          </w:p>
        </w:tc>
        <w:tc>
          <w:tcPr>
            <w:tcW w:w="2268" w:type="dxa"/>
          </w:tcPr>
          <w:p w14:paraId="65F205DC">
            <w:pPr>
              <w:spacing w:line="360" w:lineRule="auto"/>
              <w:rPr>
                <w:rFonts w:ascii="宋体" w:hAnsi="宋体"/>
                <w:color w:val="auto"/>
                <w:sz w:val="24"/>
                <w:highlight w:val="none"/>
              </w:rPr>
            </w:pPr>
          </w:p>
        </w:tc>
        <w:tc>
          <w:tcPr>
            <w:tcW w:w="1276" w:type="dxa"/>
          </w:tcPr>
          <w:p w14:paraId="4B6F104E">
            <w:pPr>
              <w:spacing w:line="360" w:lineRule="auto"/>
              <w:rPr>
                <w:rFonts w:ascii="宋体" w:hAnsi="宋体"/>
                <w:color w:val="auto"/>
                <w:sz w:val="24"/>
                <w:highlight w:val="none"/>
              </w:rPr>
            </w:pPr>
          </w:p>
        </w:tc>
        <w:tc>
          <w:tcPr>
            <w:tcW w:w="1701" w:type="dxa"/>
          </w:tcPr>
          <w:p w14:paraId="4B2C32A5">
            <w:pPr>
              <w:spacing w:line="360" w:lineRule="auto"/>
              <w:rPr>
                <w:rFonts w:ascii="宋体" w:hAnsi="宋体"/>
                <w:color w:val="auto"/>
                <w:sz w:val="24"/>
                <w:highlight w:val="none"/>
              </w:rPr>
            </w:pPr>
          </w:p>
        </w:tc>
      </w:tr>
      <w:tr w14:paraId="35317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6" w:hRule="atLeast"/>
        </w:trPr>
        <w:tc>
          <w:tcPr>
            <w:tcW w:w="1023" w:type="dxa"/>
            <w:vMerge w:val="continue"/>
            <w:vAlign w:val="center"/>
          </w:tcPr>
          <w:p w14:paraId="2DB4E4A6">
            <w:pPr>
              <w:spacing w:line="360" w:lineRule="auto"/>
              <w:jc w:val="center"/>
              <w:rPr>
                <w:rFonts w:ascii="宋体" w:hAnsi="宋体"/>
                <w:color w:val="auto"/>
                <w:sz w:val="24"/>
                <w:highlight w:val="none"/>
              </w:rPr>
            </w:pPr>
          </w:p>
        </w:tc>
        <w:tc>
          <w:tcPr>
            <w:tcW w:w="3533" w:type="dxa"/>
          </w:tcPr>
          <w:p w14:paraId="45C43B18">
            <w:pPr>
              <w:spacing w:line="360" w:lineRule="auto"/>
              <w:jc w:val="left"/>
              <w:rPr>
                <w:rFonts w:ascii="宋体" w:hAnsi="宋体"/>
                <w:color w:val="auto"/>
                <w:sz w:val="24"/>
                <w:highlight w:val="none"/>
              </w:rPr>
            </w:pPr>
          </w:p>
        </w:tc>
        <w:tc>
          <w:tcPr>
            <w:tcW w:w="2268" w:type="dxa"/>
          </w:tcPr>
          <w:p w14:paraId="0373F6BB">
            <w:pPr>
              <w:spacing w:line="360" w:lineRule="auto"/>
              <w:rPr>
                <w:rFonts w:ascii="宋体" w:hAnsi="宋体"/>
                <w:color w:val="auto"/>
                <w:sz w:val="24"/>
                <w:highlight w:val="none"/>
              </w:rPr>
            </w:pPr>
          </w:p>
        </w:tc>
        <w:tc>
          <w:tcPr>
            <w:tcW w:w="1276" w:type="dxa"/>
          </w:tcPr>
          <w:p w14:paraId="4F0479C1">
            <w:pPr>
              <w:spacing w:line="360" w:lineRule="auto"/>
              <w:rPr>
                <w:rFonts w:ascii="宋体" w:hAnsi="宋体"/>
                <w:color w:val="auto"/>
                <w:sz w:val="24"/>
                <w:highlight w:val="none"/>
              </w:rPr>
            </w:pPr>
          </w:p>
        </w:tc>
        <w:tc>
          <w:tcPr>
            <w:tcW w:w="1701" w:type="dxa"/>
          </w:tcPr>
          <w:p w14:paraId="3071E5F5">
            <w:pPr>
              <w:spacing w:line="360" w:lineRule="auto"/>
              <w:rPr>
                <w:rFonts w:ascii="宋体" w:hAnsi="宋体"/>
                <w:color w:val="auto"/>
                <w:sz w:val="24"/>
                <w:highlight w:val="none"/>
              </w:rPr>
            </w:pPr>
          </w:p>
        </w:tc>
      </w:tr>
      <w:tr w14:paraId="29B49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6" w:hRule="atLeast"/>
        </w:trPr>
        <w:tc>
          <w:tcPr>
            <w:tcW w:w="1023" w:type="dxa"/>
            <w:vMerge w:val="continue"/>
            <w:vAlign w:val="center"/>
          </w:tcPr>
          <w:p w14:paraId="13433259">
            <w:pPr>
              <w:spacing w:line="360" w:lineRule="auto"/>
              <w:jc w:val="center"/>
              <w:rPr>
                <w:rFonts w:ascii="宋体" w:hAnsi="宋体"/>
                <w:color w:val="auto"/>
                <w:sz w:val="24"/>
                <w:highlight w:val="none"/>
              </w:rPr>
            </w:pPr>
          </w:p>
        </w:tc>
        <w:tc>
          <w:tcPr>
            <w:tcW w:w="3533" w:type="dxa"/>
          </w:tcPr>
          <w:p w14:paraId="36EA22DE">
            <w:pPr>
              <w:spacing w:line="360" w:lineRule="auto"/>
              <w:jc w:val="left"/>
              <w:rPr>
                <w:rFonts w:ascii="宋体" w:hAnsi="宋体"/>
                <w:color w:val="auto"/>
                <w:sz w:val="24"/>
                <w:highlight w:val="none"/>
              </w:rPr>
            </w:pPr>
          </w:p>
        </w:tc>
        <w:tc>
          <w:tcPr>
            <w:tcW w:w="2268" w:type="dxa"/>
          </w:tcPr>
          <w:p w14:paraId="0C48D1A0">
            <w:pPr>
              <w:spacing w:line="360" w:lineRule="auto"/>
              <w:rPr>
                <w:rFonts w:ascii="宋体" w:hAnsi="宋体"/>
                <w:color w:val="auto"/>
                <w:sz w:val="24"/>
                <w:highlight w:val="none"/>
              </w:rPr>
            </w:pPr>
          </w:p>
        </w:tc>
        <w:tc>
          <w:tcPr>
            <w:tcW w:w="1276" w:type="dxa"/>
          </w:tcPr>
          <w:p w14:paraId="4A65184A">
            <w:pPr>
              <w:spacing w:line="360" w:lineRule="auto"/>
              <w:rPr>
                <w:rFonts w:ascii="宋体" w:hAnsi="宋体"/>
                <w:color w:val="auto"/>
                <w:sz w:val="24"/>
                <w:highlight w:val="none"/>
              </w:rPr>
            </w:pPr>
          </w:p>
        </w:tc>
        <w:tc>
          <w:tcPr>
            <w:tcW w:w="1701" w:type="dxa"/>
          </w:tcPr>
          <w:p w14:paraId="7959234C">
            <w:pPr>
              <w:spacing w:line="360" w:lineRule="auto"/>
              <w:rPr>
                <w:rFonts w:ascii="宋体" w:hAnsi="宋体"/>
                <w:color w:val="auto"/>
                <w:sz w:val="24"/>
                <w:highlight w:val="none"/>
              </w:rPr>
            </w:pPr>
          </w:p>
        </w:tc>
      </w:tr>
      <w:tr w14:paraId="2A5F2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6" w:hRule="atLeast"/>
        </w:trPr>
        <w:tc>
          <w:tcPr>
            <w:tcW w:w="1023" w:type="dxa"/>
            <w:vMerge w:val="continue"/>
            <w:vAlign w:val="center"/>
          </w:tcPr>
          <w:p w14:paraId="68D5DE78">
            <w:pPr>
              <w:spacing w:line="360" w:lineRule="auto"/>
              <w:jc w:val="center"/>
              <w:rPr>
                <w:rFonts w:ascii="宋体" w:hAnsi="宋体"/>
                <w:color w:val="auto"/>
                <w:sz w:val="24"/>
                <w:highlight w:val="none"/>
              </w:rPr>
            </w:pPr>
          </w:p>
        </w:tc>
        <w:tc>
          <w:tcPr>
            <w:tcW w:w="3533" w:type="dxa"/>
          </w:tcPr>
          <w:p w14:paraId="54A95428">
            <w:pPr>
              <w:spacing w:line="360" w:lineRule="auto"/>
              <w:jc w:val="left"/>
              <w:rPr>
                <w:rFonts w:ascii="宋体" w:hAnsi="宋体"/>
                <w:color w:val="auto"/>
                <w:sz w:val="24"/>
                <w:highlight w:val="none"/>
              </w:rPr>
            </w:pPr>
          </w:p>
        </w:tc>
        <w:tc>
          <w:tcPr>
            <w:tcW w:w="2268" w:type="dxa"/>
          </w:tcPr>
          <w:p w14:paraId="569BFE59">
            <w:pPr>
              <w:spacing w:line="360" w:lineRule="auto"/>
              <w:rPr>
                <w:rFonts w:ascii="宋体" w:hAnsi="宋体"/>
                <w:color w:val="auto"/>
                <w:sz w:val="24"/>
                <w:highlight w:val="none"/>
              </w:rPr>
            </w:pPr>
          </w:p>
        </w:tc>
        <w:tc>
          <w:tcPr>
            <w:tcW w:w="1276" w:type="dxa"/>
          </w:tcPr>
          <w:p w14:paraId="43FB18CA">
            <w:pPr>
              <w:spacing w:line="360" w:lineRule="auto"/>
              <w:rPr>
                <w:rFonts w:ascii="宋体" w:hAnsi="宋体"/>
                <w:color w:val="auto"/>
                <w:sz w:val="24"/>
                <w:highlight w:val="none"/>
              </w:rPr>
            </w:pPr>
          </w:p>
        </w:tc>
        <w:tc>
          <w:tcPr>
            <w:tcW w:w="1701" w:type="dxa"/>
          </w:tcPr>
          <w:p w14:paraId="11843C6B">
            <w:pPr>
              <w:spacing w:line="360" w:lineRule="auto"/>
              <w:rPr>
                <w:rFonts w:ascii="宋体" w:hAnsi="宋体"/>
                <w:color w:val="auto"/>
                <w:sz w:val="24"/>
                <w:highlight w:val="none"/>
              </w:rPr>
            </w:pPr>
          </w:p>
        </w:tc>
      </w:tr>
      <w:tr w14:paraId="0C4D7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1023" w:type="dxa"/>
            <w:vMerge w:val="continue"/>
          </w:tcPr>
          <w:p w14:paraId="5F3835C7">
            <w:pPr>
              <w:spacing w:line="360" w:lineRule="auto"/>
              <w:rPr>
                <w:rFonts w:ascii="宋体" w:hAnsi="宋体"/>
                <w:color w:val="auto"/>
                <w:sz w:val="24"/>
                <w:highlight w:val="none"/>
              </w:rPr>
            </w:pPr>
          </w:p>
        </w:tc>
        <w:tc>
          <w:tcPr>
            <w:tcW w:w="3533" w:type="dxa"/>
          </w:tcPr>
          <w:p w14:paraId="72588A5B">
            <w:pPr>
              <w:spacing w:line="360" w:lineRule="auto"/>
              <w:jc w:val="left"/>
              <w:rPr>
                <w:rFonts w:ascii="宋体" w:hAnsi="宋体"/>
                <w:color w:val="auto"/>
                <w:sz w:val="24"/>
                <w:highlight w:val="none"/>
              </w:rPr>
            </w:pPr>
          </w:p>
        </w:tc>
        <w:tc>
          <w:tcPr>
            <w:tcW w:w="2268" w:type="dxa"/>
          </w:tcPr>
          <w:p w14:paraId="6CBA73E1">
            <w:pPr>
              <w:spacing w:line="360" w:lineRule="auto"/>
              <w:rPr>
                <w:rFonts w:ascii="宋体" w:hAnsi="宋体"/>
                <w:color w:val="auto"/>
                <w:sz w:val="24"/>
                <w:highlight w:val="none"/>
              </w:rPr>
            </w:pPr>
          </w:p>
        </w:tc>
        <w:tc>
          <w:tcPr>
            <w:tcW w:w="1276" w:type="dxa"/>
          </w:tcPr>
          <w:p w14:paraId="17847175">
            <w:pPr>
              <w:spacing w:line="360" w:lineRule="auto"/>
              <w:rPr>
                <w:rFonts w:ascii="宋体" w:hAnsi="宋体"/>
                <w:color w:val="auto"/>
                <w:sz w:val="24"/>
                <w:highlight w:val="none"/>
              </w:rPr>
            </w:pPr>
          </w:p>
        </w:tc>
        <w:tc>
          <w:tcPr>
            <w:tcW w:w="1701" w:type="dxa"/>
          </w:tcPr>
          <w:p w14:paraId="198A80DD">
            <w:pPr>
              <w:spacing w:line="360" w:lineRule="auto"/>
              <w:rPr>
                <w:rFonts w:ascii="宋体" w:hAnsi="宋体"/>
                <w:color w:val="auto"/>
                <w:sz w:val="24"/>
                <w:highlight w:val="none"/>
              </w:rPr>
            </w:pPr>
          </w:p>
        </w:tc>
      </w:tr>
      <w:tr w14:paraId="70EA4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4556" w:type="dxa"/>
            <w:gridSpan w:val="2"/>
            <w:vAlign w:val="center"/>
          </w:tcPr>
          <w:p w14:paraId="7EBF9B37">
            <w:pPr>
              <w:spacing w:line="360" w:lineRule="auto"/>
              <w:jc w:val="center"/>
              <w:rPr>
                <w:rFonts w:ascii="宋体" w:hAnsi="宋体"/>
                <w:color w:val="auto"/>
                <w:sz w:val="24"/>
                <w:highlight w:val="none"/>
              </w:rPr>
            </w:pPr>
            <w:r>
              <w:rPr>
                <w:rFonts w:hint="eastAsia" w:ascii="宋体" w:hAnsi="宋体"/>
                <w:color w:val="auto"/>
                <w:sz w:val="24"/>
                <w:highlight w:val="none"/>
              </w:rPr>
              <w:t>总分</w:t>
            </w:r>
          </w:p>
        </w:tc>
        <w:tc>
          <w:tcPr>
            <w:tcW w:w="2268" w:type="dxa"/>
          </w:tcPr>
          <w:p w14:paraId="3DC64B82">
            <w:pPr>
              <w:spacing w:line="360" w:lineRule="auto"/>
              <w:rPr>
                <w:rFonts w:ascii="宋体" w:hAnsi="宋体"/>
                <w:color w:val="auto"/>
                <w:sz w:val="24"/>
                <w:highlight w:val="none"/>
              </w:rPr>
            </w:pPr>
          </w:p>
        </w:tc>
        <w:tc>
          <w:tcPr>
            <w:tcW w:w="2977" w:type="dxa"/>
            <w:gridSpan w:val="2"/>
          </w:tcPr>
          <w:p w14:paraId="020295E8">
            <w:pPr>
              <w:spacing w:line="360" w:lineRule="auto"/>
              <w:rPr>
                <w:rFonts w:ascii="宋体" w:hAnsi="宋体"/>
                <w:color w:val="auto"/>
                <w:sz w:val="24"/>
                <w:highlight w:val="none"/>
              </w:rPr>
            </w:pPr>
          </w:p>
        </w:tc>
      </w:tr>
    </w:tbl>
    <w:p w14:paraId="217DB473">
      <w:pPr>
        <w:pStyle w:val="12"/>
        <w:spacing w:line="360" w:lineRule="auto"/>
        <w:ind w:firstLine="258" w:firstLineChars="129"/>
        <w:rPr>
          <w:color w:val="auto"/>
          <w:highlight w:val="none"/>
        </w:rPr>
      </w:pPr>
    </w:p>
    <w:p w14:paraId="42B5E89D">
      <w:pPr>
        <w:snapToGrid w:val="0"/>
        <w:spacing w:line="360" w:lineRule="auto"/>
        <w:jc w:val="center"/>
        <w:rPr>
          <w:rFonts w:ascii="宋体" w:hAnsi="宋体"/>
          <w:color w:val="auto"/>
          <w:sz w:val="30"/>
          <w:szCs w:val="20"/>
          <w:highlight w:val="none"/>
        </w:rPr>
      </w:pPr>
      <w:r>
        <w:rPr>
          <w:rFonts w:hint="eastAsia" w:ascii="宋体" w:hAnsi="宋体"/>
          <w:color w:val="auto"/>
          <w:sz w:val="24"/>
          <w:highlight w:val="none"/>
        </w:rPr>
        <w:t>三、报价文件格式</w:t>
      </w:r>
    </w:p>
    <w:p w14:paraId="3F4BCB13">
      <w:pPr>
        <w:snapToGrid w:val="0"/>
        <w:spacing w:line="360" w:lineRule="auto"/>
        <w:rPr>
          <w:rFonts w:ascii="宋体" w:hAnsi="宋体"/>
          <w:color w:val="auto"/>
          <w:sz w:val="24"/>
          <w:szCs w:val="20"/>
          <w:highlight w:val="none"/>
        </w:rPr>
      </w:pPr>
      <w:r>
        <w:rPr>
          <w:rFonts w:hint="eastAsia" w:ascii="宋体" w:hAnsi="宋体"/>
          <w:color w:val="auto"/>
          <w:sz w:val="24"/>
          <w:highlight w:val="none"/>
        </w:rPr>
        <w:t>35.报价文件封面格式：</w:t>
      </w:r>
    </w:p>
    <w:p w14:paraId="0D7229C9">
      <w:pPr>
        <w:snapToGrid w:val="0"/>
        <w:spacing w:line="360" w:lineRule="auto"/>
        <w:rPr>
          <w:rFonts w:ascii="宋体" w:hAnsi="宋体"/>
          <w:color w:val="auto"/>
          <w:sz w:val="24"/>
          <w:szCs w:val="20"/>
          <w:highlight w:val="none"/>
        </w:rPr>
      </w:pPr>
    </w:p>
    <w:p w14:paraId="20D20547">
      <w:pPr>
        <w:snapToGrid w:val="0"/>
        <w:spacing w:line="360" w:lineRule="auto"/>
        <w:jc w:val="center"/>
        <w:rPr>
          <w:rFonts w:ascii="宋体" w:hAnsi="宋体"/>
          <w:bCs/>
          <w:color w:val="auto"/>
          <w:sz w:val="24"/>
          <w:szCs w:val="20"/>
          <w:highlight w:val="none"/>
        </w:rPr>
      </w:pPr>
    </w:p>
    <w:p w14:paraId="33889B81">
      <w:pPr>
        <w:snapToGrid w:val="0"/>
        <w:spacing w:line="360" w:lineRule="auto"/>
        <w:jc w:val="center"/>
        <w:rPr>
          <w:rFonts w:ascii="宋体" w:hAnsi="宋体"/>
          <w:bCs/>
          <w:color w:val="auto"/>
          <w:sz w:val="24"/>
          <w:szCs w:val="20"/>
          <w:highlight w:val="none"/>
        </w:rPr>
      </w:pPr>
      <w:r>
        <w:rPr>
          <w:rFonts w:hint="eastAsia" w:ascii="宋体" w:hAnsi="宋体"/>
          <w:bCs/>
          <w:color w:val="auto"/>
          <w:sz w:val="24"/>
          <w:highlight w:val="none"/>
        </w:rPr>
        <w:t>报价文件</w:t>
      </w:r>
    </w:p>
    <w:p w14:paraId="40DA1AF4">
      <w:pPr>
        <w:snapToGrid w:val="0"/>
        <w:spacing w:line="360" w:lineRule="auto"/>
        <w:rPr>
          <w:rFonts w:ascii="宋体" w:hAnsi="宋体"/>
          <w:bCs/>
          <w:color w:val="auto"/>
          <w:sz w:val="24"/>
          <w:szCs w:val="20"/>
          <w:highlight w:val="none"/>
        </w:rPr>
      </w:pPr>
    </w:p>
    <w:p w14:paraId="60789B41">
      <w:pPr>
        <w:snapToGrid w:val="0"/>
        <w:spacing w:line="360" w:lineRule="auto"/>
        <w:ind w:firstLine="960" w:firstLineChars="400"/>
        <w:rPr>
          <w:rFonts w:hint="eastAsia" w:ascii="宋体" w:hAnsi="宋体" w:eastAsia="宋体"/>
          <w:bCs/>
          <w:color w:val="auto"/>
          <w:sz w:val="24"/>
          <w:highlight w:val="none"/>
          <w:lang w:eastAsia="zh-CN"/>
        </w:rPr>
      </w:pPr>
      <w:r>
        <w:rPr>
          <w:rFonts w:hint="eastAsia" w:ascii="宋体" w:hAnsi="宋体"/>
          <w:bCs/>
          <w:color w:val="auto"/>
          <w:sz w:val="24"/>
          <w:highlight w:val="none"/>
        </w:rPr>
        <w:t>项目名称：</w:t>
      </w:r>
      <w:r>
        <w:rPr>
          <w:rFonts w:hint="eastAsia" w:ascii="宋体" w:hAnsi="宋体"/>
          <w:color w:val="auto"/>
          <w:spacing w:val="-20"/>
          <w:sz w:val="24"/>
          <w:highlight w:val="none"/>
          <w:lang w:eastAsia="zh-CN"/>
        </w:rPr>
        <w:t>湖州市中心医院安防服务招标项目</w:t>
      </w:r>
    </w:p>
    <w:p w14:paraId="5E409A00">
      <w:pPr>
        <w:snapToGrid w:val="0"/>
        <w:spacing w:line="360" w:lineRule="auto"/>
        <w:ind w:firstLine="1080" w:firstLineChars="450"/>
        <w:jc w:val="left"/>
        <w:rPr>
          <w:rFonts w:hint="eastAsia" w:ascii="宋体" w:hAnsi="宋体" w:eastAsia="宋体"/>
          <w:color w:val="auto"/>
          <w:sz w:val="24"/>
          <w:highlight w:val="none"/>
          <w:lang w:eastAsia="zh-CN"/>
        </w:rPr>
      </w:pPr>
      <w:r>
        <w:rPr>
          <w:rFonts w:hint="eastAsia" w:ascii="宋体" w:hAnsi="宋体"/>
          <w:bCs/>
          <w:color w:val="auto"/>
          <w:sz w:val="24"/>
          <w:highlight w:val="none"/>
        </w:rPr>
        <w:t>项目编号：</w:t>
      </w:r>
      <w:r>
        <w:rPr>
          <w:rFonts w:hint="eastAsia" w:ascii="宋体" w:hAnsi="宋体"/>
          <w:bCs/>
          <w:color w:val="auto"/>
          <w:sz w:val="24"/>
          <w:highlight w:val="none"/>
          <w:lang w:eastAsia="zh-CN"/>
        </w:rPr>
        <w:t>HYHZ2025-33</w:t>
      </w:r>
    </w:p>
    <w:p w14:paraId="13FE4806">
      <w:pPr>
        <w:snapToGrid w:val="0"/>
        <w:spacing w:line="360" w:lineRule="auto"/>
        <w:ind w:firstLine="1080" w:firstLineChars="450"/>
        <w:rPr>
          <w:color w:val="auto"/>
          <w:sz w:val="24"/>
          <w:highlight w:val="none"/>
        </w:rPr>
      </w:pPr>
      <w:r>
        <w:rPr>
          <w:rFonts w:hint="eastAsia"/>
          <w:color w:val="auto"/>
          <w:sz w:val="24"/>
          <w:highlight w:val="none"/>
        </w:rPr>
        <w:t>投标人名称：</w:t>
      </w:r>
    </w:p>
    <w:p w14:paraId="2595D82D">
      <w:pPr>
        <w:pStyle w:val="8"/>
        <w:snapToGrid w:val="0"/>
        <w:spacing w:line="360" w:lineRule="auto"/>
        <w:ind w:firstLine="998" w:firstLineChars="416"/>
        <w:rPr>
          <w:rFonts w:ascii="宋体" w:hAnsi="宋体"/>
          <w:bCs/>
          <w:color w:val="auto"/>
          <w:sz w:val="24"/>
          <w:szCs w:val="24"/>
          <w:highlight w:val="none"/>
        </w:rPr>
      </w:pPr>
      <w:r>
        <w:rPr>
          <w:rFonts w:hint="eastAsia" w:ascii="宋体" w:hAnsi="宋体"/>
          <w:bCs/>
          <w:color w:val="auto"/>
          <w:sz w:val="24"/>
          <w:szCs w:val="24"/>
          <w:highlight w:val="none"/>
        </w:rPr>
        <w:t>投标人地址：</w:t>
      </w:r>
    </w:p>
    <w:p w14:paraId="6F1E9F46">
      <w:pPr>
        <w:pStyle w:val="8"/>
        <w:snapToGrid w:val="0"/>
        <w:spacing w:line="360" w:lineRule="auto"/>
        <w:ind w:firstLine="960" w:firstLineChars="400"/>
        <w:rPr>
          <w:rFonts w:ascii="宋体" w:hAnsi="宋体"/>
          <w:bCs/>
          <w:color w:val="auto"/>
          <w:sz w:val="24"/>
          <w:szCs w:val="24"/>
          <w:highlight w:val="none"/>
        </w:rPr>
      </w:pPr>
    </w:p>
    <w:p w14:paraId="5F19E9B9">
      <w:pPr>
        <w:pStyle w:val="8"/>
        <w:snapToGrid w:val="0"/>
        <w:spacing w:line="360" w:lineRule="auto"/>
        <w:ind w:firstLine="1497" w:firstLineChars="416"/>
        <w:rPr>
          <w:rFonts w:ascii="宋体" w:hAnsi="宋体"/>
          <w:color w:val="auto"/>
          <w:sz w:val="36"/>
          <w:highlight w:val="none"/>
        </w:rPr>
      </w:pPr>
    </w:p>
    <w:p w14:paraId="5DB7A975">
      <w:pPr>
        <w:snapToGrid w:val="0"/>
        <w:spacing w:line="360" w:lineRule="auto"/>
        <w:ind w:firstLine="4080" w:firstLineChars="1700"/>
        <w:rPr>
          <w:rFonts w:ascii="宋体" w:hAnsi="宋体"/>
          <w:color w:val="auto"/>
          <w:sz w:val="24"/>
          <w:szCs w:val="20"/>
          <w:highlight w:val="none"/>
        </w:rPr>
      </w:pPr>
    </w:p>
    <w:p w14:paraId="7DBE9320">
      <w:pPr>
        <w:snapToGrid w:val="0"/>
        <w:spacing w:line="360" w:lineRule="auto"/>
        <w:jc w:val="center"/>
        <w:rPr>
          <w:rFonts w:ascii="宋体" w:hAnsi="宋体"/>
          <w:color w:val="auto"/>
          <w:sz w:val="30"/>
          <w:szCs w:val="20"/>
          <w:highlight w:val="none"/>
        </w:rPr>
      </w:pPr>
      <w:r>
        <w:rPr>
          <w:rFonts w:hint="eastAsia" w:ascii="宋体" w:hAnsi="宋体"/>
          <w:color w:val="auto"/>
          <w:sz w:val="24"/>
          <w:highlight w:val="none"/>
        </w:rPr>
        <w:t>年月日</w:t>
      </w:r>
    </w:p>
    <w:p w14:paraId="22F116D8">
      <w:pPr>
        <w:snapToGrid w:val="0"/>
        <w:spacing w:line="360" w:lineRule="auto"/>
        <w:jc w:val="center"/>
        <w:rPr>
          <w:rFonts w:ascii="宋体" w:hAnsi="宋体"/>
          <w:color w:val="auto"/>
          <w:sz w:val="30"/>
          <w:szCs w:val="20"/>
          <w:highlight w:val="none"/>
        </w:rPr>
      </w:pPr>
    </w:p>
    <w:p w14:paraId="3789B934">
      <w:pPr>
        <w:snapToGrid w:val="0"/>
        <w:spacing w:line="360" w:lineRule="auto"/>
        <w:rPr>
          <w:rFonts w:ascii="宋体" w:hAnsi="宋体"/>
          <w:color w:val="auto"/>
          <w:sz w:val="24"/>
          <w:szCs w:val="20"/>
          <w:highlight w:val="none"/>
        </w:rPr>
      </w:pPr>
      <w:r>
        <w:rPr>
          <w:rFonts w:ascii="宋体" w:hAnsi="宋体"/>
          <w:color w:val="auto"/>
          <w:highlight w:val="none"/>
        </w:rPr>
        <w:br w:type="page"/>
      </w:r>
      <w:r>
        <w:rPr>
          <w:rFonts w:hint="eastAsia" w:ascii="宋体" w:hAnsi="宋体"/>
          <w:color w:val="auto"/>
          <w:sz w:val="24"/>
          <w:highlight w:val="none"/>
        </w:rPr>
        <w:t>36.投标函格式：</w:t>
      </w:r>
    </w:p>
    <w:p w14:paraId="5157DA56">
      <w:pPr>
        <w:snapToGrid w:val="0"/>
        <w:spacing w:line="360" w:lineRule="auto"/>
        <w:jc w:val="center"/>
        <w:rPr>
          <w:rFonts w:ascii="宋体" w:hAnsi="宋体"/>
          <w:b/>
          <w:color w:val="auto"/>
          <w:sz w:val="24"/>
          <w:szCs w:val="20"/>
          <w:highlight w:val="none"/>
        </w:rPr>
      </w:pPr>
      <w:r>
        <w:rPr>
          <w:rFonts w:hint="eastAsia" w:ascii="宋体" w:hAnsi="宋体"/>
          <w:b/>
          <w:color w:val="auto"/>
          <w:sz w:val="24"/>
          <w:highlight w:val="none"/>
        </w:rPr>
        <w:t>投标函</w:t>
      </w:r>
    </w:p>
    <w:p w14:paraId="650976BB">
      <w:pPr>
        <w:snapToGrid w:val="0"/>
        <w:spacing w:line="360" w:lineRule="auto"/>
        <w:rPr>
          <w:rFonts w:ascii="宋体" w:hAnsi="宋体"/>
          <w:color w:val="auto"/>
          <w:sz w:val="24"/>
          <w:szCs w:val="20"/>
          <w:highlight w:val="none"/>
        </w:rPr>
      </w:pPr>
      <w:r>
        <w:rPr>
          <w:rFonts w:hint="eastAsia" w:ascii="宋体" w:hAnsi="宋体"/>
          <w:color w:val="auto"/>
          <w:sz w:val="24"/>
          <w:highlight w:val="none"/>
        </w:rPr>
        <w:t>致：</w:t>
      </w:r>
      <w:r>
        <w:rPr>
          <w:rFonts w:ascii="宋体" w:hAnsi="宋体"/>
          <w:color w:val="auto"/>
          <w:sz w:val="24"/>
          <w:highlight w:val="none"/>
        </w:rPr>
        <w:t>______</w:t>
      </w:r>
      <w:r>
        <w:rPr>
          <w:rFonts w:ascii="宋体" w:hAnsi="宋体"/>
          <w:color w:val="auto"/>
          <w:sz w:val="24"/>
          <w:highlight w:val="none"/>
          <w:u w:val="single"/>
        </w:rPr>
        <w:t>_     _</w:t>
      </w:r>
      <w:r>
        <w:rPr>
          <w:rFonts w:ascii="宋体" w:hAnsi="宋体"/>
          <w:color w:val="auto"/>
          <w:sz w:val="24"/>
          <w:highlight w:val="none"/>
        </w:rPr>
        <w:t>_</w:t>
      </w:r>
      <w:r>
        <w:rPr>
          <w:rFonts w:hint="eastAsia" w:ascii="宋体" w:hAnsi="宋体"/>
          <w:color w:val="auto"/>
          <w:sz w:val="24"/>
          <w:highlight w:val="none"/>
        </w:rPr>
        <w:t>（招标采购单位名称）：</w:t>
      </w:r>
    </w:p>
    <w:p w14:paraId="7F289828">
      <w:pPr>
        <w:snapToGrid w:val="0"/>
        <w:spacing w:line="360" w:lineRule="auto"/>
        <w:ind w:firstLine="480"/>
        <w:rPr>
          <w:rFonts w:ascii="宋体" w:hAnsi="宋体"/>
          <w:color w:val="auto"/>
          <w:sz w:val="24"/>
          <w:szCs w:val="20"/>
          <w:highlight w:val="none"/>
        </w:rPr>
      </w:pPr>
      <w:r>
        <w:rPr>
          <w:rFonts w:hint="eastAsia" w:ascii="宋体" w:hAnsi="宋体"/>
          <w:color w:val="auto"/>
          <w:sz w:val="24"/>
          <w:highlight w:val="none"/>
        </w:rPr>
        <w:t>根据贵方为项目的招标公告</w:t>
      </w:r>
      <w:r>
        <w:rPr>
          <w:rFonts w:ascii="宋体" w:hAnsi="宋体"/>
          <w:color w:val="auto"/>
          <w:sz w:val="24"/>
          <w:highlight w:val="none"/>
        </w:rPr>
        <w:t>/</w:t>
      </w:r>
      <w:r>
        <w:rPr>
          <w:rFonts w:hint="eastAsia" w:ascii="宋体" w:hAnsi="宋体"/>
          <w:color w:val="auto"/>
          <w:sz w:val="24"/>
          <w:highlight w:val="none"/>
        </w:rPr>
        <w:t>投标邀请书</w:t>
      </w:r>
    </w:p>
    <w:p w14:paraId="66B4106F">
      <w:pPr>
        <w:snapToGrid w:val="0"/>
        <w:spacing w:line="360" w:lineRule="auto"/>
        <w:rPr>
          <w:rFonts w:ascii="宋体" w:hAnsi="宋体"/>
          <w:color w:val="auto"/>
          <w:sz w:val="24"/>
          <w:szCs w:val="20"/>
          <w:highlight w:val="none"/>
        </w:rPr>
      </w:pPr>
      <w:r>
        <w:rPr>
          <w:rFonts w:hint="eastAsia" w:ascii="宋体" w:hAnsi="宋体"/>
          <w:color w:val="auto"/>
          <w:sz w:val="24"/>
          <w:highlight w:val="none"/>
        </w:rPr>
        <w:t>（项目编号：</w:t>
      </w:r>
      <w:r>
        <w:rPr>
          <w:rFonts w:ascii="宋体" w:hAnsi="宋体"/>
          <w:color w:val="auto"/>
          <w:sz w:val="24"/>
          <w:highlight w:val="none"/>
        </w:rPr>
        <w:t>____</w:t>
      </w:r>
      <w:r>
        <w:rPr>
          <w:rFonts w:ascii="宋体" w:hAnsi="宋体"/>
          <w:color w:val="auto"/>
          <w:sz w:val="24"/>
          <w:highlight w:val="none"/>
          <w:u w:val="single"/>
        </w:rPr>
        <w:t>_     _</w:t>
      </w:r>
      <w:r>
        <w:rPr>
          <w:rFonts w:ascii="宋体" w:hAnsi="宋体"/>
          <w:color w:val="auto"/>
          <w:sz w:val="24"/>
          <w:highlight w:val="none"/>
        </w:rPr>
        <w:t>_</w:t>
      </w:r>
      <w:r>
        <w:rPr>
          <w:rFonts w:hint="eastAsia" w:ascii="宋体" w:hAnsi="宋体"/>
          <w:color w:val="auto"/>
          <w:sz w:val="24"/>
          <w:highlight w:val="none"/>
        </w:rPr>
        <w:t>），签字代表</w:t>
      </w:r>
      <w:r>
        <w:rPr>
          <w:rFonts w:ascii="宋体" w:hAnsi="宋体"/>
          <w:color w:val="auto"/>
          <w:sz w:val="24"/>
          <w:highlight w:val="none"/>
        </w:rPr>
        <w:t>______</w:t>
      </w:r>
      <w:r>
        <w:rPr>
          <w:rFonts w:ascii="宋体" w:hAnsi="宋体"/>
          <w:color w:val="auto"/>
          <w:sz w:val="24"/>
          <w:highlight w:val="none"/>
          <w:u w:val="single"/>
        </w:rPr>
        <w:t xml:space="preserve">_     </w:t>
      </w:r>
      <w:r>
        <w:rPr>
          <w:rFonts w:hint="eastAsia" w:ascii="宋体" w:hAnsi="宋体"/>
          <w:color w:val="auto"/>
          <w:sz w:val="24"/>
          <w:highlight w:val="none"/>
        </w:rPr>
        <w:t>（全名）经正式授权并代表投标人</w:t>
      </w:r>
      <w:r>
        <w:rPr>
          <w:rFonts w:ascii="宋体" w:hAnsi="宋体"/>
          <w:color w:val="auto"/>
          <w:sz w:val="24"/>
          <w:highlight w:val="none"/>
        </w:rPr>
        <w:t>_____</w:t>
      </w:r>
      <w:r>
        <w:rPr>
          <w:rFonts w:ascii="宋体" w:hAnsi="宋体"/>
          <w:color w:val="auto"/>
          <w:sz w:val="24"/>
          <w:highlight w:val="none"/>
          <w:u w:val="single"/>
        </w:rPr>
        <w:t>__                    __</w:t>
      </w:r>
      <w:r>
        <w:rPr>
          <w:rFonts w:hint="eastAsia" w:ascii="宋体" w:hAnsi="宋体"/>
          <w:color w:val="auto"/>
          <w:sz w:val="24"/>
          <w:highlight w:val="none"/>
        </w:rPr>
        <w:t>（投标人名称）提交资格文件、技术/资信/商务文件</w:t>
      </w:r>
      <w:r>
        <w:rPr>
          <w:rFonts w:hint="eastAsia" w:ascii="宋体" w:hAnsi="宋体" w:cs="Arial"/>
          <w:color w:val="auto"/>
          <w:sz w:val="24"/>
          <w:highlight w:val="none"/>
        </w:rPr>
        <w:t>、</w:t>
      </w:r>
      <w:r>
        <w:rPr>
          <w:rFonts w:hint="eastAsia" w:ascii="宋体" w:hAnsi="宋体"/>
          <w:color w:val="auto"/>
          <w:sz w:val="24"/>
          <w:highlight w:val="none"/>
        </w:rPr>
        <w:t>投标报价文件各一份。</w:t>
      </w:r>
    </w:p>
    <w:p w14:paraId="514A98C4">
      <w:pPr>
        <w:snapToGrid w:val="0"/>
        <w:spacing w:line="360" w:lineRule="auto"/>
        <w:ind w:firstLine="480" w:firstLineChars="200"/>
        <w:rPr>
          <w:rFonts w:ascii="宋体" w:hAnsi="宋体"/>
          <w:color w:val="auto"/>
          <w:sz w:val="24"/>
          <w:szCs w:val="20"/>
          <w:highlight w:val="none"/>
        </w:rPr>
      </w:pPr>
      <w:r>
        <w:rPr>
          <w:rFonts w:hint="eastAsia" w:ascii="宋体" w:hAnsi="宋体"/>
          <w:color w:val="auto"/>
          <w:sz w:val="24"/>
          <w:highlight w:val="none"/>
        </w:rPr>
        <w:t>据此函，签字代表宣布同意如下：</w:t>
      </w:r>
    </w:p>
    <w:p w14:paraId="5993EDFB">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1</w:t>
      </w:r>
      <w:r>
        <w:rPr>
          <w:rFonts w:hint="eastAsia" w:ascii="宋体" w:hAnsi="宋体"/>
          <w:color w:val="auto"/>
          <w:sz w:val="24"/>
          <w:highlight w:val="none"/>
        </w:rPr>
        <w:t>.投标人已详细审查全部“招标文件”，包括修改文件（如有的话）以及全部参考资料和有关附件，已经了解我方对于招标文件、采购过程、采购结果有依法进行询问、质疑、投诉的权利及相关渠道和要求。</w:t>
      </w:r>
    </w:p>
    <w:p w14:paraId="1C2E5324">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2</w:t>
      </w:r>
      <w:r>
        <w:rPr>
          <w:rFonts w:hint="eastAsia" w:ascii="宋体" w:hAnsi="宋体"/>
          <w:color w:val="auto"/>
          <w:sz w:val="24"/>
          <w:highlight w:val="none"/>
        </w:rPr>
        <w:t>.投标人在投标之前已经与贵方进行了充分的沟通，完全理解并接受招标文件的各项规定和要求，对招标文件的合理性、合法性不再有异议。</w:t>
      </w:r>
    </w:p>
    <w:p w14:paraId="0762A52E">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3</w:t>
      </w:r>
      <w:r>
        <w:rPr>
          <w:rFonts w:hint="eastAsia" w:ascii="宋体" w:hAnsi="宋体"/>
          <w:color w:val="auto"/>
          <w:sz w:val="24"/>
          <w:highlight w:val="none"/>
        </w:rPr>
        <w:t>.本投标有效期自开标日起</w:t>
      </w:r>
      <w:r>
        <w:rPr>
          <w:rFonts w:ascii="宋体" w:hAnsi="宋体"/>
          <w:color w:val="auto"/>
          <w:sz w:val="24"/>
          <w:highlight w:val="none"/>
        </w:rPr>
        <w:t xml:space="preserve"> ______</w:t>
      </w:r>
      <w:r>
        <w:rPr>
          <w:rFonts w:hint="eastAsia" w:ascii="宋体" w:hAnsi="宋体"/>
          <w:color w:val="auto"/>
          <w:sz w:val="24"/>
          <w:highlight w:val="none"/>
        </w:rPr>
        <w:t>个日。</w:t>
      </w:r>
    </w:p>
    <w:p w14:paraId="30135286">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4</w:t>
      </w:r>
      <w:r>
        <w:rPr>
          <w:rFonts w:hint="eastAsia" w:ascii="宋体" w:hAnsi="宋体"/>
          <w:color w:val="auto"/>
          <w:sz w:val="24"/>
          <w:highlight w:val="none"/>
        </w:rPr>
        <w:t>.如中标，本投标文件至本项目合同履行完毕止均保持有效，本投标人将按“招标文件”及政府采购法律、法规的规定履行合同责任和义务。</w:t>
      </w:r>
    </w:p>
    <w:p w14:paraId="4B65B74A">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5</w:t>
      </w:r>
      <w:r>
        <w:rPr>
          <w:rFonts w:hint="eastAsia" w:ascii="宋体" w:hAnsi="宋体"/>
          <w:color w:val="auto"/>
          <w:sz w:val="24"/>
          <w:highlight w:val="none"/>
        </w:rPr>
        <w:t>.投标人同意按照贵方要求提供与投标有关的一切数据或资料。</w:t>
      </w:r>
    </w:p>
    <w:p w14:paraId="05C64F1B">
      <w:pPr>
        <w:snapToGrid w:val="0"/>
        <w:spacing w:line="360" w:lineRule="auto"/>
        <w:ind w:firstLine="480" w:firstLineChars="200"/>
        <w:rPr>
          <w:rFonts w:ascii="宋体" w:hAnsi="宋体"/>
          <w:color w:val="auto"/>
          <w:sz w:val="24"/>
          <w:szCs w:val="20"/>
          <w:highlight w:val="none"/>
        </w:rPr>
      </w:pPr>
      <w:r>
        <w:rPr>
          <w:rFonts w:ascii="宋体" w:hAnsi="宋体"/>
          <w:color w:val="auto"/>
          <w:sz w:val="24"/>
          <w:highlight w:val="none"/>
        </w:rPr>
        <w:t>6</w:t>
      </w:r>
      <w:r>
        <w:rPr>
          <w:rFonts w:hint="eastAsia" w:ascii="宋体" w:hAnsi="宋体"/>
          <w:color w:val="auto"/>
          <w:sz w:val="24"/>
          <w:highlight w:val="none"/>
        </w:rPr>
        <w:t>.与本投标有关的一切正式往来信函请寄：</w:t>
      </w:r>
    </w:p>
    <w:p w14:paraId="63FE6EF9">
      <w:pPr>
        <w:snapToGrid w:val="0"/>
        <w:spacing w:line="360" w:lineRule="auto"/>
        <w:rPr>
          <w:rFonts w:ascii="宋体" w:hAnsi="宋体"/>
          <w:color w:val="auto"/>
          <w:sz w:val="24"/>
          <w:szCs w:val="20"/>
          <w:highlight w:val="none"/>
        </w:rPr>
      </w:pPr>
      <w:r>
        <w:rPr>
          <w:rFonts w:hint="eastAsia" w:ascii="宋体" w:hAnsi="宋体"/>
          <w:color w:val="auto"/>
          <w:sz w:val="24"/>
          <w:highlight w:val="none"/>
        </w:rPr>
        <w:t>地址：</w:t>
      </w:r>
      <w:r>
        <w:rPr>
          <w:rFonts w:ascii="宋体" w:hAnsi="宋体"/>
          <w:color w:val="auto"/>
          <w:sz w:val="24"/>
          <w:highlight w:val="none"/>
        </w:rPr>
        <w:t>__________</w:t>
      </w:r>
      <w:r>
        <w:rPr>
          <w:rFonts w:ascii="宋体" w:hAnsi="宋体"/>
          <w:color w:val="auto"/>
          <w:sz w:val="24"/>
          <w:highlight w:val="none"/>
          <w:u w:val="single"/>
        </w:rPr>
        <w:t xml:space="preserve">        _</w:t>
      </w:r>
      <w:r>
        <w:rPr>
          <w:rFonts w:ascii="宋体" w:hAnsi="宋体"/>
          <w:color w:val="auto"/>
          <w:sz w:val="24"/>
          <w:highlight w:val="none"/>
        </w:rPr>
        <w:t>____</w:t>
      </w:r>
      <w:r>
        <w:rPr>
          <w:rFonts w:hint="eastAsia" w:ascii="宋体" w:hAnsi="宋体"/>
          <w:color w:val="auto"/>
          <w:sz w:val="24"/>
          <w:highlight w:val="none"/>
        </w:rPr>
        <w:t>邮编：</w:t>
      </w:r>
      <w:r>
        <w:rPr>
          <w:rFonts w:ascii="宋体" w:hAnsi="宋体"/>
          <w:color w:val="auto"/>
          <w:sz w:val="24"/>
          <w:highlight w:val="none"/>
        </w:rPr>
        <w:t xml:space="preserve">__________   </w:t>
      </w:r>
      <w:r>
        <w:rPr>
          <w:rFonts w:hint="eastAsia" w:ascii="宋体" w:hAnsi="宋体"/>
          <w:color w:val="auto"/>
          <w:sz w:val="24"/>
          <w:highlight w:val="none"/>
        </w:rPr>
        <w:t>电话：</w:t>
      </w:r>
      <w:r>
        <w:rPr>
          <w:rFonts w:ascii="宋体" w:hAnsi="宋体"/>
          <w:color w:val="auto"/>
          <w:sz w:val="24"/>
          <w:highlight w:val="none"/>
        </w:rPr>
        <w:t>______________</w:t>
      </w:r>
    </w:p>
    <w:p w14:paraId="0856CDF4">
      <w:pPr>
        <w:snapToGrid w:val="0"/>
        <w:spacing w:line="360" w:lineRule="auto"/>
        <w:rPr>
          <w:rFonts w:ascii="宋体" w:hAnsi="宋体"/>
          <w:color w:val="auto"/>
          <w:sz w:val="24"/>
          <w:szCs w:val="20"/>
          <w:highlight w:val="none"/>
        </w:rPr>
      </w:pPr>
      <w:r>
        <w:rPr>
          <w:rFonts w:hint="eastAsia" w:ascii="宋体" w:hAnsi="宋体"/>
          <w:color w:val="auto"/>
          <w:sz w:val="24"/>
          <w:highlight w:val="none"/>
        </w:rPr>
        <w:t>传真：</w:t>
      </w:r>
      <w:r>
        <w:rPr>
          <w:rFonts w:ascii="宋体" w:hAnsi="宋体"/>
          <w:color w:val="auto"/>
          <w:sz w:val="24"/>
          <w:highlight w:val="none"/>
        </w:rPr>
        <w:t>______________</w:t>
      </w:r>
      <w:r>
        <w:rPr>
          <w:rFonts w:hint="eastAsia" w:ascii="宋体" w:hAnsi="宋体"/>
          <w:color w:val="auto"/>
          <w:sz w:val="24"/>
          <w:highlight w:val="none"/>
        </w:rPr>
        <w:t>投标人代表姓名</w:t>
      </w:r>
      <w:r>
        <w:rPr>
          <w:rFonts w:ascii="宋体" w:hAnsi="宋体"/>
          <w:color w:val="auto"/>
          <w:sz w:val="24"/>
          <w:highlight w:val="none"/>
        </w:rPr>
        <w:t xml:space="preserve"> ___________  </w:t>
      </w:r>
      <w:r>
        <w:rPr>
          <w:rFonts w:hint="eastAsia" w:ascii="宋体" w:hAnsi="宋体"/>
          <w:color w:val="auto"/>
          <w:sz w:val="24"/>
          <w:highlight w:val="none"/>
        </w:rPr>
        <w:t>职务：</w:t>
      </w:r>
      <w:r>
        <w:rPr>
          <w:rFonts w:ascii="宋体" w:hAnsi="宋体"/>
          <w:color w:val="auto"/>
          <w:sz w:val="24"/>
          <w:highlight w:val="none"/>
        </w:rPr>
        <w:t>_____________</w:t>
      </w:r>
    </w:p>
    <w:p w14:paraId="62561507">
      <w:pPr>
        <w:snapToGrid w:val="0"/>
        <w:spacing w:line="360" w:lineRule="auto"/>
        <w:rPr>
          <w:rFonts w:ascii="宋体" w:hAnsi="宋体"/>
          <w:color w:val="auto"/>
          <w:sz w:val="24"/>
          <w:szCs w:val="20"/>
          <w:highlight w:val="none"/>
        </w:rPr>
      </w:pPr>
      <w:r>
        <w:rPr>
          <w:rFonts w:hint="eastAsia" w:ascii="宋体" w:hAnsi="宋体"/>
          <w:color w:val="auto"/>
          <w:sz w:val="24"/>
          <w:highlight w:val="none"/>
        </w:rPr>
        <w:t>投标人名称</w:t>
      </w:r>
      <w:r>
        <w:rPr>
          <w:rFonts w:hint="eastAsia" w:ascii="宋体" w:hAnsi="宋体"/>
          <w:color w:val="auto"/>
          <w:sz w:val="24"/>
          <w:highlight w:val="none"/>
          <w:lang w:eastAsia="zh-CN"/>
        </w:rPr>
        <w:t>（</w:t>
      </w:r>
      <w:r>
        <w:rPr>
          <w:rFonts w:hint="eastAsia" w:ascii="宋体" w:hAnsi="宋体"/>
          <w:color w:val="auto"/>
          <w:sz w:val="24"/>
          <w:highlight w:val="none"/>
        </w:rPr>
        <w:t>公章</w:t>
      </w:r>
      <w:r>
        <w:rPr>
          <w:rFonts w:ascii="宋体" w:hAnsi="宋体"/>
          <w:color w:val="auto"/>
          <w:sz w:val="24"/>
          <w:highlight w:val="none"/>
        </w:rPr>
        <w:t>):___________________</w:t>
      </w:r>
    </w:p>
    <w:p w14:paraId="77ADB0EC">
      <w:pPr>
        <w:snapToGrid w:val="0"/>
        <w:spacing w:line="360" w:lineRule="auto"/>
        <w:rPr>
          <w:rFonts w:ascii="宋体" w:hAnsi="宋体"/>
          <w:color w:val="auto"/>
          <w:sz w:val="24"/>
          <w:szCs w:val="20"/>
          <w:highlight w:val="none"/>
        </w:rPr>
      </w:pPr>
      <w:r>
        <w:rPr>
          <w:rFonts w:hint="eastAsia" w:ascii="宋体" w:hAnsi="宋体"/>
          <w:color w:val="auto"/>
          <w:sz w:val="24"/>
          <w:highlight w:val="none"/>
        </w:rPr>
        <w:t>开户银行：银行账号：</w:t>
      </w:r>
    </w:p>
    <w:p w14:paraId="0BEECFAD">
      <w:pPr>
        <w:snapToGrid w:val="0"/>
        <w:spacing w:line="360" w:lineRule="auto"/>
        <w:rPr>
          <w:rFonts w:ascii="宋体" w:hAnsi="宋体"/>
          <w:color w:val="auto"/>
          <w:sz w:val="30"/>
          <w:szCs w:val="20"/>
          <w:highlight w:val="none"/>
        </w:rPr>
      </w:pPr>
      <w:r>
        <w:rPr>
          <w:rFonts w:hint="eastAsia" w:ascii="宋体" w:hAnsi="宋体"/>
          <w:color w:val="auto"/>
          <w:sz w:val="24"/>
          <w:highlight w:val="none"/>
        </w:rPr>
        <w:t>法定代表人签字</w:t>
      </w:r>
      <w:r>
        <w:rPr>
          <w:rFonts w:hint="eastAsia" w:ascii="宋体" w:hAnsi="宋体"/>
          <w:color w:val="auto"/>
          <w:sz w:val="24"/>
          <w:highlight w:val="none"/>
          <w:lang w:eastAsia="zh-CN"/>
        </w:rPr>
        <w:t>：</w:t>
      </w:r>
      <w:r>
        <w:rPr>
          <w:rFonts w:ascii="宋体" w:hAnsi="宋体"/>
          <w:color w:val="auto"/>
          <w:sz w:val="24"/>
          <w:highlight w:val="none"/>
        </w:rPr>
        <w:t xml:space="preserve">___________                      </w:t>
      </w:r>
      <w:r>
        <w:rPr>
          <w:rFonts w:hint="eastAsia" w:ascii="宋体" w:hAnsi="宋体"/>
          <w:color w:val="auto"/>
          <w:sz w:val="24"/>
          <w:highlight w:val="none"/>
        </w:rPr>
        <w:t>日期</w:t>
      </w:r>
      <w:r>
        <w:rPr>
          <w:rFonts w:hint="eastAsia" w:ascii="宋体" w:hAnsi="宋体"/>
          <w:color w:val="auto"/>
          <w:sz w:val="24"/>
          <w:highlight w:val="none"/>
          <w:lang w:eastAsia="zh-CN"/>
        </w:rPr>
        <w:t>：</w:t>
      </w:r>
      <w:r>
        <w:rPr>
          <w:rFonts w:ascii="宋体" w:hAnsi="宋体"/>
          <w:color w:val="auto"/>
          <w:sz w:val="24"/>
          <w:highlight w:val="none"/>
        </w:rPr>
        <w:t>_____</w:t>
      </w:r>
      <w:r>
        <w:rPr>
          <w:rFonts w:hint="eastAsia" w:ascii="宋体" w:hAnsi="宋体"/>
          <w:color w:val="auto"/>
          <w:sz w:val="24"/>
          <w:highlight w:val="none"/>
        </w:rPr>
        <w:t>年</w:t>
      </w:r>
      <w:r>
        <w:rPr>
          <w:rFonts w:ascii="宋体" w:hAnsi="宋体"/>
          <w:color w:val="auto"/>
          <w:sz w:val="24"/>
          <w:highlight w:val="none"/>
        </w:rPr>
        <w:t>___</w:t>
      </w:r>
      <w:r>
        <w:rPr>
          <w:rFonts w:hint="eastAsia" w:ascii="宋体" w:hAnsi="宋体"/>
          <w:color w:val="auto"/>
          <w:sz w:val="24"/>
          <w:highlight w:val="none"/>
        </w:rPr>
        <w:t>月</w:t>
      </w:r>
      <w:r>
        <w:rPr>
          <w:rFonts w:ascii="宋体" w:hAnsi="宋体"/>
          <w:color w:val="auto"/>
          <w:sz w:val="24"/>
          <w:highlight w:val="none"/>
        </w:rPr>
        <w:t>___</w:t>
      </w:r>
      <w:r>
        <w:rPr>
          <w:rFonts w:hint="eastAsia" w:ascii="宋体" w:hAnsi="宋体"/>
          <w:color w:val="auto"/>
          <w:sz w:val="24"/>
          <w:highlight w:val="none"/>
        </w:rPr>
        <w:t>日</w:t>
      </w:r>
    </w:p>
    <w:p w14:paraId="50BA8F25">
      <w:pPr>
        <w:pStyle w:val="13"/>
        <w:snapToGrid w:val="0"/>
        <w:spacing w:beforeLines="0" w:afterLines="0" w:line="360" w:lineRule="auto"/>
        <w:rPr>
          <w:rFonts w:hAnsi="宋体"/>
          <w:color w:val="auto"/>
          <w:highlight w:val="none"/>
        </w:rPr>
      </w:pPr>
    </w:p>
    <w:p w14:paraId="398BF272">
      <w:pPr>
        <w:snapToGrid w:val="0"/>
        <w:spacing w:line="360" w:lineRule="auto"/>
        <w:jc w:val="left"/>
        <w:rPr>
          <w:rFonts w:hAnsi="宋体" w:cs="仿宋"/>
          <w:color w:val="auto"/>
          <w:highlight w:val="none"/>
        </w:rPr>
      </w:pPr>
      <w:r>
        <w:rPr>
          <w:rFonts w:hAnsi="宋体"/>
          <w:color w:val="auto"/>
          <w:highlight w:val="none"/>
        </w:rPr>
        <w:br w:type="page"/>
      </w:r>
    </w:p>
    <w:p w14:paraId="205E1B7C">
      <w:pPr>
        <w:pStyle w:val="13"/>
        <w:snapToGrid w:val="0"/>
        <w:spacing w:beforeLines="0" w:afterLines="0" w:line="360" w:lineRule="auto"/>
        <w:rPr>
          <w:rFonts w:hAnsi="宋体"/>
          <w:color w:val="auto"/>
          <w:highlight w:val="none"/>
        </w:rPr>
      </w:pPr>
      <w:r>
        <w:rPr>
          <w:rFonts w:hint="eastAsia" w:hAnsi="宋体" w:cs="仿宋"/>
          <w:color w:val="auto"/>
          <w:highlight w:val="none"/>
        </w:rPr>
        <w:t>37.</w:t>
      </w:r>
      <w:r>
        <w:rPr>
          <w:rFonts w:hAnsi="宋体"/>
          <w:color w:val="auto"/>
          <w:highlight w:val="none"/>
        </w:rPr>
        <w:t xml:space="preserve">投标报价明细表：       </w:t>
      </w:r>
    </w:p>
    <w:p w14:paraId="0CD64702">
      <w:pPr>
        <w:pStyle w:val="13"/>
        <w:snapToGrid w:val="0"/>
        <w:spacing w:beforeLines="0" w:afterLines="0" w:line="360" w:lineRule="auto"/>
        <w:ind w:left="1470" w:right="1470"/>
        <w:jc w:val="center"/>
        <w:rPr>
          <w:rFonts w:hAnsi="宋体"/>
          <w:color w:val="auto"/>
          <w:highlight w:val="none"/>
        </w:rPr>
      </w:pPr>
      <w:r>
        <w:rPr>
          <w:rFonts w:hAnsi="宋体"/>
          <w:color w:val="auto"/>
          <w:highlight w:val="none"/>
        </w:rPr>
        <w:t>投标报价明细表</w:t>
      </w:r>
      <w:r>
        <w:rPr>
          <w:rFonts w:hint="eastAsia" w:hAnsi="宋体"/>
          <w:color w:val="auto"/>
          <w:highlight w:val="none"/>
        </w:rPr>
        <w:t>（格式自拟）</w:t>
      </w:r>
    </w:p>
    <w:p w14:paraId="70D196D1">
      <w:pPr>
        <w:spacing w:line="360" w:lineRule="auto"/>
        <w:jc w:val="left"/>
        <w:rPr>
          <w:rFonts w:hAnsi="宋体"/>
          <w:color w:val="auto"/>
          <w:szCs w:val="21"/>
          <w:highlight w:val="none"/>
        </w:rPr>
      </w:pPr>
      <w:r>
        <w:rPr>
          <w:rFonts w:hAnsi="宋体"/>
          <w:color w:val="auto"/>
          <w:highlight w:val="none"/>
        </w:rPr>
        <w:t>项目名称：</w:t>
      </w:r>
      <w:r>
        <w:rPr>
          <w:rFonts w:hAnsi="宋体"/>
          <w:color w:val="auto"/>
          <w:szCs w:val="21"/>
          <w:highlight w:val="none"/>
        </w:rPr>
        <w:t>金额单位：人民币（元）</w:t>
      </w:r>
    </w:p>
    <w:p w14:paraId="4C4D18A2">
      <w:pPr>
        <w:spacing w:line="360" w:lineRule="auto"/>
        <w:jc w:val="left"/>
        <w:rPr>
          <w:rFonts w:hAnsi="宋体"/>
          <w:color w:val="auto"/>
          <w:szCs w:val="21"/>
          <w:highlight w:val="none"/>
        </w:rPr>
      </w:pPr>
    </w:p>
    <w:p w14:paraId="54B4349E">
      <w:pPr>
        <w:spacing w:line="360" w:lineRule="auto"/>
        <w:jc w:val="left"/>
        <w:rPr>
          <w:rFonts w:hAnsi="宋体"/>
          <w:color w:val="auto"/>
          <w:szCs w:val="21"/>
          <w:highlight w:val="none"/>
        </w:rPr>
      </w:pPr>
    </w:p>
    <w:p w14:paraId="43C5F387">
      <w:pPr>
        <w:pStyle w:val="23"/>
        <w:spacing w:before="120"/>
        <w:rPr>
          <w:color w:val="auto"/>
          <w:highlight w:val="none"/>
        </w:rPr>
      </w:pPr>
    </w:p>
    <w:p w14:paraId="5602CC32">
      <w:pPr>
        <w:rPr>
          <w:color w:val="auto"/>
          <w:highlight w:val="none"/>
        </w:rPr>
      </w:pPr>
    </w:p>
    <w:p w14:paraId="60D18A3A">
      <w:pPr>
        <w:snapToGrid w:val="0"/>
        <w:spacing w:line="360" w:lineRule="auto"/>
        <w:rPr>
          <w:rFonts w:ascii="宋体" w:hAnsi="宋体"/>
          <w:color w:val="auto"/>
          <w:spacing w:val="20"/>
          <w:sz w:val="24"/>
          <w:szCs w:val="20"/>
          <w:highlight w:val="none"/>
          <w:u w:val="single"/>
        </w:rPr>
      </w:pPr>
      <w:r>
        <w:rPr>
          <w:rFonts w:hint="eastAsia" w:ascii="宋体" w:hAnsi="宋体"/>
          <w:color w:val="auto"/>
          <w:spacing w:val="20"/>
          <w:sz w:val="24"/>
          <w:highlight w:val="none"/>
        </w:rPr>
        <w:t>授权代表签名：</w:t>
      </w:r>
    </w:p>
    <w:p w14:paraId="06D1A223">
      <w:pPr>
        <w:snapToGrid w:val="0"/>
        <w:spacing w:line="360" w:lineRule="auto"/>
        <w:rPr>
          <w:rFonts w:ascii="宋体" w:hAnsi="宋体"/>
          <w:color w:val="auto"/>
          <w:spacing w:val="20"/>
          <w:sz w:val="24"/>
          <w:highlight w:val="none"/>
          <w:u w:val="single"/>
        </w:rPr>
      </w:pPr>
      <w:r>
        <w:rPr>
          <w:rFonts w:hint="eastAsia" w:ascii="宋体" w:hAnsi="宋体"/>
          <w:color w:val="auto"/>
          <w:spacing w:val="20"/>
          <w:sz w:val="24"/>
          <w:highlight w:val="none"/>
        </w:rPr>
        <w:t>投标人盖章：日期：</w:t>
      </w:r>
    </w:p>
    <w:p w14:paraId="7A2C0315">
      <w:pPr>
        <w:pStyle w:val="2"/>
        <w:rPr>
          <w:color w:val="auto"/>
          <w:highlight w:val="none"/>
        </w:rPr>
      </w:pPr>
    </w:p>
    <w:p w14:paraId="541CE79B">
      <w:pPr>
        <w:spacing w:line="360" w:lineRule="auto"/>
        <w:rPr>
          <w:rFonts w:ascii="宋体" w:hAnsi="宋体"/>
          <w:color w:val="auto"/>
          <w:sz w:val="24"/>
          <w:highlight w:val="none"/>
        </w:rPr>
      </w:pPr>
      <w:r>
        <w:rPr>
          <w:rFonts w:hint="eastAsia" w:ascii="宋体" w:hAnsi="宋体"/>
          <w:color w:val="auto"/>
          <w:sz w:val="24"/>
          <w:highlight w:val="none"/>
        </w:rPr>
        <w:t>38.招标代理服务费承诺函</w:t>
      </w:r>
    </w:p>
    <w:p w14:paraId="2DCD215D">
      <w:pPr>
        <w:spacing w:line="360" w:lineRule="auto"/>
        <w:jc w:val="center"/>
        <w:rPr>
          <w:b/>
          <w:color w:val="auto"/>
          <w:sz w:val="32"/>
          <w:highlight w:val="none"/>
        </w:rPr>
      </w:pPr>
    </w:p>
    <w:p w14:paraId="510DA813">
      <w:pPr>
        <w:tabs>
          <w:tab w:val="left" w:pos="2996"/>
        </w:tabs>
        <w:spacing w:line="360" w:lineRule="auto"/>
        <w:ind w:firstLine="480" w:firstLineChars="200"/>
        <w:rPr>
          <w:color w:val="auto"/>
          <w:sz w:val="24"/>
          <w:highlight w:val="none"/>
        </w:rPr>
      </w:pPr>
      <w:r>
        <w:rPr>
          <w:rFonts w:hint="eastAsia"/>
          <w:color w:val="auto"/>
          <w:sz w:val="24"/>
          <w:highlight w:val="none"/>
        </w:rPr>
        <w:t>根据国家计委、物价局文件和招标文件的规定，一旦我公司中标，我公司同意按本招标文件规定向政府采购代理机构交纳招标代理服务费，在中标通知书发出当日一次性向代理机构缴清招标代理服务费。本承诺函自开标之日起至本次采购期满有效。</w:t>
      </w:r>
    </w:p>
    <w:p w14:paraId="31FDCFFF">
      <w:pPr>
        <w:spacing w:line="360" w:lineRule="auto"/>
        <w:rPr>
          <w:color w:val="auto"/>
          <w:sz w:val="24"/>
          <w:highlight w:val="none"/>
        </w:rPr>
      </w:pPr>
    </w:p>
    <w:p w14:paraId="786F8AF2">
      <w:pPr>
        <w:spacing w:line="360" w:lineRule="auto"/>
        <w:rPr>
          <w:color w:val="auto"/>
          <w:sz w:val="24"/>
          <w:highlight w:val="none"/>
        </w:rPr>
      </w:pPr>
    </w:p>
    <w:p w14:paraId="1E4EA51C">
      <w:pPr>
        <w:pStyle w:val="8"/>
        <w:spacing w:line="360" w:lineRule="auto"/>
        <w:ind w:firstLine="1454" w:firstLineChars="606"/>
        <w:rPr>
          <w:rFonts w:ascii="宋体" w:hAnsi="宋体"/>
          <w:color w:val="auto"/>
          <w:sz w:val="24"/>
          <w:szCs w:val="24"/>
          <w:highlight w:val="none"/>
        </w:rPr>
      </w:pPr>
      <w:r>
        <w:rPr>
          <w:rFonts w:hint="eastAsia" w:ascii="宋体" w:hAnsi="宋体"/>
          <w:color w:val="auto"/>
          <w:sz w:val="24"/>
          <w:szCs w:val="24"/>
          <w:highlight w:val="none"/>
        </w:rPr>
        <w:t>投标人：（盖章）</w:t>
      </w:r>
    </w:p>
    <w:p w14:paraId="129276A5">
      <w:pPr>
        <w:pStyle w:val="8"/>
        <w:spacing w:line="360" w:lineRule="auto"/>
        <w:ind w:firstLine="374" w:firstLineChars="156"/>
        <w:rPr>
          <w:rFonts w:ascii="宋体" w:hAnsi="宋体"/>
          <w:color w:val="auto"/>
          <w:sz w:val="24"/>
          <w:szCs w:val="24"/>
          <w:highlight w:val="none"/>
        </w:rPr>
      </w:pPr>
    </w:p>
    <w:p w14:paraId="59F5E1FE">
      <w:pPr>
        <w:pStyle w:val="8"/>
        <w:spacing w:line="360" w:lineRule="auto"/>
        <w:ind w:firstLine="1334" w:firstLineChars="556"/>
        <w:rPr>
          <w:rFonts w:ascii="宋体" w:hAnsi="宋体"/>
          <w:color w:val="auto"/>
          <w:sz w:val="24"/>
          <w:szCs w:val="24"/>
          <w:highlight w:val="none"/>
        </w:rPr>
      </w:pPr>
      <w:r>
        <w:rPr>
          <w:rFonts w:hint="eastAsia" w:ascii="宋体" w:hAnsi="宋体"/>
          <w:color w:val="auto"/>
          <w:sz w:val="24"/>
          <w:szCs w:val="24"/>
          <w:highlight w:val="none"/>
        </w:rPr>
        <w:t>法定代表人或其授权代理人（签名或盖章）</w:t>
      </w:r>
    </w:p>
    <w:p w14:paraId="5C5A2A70">
      <w:pPr>
        <w:pStyle w:val="8"/>
        <w:spacing w:line="360" w:lineRule="auto"/>
        <w:ind w:firstLine="374" w:firstLineChars="156"/>
        <w:jc w:val="center"/>
        <w:rPr>
          <w:rFonts w:ascii="宋体" w:hAnsi="宋体"/>
          <w:color w:val="auto"/>
          <w:sz w:val="24"/>
          <w:szCs w:val="24"/>
          <w:highlight w:val="none"/>
        </w:rPr>
      </w:pPr>
    </w:p>
    <w:p w14:paraId="24C30A11">
      <w:pPr>
        <w:pStyle w:val="8"/>
        <w:spacing w:line="360" w:lineRule="auto"/>
        <w:ind w:left="840" w:firstLine="374" w:firstLineChars="156"/>
        <w:rPr>
          <w:rFonts w:ascii="宋体" w:hAnsi="宋体"/>
          <w:color w:val="auto"/>
          <w:sz w:val="24"/>
          <w:szCs w:val="24"/>
          <w:highlight w:val="none"/>
        </w:rPr>
      </w:pPr>
      <w:r>
        <w:rPr>
          <w:rFonts w:hint="eastAsia" w:ascii="宋体" w:hAnsi="宋体"/>
          <w:color w:val="auto"/>
          <w:sz w:val="24"/>
          <w:szCs w:val="24"/>
          <w:highlight w:val="none"/>
        </w:rPr>
        <w:t xml:space="preserve">              日期：    年   月   日</w:t>
      </w:r>
    </w:p>
    <w:p w14:paraId="075BED03">
      <w:pPr>
        <w:pStyle w:val="13"/>
        <w:snapToGrid w:val="0"/>
        <w:spacing w:beforeLines="0" w:afterLines="0" w:line="360" w:lineRule="auto"/>
        <w:rPr>
          <w:color w:val="auto"/>
          <w:highlight w:val="none"/>
        </w:rPr>
      </w:pPr>
    </w:p>
    <w:p w14:paraId="7C3345CE">
      <w:pPr>
        <w:pStyle w:val="8"/>
        <w:spacing w:line="500" w:lineRule="exact"/>
        <w:ind w:firstLine="0"/>
        <w:jc w:val="left"/>
        <w:rPr>
          <w:rFonts w:ascii="宋体" w:hAnsi="宋体"/>
          <w:color w:val="auto"/>
          <w:sz w:val="24"/>
          <w:szCs w:val="24"/>
          <w:highlight w:val="none"/>
          <w:u w:val="single"/>
        </w:rPr>
      </w:pPr>
    </w:p>
    <w:p w14:paraId="73B893E0">
      <w:pPr>
        <w:pStyle w:val="8"/>
        <w:spacing w:line="500" w:lineRule="exact"/>
        <w:ind w:firstLine="0"/>
        <w:jc w:val="left"/>
        <w:rPr>
          <w:rFonts w:ascii="宋体" w:hAnsi="宋体"/>
          <w:color w:val="auto"/>
          <w:sz w:val="24"/>
          <w:szCs w:val="24"/>
          <w:highlight w:val="none"/>
        </w:rPr>
      </w:pPr>
      <w:r>
        <w:rPr>
          <w:rFonts w:hint="eastAsia" w:ascii="宋体" w:hAnsi="宋体"/>
          <w:color w:val="auto"/>
          <w:sz w:val="24"/>
          <w:szCs w:val="24"/>
          <w:highlight w:val="none"/>
        </w:rPr>
        <w:t>____________________________________________________________________________</w:t>
      </w:r>
    </w:p>
    <w:p w14:paraId="1E3A1DAF">
      <w:pPr>
        <w:pStyle w:val="8"/>
        <w:spacing w:line="500" w:lineRule="exact"/>
        <w:ind w:firstLine="0"/>
        <w:jc w:val="left"/>
        <w:rPr>
          <w:rFonts w:ascii="宋体" w:hAnsi="宋体"/>
          <w:color w:val="auto"/>
          <w:sz w:val="24"/>
          <w:szCs w:val="24"/>
          <w:highlight w:val="none"/>
        </w:rPr>
      </w:pPr>
      <w:r>
        <w:rPr>
          <w:rFonts w:hint="eastAsia" w:ascii="宋体" w:hAnsi="宋体"/>
          <w:color w:val="auto"/>
          <w:sz w:val="24"/>
          <w:szCs w:val="24"/>
          <w:highlight w:val="none"/>
        </w:rPr>
        <w:t>代理费汇款账号：</w:t>
      </w:r>
    </w:p>
    <w:p w14:paraId="5B97D557">
      <w:pPr>
        <w:snapToGrid w:val="0"/>
        <w:jc w:val="left"/>
        <w:rPr>
          <w:rFonts w:ascii="宋体" w:hAnsi="宋体"/>
          <w:color w:val="auto"/>
          <w:sz w:val="24"/>
          <w:highlight w:val="none"/>
        </w:rPr>
      </w:pPr>
    </w:p>
    <w:p w14:paraId="1CBB41EB">
      <w:pPr>
        <w:snapToGrid w:val="0"/>
        <w:jc w:val="left"/>
        <w:rPr>
          <w:rFonts w:ascii="宋体" w:hAnsi="宋体"/>
          <w:color w:val="auto"/>
          <w:sz w:val="24"/>
          <w:highlight w:val="none"/>
        </w:rPr>
      </w:pPr>
    </w:p>
    <w:p w14:paraId="5185BB6F">
      <w:pPr>
        <w:pStyle w:val="13"/>
        <w:snapToGrid w:val="0"/>
        <w:spacing w:beforeLines="0" w:afterLines="0" w:line="360" w:lineRule="auto"/>
        <w:rPr>
          <w:rFonts w:hint="eastAsia" w:ascii="宋体" w:hAnsi="宋体"/>
          <w:color w:val="auto"/>
          <w:sz w:val="24"/>
          <w:highlight w:val="none"/>
        </w:rPr>
      </w:pPr>
      <w:r>
        <w:rPr>
          <w:rFonts w:hint="eastAsia" w:ascii="宋体" w:hAnsi="宋体"/>
          <w:color w:val="auto"/>
          <w:sz w:val="24"/>
          <w:highlight w:val="none"/>
        </w:rPr>
        <w:t>单位名称：浙江华耀建设咨询有限公司龙溪北路分公司</w:t>
      </w:r>
    </w:p>
    <w:p w14:paraId="1CB9F8F1">
      <w:pPr>
        <w:pStyle w:val="13"/>
        <w:snapToGrid w:val="0"/>
        <w:spacing w:beforeLines="0" w:afterLines="0" w:line="360" w:lineRule="auto"/>
        <w:rPr>
          <w:rFonts w:hint="eastAsia" w:ascii="宋体" w:hAnsi="宋体"/>
          <w:color w:val="auto"/>
          <w:sz w:val="24"/>
          <w:highlight w:val="none"/>
        </w:rPr>
      </w:pPr>
      <w:r>
        <w:rPr>
          <w:rFonts w:hint="eastAsia" w:ascii="宋体" w:hAnsi="宋体"/>
          <w:color w:val="auto"/>
          <w:sz w:val="24"/>
          <w:highlight w:val="none"/>
        </w:rPr>
        <w:t>开户银行：中国工商银行股份有限公司湖州经济开发区支行</w:t>
      </w:r>
    </w:p>
    <w:p w14:paraId="5FAE9581">
      <w:pPr>
        <w:pStyle w:val="13"/>
        <w:snapToGrid w:val="0"/>
        <w:spacing w:beforeLines="0" w:afterLines="0" w:line="360" w:lineRule="auto"/>
        <w:rPr>
          <w:rFonts w:hint="eastAsia" w:ascii="宋体" w:hAnsi="宋体"/>
          <w:color w:val="auto"/>
          <w:sz w:val="24"/>
          <w:highlight w:val="none"/>
        </w:rPr>
      </w:pPr>
      <w:r>
        <w:rPr>
          <w:rFonts w:hint="eastAsia" w:ascii="宋体" w:hAnsi="宋体"/>
          <w:color w:val="auto"/>
          <w:sz w:val="24"/>
          <w:highlight w:val="none"/>
        </w:rPr>
        <w:t>银行账号：1205210409001029749</w:t>
      </w:r>
    </w:p>
    <w:p w14:paraId="3ADE2748">
      <w:pPr>
        <w:pStyle w:val="13"/>
        <w:snapToGrid w:val="0"/>
        <w:spacing w:beforeLines="0" w:afterLines="0" w:line="360" w:lineRule="auto"/>
        <w:rPr>
          <w:color w:val="auto"/>
          <w:highlight w:val="none"/>
        </w:rPr>
      </w:pPr>
    </w:p>
    <w:p w14:paraId="69C1D3F0">
      <w:pPr>
        <w:tabs>
          <w:tab w:val="left" w:pos="1418"/>
        </w:tabs>
        <w:snapToGrid w:val="0"/>
        <w:spacing w:line="360" w:lineRule="auto"/>
        <w:ind w:left="1418" w:hanging="567"/>
        <w:jc w:val="center"/>
        <w:rPr>
          <w:rFonts w:ascii="宋体" w:hAnsi="宋体"/>
          <w:color w:val="auto"/>
          <w:spacing w:val="20"/>
          <w:sz w:val="24"/>
          <w:szCs w:val="20"/>
          <w:highlight w:val="none"/>
          <w:u w:val="single"/>
        </w:rPr>
        <w:sectPr>
          <w:headerReference r:id="rId5" w:type="first"/>
          <w:footerReference r:id="rId8" w:type="first"/>
          <w:headerReference r:id="rId4" w:type="default"/>
          <w:footerReference r:id="rId6" w:type="default"/>
          <w:footerReference r:id="rId7" w:type="even"/>
          <w:pgSz w:w="11906" w:h="16838"/>
          <w:pgMar w:top="1361" w:right="1361" w:bottom="1361" w:left="1361" w:header="851" w:footer="851" w:gutter="0"/>
          <w:cols w:space="720" w:num="1"/>
          <w:docGrid w:linePitch="312" w:charSpace="0"/>
        </w:sectPr>
      </w:pPr>
    </w:p>
    <w:p w14:paraId="66FE53A2">
      <w:pPr>
        <w:snapToGrid w:val="0"/>
        <w:spacing w:line="360" w:lineRule="auto"/>
        <w:rPr>
          <w:rFonts w:ascii="宋体" w:hAnsi="宋体"/>
          <w:b/>
          <w:color w:val="auto"/>
          <w:sz w:val="24"/>
          <w:highlight w:val="none"/>
        </w:rPr>
      </w:pPr>
      <w:r>
        <w:rPr>
          <w:rFonts w:hint="eastAsia" w:ascii="宋体" w:hAnsi="宋体"/>
          <w:b/>
          <w:color w:val="auto"/>
          <w:sz w:val="24"/>
          <w:highlight w:val="none"/>
        </w:rPr>
        <w:t xml:space="preserve">39.开标一览表 </w:t>
      </w:r>
    </w:p>
    <w:p w14:paraId="412FE595">
      <w:pPr>
        <w:snapToGrid w:val="0"/>
        <w:spacing w:line="360" w:lineRule="auto"/>
        <w:jc w:val="center"/>
        <w:rPr>
          <w:rFonts w:ascii="宋体" w:hAnsi="宋体"/>
          <w:b/>
          <w:color w:val="auto"/>
          <w:sz w:val="30"/>
          <w:szCs w:val="20"/>
          <w:highlight w:val="none"/>
        </w:rPr>
      </w:pPr>
      <w:r>
        <w:rPr>
          <w:rFonts w:hint="eastAsia" w:ascii="宋体" w:hAnsi="宋体"/>
          <w:b/>
          <w:color w:val="auto"/>
          <w:sz w:val="30"/>
          <w:highlight w:val="none"/>
        </w:rPr>
        <w:t>开标一览表</w:t>
      </w:r>
    </w:p>
    <w:p w14:paraId="7B517EDC">
      <w:pPr>
        <w:snapToGrid w:val="0"/>
        <w:spacing w:before="50" w:after="50"/>
        <w:rPr>
          <w:rFonts w:ascii="宋体" w:hAnsi="宋体"/>
          <w:color w:val="auto"/>
          <w:sz w:val="24"/>
          <w:szCs w:val="20"/>
          <w:highlight w:val="none"/>
        </w:rPr>
      </w:pPr>
      <w:r>
        <w:rPr>
          <w:rFonts w:hint="eastAsia" w:ascii="宋体" w:hAnsi="宋体"/>
          <w:color w:val="auto"/>
          <w:sz w:val="24"/>
          <w:highlight w:val="none"/>
        </w:rPr>
        <w:t>招标编号：项目名称：投标人名称：单位：元</w:t>
      </w:r>
    </w:p>
    <w:tbl>
      <w:tblPr>
        <w:tblStyle w:val="24"/>
        <w:tblW w:w="1063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35"/>
        <w:gridCol w:w="1855"/>
        <w:gridCol w:w="3071"/>
        <w:gridCol w:w="1978"/>
        <w:gridCol w:w="2597"/>
      </w:tblGrid>
      <w:tr w14:paraId="6E574E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1135" w:type="dxa"/>
            <w:tcBorders>
              <w:top w:val="single" w:color="auto" w:sz="4" w:space="0"/>
              <w:left w:val="single" w:color="auto" w:sz="4" w:space="0"/>
              <w:bottom w:val="single" w:color="auto" w:sz="4" w:space="0"/>
              <w:right w:val="single" w:color="auto" w:sz="4" w:space="0"/>
            </w:tcBorders>
            <w:vAlign w:val="center"/>
          </w:tcPr>
          <w:p w14:paraId="384B5DD7">
            <w:pPr>
              <w:snapToGrid w:val="0"/>
              <w:spacing w:before="50" w:after="50"/>
              <w:jc w:val="center"/>
              <w:rPr>
                <w:rFonts w:ascii="宋体" w:hAnsi="宋体"/>
                <w:b/>
                <w:color w:val="auto"/>
                <w:szCs w:val="30"/>
                <w:highlight w:val="none"/>
              </w:rPr>
            </w:pPr>
            <w:r>
              <w:rPr>
                <w:rFonts w:hint="eastAsia" w:ascii="宋体" w:hAnsi="宋体"/>
                <w:b/>
                <w:color w:val="auto"/>
                <w:szCs w:val="30"/>
                <w:highlight w:val="none"/>
              </w:rPr>
              <w:t>序号</w:t>
            </w:r>
          </w:p>
        </w:tc>
        <w:tc>
          <w:tcPr>
            <w:tcW w:w="1855" w:type="dxa"/>
            <w:tcBorders>
              <w:top w:val="single" w:color="auto" w:sz="4" w:space="0"/>
              <w:left w:val="single" w:color="auto" w:sz="4" w:space="0"/>
              <w:bottom w:val="single" w:color="auto" w:sz="4" w:space="0"/>
              <w:right w:val="single" w:color="auto" w:sz="4" w:space="0"/>
            </w:tcBorders>
            <w:vAlign w:val="center"/>
          </w:tcPr>
          <w:p w14:paraId="4C8A6868">
            <w:pPr>
              <w:snapToGrid w:val="0"/>
              <w:spacing w:before="50" w:after="50"/>
              <w:jc w:val="center"/>
              <w:rPr>
                <w:rFonts w:ascii="宋体" w:hAnsi="宋体"/>
                <w:b/>
                <w:color w:val="auto"/>
                <w:szCs w:val="30"/>
                <w:highlight w:val="none"/>
              </w:rPr>
            </w:pPr>
            <w:r>
              <w:rPr>
                <w:rFonts w:hint="eastAsia" w:ascii="宋体" w:hAnsi="宋体"/>
                <w:b/>
                <w:color w:val="auto"/>
                <w:szCs w:val="30"/>
                <w:highlight w:val="none"/>
              </w:rPr>
              <w:t>名称</w:t>
            </w:r>
          </w:p>
        </w:tc>
        <w:tc>
          <w:tcPr>
            <w:tcW w:w="3071" w:type="dxa"/>
            <w:tcBorders>
              <w:top w:val="single" w:color="auto" w:sz="4" w:space="0"/>
              <w:left w:val="single" w:color="auto" w:sz="4" w:space="0"/>
              <w:bottom w:val="single" w:color="auto" w:sz="4" w:space="0"/>
              <w:right w:val="single" w:color="auto" w:sz="4" w:space="0"/>
            </w:tcBorders>
            <w:vAlign w:val="center"/>
          </w:tcPr>
          <w:p w14:paraId="09F3A0BD">
            <w:pPr>
              <w:snapToGrid w:val="0"/>
              <w:spacing w:before="50" w:after="50"/>
              <w:jc w:val="center"/>
              <w:rPr>
                <w:rFonts w:ascii="宋体" w:hAnsi="宋体"/>
                <w:b/>
                <w:color w:val="auto"/>
                <w:szCs w:val="30"/>
                <w:highlight w:val="none"/>
              </w:rPr>
            </w:pPr>
            <w:r>
              <w:rPr>
                <w:rFonts w:hint="eastAsia" w:ascii="宋体" w:hAnsi="宋体"/>
                <w:b/>
                <w:color w:val="auto"/>
                <w:szCs w:val="30"/>
                <w:highlight w:val="none"/>
              </w:rPr>
              <w:t>数量</w:t>
            </w:r>
          </w:p>
        </w:tc>
        <w:tc>
          <w:tcPr>
            <w:tcW w:w="1978" w:type="dxa"/>
            <w:tcBorders>
              <w:top w:val="single" w:color="auto" w:sz="4" w:space="0"/>
              <w:left w:val="single" w:color="auto" w:sz="4" w:space="0"/>
              <w:bottom w:val="single" w:color="auto" w:sz="4" w:space="0"/>
              <w:right w:val="single" w:color="auto" w:sz="4" w:space="0"/>
            </w:tcBorders>
            <w:vAlign w:val="center"/>
          </w:tcPr>
          <w:p w14:paraId="2D4F2FC2">
            <w:pPr>
              <w:snapToGrid w:val="0"/>
              <w:spacing w:before="50" w:after="50"/>
              <w:jc w:val="center"/>
              <w:rPr>
                <w:rFonts w:ascii="宋体" w:hAnsi="宋体"/>
                <w:b/>
                <w:color w:val="auto"/>
                <w:szCs w:val="30"/>
                <w:highlight w:val="none"/>
              </w:rPr>
            </w:pPr>
            <w:r>
              <w:rPr>
                <w:rFonts w:hint="eastAsia" w:ascii="宋体" w:hAnsi="宋体"/>
                <w:b/>
                <w:color w:val="auto"/>
                <w:szCs w:val="30"/>
                <w:highlight w:val="none"/>
              </w:rPr>
              <w:t>单价</w:t>
            </w:r>
          </w:p>
        </w:tc>
        <w:tc>
          <w:tcPr>
            <w:tcW w:w="2597" w:type="dxa"/>
            <w:tcBorders>
              <w:top w:val="single" w:color="auto" w:sz="4" w:space="0"/>
              <w:left w:val="single" w:color="auto" w:sz="4" w:space="0"/>
              <w:bottom w:val="single" w:color="auto" w:sz="4" w:space="0"/>
              <w:right w:val="single" w:color="auto" w:sz="4" w:space="0"/>
            </w:tcBorders>
            <w:vAlign w:val="center"/>
          </w:tcPr>
          <w:p w14:paraId="6AA7C76A">
            <w:pPr>
              <w:snapToGrid w:val="0"/>
              <w:spacing w:before="50" w:after="50"/>
              <w:jc w:val="center"/>
              <w:rPr>
                <w:rFonts w:ascii="宋体" w:hAnsi="宋体"/>
                <w:b/>
                <w:color w:val="auto"/>
                <w:szCs w:val="30"/>
                <w:highlight w:val="none"/>
              </w:rPr>
            </w:pPr>
            <w:r>
              <w:rPr>
                <w:rFonts w:hint="eastAsia" w:ascii="宋体" w:hAnsi="宋体"/>
                <w:b/>
                <w:color w:val="auto"/>
                <w:szCs w:val="30"/>
                <w:highlight w:val="none"/>
              </w:rPr>
              <w:t>投标报价</w:t>
            </w:r>
          </w:p>
        </w:tc>
      </w:tr>
      <w:tr w14:paraId="56B4C2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1" w:hRule="atLeast"/>
          <w:jc w:val="center"/>
        </w:trPr>
        <w:tc>
          <w:tcPr>
            <w:tcW w:w="1135" w:type="dxa"/>
            <w:tcBorders>
              <w:top w:val="single" w:color="auto" w:sz="4" w:space="0"/>
              <w:left w:val="single" w:color="auto" w:sz="4" w:space="0"/>
              <w:bottom w:val="single" w:color="auto" w:sz="4" w:space="0"/>
              <w:right w:val="single" w:color="auto" w:sz="4" w:space="0"/>
            </w:tcBorders>
            <w:vAlign w:val="center"/>
          </w:tcPr>
          <w:p w14:paraId="5F879F11">
            <w:pPr>
              <w:snapToGrid w:val="0"/>
              <w:spacing w:before="50" w:after="50"/>
              <w:jc w:val="left"/>
              <w:rPr>
                <w:rFonts w:ascii="宋体" w:hAnsi="宋体"/>
                <w:bCs/>
                <w:color w:val="auto"/>
                <w:sz w:val="32"/>
                <w:szCs w:val="20"/>
                <w:highlight w:val="none"/>
              </w:rPr>
            </w:pPr>
          </w:p>
        </w:tc>
        <w:tc>
          <w:tcPr>
            <w:tcW w:w="1855" w:type="dxa"/>
            <w:tcBorders>
              <w:top w:val="single" w:color="auto" w:sz="4" w:space="0"/>
              <w:left w:val="single" w:color="auto" w:sz="4" w:space="0"/>
              <w:bottom w:val="single" w:color="auto" w:sz="4" w:space="0"/>
              <w:right w:val="single" w:color="auto" w:sz="4" w:space="0"/>
            </w:tcBorders>
            <w:vAlign w:val="center"/>
          </w:tcPr>
          <w:p w14:paraId="78D3CF9A">
            <w:pPr>
              <w:snapToGrid w:val="0"/>
              <w:spacing w:before="50" w:after="50"/>
              <w:jc w:val="center"/>
              <w:rPr>
                <w:rFonts w:ascii="宋体" w:hAnsi="宋体"/>
                <w:color w:val="auto"/>
                <w:sz w:val="32"/>
                <w:szCs w:val="21"/>
                <w:highlight w:val="none"/>
              </w:rPr>
            </w:pPr>
          </w:p>
        </w:tc>
        <w:tc>
          <w:tcPr>
            <w:tcW w:w="3071" w:type="dxa"/>
            <w:tcBorders>
              <w:top w:val="single" w:color="auto" w:sz="4" w:space="0"/>
              <w:left w:val="single" w:color="auto" w:sz="4" w:space="0"/>
              <w:bottom w:val="single" w:color="auto" w:sz="4" w:space="0"/>
              <w:right w:val="single" w:color="auto" w:sz="4" w:space="0"/>
            </w:tcBorders>
            <w:vAlign w:val="center"/>
          </w:tcPr>
          <w:p w14:paraId="17F79EC4">
            <w:pPr>
              <w:snapToGrid w:val="0"/>
              <w:spacing w:before="50" w:after="50"/>
              <w:jc w:val="center"/>
              <w:rPr>
                <w:rFonts w:ascii="宋体" w:hAnsi="宋体"/>
                <w:color w:val="auto"/>
                <w:sz w:val="32"/>
                <w:szCs w:val="21"/>
                <w:highlight w:val="none"/>
              </w:rPr>
            </w:pPr>
          </w:p>
        </w:tc>
        <w:tc>
          <w:tcPr>
            <w:tcW w:w="1978" w:type="dxa"/>
            <w:tcBorders>
              <w:top w:val="single" w:color="auto" w:sz="4" w:space="0"/>
              <w:left w:val="single" w:color="auto" w:sz="4" w:space="0"/>
              <w:bottom w:val="single" w:color="auto" w:sz="4" w:space="0"/>
              <w:right w:val="single" w:color="auto" w:sz="4" w:space="0"/>
            </w:tcBorders>
            <w:vAlign w:val="center"/>
          </w:tcPr>
          <w:p w14:paraId="7A7158B3">
            <w:pPr>
              <w:snapToGrid w:val="0"/>
              <w:spacing w:before="50" w:after="50"/>
              <w:rPr>
                <w:rFonts w:ascii="宋体" w:hAnsi="宋体"/>
                <w:color w:val="auto"/>
                <w:sz w:val="32"/>
                <w:szCs w:val="21"/>
                <w:highlight w:val="none"/>
              </w:rPr>
            </w:pPr>
          </w:p>
        </w:tc>
        <w:tc>
          <w:tcPr>
            <w:tcW w:w="2597" w:type="dxa"/>
            <w:tcBorders>
              <w:top w:val="single" w:color="auto" w:sz="4" w:space="0"/>
              <w:left w:val="single" w:color="auto" w:sz="4" w:space="0"/>
              <w:bottom w:val="single" w:color="auto" w:sz="4" w:space="0"/>
              <w:right w:val="single" w:color="auto" w:sz="4" w:space="0"/>
            </w:tcBorders>
            <w:vAlign w:val="center"/>
          </w:tcPr>
          <w:p w14:paraId="43C8B041">
            <w:pPr>
              <w:snapToGrid w:val="0"/>
              <w:spacing w:before="50" w:after="50"/>
              <w:rPr>
                <w:rFonts w:ascii="宋体" w:hAnsi="宋体"/>
                <w:color w:val="auto"/>
                <w:sz w:val="32"/>
                <w:szCs w:val="21"/>
                <w:highlight w:val="none"/>
              </w:rPr>
            </w:pPr>
          </w:p>
        </w:tc>
      </w:tr>
      <w:tr w14:paraId="29932B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9" w:hRule="atLeast"/>
          <w:jc w:val="center"/>
        </w:trPr>
        <w:tc>
          <w:tcPr>
            <w:tcW w:w="1135" w:type="dxa"/>
            <w:tcBorders>
              <w:top w:val="single" w:color="auto" w:sz="4" w:space="0"/>
              <w:left w:val="single" w:color="auto" w:sz="4" w:space="0"/>
              <w:bottom w:val="single" w:color="auto" w:sz="4" w:space="0"/>
              <w:right w:val="single" w:color="auto" w:sz="4" w:space="0"/>
            </w:tcBorders>
            <w:vAlign w:val="center"/>
          </w:tcPr>
          <w:p w14:paraId="5A9EAE63">
            <w:pPr>
              <w:snapToGrid w:val="0"/>
              <w:spacing w:before="50" w:after="50"/>
              <w:jc w:val="left"/>
              <w:rPr>
                <w:rFonts w:ascii="宋体" w:hAnsi="宋体"/>
                <w:bCs/>
                <w:color w:val="auto"/>
                <w:sz w:val="32"/>
                <w:szCs w:val="20"/>
                <w:highlight w:val="none"/>
              </w:rPr>
            </w:pPr>
          </w:p>
        </w:tc>
        <w:tc>
          <w:tcPr>
            <w:tcW w:w="1855" w:type="dxa"/>
            <w:tcBorders>
              <w:top w:val="single" w:color="auto" w:sz="4" w:space="0"/>
              <w:left w:val="single" w:color="auto" w:sz="4" w:space="0"/>
              <w:bottom w:val="single" w:color="auto" w:sz="4" w:space="0"/>
              <w:right w:val="single" w:color="auto" w:sz="4" w:space="0"/>
            </w:tcBorders>
            <w:vAlign w:val="center"/>
          </w:tcPr>
          <w:p w14:paraId="652DE37F">
            <w:pPr>
              <w:snapToGrid w:val="0"/>
              <w:spacing w:before="50" w:after="50"/>
              <w:jc w:val="center"/>
              <w:rPr>
                <w:rFonts w:ascii="宋体" w:hAnsi="宋体"/>
                <w:color w:val="auto"/>
                <w:sz w:val="32"/>
                <w:szCs w:val="21"/>
                <w:highlight w:val="none"/>
              </w:rPr>
            </w:pPr>
          </w:p>
        </w:tc>
        <w:tc>
          <w:tcPr>
            <w:tcW w:w="3071" w:type="dxa"/>
            <w:tcBorders>
              <w:top w:val="single" w:color="auto" w:sz="4" w:space="0"/>
              <w:left w:val="single" w:color="auto" w:sz="4" w:space="0"/>
              <w:bottom w:val="single" w:color="auto" w:sz="4" w:space="0"/>
              <w:right w:val="single" w:color="auto" w:sz="4" w:space="0"/>
            </w:tcBorders>
            <w:vAlign w:val="center"/>
          </w:tcPr>
          <w:p w14:paraId="77919B9F">
            <w:pPr>
              <w:snapToGrid w:val="0"/>
              <w:spacing w:before="50" w:after="50"/>
              <w:jc w:val="center"/>
              <w:rPr>
                <w:rFonts w:ascii="宋体" w:hAnsi="宋体"/>
                <w:color w:val="auto"/>
                <w:sz w:val="32"/>
                <w:szCs w:val="21"/>
                <w:highlight w:val="none"/>
              </w:rPr>
            </w:pPr>
          </w:p>
        </w:tc>
        <w:tc>
          <w:tcPr>
            <w:tcW w:w="1978" w:type="dxa"/>
            <w:tcBorders>
              <w:top w:val="single" w:color="auto" w:sz="4" w:space="0"/>
              <w:left w:val="single" w:color="auto" w:sz="4" w:space="0"/>
              <w:bottom w:val="single" w:color="auto" w:sz="4" w:space="0"/>
              <w:right w:val="single" w:color="auto" w:sz="4" w:space="0"/>
            </w:tcBorders>
            <w:vAlign w:val="center"/>
          </w:tcPr>
          <w:p w14:paraId="6EDA4ACE">
            <w:pPr>
              <w:snapToGrid w:val="0"/>
              <w:spacing w:before="50" w:after="50"/>
              <w:rPr>
                <w:rFonts w:ascii="宋体" w:hAnsi="宋体"/>
                <w:color w:val="auto"/>
                <w:sz w:val="32"/>
                <w:szCs w:val="21"/>
                <w:highlight w:val="none"/>
              </w:rPr>
            </w:pPr>
          </w:p>
        </w:tc>
        <w:tc>
          <w:tcPr>
            <w:tcW w:w="2597" w:type="dxa"/>
            <w:tcBorders>
              <w:top w:val="single" w:color="auto" w:sz="4" w:space="0"/>
              <w:left w:val="single" w:color="auto" w:sz="4" w:space="0"/>
              <w:bottom w:val="single" w:color="auto" w:sz="4" w:space="0"/>
              <w:right w:val="single" w:color="auto" w:sz="4" w:space="0"/>
            </w:tcBorders>
            <w:vAlign w:val="center"/>
          </w:tcPr>
          <w:p w14:paraId="09A7DA7C">
            <w:pPr>
              <w:snapToGrid w:val="0"/>
              <w:spacing w:before="50" w:after="50"/>
              <w:rPr>
                <w:rFonts w:ascii="宋体" w:hAnsi="宋体"/>
                <w:color w:val="auto"/>
                <w:sz w:val="32"/>
                <w:szCs w:val="21"/>
                <w:highlight w:val="none"/>
              </w:rPr>
            </w:pPr>
          </w:p>
        </w:tc>
      </w:tr>
      <w:tr w14:paraId="68D22D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3" w:hRule="atLeast"/>
          <w:jc w:val="center"/>
        </w:trPr>
        <w:tc>
          <w:tcPr>
            <w:tcW w:w="1135" w:type="dxa"/>
            <w:tcBorders>
              <w:top w:val="single" w:color="auto" w:sz="4" w:space="0"/>
              <w:left w:val="single" w:color="auto" w:sz="4" w:space="0"/>
              <w:bottom w:val="single" w:color="auto" w:sz="4" w:space="0"/>
              <w:right w:val="single" w:color="auto" w:sz="4" w:space="0"/>
            </w:tcBorders>
            <w:vAlign w:val="center"/>
          </w:tcPr>
          <w:p w14:paraId="5B9634CB">
            <w:pPr>
              <w:snapToGrid w:val="0"/>
              <w:spacing w:before="50" w:after="50"/>
              <w:jc w:val="left"/>
              <w:rPr>
                <w:rFonts w:ascii="宋体" w:hAnsi="宋体"/>
                <w:bCs/>
                <w:color w:val="auto"/>
                <w:sz w:val="24"/>
                <w:szCs w:val="20"/>
                <w:highlight w:val="none"/>
              </w:rPr>
            </w:pPr>
          </w:p>
        </w:tc>
        <w:tc>
          <w:tcPr>
            <w:tcW w:w="1855" w:type="dxa"/>
            <w:tcBorders>
              <w:top w:val="single" w:color="auto" w:sz="4" w:space="0"/>
              <w:left w:val="single" w:color="auto" w:sz="4" w:space="0"/>
              <w:bottom w:val="single" w:color="auto" w:sz="4" w:space="0"/>
              <w:right w:val="single" w:color="auto" w:sz="4" w:space="0"/>
            </w:tcBorders>
            <w:vAlign w:val="center"/>
          </w:tcPr>
          <w:p w14:paraId="77A50FCB">
            <w:pPr>
              <w:snapToGrid w:val="0"/>
              <w:spacing w:before="50" w:after="50"/>
              <w:jc w:val="center"/>
              <w:rPr>
                <w:rFonts w:ascii="宋体" w:hAnsi="宋体"/>
                <w:color w:val="auto"/>
                <w:sz w:val="24"/>
                <w:szCs w:val="21"/>
                <w:highlight w:val="none"/>
              </w:rPr>
            </w:pPr>
          </w:p>
        </w:tc>
        <w:tc>
          <w:tcPr>
            <w:tcW w:w="3071" w:type="dxa"/>
            <w:tcBorders>
              <w:top w:val="single" w:color="auto" w:sz="4" w:space="0"/>
              <w:left w:val="single" w:color="auto" w:sz="4" w:space="0"/>
              <w:bottom w:val="single" w:color="auto" w:sz="4" w:space="0"/>
              <w:right w:val="single" w:color="auto" w:sz="4" w:space="0"/>
            </w:tcBorders>
            <w:vAlign w:val="center"/>
          </w:tcPr>
          <w:p w14:paraId="2D3E23DE">
            <w:pPr>
              <w:snapToGrid w:val="0"/>
              <w:spacing w:before="50" w:after="50"/>
              <w:jc w:val="center"/>
              <w:rPr>
                <w:rFonts w:ascii="宋体" w:hAnsi="宋体"/>
                <w:color w:val="auto"/>
                <w:sz w:val="24"/>
                <w:szCs w:val="21"/>
                <w:highlight w:val="none"/>
              </w:rPr>
            </w:pPr>
          </w:p>
        </w:tc>
        <w:tc>
          <w:tcPr>
            <w:tcW w:w="1978" w:type="dxa"/>
            <w:tcBorders>
              <w:top w:val="single" w:color="auto" w:sz="4" w:space="0"/>
              <w:left w:val="single" w:color="auto" w:sz="4" w:space="0"/>
              <w:bottom w:val="single" w:color="auto" w:sz="4" w:space="0"/>
              <w:right w:val="single" w:color="auto" w:sz="4" w:space="0"/>
            </w:tcBorders>
            <w:vAlign w:val="center"/>
          </w:tcPr>
          <w:p w14:paraId="798C1F93">
            <w:pPr>
              <w:snapToGrid w:val="0"/>
              <w:spacing w:before="50" w:after="50"/>
              <w:rPr>
                <w:rFonts w:ascii="宋体" w:hAnsi="宋体"/>
                <w:color w:val="auto"/>
                <w:sz w:val="24"/>
                <w:szCs w:val="21"/>
                <w:highlight w:val="none"/>
              </w:rPr>
            </w:pPr>
          </w:p>
        </w:tc>
        <w:tc>
          <w:tcPr>
            <w:tcW w:w="2597" w:type="dxa"/>
            <w:tcBorders>
              <w:top w:val="single" w:color="auto" w:sz="4" w:space="0"/>
              <w:left w:val="single" w:color="auto" w:sz="4" w:space="0"/>
              <w:bottom w:val="single" w:color="auto" w:sz="4" w:space="0"/>
              <w:right w:val="single" w:color="auto" w:sz="4" w:space="0"/>
            </w:tcBorders>
            <w:vAlign w:val="center"/>
          </w:tcPr>
          <w:p w14:paraId="4B184191">
            <w:pPr>
              <w:snapToGrid w:val="0"/>
              <w:spacing w:before="50" w:after="50"/>
              <w:rPr>
                <w:rFonts w:ascii="宋体" w:hAnsi="宋体"/>
                <w:color w:val="auto"/>
                <w:sz w:val="24"/>
                <w:szCs w:val="21"/>
                <w:highlight w:val="none"/>
              </w:rPr>
            </w:pPr>
          </w:p>
        </w:tc>
      </w:tr>
      <w:tr w14:paraId="2E8F77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8039" w:type="dxa"/>
            <w:gridSpan w:val="4"/>
            <w:tcBorders>
              <w:top w:val="single" w:color="auto" w:sz="4" w:space="0"/>
              <w:left w:val="single" w:color="auto" w:sz="4" w:space="0"/>
              <w:bottom w:val="single" w:color="auto" w:sz="4" w:space="0"/>
              <w:right w:val="single" w:color="auto" w:sz="4" w:space="0"/>
            </w:tcBorders>
            <w:vAlign w:val="center"/>
          </w:tcPr>
          <w:p w14:paraId="4326A98C">
            <w:pPr>
              <w:snapToGrid w:val="0"/>
              <w:spacing w:before="50" w:after="50"/>
              <w:rPr>
                <w:rFonts w:ascii="宋体" w:hAnsi="宋体"/>
                <w:color w:val="auto"/>
                <w:sz w:val="24"/>
                <w:szCs w:val="21"/>
                <w:highlight w:val="none"/>
              </w:rPr>
            </w:pPr>
            <w:r>
              <w:rPr>
                <w:rFonts w:hint="eastAsia" w:ascii="宋体" w:hAnsi="宋体"/>
                <w:color w:val="auto"/>
                <w:sz w:val="24"/>
                <w:szCs w:val="21"/>
                <w:highlight w:val="none"/>
              </w:rPr>
              <w:t>投标费用及利润</w:t>
            </w:r>
          </w:p>
        </w:tc>
        <w:tc>
          <w:tcPr>
            <w:tcW w:w="2597" w:type="dxa"/>
            <w:tcBorders>
              <w:top w:val="single" w:color="auto" w:sz="4" w:space="0"/>
              <w:left w:val="single" w:color="auto" w:sz="4" w:space="0"/>
              <w:bottom w:val="single" w:color="auto" w:sz="4" w:space="0"/>
              <w:right w:val="single" w:color="auto" w:sz="4" w:space="0"/>
            </w:tcBorders>
            <w:vAlign w:val="center"/>
          </w:tcPr>
          <w:p w14:paraId="2240FCFF">
            <w:pPr>
              <w:snapToGrid w:val="0"/>
              <w:spacing w:before="50" w:after="50"/>
              <w:rPr>
                <w:rFonts w:ascii="宋体" w:hAnsi="宋体"/>
                <w:color w:val="auto"/>
                <w:sz w:val="24"/>
                <w:szCs w:val="21"/>
                <w:highlight w:val="none"/>
              </w:rPr>
            </w:pPr>
          </w:p>
        </w:tc>
      </w:tr>
      <w:tr w14:paraId="2E430F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10636" w:type="dxa"/>
            <w:gridSpan w:val="5"/>
            <w:tcBorders>
              <w:top w:val="single" w:color="auto" w:sz="4" w:space="0"/>
              <w:left w:val="single" w:color="auto" w:sz="4" w:space="0"/>
              <w:bottom w:val="single" w:color="auto" w:sz="4" w:space="0"/>
              <w:right w:val="single" w:color="auto" w:sz="4" w:space="0"/>
            </w:tcBorders>
            <w:vAlign w:val="center"/>
          </w:tcPr>
          <w:p w14:paraId="5BA9B7A1">
            <w:pPr>
              <w:snapToGrid w:val="0"/>
              <w:spacing w:before="50" w:after="50"/>
              <w:rPr>
                <w:rFonts w:ascii="宋体" w:hAnsi="宋体"/>
                <w:color w:val="auto"/>
                <w:sz w:val="24"/>
                <w:szCs w:val="21"/>
                <w:highlight w:val="none"/>
                <w:u w:val="single"/>
              </w:rPr>
            </w:pPr>
            <w:r>
              <w:rPr>
                <w:rFonts w:hint="eastAsia" w:ascii="宋体" w:hAnsi="宋体"/>
                <w:color w:val="auto"/>
                <w:sz w:val="24"/>
                <w:szCs w:val="21"/>
                <w:highlight w:val="none"/>
              </w:rPr>
              <w:t>合计金额大写：</w:t>
            </w:r>
            <w:r>
              <w:rPr>
                <w:rFonts w:hint="eastAsia"/>
                <w:color w:val="auto"/>
                <w:sz w:val="24"/>
                <w:highlight w:val="none"/>
              </w:rPr>
              <w:t>人民币元￥</w:t>
            </w:r>
          </w:p>
        </w:tc>
      </w:tr>
    </w:tbl>
    <w:p w14:paraId="478ABB6E">
      <w:pPr>
        <w:snapToGrid w:val="0"/>
        <w:spacing w:before="50" w:after="50"/>
        <w:jc w:val="left"/>
        <w:rPr>
          <w:rFonts w:ascii="宋体" w:hAnsi="宋体"/>
          <w:color w:val="auto"/>
          <w:sz w:val="24"/>
          <w:szCs w:val="20"/>
          <w:highlight w:val="none"/>
        </w:rPr>
      </w:pPr>
      <w:r>
        <w:rPr>
          <w:rFonts w:hint="eastAsia" w:ascii="宋体" w:hAnsi="宋体"/>
          <w:color w:val="auto"/>
          <w:sz w:val="24"/>
          <w:highlight w:val="none"/>
        </w:rPr>
        <w:t>注</w:t>
      </w:r>
      <w:r>
        <w:rPr>
          <w:rFonts w:hint="eastAsia" w:ascii="宋体" w:hAnsi="宋体"/>
          <w:color w:val="auto"/>
          <w:sz w:val="24"/>
          <w:highlight w:val="none"/>
          <w:lang w:eastAsia="zh-CN"/>
        </w:rPr>
        <w:t>：</w:t>
      </w:r>
      <w:r>
        <w:rPr>
          <w:rFonts w:ascii="宋体" w:hAnsi="宋体"/>
          <w:color w:val="auto"/>
          <w:sz w:val="24"/>
          <w:highlight w:val="none"/>
        </w:rPr>
        <w:t xml:space="preserve"> 1</w:t>
      </w:r>
      <w:r>
        <w:rPr>
          <w:rFonts w:hint="eastAsia" w:ascii="宋体" w:hAnsi="宋体"/>
          <w:color w:val="auto"/>
          <w:sz w:val="24"/>
          <w:highlight w:val="none"/>
        </w:rPr>
        <w:t>、报价一经涂改，应在涂改处加盖单位公章或者由法定代表人或授权委托人签字或盖章，否则其投标作无效标处理。</w:t>
      </w:r>
    </w:p>
    <w:p w14:paraId="49DFDF89">
      <w:pPr>
        <w:snapToGrid w:val="0"/>
        <w:spacing w:before="50" w:after="50"/>
        <w:ind w:firstLine="480" w:firstLineChars="200"/>
        <w:jc w:val="left"/>
        <w:rPr>
          <w:rFonts w:ascii="宋体" w:hAnsi="宋体"/>
          <w:color w:val="auto"/>
          <w:sz w:val="24"/>
          <w:szCs w:val="20"/>
          <w:highlight w:val="none"/>
        </w:rPr>
      </w:pPr>
      <w:r>
        <w:rPr>
          <w:rFonts w:ascii="宋体" w:hAnsi="宋体"/>
          <w:color w:val="auto"/>
          <w:sz w:val="24"/>
          <w:highlight w:val="none"/>
        </w:rPr>
        <w:t>2</w:t>
      </w:r>
      <w:r>
        <w:rPr>
          <w:rFonts w:hint="eastAsia" w:ascii="宋体" w:hAnsi="宋体"/>
          <w:color w:val="auto"/>
          <w:sz w:val="24"/>
          <w:highlight w:val="none"/>
        </w:rPr>
        <w:t>、投标费用包括项目实施所需的人工费、服务费、运输费、安装调试费、购买及制作标书费、税费及其他一切费用。</w:t>
      </w:r>
    </w:p>
    <w:p w14:paraId="27A45530">
      <w:pPr>
        <w:snapToGrid w:val="0"/>
        <w:spacing w:before="50" w:after="50"/>
        <w:ind w:firstLine="480" w:firstLineChars="200"/>
        <w:jc w:val="left"/>
        <w:rPr>
          <w:rFonts w:ascii="宋体" w:hAnsi="宋体"/>
          <w:color w:val="auto"/>
          <w:sz w:val="24"/>
          <w:szCs w:val="20"/>
          <w:highlight w:val="none"/>
        </w:rPr>
      </w:pPr>
      <w:r>
        <w:rPr>
          <w:rFonts w:hint="eastAsia" w:ascii="宋体" w:hAnsi="宋体"/>
          <w:color w:val="auto"/>
          <w:sz w:val="24"/>
          <w:highlight w:val="none"/>
        </w:rPr>
        <w:t>3、以上报价应与“投标报价明细表”中的“投标总价”相一致。</w:t>
      </w:r>
    </w:p>
    <w:p w14:paraId="654D8B21">
      <w:pPr>
        <w:snapToGrid w:val="0"/>
        <w:spacing w:before="50" w:after="50"/>
        <w:ind w:firstLine="480" w:firstLineChars="200"/>
        <w:rPr>
          <w:rFonts w:ascii="宋体" w:hAnsi="宋体"/>
          <w:color w:val="auto"/>
          <w:sz w:val="24"/>
          <w:szCs w:val="20"/>
          <w:highlight w:val="none"/>
        </w:rPr>
      </w:pPr>
    </w:p>
    <w:p w14:paraId="235A7628">
      <w:pPr>
        <w:spacing w:line="360" w:lineRule="auto"/>
        <w:rPr>
          <w:color w:val="auto"/>
          <w:sz w:val="28"/>
          <w:szCs w:val="28"/>
          <w:highlight w:val="none"/>
        </w:rPr>
      </w:pPr>
    </w:p>
    <w:p w14:paraId="0000CC6B">
      <w:pPr>
        <w:spacing w:line="360" w:lineRule="auto"/>
        <w:rPr>
          <w:color w:val="auto"/>
          <w:sz w:val="28"/>
          <w:szCs w:val="28"/>
          <w:highlight w:val="none"/>
        </w:rPr>
      </w:pPr>
      <w:r>
        <w:rPr>
          <w:rFonts w:hint="eastAsia"/>
          <w:color w:val="auto"/>
          <w:sz w:val="28"/>
          <w:szCs w:val="28"/>
          <w:highlight w:val="none"/>
        </w:rPr>
        <w:t>附件：</w:t>
      </w:r>
      <w:r>
        <w:rPr>
          <w:color w:val="auto"/>
          <w:sz w:val="28"/>
          <w:szCs w:val="28"/>
          <w:highlight w:val="none"/>
        </w:rPr>
        <w:t xml:space="preserve"> “</w:t>
      </w:r>
      <w:r>
        <w:rPr>
          <w:rFonts w:hint="eastAsia"/>
          <w:color w:val="auto"/>
          <w:sz w:val="28"/>
          <w:szCs w:val="28"/>
          <w:highlight w:val="none"/>
        </w:rPr>
        <w:t>信用中国</w:t>
      </w:r>
      <w:r>
        <w:rPr>
          <w:color w:val="auto"/>
          <w:sz w:val="28"/>
          <w:szCs w:val="28"/>
          <w:highlight w:val="none"/>
        </w:rPr>
        <w:t>”</w:t>
      </w:r>
      <w:r>
        <w:rPr>
          <w:rFonts w:hint="eastAsia"/>
          <w:color w:val="auto"/>
          <w:sz w:val="28"/>
          <w:szCs w:val="28"/>
          <w:highlight w:val="none"/>
        </w:rPr>
        <w:t>（</w:t>
      </w:r>
      <w:r>
        <w:rPr>
          <w:color w:val="auto"/>
          <w:sz w:val="28"/>
          <w:szCs w:val="28"/>
          <w:highlight w:val="none"/>
        </w:rPr>
        <w:t>www.creditchina.gov.cn</w:t>
      </w:r>
      <w:r>
        <w:rPr>
          <w:rFonts w:hint="eastAsia"/>
          <w:color w:val="auto"/>
          <w:sz w:val="28"/>
          <w:szCs w:val="28"/>
          <w:highlight w:val="none"/>
        </w:rPr>
        <w:t>）、</w:t>
      </w:r>
      <w:r>
        <w:rPr>
          <w:color w:val="auto"/>
          <w:sz w:val="28"/>
          <w:szCs w:val="28"/>
          <w:highlight w:val="none"/>
        </w:rPr>
        <w:t>“</w:t>
      </w:r>
      <w:r>
        <w:rPr>
          <w:rFonts w:hint="eastAsia"/>
          <w:color w:val="auto"/>
          <w:sz w:val="28"/>
          <w:szCs w:val="28"/>
          <w:highlight w:val="none"/>
        </w:rPr>
        <w:t>中国政府采购网</w:t>
      </w:r>
      <w:r>
        <w:rPr>
          <w:color w:val="auto"/>
          <w:sz w:val="28"/>
          <w:szCs w:val="28"/>
          <w:highlight w:val="none"/>
        </w:rPr>
        <w:t>”</w:t>
      </w:r>
      <w:r>
        <w:rPr>
          <w:rFonts w:hint="eastAsia"/>
          <w:color w:val="auto"/>
          <w:sz w:val="28"/>
          <w:szCs w:val="28"/>
          <w:highlight w:val="none"/>
        </w:rPr>
        <w:t>（</w:t>
      </w:r>
      <w:r>
        <w:rPr>
          <w:color w:val="auto"/>
          <w:sz w:val="28"/>
          <w:szCs w:val="28"/>
          <w:highlight w:val="none"/>
        </w:rPr>
        <w:t>www.ccgp.gov.cn</w:t>
      </w:r>
      <w:r>
        <w:rPr>
          <w:rFonts w:hint="eastAsia"/>
          <w:color w:val="auto"/>
          <w:sz w:val="28"/>
          <w:szCs w:val="28"/>
          <w:highlight w:val="none"/>
        </w:rPr>
        <w:t>）网页截图</w:t>
      </w:r>
      <w:r>
        <w:rPr>
          <w:color w:val="auto"/>
          <w:sz w:val="28"/>
          <w:szCs w:val="28"/>
          <w:highlight w:val="none"/>
        </w:rPr>
        <w:t>模板</w:t>
      </w:r>
    </w:p>
    <w:p w14:paraId="1994D520">
      <w:pPr>
        <w:spacing w:line="360" w:lineRule="auto"/>
        <w:rPr>
          <w:i/>
          <w:color w:val="auto"/>
          <w:sz w:val="28"/>
          <w:szCs w:val="28"/>
          <w:highlight w:val="none"/>
        </w:rPr>
      </w:pPr>
      <w:r>
        <w:rPr>
          <w:color w:val="auto"/>
          <w:highlight w:val="none"/>
        </w:rPr>
        <w:drawing>
          <wp:inline distT="0" distB="0" distL="114300" distR="114300">
            <wp:extent cx="4464685" cy="7567930"/>
            <wp:effectExtent l="0" t="0" r="13970" b="1206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1"/>
                    <a:stretch>
                      <a:fillRect/>
                    </a:stretch>
                  </pic:blipFill>
                  <pic:spPr>
                    <a:xfrm rot="5400000">
                      <a:off x="0" y="0"/>
                      <a:ext cx="4464685" cy="7567930"/>
                    </a:xfrm>
                    <a:prstGeom prst="rect">
                      <a:avLst/>
                    </a:prstGeom>
                    <a:noFill/>
                    <a:ln>
                      <a:noFill/>
                    </a:ln>
                  </pic:spPr>
                </pic:pic>
              </a:graphicData>
            </a:graphic>
          </wp:inline>
        </w:drawing>
      </w:r>
    </w:p>
    <w:p w14:paraId="375D2CAD">
      <w:pPr>
        <w:spacing w:line="360" w:lineRule="auto"/>
        <w:rPr>
          <w:color w:val="auto"/>
          <w:highlight w:val="none"/>
        </w:rPr>
      </w:pPr>
      <w:r>
        <w:rPr>
          <w:color w:val="auto"/>
          <w:highlight w:val="none"/>
        </w:rPr>
        <w:drawing>
          <wp:inline distT="0" distB="0" distL="114300" distR="114300">
            <wp:extent cx="4542790" cy="7227570"/>
            <wp:effectExtent l="0" t="0" r="11430" b="1016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2"/>
                    <a:stretch>
                      <a:fillRect/>
                    </a:stretch>
                  </pic:blipFill>
                  <pic:spPr>
                    <a:xfrm rot="5400000">
                      <a:off x="0" y="0"/>
                      <a:ext cx="4542790" cy="7227570"/>
                    </a:xfrm>
                    <a:prstGeom prst="rect">
                      <a:avLst/>
                    </a:prstGeom>
                    <a:noFill/>
                    <a:ln>
                      <a:noFill/>
                    </a:ln>
                  </pic:spPr>
                </pic:pic>
              </a:graphicData>
            </a:graphic>
          </wp:inline>
        </w:drawing>
      </w:r>
    </w:p>
    <w:p w14:paraId="49C64FDA">
      <w:pPr>
        <w:rPr>
          <w:color w:val="auto"/>
          <w:highlight w:val="none"/>
        </w:rPr>
      </w:pPr>
    </w:p>
    <w:p w14:paraId="1E07433D">
      <w:pPr>
        <w:rPr>
          <w:color w:val="auto"/>
          <w:highlight w:val="none"/>
        </w:rPr>
      </w:pPr>
    </w:p>
    <w:sectPr>
      <w:pgSz w:w="16838" w:h="11906" w:orient="landscape"/>
      <w:pgMar w:top="1361" w:right="1361" w:bottom="1361" w:left="1361"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创艺简标宋">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TimesNewRomanPSMT">
    <w:altName w:val="Times New Roman"/>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04F2E1">
    <w:pPr>
      <w:pStyle w:val="17"/>
      <w:framePr w:wrap="around" w:vAnchor="text" w:hAnchor="margin" w:xAlign="outside" w:y="1"/>
      <w:rPr>
        <w:rStyle w:val="27"/>
        <w:rFonts w:ascii="宋体" w:hAnsi="宋体"/>
        <w:sz w:val="28"/>
        <w:szCs w:val="28"/>
      </w:rPr>
    </w:pPr>
  </w:p>
  <w:p w14:paraId="2AD7388F">
    <w:pPr>
      <w:pStyle w:val="17"/>
      <w:ind w:right="720" w:firstLine="240" w:firstLineChars="100"/>
      <w:jc w:val="center"/>
      <w:rPr>
        <w:sz w:val="24"/>
        <w:szCs w:val="24"/>
      </w:rPr>
    </w:pPr>
    <w:r>
      <w:rPr>
        <w:sz w:val="24"/>
        <w:szCs w:val="24"/>
      </w:rPr>
      <w:t xml:space="preserve">- </w:t>
    </w:r>
    <w:r>
      <w:rPr>
        <w:sz w:val="24"/>
        <w:szCs w:val="24"/>
      </w:rPr>
      <w:fldChar w:fldCharType="begin"/>
    </w:r>
    <w:r>
      <w:rPr>
        <w:sz w:val="24"/>
        <w:szCs w:val="24"/>
      </w:rPr>
      <w:instrText xml:space="preserve"> PAGE </w:instrText>
    </w:r>
    <w:r>
      <w:rPr>
        <w:sz w:val="24"/>
        <w:szCs w:val="24"/>
      </w:rPr>
      <w:fldChar w:fldCharType="separate"/>
    </w:r>
    <w:r>
      <w:rPr>
        <w:sz w:val="24"/>
        <w:szCs w:val="24"/>
      </w:rPr>
      <w:t>63</w:t>
    </w:r>
    <w:r>
      <w:rPr>
        <w:sz w:val="24"/>
        <w:szCs w:val="24"/>
      </w:rPr>
      <w:fldChar w:fldCharType="end"/>
    </w:r>
    <w:r>
      <w:rPr>
        <w:sz w:val="24"/>
        <w:szCs w:val="24"/>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18828A">
    <w:pPr>
      <w:pStyle w:val="17"/>
      <w:framePr w:wrap="around" w:vAnchor="text" w:hAnchor="margin" w:xAlign="outside" w:y="1"/>
      <w:rPr>
        <w:rStyle w:val="27"/>
      </w:rPr>
    </w:pPr>
    <w:r>
      <w:fldChar w:fldCharType="begin"/>
    </w:r>
    <w:r>
      <w:rPr>
        <w:rStyle w:val="27"/>
      </w:rPr>
      <w:instrText xml:space="preserve">PAGE  </w:instrText>
    </w:r>
    <w:r>
      <w:fldChar w:fldCharType="end"/>
    </w:r>
  </w:p>
  <w:p w14:paraId="09C6F9E3">
    <w:pPr>
      <w:pStyle w:val="17"/>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9FD7C">
    <w:pPr>
      <w:pStyle w:val="17"/>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53402">
    <w:pPr>
      <w:pStyle w:val="13"/>
      <w:snapToGrid w:val="0"/>
      <w:spacing w:beforeLines="0" w:afterLines="0" w:line="360" w:lineRule="auto"/>
      <w:rPr>
        <w:rFonts w:hAnsi="宋体"/>
        <w:szCs w:val="21"/>
        <w:u w:val="single"/>
      </w:rPr>
    </w:pPr>
    <w:r>
      <w:rPr>
        <w:rFonts w:hint="eastAsia" w:cs="Arial"/>
        <w:sz w:val="18"/>
        <w:szCs w:val="18"/>
        <w:u w:val="single"/>
      </w:rPr>
      <w:t>湖州市中心医院2025-2028年医院安防服务招标项目</w:t>
    </w:r>
    <w:r>
      <w:rPr>
        <w:rFonts w:hint="eastAsia" w:cs="Arial"/>
        <w:sz w:val="18"/>
        <w:szCs w:val="18"/>
        <w:u w:val="single"/>
        <w:lang w:val="en-US" w:eastAsia="zh-CN"/>
      </w:rPr>
      <w:t xml:space="preserve">                                                   </w:t>
    </w:r>
    <w:r>
      <w:rPr>
        <w:rFonts w:hint="eastAsia" w:hAnsi="宋体" w:cs="Arial"/>
        <w:sz w:val="18"/>
        <w:szCs w:val="18"/>
        <w:u w:val="single"/>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AC73A">
    <w:pPr>
      <w:pStyle w:val="13"/>
      <w:snapToGrid w:val="0"/>
      <w:spacing w:beforeLines="0" w:afterLines="0" w:line="360" w:lineRule="auto"/>
      <w:rPr>
        <w:rFonts w:hAnsi="宋体"/>
        <w:szCs w:val="21"/>
        <w:u w:val="single"/>
      </w:rPr>
    </w:pPr>
    <w:r>
      <w:rPr>
        <w:rFonts w:hint="eastAsia" w:cs="Arial"/>
        <w:szCs w:val="21"/>
        <w:u w:val="single"/>
      </w:rPr>
      <w:t>湖州市中心医院2025-202</w:t>
    </w:r>
    <w:r>
      <w:rPr>
        <w:rFonts w:hint="eastAsia" w:cs="Arial"/>
        <w:szCs w:val="21"/>
        <w:u w:val="single"/>
        <w:lang w:val="en-US" w:eastAsia="zh-CN"/>
      </w:rPr>
      <w:t>8</w:t>
    </w:r>
    <w:r>
      <w:rPr>
        <w:rFonts w:hint="eastAsia" w:cs="Arial"/>
        <w:szCs w:val="21"/>
        <w:u w:val="single"/>
      </w:rPr>
      <w:t>年医院安防服务招标项目                               招标文</w:t>
    </w:r>
    <w:r>
      <w:rPr>
        <w:rFonts w:hint="eastAsia" w:hAnsi="宋体" w:cs="Arial"/>
        <w:szCs w:val="21"/>
        <w:u w:val="single"/>
      </w:rPr>
      <w:t>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81DC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10CCC8"/>
    <w:multiLevelType w:val="singleLevel"/>
    <w:tmpl w:val="9010CCC8"/>
    <w:lvl w:ilvl="0" w:tentative="0">
      <w:start w:val="1"/>
      <w:numFmt w:val="decimal"/>
      <w:suff w:val="nothing"/>
      <w:lvlText w:val="%1、"/>
      <w:lvlJc w:val="left"/>
    </w:lvl>
  </w:abstractNum>
  <w:abstractNum w:abstractNumId="1">
    <w:nsid w:val="BFFF255A"/>
    <w:multiLevelType w:val="singleLevel"/>
    <w:tmpl w:val="BFFF255A"/>
    <w:lvl w:ilvl="0" w:tentative="0">
      <w:start w:val="1"/>
      <w:numFmt w:val="decimal"/>
      <w:suff w:val="nothing"/>
      <w:lvlText w:val="%1、"/>
      <w:lvlJc w:val="left"/>
    </w:lvl>
  </w:abstractNum>
  <w:abstractNum w:abstractNumId="2">
    <w:nsid w:val="D4FB3F57"/>
    <w:multiLevelType w:val="singleLevel"/>
    <w:tmpl w:val="D4FB3F57"/>
    <w:lvl w:ilvl="0" w:tentative="0">
      <w:start w:val="1"/>
      <w:numFmt w:val="decimal"/>
      <w:suff w:val="nothing"/>
      <w:lvlText w:val="%1、"/>
      <w:lvlJc w:val="left"/>
    </w:lvl>
  </w:abstractNum>
  <w:abstractNum w:abstractNumId="3">
    <w:nsid w:val="EEE669B5"/>
    <w:multiLevelType w:val="singleLevel"/>
    <w:tmpl w:val="EEE669B5"/>
    <w:lvl w:ilvl="0" w:tentative="0">
      <w:start w:val="1"/>
      <w:numFmt w:val="decimal"/>
      <w:suff w:val="nothing"/>
      <w:lvlText w:val="%1、"/>
      <w:lvlJc w:val="left"/>
    </w:lvl>
  </w:abstractNum>
  <w:abstractNum w:abstractNumId="4">
    <w:nsid w:val="00000001"/>
    <w:multiLevelType w:val="multilevel"/>
    <w:tmpl w:val="00000001"/>
    <w:lvl w:ilvl="0" w:tentative="0">
      <w:start w:val="1"/>
      <w:numFmt w:val="japaneseCounting"/>
      <w:lvlText w:val="第%1章"/>
      <w:lvlJc w:val="left"/>
      <w:pPr>
        <w:tabs>
          <w:tab w:val="left" w:pos="1440"/>
        </w:tabs>
        <w:ind w:left="1440" w:hanging="1275"/>
      </w:pPr>
      <w:rPr>
        <w:rFonts w:hint="eastAsia"/>
      </w:rPr>
    </w:lvl>
    <w:lvl w:ilvl="1" w:tentative="0">
      <w:start w:val="1"/>
      <w:numFmt w:val="japaneseCounting"/>
      <w:lvlText w:val="%2、"/>
      <w:lvlJc w:val="left"/>
      <w:pPr>
        <w:tabs>
          <w:tab w:val="left" w:pos="1305"/>
        </w:tabs>
        <w:ind w:left="1305" w:hanging="720"/>
      </w:pPr>
      <w:rPr>
        <w:rFonts w:hint="eastAsia"/>
      </w:r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abstractNum w:abstractNumId="5">
    <w:nsid w:val="1CEB8A56"/>
    <w:multiLevelType w:val="singleLevel"/>
    <w:tmpl w:val="1CEB8A56"/>
    <w:lvl w:ilvl="0" w:tentative="0">
      <w:start w:val="1"/>
      <w:numFmt w:val="decimal"/>
      <w:suff w:val="nothing"/>
      <w:lvlText w:val="（%1）"/>
      <w:lvlJc w:val="left"/>
    </w:lvl>
  </w:abstractNum>
  <w:abstractNum w:abstractNumId="6">
    <w:nsid w:val="56F656F8"/>
    <w:multiLevelType w:val="singleLevel"/>
    <w:tmpl w:val="56F656F8"/>
    <w:lvl w:ilvl="0" w:tentative="0">
      <w:start w:val="1"/>
      <w:numFmt w:val="decimal"/>
      <w:pStyle w:val="7"/>
      <w:lvlText w:val="%1."/>
      <w:lvlJc w:val="left"/>
      <w:pPr>
        <w:tabs>
          <w:tab w:val="left" w:pos="360"/>
        </w:tabs>
        <w:ind w:left="360" w:hanging="360"/>
      </w:pPr>
    </w:lvl>
  </w:abstractNum>
  <w:abstractNum w:abstractNumId="7">
    <w:nsid w:val="66482A15"/>
    <w:multiLevelType w:val="multilevel"/>
    <w:tmpl w:val="66482A15"/>
    <w:lvl w:ilvl="0" w:tentative="0">
      <w:start w:val="1"/>
      <w:numFmt w:val="decimalEnclosedCircle"/>
      <w:lvlText w:val="%1"/>
      <w:lvlJc w:val="left"/>
      <w:pPr>
        <w:ind w:left="360" w:hanging="360"/>
      </w:pPr>
      <w:rPr>
        <w:rFonts w:hint="default" w:ascii="宋体" w:hAnsi="宋体" w:eastAsia="宋体" w:cs="TimesNewRomanPSM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6EBEEBEF"/>
    <w:multiLevelType w:val="singleLevel"/>
    <w:tmpl w:val="6EBEEBEF"/>
    <w:lvl w:ilvl="0" w:tentative="0">
      <w:start w:val="1"/>
      <w:numFmt w:val="decimal"/>
      <w:suff w:val="nothing"/>
      <w:lvlText w:val="（%1）"/>
      <w:lvlJc w:val="left"/>
    </w:lvl>
  </w:abstractNum>
  <w:abstractNum w:abstractNumId="9">
    <w:nsid w:val="6FFDBDCF"/>
    <w:multiLevelType w:val="singleLevel"/>
    <w:tmpl w:val="6FFDBDCF"/>
    <w:lvl w:ilvl="0" w:tentative="0">
      <w:start w:val="1"/>
      <w:numFmt w:val="chineseCounting"/>
      <w:suff w:val="nothing"/>
      <w:lvlText w:val="%1、"/>
      <w:lvlJc w:val="left"/>
      <w:pPr>
        <w:ind w:left="240" w:firstLine="0"/>
      </w:pPr>
      <w:rPr>
        <w:rFonts w:hint="eastAsia"/>
      </w:rPr>
    </w:lvl>
  </w:abstractNum>
  <w:num w:numId="1">
    <w:abstractNumId w:val="6"/>
  </w:num>
  <w:num w:numId="2">
    <w:abstractNumId w:val="4"/>
    <w:lvlOverride w:ilvl="0">
      <w:startOverride w:val="1"/>
    </w:lvlOverride>
  </w:num>
  <w:num w:numId="3">
    <w:abstractNumId w:val="5"/>
  </w:num>
  <w:num w:numId="4">
    <w:abstractNumId w:val="2"/>
  </w:num>
  <w:num w:numId="5">
    <w:abstractNumId w:val="0"/>
  </w:num>
  <w:num w:numId="6">
    <w:abstractNumId w:val="9"/>
  </w:num>
  <w:num w:numId="7">
    <w:abstractNumId w:val="3"/>
  </w:num>
  <w:num w:numId="8">
    <w:abstractNumId w:val="1"/>
  </w:num>
  <w:num w:numId="9">
    <w:abstractNumId w:val="8"/>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I3YzJlMmZmMDkwMzU3M2RlN2ZjMTllNmYwMDAxODAifQ=="/>
  </w:docVars>
  <w:rsids>
    <w:rsidRoot w:val="28232F7C"/>
    <w:rsid w:val="00000701"/>
    <w:rsid w:val="000045D3"/>
    <w:rsid w:val="00006338"/>
    <w:rsid w:val="00016C33"/>
    <w:rsid w:val="00021634"/>
    <w:rsid w:val="00021FF8"/>
    <w:rsid w:val="00035F22"/>
    <w:rsid w:val="00041A43"/>
    <w:rsid w:val="000776F2"/>
    <w:rsid w:val="0008013B"/>
    <w:rsid w:val="00085BFC"/>
    <w:rsid w:val="00092169"/>
    <w:rsid w:val="000B5F7D"/>
    <w:rsid w:val="000C527E"/>
    <w:rsid w:val="000C6F88"/>
    <w:rsid w:val="000E2A70"/>
    <w:rsid w:val="00107581"/>
    <w:rsid w:val="001112B3"/>
    <w:rsid w:val="0013220D"/>
    <w:rsid w:val="00154530"/>
    <w:rsid w:val="00155AF0"/>
    <w:rsid w:val="00155E2D"/>
    <w:rsid w:val="001735C2"/>
    <w:rsid w:val="00181A69"/>
    <w:rsid w:val="001860E1"/>
    <w:rsid w:val="001872FA"/>
    <w:rsid w:val="001952E2"/>
    <w:rsid w:val="001A2E9E"/>
    <w:rsid w:val="001B00C4"/>
    <w:rsid w:val="001B5FEE"/>
    <w:rsid w:val="001C4D30"/>
    <w:rsid w:val="001E233A"/>
    <w:rsid w:val="001E5D57"/>
    <w:rsid w:val="001F16B4"/>
    <w:rsid w:val="001F39EF"/>
    <w:rsid w:val="00213C68"/>
    <w:rsid w:val="00251C28"/>
    <w:rsid w:val="0025728C"/>
    <w:rsid w:val="00261A8C"/>
    <w:rsid w:val="00280419"/>
    <w:rsid w:val="002810D2"/>
    <w:rsid w:val="002A0ED9"/>
    <w:rsid w:val="002A2D2C"/>
    <w:rsid w:val="002A7901"/>
    <w:rsid w:val="002B47BC"/>
    <w:rsid w:val="002C54F6"/>
    <w:rsid w:val="002C577F"/>
    <w:rsid w:val="002C5AD4"/>
    <w:rsid w:val="002C7FC6"/>
    <w:rsid w:val="002D129E"/>
    <w:rsid w:val="002E7410"/>
    <w:rsid w:val="002F087A"/>
    <w:rsid w:val="002F09B4"/>
    <w:rsid w:val="002F1F6E"/>
    <w:rsid w:val="0031666A"/>
    <w:rsid w:val="003321BB"/>
    <w:rsid w:val="003370DD"/>
    <w:rsid w:val="00350592"/>
    <w:rsid w:val="00354AF5"/>
    <w:rsid w:val="00361530"/>
    <w:rsid w:val="0036220B"/>
    <w:rsid w:val="00371294"/>
    <w:rsid w:val="003B3DD4"/>
    <w:rsid w:val="003B5F16"/>
    <w:rsid w:val="003C08BA"/>
    <w:rsid w:val="003F316D"/>
    <w:rsid w:val="00401622"/>
    <w:rsid w:val="004243F2"/>
    <w:rsid w:val="004334CF"/>
    <w:rsid w:val="00445AC4"/>
    <w:rsid w:val="00447C29"/>
    <w:rsid w:val="004655D2"/>
    <w:rsid w:val="00474B75"/>
    <w:rsid w:val="00485227"/>
    <w:rsid w:val="004A6F2C"/>
    <w:rsid w:val="004B6F52"/>
    <w:rsid w:val="004C05B3"/>
    <w:rsid w:val="004E644A"/>
    <w:rsid w:val="004F41CF"/>
    <w:rsid w:val="00505034"/>
    <w:rsid w:val="0052672C"/>
    <w:rsid w:val="00551C0C"/>
    <w:rsid w:val="00563B3E"/>
    <w:rsid w:val="00565C35"/>
    <w:rsid w:val="0056624C"/>
    <w:rsid w:val="005779F8"/>
    <w:rsid w:val="005829F5"/>
    <w:rsid w:val="00585C59"/>
    <w:rsid w:val="005C27D7"/>
    <w:rsid w:val="005D5CF5"/>
    <w:rsid w:val="006162AA"/>
    <w:rsid w:val="0061784B"/>
    <w:rsid w:val="0062253B"/>
    <w:rsid w:val="006467CA"/>
    <w:rsid w:val="0065030A"/>
    <w:rsid w:val="00667F32"/>
    <w:rsid w:val="0068532B"/>
    <w:rsid w:val="006B69E0"/>
    <w:rsid w:val="006B7AA9"/>
    <w:rsid w:val="006C546B"/>
    <w:rsid w:val="006C7748"/>
    <w:rsid w:val="006E0E3B"/>
    <w:rsid w:val="006E7641"/>
    <w:rsid w:val="00700765"/>
    <w:rsid w:val="007020B8"/>
    <w:rsid w:val="00705E97"/>
    <w:rsid w:val="007156A8"/>
    <w:rsid w:val="007173C8"/>
    <w:rsid w:val="007326E0"/>
    <w:rsid w:val="00741308"/>
    <w:rsid w:val="00745DF1"/>
    <w:rsid w:val="00756C16"/>
    <w:rsid w:val="007570F8"/>
    <w:rsid w:val="007755F5"/>
    <w:rsid w:val="007938D9"/>
    <w:rsid w:val="0079531C"/>
    <w:rsid w:val="007B3149"/>
    <w:rsid w:val="007E20BF"/>
    <w:rsid w:val="007F6C30"/>
    <w:rsid w:val="0080236C"/>
    <w:rsid w:val="00820716"/>
    <w:rsid w:val="0086100F"/>
    <w:rsid w:val="00874A97"/>
    <w:rsid w:val="008912FE"/>
    <w:rsid w:val="00896FC8"/>
    <w:rsid w:val="008B43CE"/>
    <w:rsid w:val="008B47C1"/>
    <w:rsid w:val="008B6811"/>
    <w:rsid w:val="008C5030"/>
    <w:rsid w:val="008C6FEC"/>
    <w:rsid w:val="008F3887"/>
    <w:rsid w:val="008F55ED"/>
    <w:rsid w:val="00926C51"/>
    <w:rsid w:val="009659D8"/>
    <w:rsid w:val="00977CD5"/>
    <w:rsid w:val="00991CD2"/>
    <w:rsid w:val="0099707E"/>
    <w:rsid w:val="009A0970"/>
    <w:rsid w:val="009A3F2F"/>
    <w:rsid w:val="009B5959"/>
    <w:rsid w:val="009D4636"/>
    <w:rsid w:val="00A017F8"/>
    <w:rsid w:val="00A25EFB"/>
    <w:rsid w:val="00A3526D"/>
    <w:rsid w:val="00A62894"/>
    <w:rsid w:val="00A9273C"/>
    <w:rsid w:val="00AB1630"/>
    <w:rsid w:val="00AD0394"/>
    <w:rsid w:val="00AF18CA"/>
    <w:rsid w:val="00AF1E0E"/>
    <w:rsid w:val="00B4015E"/>
    <w:rsid w:val="00B839B5"/>
    <w:rsid w:val="00BA01D2"/>
    <w:rsid w:val="00BC3175"/>
    <w:rsid w:val="00BD38DA"/>
    <w:rsid w:val="00BF524B"/>
    <w:rsid w:val="00BF6AE9"/>
    <w:rsid w:val="00C0232C"/>
    <w:rsid w:val="00C028C4"/>
    <w:rsid w:val="00C02EE2"/>
    <w:rsid w:val="00C3438E"/>
    <w:rsid w:val="00C35DE3"/>
    <w:rsid w:val="00C41753"/>
    <w:rsid w:val="00C47EDC"/>
    <w:rsid w:val="00C6377E"/>
    <w:rsid w:val="00C64807"/>
    <w:rsid w:val="00C743B7"/>
    <w:rsid w:val="00C75F4A"/>
    <w:rsid w:val="00C777F5"/>
    <w:rsid w:val="00C90D35"/>
    <w:rsid w:val="00CA4B8E"/>
    <w:rsid w:val="00CA5297"/>
    <w:rsid w:val="00CB3439"/>
    <w:rsid w:val="00CB43D5"/>
    <w:rsid w:val="00CD323A"/>
    <w:rsid w:val="00CD4ACF"/>
    <w:rsid w:val="00CD5612"/>
    <w:rsid w:val="00CF2A1A"/>
    <w:rsid w:val="00D00CAB"/>
    <w:rsid w:val="00D0253B"/>
    <w:rsid w:val="00D17020"/>
    <w:rsid w:val="00D542A5"/>
    <w:rsid w:val="00D72177"/>
    <w:rsid w:val="00D913A7"/>
    <w:rsid w:val="00D96D17"/>
    <w:rsid w:val="00DA5CFB"/>
    <w:rsid w:val="00DB1C34"/>
    <w:rsid w:val="00DB2C50"/>
    <w:rsid w:val="00DC14C3"/>
    <w:rsid w:val="00DE1C0C"/>
    <w:rsid w:val="00DF0DF7"/>
    <w:rsid w:val="00DF5060"/>
    <w:rsid w:val="00E16E31"/>
    <w:rsid w:val="00E244E4"/>
    <w:rsid w:val="00E27495"/>
    <w:rsid w:val="00E33E85"/>
    <w:rsid w:val="00E3711F"/>
    <w:rsid w:val="00E74E5F"/>
    <w:rsid w:val="00E76429"/>
    <w:rsid w:val="00E80F17"/>
    <w:rsid w:val="00E86491"/>
    <w:rsid w:val="00EC2358"/>
    <w:rsid w:val="00EC4E58"/>
    <w:rsid w:val="00EF545F"/>
    <w:rsid w:val="00EF7362"/>
    <w:rsid w:val="00F03836"/>
    <w:rsid w:val="00F041F1"/>
    <w:rsid w:val="00F1459F"/>
    <w:rsid w:val="00F46011"/>
    <w:rsid w:val="00F47566"/>
    <w:rsid w:val="00F63709"/>
    <w:rsid w:val="00F63E50"/>
    <w:rsid w:val="00F958E5"/>
    <w:rsid w:val="00FA4265"/>
    <w:rsid w:val="00FB1654"/>
    <w:rsid w:val="00FE2A09"/>
    <w:rsid w:val="00FE48DE"/>
    <w:rsid w:val="00FE4CC2"/>
    <w:rsid w:val="01D43167"/>
    <w:rsid w:val="06695B05"/>
    <w:rsid w:val="06C35333"/>
    <w:rsid w:val="078B54F2"/>
    <w:rsid w:val="0B450486"/>
    <w:rsid w:val="0DB02216"/>
    <w:rsid w:val="0DC422F7"/>
    <w:rsid w:val="116D47E1"/>
    <w:rsid w:val="11C16F47"/>
    <w:rsid w:val="123B4B10"/>
    <w:rsid w:val="13765022"/>
    <w:rsid w:val="138D1895"/>
    <w:rsid w:val="15C43DE7"/>
    <w:rsid w:val="181C3D41"/>
    <w:rsid w:val="18E72F74"/>
    <w:rsid w:val="19B16EE1"/>
    <w:rsid w:val="1A831150"/>
    <w:rsid w:val="1AA44AD4"/>
    <w:rsid w:val="1C5E3972"/>
    <w:rsid w:val="1D7E7C3A"/>
    <w:rsid w:val="25355375"/>
    <w:rsid w:val="25F611CE"/>
    <w:rsid w:val="27C546B8"/>
    <w:rsid w:val="28007715"/>
    <w:rsid w:val="28232F7C"/>
    <w:rsid w:val="292A4B5E"/>
    <w:rsid w:val="2BF81969"/>
    <w:rsid w:val="2C8D2F0C"/>
    <w:rsid w:val="305A34E1"/>
    <w:rsid w:val="333976D0"/>
    <w:rsid w:val="348C4837"/>
    <w:rsid w:val="398400B9"/>
    <w:rsid w:val="42894808"/>
    <w:rsid w:val="48C90054"/>
    <w:rsid w:val="49D83239"/>
    <w:rsid w:val="4CDF39D3"/>
    <w:rsid w:val="4F470B9B"/>
    <w:rsid w:val="4FF1518A"/>
    <w:rsid w:val="506E0596"/>
    <w:rsid w:val="507E3582"/>
    <w:rsid w:val="52A10E79"/>
    <w:rsid w:val="53A75991"/>
    <w:rsid w:val="54952D93"/>
    <w:rsid w:val="57D96174"/>
    <w:rsid w:val="5C9D7B0A"/>
    <w:rsid w:val="5CA3685F"/>
    <w:rsid w:val="5EE22B24"/>
    <w:rsid w:val="5F2A40EE"/>
    <w:rsid w:val="5F9178E6"/>
    <w:rsid w:val="61BE4251"/>
    <w:rsid w:val="61F81CD8"/>
    <w:rsid w:val="63CA50B9"/>
    <w:rsid w:val="65877215"/>
    <w:rsid w:val="6F263208"/>
    <w:rsid w:val="6FCD1928"/>
    <w:rsid w:val="7047554C"/>
    <w:rsid w:val="7480399B"/>
    <w:rsid w:val="754E29F1"/>
    <w:rsid w:val="75867A9D"/>
    <w:rsid w:val="77B70525"/>
    <w:rsid w:val="7DF341D3"/>
    <w:rsid w:val="7E4337D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qFormat="1" w:unhideWhenUsed="0" w:uiPriority="0" w:semiHidden="0" w:name="toc 8"/>
    <w:lsdException w:uiPriority="0" w:name="toc 9"/>
    <w:lsdException w:qFormat="1" w:unhideWhenUsed="0" w:uiPriority="0" w:semiHidden="0" w:name="Normal Indent"/>
    <w:lsdException w:qFormat="1" w:unhideWhenUsed="0" w:uiPriority="99" w:name="footnote text"/>
    <w:lsdException w:qFormat="1" w:uiPriority="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uiPriority="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qFormat="1" w:uiPriority="0" w:name="Document Map"/>
    <w:lsdException w:qFormat="1" w:unhideWhenUsed="0" w:uiPriority="0" w:semiHidden="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9"/>
    <w:pPr>
      <w:spacing w:before="260" w:after="260" w:line="413" w:lineRule="auto"/>
      <w:outlineLvl w:val="1"/>
    </w:pPr>
    <w:rPr>
      <w:rFonts w:ascii="Arial" w:hAnsi="Arial"/>
      <w:sz w:val="28"/>
    </w:rPr>
  </w:style>
  <w:style w:type="paragraph" w:styleId="6">
    <w:name w:val="heading 4"/>
    <w:basedOn w:val="1"/>
    <w:next w:val="1"/>
    <w:qFormat/>
    <w:uiPriority w:val="0"/>
    <w:pPr>
      <w:keepNext/>
      <w:keepLines/>
      <w:spacing w:before="280" w:after="290" w:line="376" w:lineRule="auto"/>
      <w:outlineLvl w:val="3"/>
    </w:pPr>
    <w:rPr>
      <w:rFonts w:ascii="Arial" w:hAnsi="Arial" w:eastAsia="黑体" w:cs="Arial"/>
      <w:b/>
      <w:bCs/>
      <w:kern w:val="0"/>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after="120"/>
    </w:pPr>
    <w:rPr>
      <w:kern w:val="0"/>
      <w:sz w:val="20"/>
      <w:szCs w:val="20"/>
    </w:rPr>
  </w:style>
  <w:style w:type="paragraph" w:styleId="3">
    <w:name w:val="Body Text First Indent"/>
    <w:basedOn w:val="2"/>
    <w:next w:val="1"/>
    <w:qFormat/>
    <w:uiPriority w:val="0"/>
    <w:pPr>
      <w:spacing w:line="390" w:lineRule="atLeast"/>
      <w:ind w:firstLine="420" w:firstLineChars="100"/>
    </w:pPr>
    <w:rPr>
      <w:sz w:val="24"/>
      <w:szCs w:val="24"/>
    </w:rPr>
  </w:style>
  <w:style w:type="paragraph" w:styleId="7">
    <w:name w:val="List Number"/>
    <w:basedOn w:val="1"/>
    <w:qFormat/>
    <w:uiPriority w:val="0"/>
    <w:pPr>
      <w:numPr>
        <w:ilvl w:val="0"/>
        <w:numId w:val="1"/>
      </w:numPr>
    </w:pPr>
  </w:style>
  <w:style w:type="paragraph" w:styleId="8">
    <w:name w:val="Normal Indent"/>
    <w:basedOn w:val="1"/>
    <w:qFormat/>
    <w:uiPriority w:val="0"/>
    <w:pPr>
      <w:ind w:firstLine="420"/>
    </w:pPr>
    <w:rPr>
      <w:kern w:val="0"/>
      <w:sz w:val="20"/>
      <w:szCs w:val="20"/>
    </w:rPr>
  </w:style>
  <w:style w:type="paragraph" w:styleId="9">
    <w:name w:val="caption"/>
    <w:basedOn w:val="1"/>
    <w:next w:val="1"/>
    <w:qFormat/>
    <w:uiPriority w:val="0"/>
    <w:rPr>
      <w:rFonts w:ascii="Arial" w:hAnsi="Arial" w:eastAsia="黑体" w:cs="Arial"/>
      <w:sz w:val="20"/>
      <w:szCs w:val="20"/>
    </w:rPr>
  </w:style>
  <w:style w:type="paragraph" w:styleId="10">
    <w:name w:val="Document Map"/>
    <w:basedOn w:val="1"/>
    <w:link w:val="52"/>
    <w:semiHidden/>
    <w:unhideWhenUsed/>
    <w:qFormat/>
    <w:uiPriority w:val="0"/>
    <w:rPr>
      <w:rFonts w:ascii="宋体"/>
      <w:sz w:val="18"/>
      <w:szCs w:val="18"/>
    </w:rPr>
  </w:style>
  <w:style w:type="paragraph" w:styleId="11">
    <w:name w:val="annotation text"/>
    <w:basedOn w:val="1"/>
    <w:semiHidden/>
    <w:unhideWhenUsed/>
    <w:qFormat/>
    <w:uiPriority w:val="0"/>
    <w:pPr>
      <w:jc w:val="left"/>
    </w:pPr>
  </w:style>
  <w:style w:type="paragraph" w:styleId="12">
    <w:name w:val="Body Text Indent"/>
    <w:basedOn w:val="1"/>
    <w:link w:val="42"/>
    <w:qFormat/>
    <w:uiPriority w:val="0"/>
    <w:pPr>
      <w:spacing w:after="120"/>
      <w:ind w:left="420" w:leftChars="200"/>
    </w:pPr>
    <w:rPr>
      <w:kern w:val="0"/>
      <w:sz w:val="20"/>
      <w:szCs w:val="20"/>
    </w:rPr>
  </w:style>
  <w:style w:type="paragraph" w:styleId="13">
    <w:name w:val="Plain Text"/>
    <w:basedOn w:val="1"/>
    <w:qFormat/>
    <w:uiPriority w:val="0"/>
    <w:pPr>
      <w:spacing w:beforeLines="50" w:afterLines="50" w:line="400" w:lineRule="exact"/>
    </w:pPr>
    <w:rPr>
      <w:rFonts w:ascii="宋体" w:hAnsi="Courier New" w:cs="宋体"/>
      <w:kern w:val="0"/>
    </w:rPr>
  </w:style>
  <w:style w:type="paragraph" w:styleId="14">
    <w:name w:val="toc 8"/>
    <w:basedOn w:val="1"/>
    <w:next w:val="1"/>
    <w:qFormat/>
    <w:uiPriority w:val="0"/>
    <w:pPr>
      <w:ind w:left="1470"/>
      <w:jc w:val="left"/>
    </w:pPr>
    <w:rPr>
      <w:sz w:val="18"/>
      <w:szCs w:val="18"/>
    </w:rPr>
  </w:style>
  <w:style w:type="paragraph" w:styleId="15">
    <w:name w:val="Date"/>
    <w:basedOn w:val="1"/>
    <w:next w:val="1"/>
    <w:qFormat/>
    <w:uiPriority w:val="0"/>
    <w:pPr>
      <w:ind w:left="100" w:leftChars="2500"/>
    </w:pPr>
    <w:rPr>
      <w:kern w:val="0"/>
      <w:sz w:val="20"/>
      <w:szCs w:val="20"/>
    </w:rPr>
  </w:style>
  <w:style w:type="paragraph" w:styleId="16">
    <w:name w:val="Balloon Text"/>
    <w:basedOn w:val="1"/>
    <w:link w:val="39"/>
    <w:qFormat/>
    <w:uiPriority w:val="0"/>
    <w:rPr>
      <w:sz w:val="18"/>
      <w:szCs w:val="18"/>
    </w:rPr>
  </w:style>
  <w:style w:type="paragraph" w:styleId="17">
    <w:name w:val="footer"/>
    <w:basedOn w:val="1"/>
    <w:qFormat/>
    <w:uiPriority w:val="0"/>
    <w:pPr>
      <w:tabs>
        <w:tab w:val="center" w:pos="4153"/>
        <w:tab w:val="right" w:pos="8306"/>
      </w:tabs>
      <w:snapToGrid w:val="0"/>
      <w:jc w:val="left"/>
    </w:pPr>
    <w:rPr>
      <w:kern w:val="0"/>
      <w:sz w:val="18"/>
      <w:szCs w:val="18"/>
    </w:rPr>
  </w:style>
  <w:style w:type="paragraph" w:styleId="18">
    <w:name w:val="header"/>
    <w:basedOn w:val="1"/>
    <w:link w:val="40"/>
    <w:qFormat/>
    <w:uiPriority w:val="0"/>
    <w:pPr>
      <w:pBdr>
        <w:bottom w:val="single" w:color="auto" w:sz="6" w:space="1"/>
      </w:pBdr>
      <w:tabs>
        <w:tab w:val="center" w:pos="4153"/>
        <w:tab w:val="right" w:pos="8306"/>
      </w:tabs>
      <w:snapToGrid w:val="0"/>
      <w:jc w:val="center"/>
    </w:pPr>
    <w:rPr>
      <w:sz w:val="18"/>
      <w:szCs w:val="18"/>
    </w:rPr>
  </w:style>
  <w:style w:type="paragraph" w:styleId="19">
    <w:name w:val="List"/>
    <w:basedOn w:val="1"/>
    <w:qFormat/>
    <w:uiPriority w:val="0"/>
    <w:pPr>
      <w:ind w:left="200" w:hanging="200" w:hangingChars="200"/>
    </w:pPr>
    <w:rPr>
      <w:sz w:val="28"/>
      <w:szCs w:val="28"/>
    </w:rPr>
  </w:style>
  <w:style w:type="paragraph" w:styleId="20">
    <w:name w:val="footnote text"/>
    <w:basedOn w:val="1"/>
    <w:semiHidden/>
    <w:qFormat/>
    <w:uiPriority w:val="99"/>
    <w:pPr>
      <w:snapToGrid w:val="0"/>
      <w:jc w:val="left"/>
    </w:pPr>
    <w:rPr>
      <w:kern w:val="0"/>
      <w:sz w:val="18"/>
      <w:szCs w:val="18"/>
    </w:rPr>
  </w:style>
  <w:style w:type="paragraph" w:styleId="21">
    <w:name w:val="Body Text Indent 3"/>
    <w:basedOn w:val="1"/>
    <w:qFormat/>
    <w:uiPriority w:val="0"/>
    <w:pPr>
      <w:spacing w:after="120"/>
      <w:ind w:left="420" w:leftChars="200"/>
    </w:pPr>
    <w:rPr>
      <w:kern w:val="0"/>
      <w:sz w:val="16"/>
      <w:szCs w:val="16"/>
    </w:rPr>
  </w:style>
  <w:style w:type="paragraph" w:styleId="22">
    <w:name w:val="Body Text 2"/>
    <w:basedOn w:val="1"/>
    <w:qFormat/>
    <w:uiPriority w:val="0"/>
    <w:pPr>
      <w:widowControl/>
      <w:snapToGrid w:val="0"/>
      <w:spacing w:before="50" w:afterLines="50" w:line="400" w:lineRule="exact"/>
      <w:jc w:val="left"/>
    </w:pPr>
    <w:rPr>
      <w:kern w:val="0"/>
      <w:sz w:val="20"/>
      <w:szCs w:val="20"/>
    </w:rPr>
  </w:style>
  <w:style w:type="paragraph" w:styleId="23">
    <w:name w:val="Title"/>
    <w:basedOn w:val="1"/>
    <w:next w:val="1"/>
    <w:qFormat/>
    <w:uiPriority w:val="0"/>
    <w:pPr>
      <w:spacing w:before="240" w:after="60" w:line="480" w:lineRule="exact"/>
      <w:jc w:val="center"/>
      <w:outlineLvl w:val="0"/>
    </w:pPr>
    <w:rPr>
      <w:rFonts w:ascii="Cambria" w:hAnsi="Cambria" w:cs="Cambria"/>
      <w:b/>
      <w:bCs/>
      <w:kern w:val="0"/>
      <w:sz w:val="32"/>
      <w:szCs w:val="32"/>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page number"/>
    <w:qFormat/>
    <w:uiPriority w:val="0"/>
  </w:style>
  <w:style w:type="character" w:styleId="28">
    <w:name w:val="Hyperlink"/>
    <w:qFormat/>
    <w:uiPriority w:val="0"/>
    <w:rPr>
      <w:color w:val="333333"/>
      <w:u w:val="none"/>
    </w:rPr>
  </w:style>
  <w:style w:type="paragraph" w:customStyle="1" w:styleId="29">
    <w:name w:val="列出段落1"/>
    <w:basedOn w:val="1"/>
    <w:qFormat/>
    <w:uiPriority w:val="34"/>
    <w:pPr>
      <w:ind w:firstLine="420" w:firstLineChars="200"/>
    </w:pPr>
    <w:rPr>
      <w:rFonts w:ascii="Calibri" w:hAnsi="Calibri"/>
      <w:kern w:val="0"/>
      <w:sz w:val="20"/>
      <w:szCs w:val="20"/>
    </w:rPr>
  </w:style>
  <w:style w:type="paragraph" w:customStyle="1" w:styleId="30">
    <w:name w:val="无间隔1"/>
    <w:qFormat/>
    <w:uiPriority w:val="1"/>
    <w:pPr>
      <w:adjustRightInd w:val="0"/>
      <w:snapToGrid w:val="0"/>
    </w:pPr>
    <w:rPr>
      <w:rFonts w:ascii="Tahoma" w:hAnsi="Tahoma" w:eastAsia="微软雅黑" w:cs="Times New Roman"/>
      <w:sz w:val="22"/>
      <w:szCs w:val="22"/>
      <w:lang w:val="en-US" w:eastAsia="zh-CN" w:bidi="ar-SA"/>
    </w:rPr>
  </w:style>
  <w:style w:type="paragraph" w:customStyle="1" w:styleId="31">
    <w:name w:val="表正文"/>
    <w:basedOn w:val="1"/>
    <w:qFormat/>
    <w:uiPriority w:val="0"/>
    <w:pPr>
      <w:jc w:val="left"/>
    </w:pPr>
    <w:rPr>
      <w:rFonts w:ascii="Arial" w:hAnsi="Arial"/>
      <w:sz w:val="18"/>
      <w:szCs w:val="21"/>
    </w:rPr>
  </w:style>
  <w:style w:type="paragraph" w:customStyle="1" w:styleId="32">
    <w:name w:val="样式 列表编号 + 段后: 0.5 行"/>
    <w:basedOn w:val="7"/>
    <w:qFormat/>
    <w:uiPriority w:val="0"/>
  </w:style>
  <w:style w:type="paragraph" w:customStyle="1" w:styleId="33">
    <w:name w:val="默认段落字体 Para Char Char Char Char Char Char Char Char Char1 Char Char Char Char"/>
    <w:basedOn w:val="1"/>
    <w:qFormat/>
    <w:uiPriority w:val="0"/>
    <w:rPr>
      <w:rFonts w:ascii="Tahoma" w:hAnsi="Tahoma" w:cs="Tahoma"/>
      <w:sz w:val="24"/>
    </w:rPr>
  </w:style>
  <w:style w:type="paragraph" w:customStyle="1" w:styleId="3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5">
    <w:name w:val="目录 71"/>
    <w:next w:val="1"/>
    <w:qFormat/>
    <w:uiPriority w:val="0"/>
    <w:pPr>
      <w:wordWrap w:val="0"/>
      <w:ind w:left="2550"/>
      <w:jc w:val="both"/>
    </w:pPr>
    <w:rPr>
      <w:rFonts w:ascii="Times New Roman" w:hAnsi="Times New Roman" w:eastAsia="宋体" w:cs="Times New Roman"/>
      <w:sz w:val="21"/>
      <w:lang w:val="en-US" w:eastAsia="zh-CN" w:bidi="ar-SA"/>
    </w:rPr>
  </w:style>
  <w:style w:type="paragraph" w:customStyle="1" w:styleId="36">
    <w:name w:val="表格文字"/>
    <w:basedOn w:val="1"/>
    <w:qFormat/>
    <w:uiPriority w:val="0"/>
    <w:pPr>
      <w:spacing w:before="25" w:after="25"/>
      <w:jc w:val="left"/>
    </w:pPr>
    <w:rPr>
      <w:spacing w:val="10"/>
      <w:kern w:val="0"/>
      <w:sz w:val="24"/>
    </w:rPr>
  </w:style>
  <w:style w:type="paragraph" w:customStyle="1" w:styleId="37">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8">
    <w:name w:val="Char"/>
    <w:basedOn w:val="1"/>
    <w:qFormat/>
    <w:uiPriority w:val="0"/>
  </w:style>
  <w:style w:type="character" w:customStyle="1" w:styleId="39">
    <w:name w:val="批注框文本 Char"/>
    <w:basedOn w:val="26"/>
    <w:link w:val="16"/>
    <w:qFormat/>
    <w:uiPriority w:val="0"/>
    <w:rPr>
      <w:rFonts w:ascii="Times New Roman" w:hAnsi="Times New Roman" w:eastAsia="宋体" w:cs="Times New Roman"/>
      <w:kern w:val="2"/>
      <w:sz w:val="18"/>
      <w:szCs w:val="18"/>
    </w:rPr>
  </w:style>
  <w:style w:type="character" w:customStyle="1" w:styleId="40">
    <w:name w:val="页眉 Char"/>
    <w:basedOn w:val="26"/>
    <w:link w:val="18"/>
    <w:qFormat/>
    <w:uiPriority w:val="0"/>
    <w:rPr>
      <w:rFonts w:ascii="Times New Roman" w:hAnsi="Times New Roman" w:eastAsia="宋体" w:cs="Times New Roman"/>
      <w:kern w:val="2"/>
      <w:sz w:val="18"/>
      <w:szCs w:val="18"/>
    </w:rPr>
  </w:style>
  <w:style w:type="paragraph" w:customStyle="1" w:styleId="41">
    <w:name w:val="样式4"/>
    <w:basedOn w:val="1"/>
    <w:qFormat/>
    <w:uiPriority w:val="0"/>
    <w:pPr>
      <w:ind w:firstLine="482"/>
    </w:pPr>
    <w:rPr>
      <w:rFonts w:asciiTheme="minorHAnsi" w:hAnsiTheme="minorHAnsi" w:eastAsiaTheme="minorEastAsia" w:cstheme="minorBidi"/>
      <w:b/>
    </w:rPr>
  </w:style>
  <w:style w:type="character" w:customStyle="1" w:styleId="42">
    <w:name w:val="正文文本缩进 Char"/>
    <w:basedOn w:val="26"/>
    <w:link w:val="12"/>
    <w:qFormat/>
    <w:uiPriority w:val="0"/>
    <w:rPr>
      <w:rFonts w:ascii="Times New Roman" w:hAnsi="Times New Roman" w:eastAsia="宋体" w:cs="Times New Roman"/>
    </w:rPr>
  </w:style>
  <w:style w:type="paragraph" w:styleId="43">
    <w:name w:val="List Paragraph"/>
    <w:basedOn w:val="1"/>
    <w:qFormat/>
    <w:uiPriority w:val="34"/>
    <w:pPr>
      <w:ind w:firstLine="420" w:firstLineChars="200"/>
    </w:pPr>
    <w:rPr>
      <w:rFonts w:asciiTheme="minorHAnsi" w:hAnsiTheme="minorHAnsi" w:eastAsiaTheme="minorEastAsia" w:cstheme="minorBidi"/>
      <w:szCs w:val="22"/>
    </w:rPr>
  </w:style>
  <w:style w:type="character" w:customStyle="1" w:styleId="44">
    <w:name w:val="font41"/>
    <w:basedOn w:val="26"/>
    <w:qFormat/>
    <w:uiPriority w:val="0"/>
    <w:rPr>
      <w:rFonts w:hint="eastAsia" w:ascii="宋体" w:hAnsi="宋体" w:eastAsia="宋体" w:cs="宋体"/>
      <w:b/>
      <w:bCs/>
      <w:color w:val="000000"/>
      <w:sz w:val="24"/>
      <w:szCs w:val="24"/>
      <w:u w:val="none"/>
    </w:rPr>
  </w:style>
  <w:style w:type="character" w:customStyle="1" w:styleId="45">
    <w:name w:val="font31"/>
    <w:basedOn w:val="26"/>
    <w:qFormat/>
    <w:uiPriority w:val="0"/>
    <w:rPr>
      <w:rFonts w:hint="eastAsia" w:ascii="宋体" w:hAnsi="宋体" w:eastAsia="宋体" w:cs="宋体"/>
      <w:color w:val="000000"/>
      <w:sz w:val="23"/>
      <w:szCs w:val="23"/>
      <w:u w:val="none"/>
    </w:rPr>
  </w:style>
  <w:style w:type="character" w:customStyle="1" w:styleId="46">
    <w:name w:val="font51"/>
    <w:basedOn w:val="26"/>
    <w:qFormat/>
    <w:uiPriority w:val="0"/>
    <w:rPr>
      <w:rFonts w:hint="eastAsia" w:ascii="宋体" w:hAnsi="宋体" w:eastAsia="宋体" w:cs="宋体"/>
      <w:color w:val="000000"/>
      <w:sz w:val="24"/>
      <w:szCs w:val="24"/>
      <w:u w:val="none"/>
    </w:rPr>
  </w:style>
  <w:style w:type="character" w:customStyle="1" w:styleId="47">
    <w:name w:val="font61"/>
    <w:basedOn w:val="26"/>
    <w:qFormat/>
    <w:uiPriority w:val="0"/>
    <w:rPr>
      <w:rFonts w:hint="eastAsia" w:ascii="宋体" w:hAnsi="宋体" w:eastAsia="宋体" w:cs="宋体"/>
      <w:color w:val="000000"/>
      <w:sz w:val="22"/>
      <w:szCs w:val="22"/>
      <w:u w:val="none"/>
    </w:rPr>
  </w:style>
  <w:style w:type="character" w:customStyle="1" w:styleId="48">
    <w:name w:val="font01"/>
    <w:basedOn w:val="26"/>
    <w:qFormat/>
    <w:uiPriority w:val="0"/>
    <w:rPr>
      <w:rFonts w:hint="eastAsia" w:ascii="宋体" w:hAnsi="宋体" w:eastAsia="宋体" w:cs="宋体"/>
      <w:b/>
      <w:bCs/>
      <w:color w:val="000000"/>
      <w:sz w:val="18"/>
      <w:szCs w:val="18"/>
      <w:u w:val="none"/>
    </w:rPr>
  </w:style>
  <w:style w:type="paragraph" w:customStyle="1" w:styleId="49">
    <w:name w:val="正文文字"/>
    <w:basedOn w:val="1"/>
    <w:qFormat/>
    <w:uiPriority w:val="0"/>
    <w:pPr>
      <w:widowControl/>
      <w:spacing w:line="952" w:lineRule="atLeast"/>
      <w:ind w:firstLine="419"/>
      <w:textAlignment w:val="baseline"/>
    </w:pPr>
    <w:rPr>
      <w:b/>
      <w:color w:val="000000"/>
      <w:sz w:val="44"/>
    </w:rPr>
  </w:style>
  <w:style w:type="paragraph" w:customStyle="1" w:styleId="50">
    <w:name w:val="无间隔2"/>
    <w:qFormat/>
    <w:uiPriority w:val="0"/>
    <w:rPr>
      <w:rFonts w:ascii="Times New Roman" w:hAnsi="Times New Roman" w:eastAsia="宋体" w:cs="Times New Roman"/>
      <w:sz w:val="22"/>
      <w:szCs w:val="22"/>
      <w:lang w:val="en-US" w:eastAsia="en-US" w:bidi="ar-SA"/>
    </w:rPr>
  </w:style>
  <w:style w:type="paragraph" w:customStyle="1" w:styleId="51">
    <w:name w:val="样式1"/>
    <w:basedOn w:val="1"/>
    <w:qFormat/>
    <w:uiPriority w:val="0"/>
    <w:pPr>
      <w:spacing w:line="360" w:lineRule="exact"/>
      <w:ind w:firstLine="200" w:firstLineChars="200"/>
    </w:pPr>
    <w:rPr>
      <w:rFonts w:ascii="Arial" w:hAnsi="Arial"/>
    </w:rPr>
  </w:style>
  <w:style w:type="character" w:customStyle="1" w:styleId="52">
    <w:name w:val="文档结构图 Char"/>
    <w:basedOn w:val="26"/>
    <w:link w:val="10"/>
    <w:semiHidden/>
    <w:qFormat/>
    <w:uiPriority w:val="0"/>
    <w:rPr>
      <w:rFonts w:ascii="宋体"/>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numbering" Target="numbering.xml"/><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CAB9E8-72EE-4C72-93DB-D7EA6BA44069}">
  <ds:schemaRefs/>
</ds:datastoreItem>
</file>

<file path=docProps/app.xml><?xml version="1.0" encoding="utf-8"?>
<Properties xmlns="http://schemas.openxmlformats.org/officeDocument/2006/extended-properties" xmlns:vt="http://schemas.openxmlformats.org/officeDocument/2006/docPropsVTypes">
  <Template>Normal</Template>
  <Pages>63</Pages>
  <Words>12411</Words>
  <Characters>13717</Characters>
  <Lines>283</Lines>
  <Paragraphs>79</Paragraphs>
  <TotalTime>4</TotalTime>
  <ScaleCrop>false</ScaleCrop>
  <LinksUpToDate>false</LinksUpToDate>
  <CharactersWithSpaces>14127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2025-03-14T06:52:00Z</dcterms:created>
  <dc:creator>小浪花</dc:creator>
  <cp:lastModifiedBy>NTKO</cp:lastModifiedBy>
  <dcterms:modified xsi:type="dcterms:W3CDTF">2025-04-01T05:55:17Z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E023D713C6624A948C8B65E040C46F1A_13</vt:lpwstr>
  </property>
  <property fmtid="{D5CDD505-2E9C-101B-9397-08002B2CF9AE}" pid="4" name="KSOTemplateDocerSaveRecord">
    <vt:lpwstr>eyJoZGlkIjoiYzMyNjcyN2MzN2ZjZmQzYjcwNWY3YjQ5M2M4OTFjNmIiLCJ1c2VySWQiOiI5NDU3ODA3MTMifQ==</vt:lpwstr>
  </property>
</Properties>
</file>